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553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55358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HEALY JAMES</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460" w:type="dxa"/>
            <w:vAlign w:val="bottom"/>
            <w:tcBorders>
              <w:top w:val="single" w:sz="8" w:color="0000EE"/>
              <w:bottom w:val="single" w:sz="8" w:color="9A9A9A"/>
            </w:tcBorders>
          </w:tcPr>
          <w:p>
            <w:pPr>
              <w:spacing w:after="0"/>
              <w:rPr>
                <w:sz w:val="15"/>
                <w:szCs w:val="15"/>
                <w:color w:val="auto"/>
              </w:rPr>
            </w:pPr>
          </w:p>
        </w:tc>
        <w:tc>
          <w:tcPr>
            <w:tcW w:w="176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09/20/2018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Y-mAbs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YMAB</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32"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SOFINNOVA VENTURES,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3000 SAND HILL ROAD, BLDG. 4, SUITE</w:t>
      </w:r>
    </w:p>
    <w:p>
      <w:pPr>
        <w:spacing w:after="0" w:line="38"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250</w:t>
      </w:r>
    </w:p>
    <w:p>
      <w:pPr>
        <w:spacing w:after="0" w:line="29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900" w:type="dxa"/>
            <w:vAlign w:val="bottom"/>
          </w:tcPr>
          <w:p>
            <w:pPr>
              <w:spacing w:after="0"/>
              <w:rPr>
                <w:sz w:val="20"/>
                <w:szCs w:val="20"/>
                <w:color w:val="auto"/>
              </w:rPr>
            </w:pPr>
            <w:r>
              <w:rPr>
                <w:rFonts w:ascii="Arial" w:cs="Arial" w:eastAsia="Arial" w:hAnsi="Arial"/>
                <w:sz w:val="14"/>
                <w:szCs w:val="14"/>
                <w:color w:val="auto"/>
              </w:rPr>
              <w:t>(Street)</w:t>
            </w:r>
          </w:p>
        </w:tc>
        <w:tc>
          <w:tcPr>
            <w:tcW w:w="9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900" w:type="dxa"/>
            <w:vAlign w:val="bottom"/>
          </w:tcPr>
          <w:p>
            <w:pPr>
              <w:ind w:left="40"/>
              <w:spacing w:after="0"/>
              <w:rPr>
                <w:sz w:val="20"/>
                <w:szCs w:val="20"/>
                <w:color w:val="auto"/>
              </w:rPr>
            </w:pPr>
            <w:r>
              <w:rPr>
                <w:rFonts w:ascii="Arial" w:cs="Arial" w:eastAsia="Arial" w:hAnsi="Arial"/>
                <w:sz w:val="18"/>
                <w:szCs w:val="18"/>
                <w:color w:val="0000FF"/>
              </w:rPr>
              <w:t>MENLO</w:t>
            </w:r>
          </w:p>
        </w:tc>
        <w:tc>
          <w:tcPr>
            <w:tcW w:w="900" w:type="dxa"/>
            <w:vAlign w:val="bottom"/>
            <w:vMerge w:val="restart"/>
          </w:tcPr>
          <w:p>
            <w:pPr>
              <w:ind w:left="240"/>
              <w:spacing w:after="0"/>
              <w:rPr>
                <w:sz w:val="20"/>
                <w:szCs w:val="20"/>
                <w:color w:val="auto"/>
              </w:rPr>
            </w:pPr>
            <w:r>
              <w:rPr>
                <w:rFonts w:ascii="Arial" w:cs="Arial" w:eastAsia="Arial" w:hAnsi="Arial"/>
                <w:sz w:val="18"/>
                <w:szCs w:val="18"/>
                <w:color w:val="0000FF"/>
              </w:rPr>
              <w:t>CA</w:t>
            </w:r>
          </w:p>
        </w:tc>
        <w:tc>
          <w:tcPr>
            <w:tcW w:w="840" w:type="dxa"/>
            <w:vAlign w:val="bottom"/>
            <w:vMerge w:val="restart"/>
          </w:tcPr>
          <w:p>
            <w:pPr>
              <w:jc w:val="right"/>
              <w:spacing w:after="0"/>
              <w:rPr>
                <w:sz w:val="20"/>
                <w:szCs w:val="20"/>
                <w:color w:val="auto"/>
              </w:rPr>
            </w:pPr>
            <w:r>
              <w:rPr>
                <w:rFonts w:ascii="Arial" w:cs="Arial" w:eastAsia="Arial" w:hAnsi="Arial"/>
                <w:sz w:val="18"/>
                <w:szCs w:val="18"/>
                <w:color w:val="0000FF"/>
              </w:rPr>
              <w:t>94025</w:t>
            </w:r>
          </w:p>
        </w:tc>
        <w:tc>
          <w:tcPr>
            <w:tcW w:w="0" w:type="dxa"/>
            <w:vAlign w:val="bottom"/>
          </w:tcPr>
          <w:p>
            <w:pPr>
              <w:spacing w:after="0"/>
              <w:rPr>
                <w:sz w:val="1"/>
                <w:szCs w:val="1"/>
                <w:color w:val="auto"/>
              </w:rPr>
            </w:pPr>
          </w:p>
        </w:tc>
      </w:tr>
      <w:tr>
        <w:trPr>
          <w:trHeight w:val="114"/>
        </w:trPr>
        <w:tc>
          <w:tcPr>
            <w:tcW w:w="900" w:type="dxa"/>
            <w:vAlign w:val="bottom"/>
            <w:vMerge w:val="restart"/>
          </w:tcPr>
          <w:p>
            <w:pPr>
              <w:ind w:left="40"/>
              <w:spacing w:after="0"/>
              <w:rPr>
                <w:sz w:val="20"/>
                <w:szCs w:val="20"/>
                <w:color w:val="auto"/>
              </w:rPr>
            </w:pPr>
            <w:r>
              <w:rPr>
                <w:rFonts w:ascii="Arial" w:cs="Arial" w:eastAsia="Arial" w:hAnsi="Arial"/>
                <w:sz w:val="18"/>
                <w:szCs w:val="18"/>
                <w:color w:val="0000FF"/>
              </w:rPr>
              <w:t>PARK</w:t>
            </w:r>
          </w:p>
        </w:tc>
        <w:tc>
          <w:tcPr>
            <w:tcW w:w="90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900" w:type="dxa"/>
            <w:vAlign w:val="bottom"/>
            <w:vMerge w:val="continue"/>
          </w:tcPr>
          <w:p>
            <w:pPr>
              <w:spacing w:after="0"/>
              <w:rPr>
                <w:sz w:val="9"/>
                <w:szCs w:val="9"/>
                <w:color w:val="auto"/>
              </w:rPr>
            </w:pPr>
          </w:p>
        </w:tc>
        <w:tc>
          <w:tcPr>
            <w:tcW w:w="900" w:type="dxa"/>
            <w:vAlign w:val="bottom"/>
          </w:tcPr>
          <w:p>
            <w:pPr>
              <w:spacing w:after="0"/>
              <w:rPr>
                <w:sz w:val="9"/>
                <w:szCs w:val="9"/>
                <w:color w:val="auto"/>
              </w:rPr>
            </w:pPr>
          </w:p>
        </w:tc>
        <w:tc>
          <w:tcPr>
            <w:tcW w:w="8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92"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374"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330"/>
        </w:trPr>
        <w:tc>
          <w:tcPr>
            <w:tcW w:w="20" w:type="dxa"/>
            <w:vAlign w:val="bottom"/>
            <w:tcBorders>
              <w:bottom w:val="single" w:sz="8" w:color="2C2C2C"/>
            </w:tcBorders>
          </w:tcPr>
          <w:p>
            <w:pPr>
              <w:spacing w:after="0"/>
              <w:rPr>
                <w:sz w:val="24"/>
                <w:szCs w:val="24"/>
                <w:color w:val="auto"/>
              </w:rPr>
            </w:pPr>
          </w:p>
        </w:tc>
        <w:tc>
          <w:tcPr>
            <w:tcW w:w="31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Common Stock</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tcPr>
          <w:p>
            <w:pPr>
              <w:ind w:left="500"/>
              <w:spacing w:after="0"/>
              <w:rPr>
                <w:sz w:val="20"/>
                <w:szCs w:val="20"/>
                <w:color w:val="auto"/>
              </w:rPr>
            </w:pPr>
            <w:r>
              <w:rPr>
                <w:rFonts w:ascii="Arial" w:cs="Arial" w:eastAsia="Arial" w:hAnsi="Arial"/>
                <w:sz w:val="18"/>
                <w:szCs w:val="18"/>
                <w:color w:val="0000FF"/>
              </w:rPr>
              <w:t>1,604,278</w:t>
            </w:r>
          </w:p>
        </w:tc>
        <w:tc>
          <w:tcPr>
            <w:tcW w:w="900" w:type="dxa"/>
            <w:vAlign w:val="bottom"/>
            <w:tcBorders>
              <w:bottom w:val="single" w:sz="8" w:color="2C2C2C"/>
            </w:tcBorders>
          </w:tcPr>
          <w:p>
            <w:pPr>
              <w:ind w:left="680"/>
              <w:spacing w:after="0"/>
              <w:rPr>
                <w:sz w:val="20"/>
                <w:szCs w:val="20"/>
                <w:color w:val="auto"/>
              </w:rPr>
            </w:pPr>
            <w:r>
              <w:rPr>
                <w:rFonts w:ascii="Arial" w:cs="Arial" w:eastAsia="Arial" w:hAnsi="Arial"/>
                <w:sz w:val="18"/>
                <w:szCs w:val="18"/>
                <w:color w:val="0000FF"/>
              </w:rPr>
              <w:t>I</w:t>
            </w:r>
          </w:p>
        </w:tc>
        <w:tc>
          <w:tcPr>
            <w:tcW w:w="1760" w:type="dxa"/>
            <w:vAlign w:val="bottom"/>
            <w:tcBorders>
              <w:bottom w:val="single" w:sz="8" w:color="2C2C2C"/>
            </w:tcBorders>
            <w:gridSpan w:val="2"/>
          </w:tcPr>
          <w:p>
            <w:pPr>
              <w:ind w:left="500"/>
              <w:spacing w:after="0"/>
              <w:rPr>
                <w:sz w:val="20"/>
                <w:szCs w:val="20"/>
                <w:color w:val="auto"/>
              </w:rPr>
            </w:pPr>
            <w:r>
              <w:rPr>
                <w:rFonts w:ascii="Arial" w:cs="Arial" w:eastAsia="Arial" w:hAnsi="Arial"/>
                <w:sz w:val="18"/>
                <w:szCs w:val="18"/>
                <w:color w:val="0000FF"/>
                <w:w w:val="98"/>
              </w:rPr>
              <w:t>See Footnote</w:t>
            </w:r>
            <w:r>
              <w:rPr>
                <w:rFonts w:ascii="Arial" w:cs="Arial" w:eastAsia="Arial" w:hAnsi="Arial"/>
                <w:sz w:val="22"/>
                <w:szCs w:val="22"/>
                <w:color w:val="008000"/>
                <w:w w:val="98"/>
                <w:vertAlign w:val="superscript"/>
              </w:rPr>
              <w:t>(1)</w:t>
            </w:r>
          </w:p>
        </w:tc>
        <w:tc>
          <w:tcPr>
            <w:tcW w:w="16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3180" w:type="dxa"/>
            <w:vAlign w:val="bottom"/>
            <w:tcBorders>
              <w:top w:val="single" w:sz="8" w:color="2C2C2C"/>
            </w:tcBorders>
          </w:tcPr>
          <w:p>
            <w:pPr>
              <w:spacing w:after="0"/>
              <w:rPr>
                <w:sz w:val="19"/>
                <w:szCs w:val="19"/>
                <w:color w:val="auto"/>
              </w:rPr>
            </w:pPr>
          </w:p>
        </w:tc>
        <w:tc>
          <w:tcPr>
            <w:tcW w:w="380" w:type="dxa"/>
            <w:vAlign w:val="bottom"/>
            <w:tcBorders>
              <w:top w:val="single" w:sz="8" w:color="2C2C2C"/>
            </w:tcBorders>
          </w:tcPr>
          <w:p>
            <w:pPr>
              <w:spacing w:after="0"/>
              <w:rPr>
                <w:sz w:val="19"/>
                <w:szCs w:val="19"/>
                <w:color w:val="auto"/>
              </w:rPr>
            </w:pPr>
          </w:p>
        </w:tc>
        <w:tc>
          <w:tcPr>
            <w:tcW w:w="4440" w:type="dxa"/>
            <w:vAlign w:val="bottom"/>
            <w:tcBorders>
              <w:top w:val="single" w:sz="8" w:color="2C2C2C"/>
            </w:tcBorders>
            <w:gridSpan w:val="4"/>
          </w:tcPr>
          <w:p>
            <w:pPr>
              <w:ind w:left="6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5700" w:type="dxa"/>
            <w:vAlign w:val="bottom"/>
            <w:gridSpan w:val="6"/>
          </w:tcPr>
          <w:p>
            <w:pPr>
              <w:ind w:left="1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31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1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38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2"/>
          </w:tcPr>
          <w:p>
            <w:pPr>
              <w:ind w:left="6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4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8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3180" w:type="dxa"/>
            <w:vAlign w:val="bottom"/>
          </w:tcPr>
          <w:p>
            <w:pPr>
              <w:spacing w:after="0"/>
              <w:rPr>
                <w:sz w:val="6"/>
                <w:szCs w:val="6"/>
                <w:color w:val="auto"/>
              </w:rPr>
            </w:pPr>
          </w:p>
        </w:tc>
        <w:tc>
          <w:tcPr>
            <w:tcW w:w="38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86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1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860" w:type="dxa"/>
            <w:vAlign w:val="bottom"/>
          </w:tcPr>
          <w:p>
            <w:pPr>
              <w:spacing w:after="0"/>
              <w:rPr>
                <w:sz w:val="4"/>
                <w:szCs w:val="4"/>
                <w:color w:val="auto"/>
              </w:rPr>
            </w:pPr>
          </w:p>
        </w:tc>
        <w:tc>
          <w:tcPr>
            <w:tcW w:w="90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tcPr>
          <w:p>
            <w:pPr>
              <w:ind w:left="28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tcPr>
          <w:p>
            <w:pPr>
              <w:ind w:left="28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860" w:type="dxa"/>
            <w:vAlign w:val="bottom"/>
          </w:tcPr>
          <w:p>
            <w:pPr>
              <w:spacing w:after="0"/>
              <w:rPr>
                <w:sz w:val="12"/>
                <w:szCs w:val="12"/>
                <w:color w:val="auto"/>
              </w:rPr>
            </w:pPr>
          </w:p>
        </w:tc>
        <w:tc>
          <w:tcPr>
            <w:tcW w:w="900" w:type="dxa"/>
            <w:vAlign w:val="bottom"/>
          </w:tcPr>
          <w:p>
            <w:pPr>
              <w:ind w:left="28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1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860" w:type="dxa"/>
            <w:vAlign w:val="bottom"/>
          </w:tcPr>
          <w:p>
            <w:pPr>
              <w:ind w:left="60"/>
              <w:spacing w:after="0"/>
              <w:rPr>
                <w:sz w:val="20"/>
                <w:szCs w:val="20"/>
                <w:color w:val="auto"/>
              </w:rPr>
            </w:pPr>
            <w:r>
              <w:rPr>
                <w:rFonts w:ascii="Arial" w:cs="Arial" w:eastAsia="Arial" w:hAnsi="Arial"/>
                <w:sz w:val="14"/>
                <w:szCs w:val="14"/>
                <w:b w:val="1"/>
                <w:bCs w:val="1"/>
                <w:color w:val="auto"/>
              </w:rPr>
              <w:t>Title</w:t>
            </w:r>
          </w:p>
        </w:tc>
        <w:tc>
          <w:tcPr>
            <w:tcW w:w="900" w:type="dxa"/>
            <w:vAlign w:val="bottom"/>
          </w:tcPr>
          <w:p>
            <w:pPr>
              <w:ind w:left="28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31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3180" w:type="dxa"/>
            <w:vAlign w:val="bottom"/>
          </w:tcPr>
          <w:p>
            <w:pPr>
              <w:ind w:left="60"/>
              <w:spacing w:after="0"/>
              <w:rPr>
                <w:sz w:val="20"/>
                <w:szCs w:val="20"/>
                <w:color w:val="auto"/>
              </w:rPr>
            </w:pPr>
            <w:r>
              <w:rPr>
                <w:rFonts w:ascii="Arial" w:cs="Arial" w:eastAsia="Arial" w:hAnsi="Arial"/>
                <w:sz w:val="18"/>
                <w:szCs w:val="18"/>
                <w:color w:val="0000FF"/>
                <w:w w:val="93"/>
              </w:rPr>
              <w:t>Non-Employee Stock Option (right to buy)</w:t>
            </w:r>
          </w:p>
        </w:tc>
        <w:tc>
          <w:tcPr>
            <w:tcW w:w="1260" w:type="dxa"/>
            <w:vAlign w:val="bottom"/>
            <w:gridSpan w:val="2"/>
          </w:tcPr>
          <w:p>
            <w:pPr>
              <w:jc w:val="right"/>
              <w:ind w:right="309"/>
              <w:spacing w:after="0"/>
              <w:rPr>
                <w:sz w:val="20"/>
                <w:szCs w:val="20"/>
                <w:color w:val="auto"/>
              </w:rPr>
            </w:pPr>
            <w:r>
              <w:rPr>
                <w:rFonts w:ascii="Arial" w:cs="Arial" w:eastAsia="Arial" w:hAnsi="Arial"/>
                <w:sz w:val="11"/>
                <w:szCs w:val="11"/>
                <w:color w:val="008000"/>
              </w:rPr>
              <w:t>(2)</w:t>
            </w:r>
          </w:p>
        </w:tc>
        <w:tc>
          <w:tcPr>
            <w:tcW w:w="800" w:type="dxa"/>
            <w:vAlign w:val="bottom"/>
          </w:tcPr>
          <w:p>
            <w:pPr>
              <w:jc w:val="right"/>
              <w:ind w:right="12"/>
              <w:spacing w:after="0"/>
              <w:rPr>
                <w:sz w:val="20"/>
                <w:szCs w:val="20"/>
                <w:color w:val="auto"/>
              </w:rPr>
            </w:pPr>
            <w:r>
              <w:rPr>
                <w:rFonts w:ascii="Arial" w:cs="Arial" w:eastAsia="Arial" w:hAnsi="Arial"/>
                <w:sz w:val="14"/>
                <w:szCs w:val="14"/>
                <w:color w:val="0000FF"/>
                <w:w w:val="99"/>
              </w:rPr>
              <w:t>04/24/2028</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ind w:left="320"/>
              <w:spacing w:after="0"/>
              <w:rPr>
                <w:sz w:val="20"/>
                <w:szCs w:val="20"/>
                <w:color w:val="auto"/>
              </w:rPr>
            </w:pPr>
            <w:r>
              <w:rPr>
                <w:rFonts w:ascii="Arial" w:cs="Arial" w:eastAsia="Arial" w:hAnsi="Arial"/>
                <w:sz w:val="18"/>
                <w:szCs w:val="18"/>
                <w:color w:val="0000FF"/>
              </w:rPr>
              <w:t>32,000</w:t>
            </w:r>
          </w:p>
        </w:tc>
        <w:tc>
          <w:tcPr>
            <w:tcW w:w="880" w:type="dxa"/>
            <w:vAlign w:val="bottom"/>
          </w:tcPr>
          <w:p>
            <w:pPr>
              <w:ind w:left="240"/>
              <w:spacing w:after="0"/>
              <w:rPr>
                <w:sz w:val="20"/>
                <w:szCs w:val="20"/>
                <w:color w:val="auto"/>
              </w:rPr>
            </w:pPr>
            <w:r>
              <w:rPr>
                <w:rFonts w:ascii="Arial" w:cs="Arial" w:eastAsia="Arial" w:hAnsi="Arial"/>
                <w:sz w:val="18"/>
                <w:szCs w:val="18"/>
                <w:color w:val="0000FF"/>
              </w:rPr>
              <w:t>11.16</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Borders>
              <w:bottom w:val="single" w:sz="8" w:color="2C2C2C"/>
            </w:tcBorders>
          </w:tcPr>
          <w:p>
            <w:pPr>
              <w:spacing w:after="0"/>
              <w:rPr>
                <w:sz w:val="5"/>
                <w:szCs w:val="5"/>
                <w:color w:val="auto"/>
              </w:rPr>
            </w:pPr>
          </w:p>
        </w:tc>
        <w:tc>
          <w:tcPr>
            <w:tcW w:w="318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3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right="200" w:firstLine="9"/>
        <w:spacing w:after="0" w:line="233" w:lineRule="auto"/>
        <w:tabs>
          <w:tab w:leader="none" w:pos="175"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1,604,278 shares of the Company's Common Stock is owned by Sofinnova Venture Partners X, L.P., or Sofinnova. The Reporting Person is a managing member of Sofinnova Management X, L.L.C., the General Partner of Sofinnova, and as such has voting and dispositive power over such shares with Dr. Anand Mehra and Michael F. Powell, Ph.D., the other managing members of Sofinnova Management X, L.L.C.</w:t>
      </w:r>
    </w:p>
    <w:p>
      <w:pPr>
        <w:spacing w:after="0" w:line="30" w:lineRule="exact"/>
        <w:rPr>
          <w:rFonts w:ascii="Arial" w:cs="Arial" w:eastAsia="Arial" w:hAnsi="Arial"/>
          <w:sz w:val="14"/>
          <w:szCs w:val="14"/>
          <w:color w:val="008000"/>
        </w:rPr>
      </w:pPr>
    </w:p>
    <w:p>
      <w:pPr>
        <w:ind w:left="40" w:right="80" w:firstLine="9"/>
        <w:spacing w:after="0" w:line="239" w:lineRule="auto"/>
        <w:tabs>
          <w:tab w:leader="none" w:pos="175"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1/36th of the shares of the option to vest in equal monthly installments starting April 24, 2018 until such time as the option is 100% vested, subject to the Reporting Person continuing to be a service provider on each vesting date.</w:t>
      </w:r>
    </w:p>
    <w:p>
      <w:pPr>
        <w:spacing w:after="0" w:line="37"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260" w:type="dxa"/>
            <w:vAlign w:val="bottom"/>
          </w:tcPr>
          <w:p>
            <w:pPr>
              <w:spacing w:after="0"/>
              <w:rPr>
                <w:sz w:val="20"/>
                <w:szCs w:val="20"/>
                <w:color w:val="auto"/>
              </w:rPr>
            </w:pPr>
            <w:r>
              <w:rPr>
                <w:rFonts w:ascii="Arial" w:cs="Arial" w:eastAsia="Arial" w:hAnsi="Arial"/>
                <w:sz w:val="18"/>
                <w:szCs w:val="18"/>
                <w:color w:val="0000FF"/>
                <w:w w:val="86"/>
              </w:rPr>
              <w:t>/s/ James I. Healy</w:t>
            </w:r>
          </w:p>
        </w:tc>
        <w:tc>
          <w:tcPr>
            <w:tcW w:w="86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09/20/2018</w:t>
            </w:r>
          </w:p>
        </w:tc>
      </w:tr>
      <w:tr>
        <w:trPr>
          <w:trHeight w:val="20"/>
        </w:trPr>
        <w:tc>
          <w:tcPr>
            <w:tcW w:w="126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5"/>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245624" TargetMode="External"/><Relationship Id="rId12"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2019-12-23T20:26:19Z</dcterms:created>
  <dcterms:modified xsi:type="dcterms:W3CDTF">2019-12-23T20:26:19Z</dcterms:modified>
</cp:coreProperties>
</file>