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5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226060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3"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SECURITIES AND EXCHANGE COMMISSION</w:t>
      </w:r>
    </w:p>
    <w:p>
      <w:pPr>
        <w:spacing w:after="0" w:line="4"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Washington, D.C. 20549</w:t>
      </w:r>
    </w:p>
    <w:p>
      <w:pPr>
        <w:spacing w:after="0" w:line="182"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FORM 8-K</w:t>
      </w:r>
    </w:p>
    <w:p>
      <w:pPr>
        <w:spacing w:after="0" w:line="226"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Pursuant to Section 13 or 15(d) of</w:t>
      </w:r>
    </w:p>
    <w:p>
      <w:pPr>
        <w:jc w:val="center"/>
        <w:ind w:right="-59"/>
        <w:spacing w:after="0"/>
        <w:rPr>
          <w:sz w:val="20"/>
          <w:szCs w:val="20"/>
          <w:color w:val="auto"/>
        </w:rPr>
      </w:pPr>
      <w:r>
        <w:rPr>
          <w:rFonts w:ascii="Arial" w:cs="Arial" w:eastAsia="Arial" w:hAnsi="Arial"/>
          <w:sz w:val="22"/>
          <w:szCs w:val="22"/>
          <w:b w:val="1"/>
          <w:bCs w:val="1"/>
          <w:color w:val="auto"/>
        </w:rPr>
        <w:t>the Securities Exchange Act of 1934</w:t>
      </w:r>
    </w:p>
    <w:p>
      <w:pPr>
        <w:spacing w:after="0" w:line="191" w:lineRule="exact"/>
        <w:rPr>
          <w:sz w:val="24"/>
          <w:szCs w:val="24"/>
          <w:color w:val="auto"/>
        </w:rPr>
      </w:pPr>
    </w:p>
    <w:p>
      <w:pPr>
        <w:jc w:val="center"/>
        <w:ind w:right="-59"/>
        <w:spacing w:after="0"/>
        <w:rPr>
          <w:sz w:val="20"/>
          <w:szCs w:val="20"/>
          <w:color w:val="auto"/>
        </w:rPr>
      </w:pPr>
      <w:r>
        <w:rPr>
          <w:rFonts w:ascii="Arial" w:cs="Arial" w:eastAsia="Arial" w:hAnsi="Arial"/>
          <w:sz w:val="18"/>
          <w:szCs w:val="18"/>
          <w:color w:val="auto"/>
        </w:rPr>
        <w:t xml:space="preserve">Date of report (Date of earliest event reported): </w:t>
      </w:r>
      <w:r>
        <w:rPr>
          <w:rFonts w:ascii="Arial" w:cs="Arial" w:eastAsia="Arial" w:hAnsi="Arial"/>
          <w:sz w:val="18"/>
          <w:szCs w:val="18"/>
          <w:b w:val="1"/>
          <w:bCs w:val="1"/>
          <w:color w:val="auto"/>
        </w:rPr>
        <w:t>November 1, 2018</w:t>
      </w:r>
    </w:p>
    <w:p>
      <w:pPr>
        <w:spacing w:after="0" w:line="202"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Y-MABS THERAPEUTICS, INC.</w:t>
      </w:r>
    </w:p>
    <w:p>
      <w:pPr>
        <w:spacing w:after="0" w:line="40" w:lineRule="exact"/>
        <w:rPr>
          <w:sz w:val="24"/>
          <w:szCs w:val="24"/>
          <w:color w:val="auto"/>
        </w:rPr>
      </w:pPr>
    </w:p>
    <w:p>
      <w:pPr>
        <w:jc w:val="center"/>
        <w:ind w:right="-59"/>
        <w:spacing w:after="0"/>
        <w:rPr>
          <w:sz w:val="20"/>
          <w:szCs w:val="20"/>
          <w:color w:val="auto"/>
        </w:rPr>
      </w:pPr>
      <w:r>
        <w:rPr>
          <w:rFonts w:ascii="Arial" w:cs="Arial" w:eastAsia="Arial" w:hAnsi="Arial"/>
          <w:sz w:val="18"/>
          <w:szCs w:val="18"/>
          <w:color w:val="auto"/>
        </w:rPr>
        <w:t>(Exact name of registrant as specified in its charter)</w:t>
      </w:r>
    </w:p>
    <w:p>
      <w:pPr>
        <w:spacing w:after="0" w:line="205" w:lineRule="exact"/>
        <w:rPr>
          <w:sz w:val="24"/>
          <w:szCs w:val="24"/>
          <w:color w:val="auto"/>
        </w:rPr>
      </w:pPr>
    </w:p>
    <w:tbl>
      <w:tblPr>
        <w:tblLayout w:type="fixed"/>
        <w:tblInd w:w="760" w:type="dxa"/>
        <w:tblCellMar>
          <w:top w:w="0" w:type="dxa"/>
          <w:left w:w="0" w:type="dxa"/>
          <w:bottom w:w="0" w:type="dxa"/>
          <w:right w:w="0" w:type="dxa"/>
        </w:tblCellMar>
      </w:tblPr>
      <w:tr>
        <w:trPr>
          <w:trHeight w:val="220"/>
        </w:trPr>
        <w:tc>
          <w:tcPr>
            <w:tcW w:w="2380" w:type="dxa"/>
            <w:vAlign w:val="bottom"/>
          </w:tcPr>
          <w:p>
            <w:pPr>
              <w:jc w:val="center"/>
              <w:ind w:right="130"/>
              <w:spacing w:after="0"/>
              <w:rPr>
                <w:sz w:val="20"/>
                <w:szCs w:val="20"/>
                <w:color w:val="auto"/>
              </w:rPr>
            </w:pPr>
            <w:r>
              <w:rPr>
                <w:rFonts w:ascii="Arial" w:cs="Arial" w:eastAsia="Arial" w:hAnsi="Arial"/>
                <w:sz w:val="18"/>
                <w:szCs w:val="18"/>
                <w:b w:val="1"/>
                <w:bCs w:val="1"/>
                <w:color w:val="auto"/>
                <w:w w:val="91"/>
              </w:rPr>
              <w:t>Delaware</w:t>
            </w:r>
          </w:p>
        </w:tc>
        <w:tc>
          <w:tcPr>
            <w:tcW w:w="5360" w:type="dxa"/>
            <w:vAlign w:val="bottom"/>
          </w:tcPr>
          <w:p>
            <w:pPr>
              <w:jc w:val="center"/>
              <w:ind w:right="90"/>
              <w:spacing w:after="0"/>
              <w:rPr>
                <w:sz w:val="20"/>
                <w:szCs w:val="20"/>
                <w:color w:val="auto"/>
              </w:rPr>
            </w:pPr>
            <w:r>
              <w:rPr>
                <w:rFonts w:ascii="Arial" w:cs="Arial" w:eastAsia="Arial" w:hAnsi="Arial"/>
                <w:sz w:val="18"/>
                <w:szCs w:val="18"/>
                <w:b w:val="1"/>
                <w:bCs w:val="1"/>
                <w:color w:val="auto"/>
                <w:w w:val="90"/>
              </w:rPr>
              <w:t>001-38650</w:t>
            </w:r>
          </w:p>
        </w:tc>
        <w:tc>
          <w:tcPr>
            <w:tcW w:w="1760" w:type="dxa"/>
            <w:vAlign w:val="bottom"/>
          </w:tcPr>
          <w:p>
            <w:pPr>
              <w:jc w:val="center"/>
              <w:ind w:left="350"/>
              <w:spacing w:after="0"/>
              <w:rPr>
                <w:sz w:val="20"/>
                <w:szCs w:val="20"/>
                <w:color w:val="auto"/>
              </w:rPr>
            </w:pPr>
            <w:r>
              <w:rPr>
                <w:rFonts w:ascii="Arial" w:cs="Arial" w:eastAsia="Arial" w:hAnsi="Arial"/>
                <w:sz w:val="18"/>
                <w:szCs w:val="18"/>
                <w:b w:val="1"/>
                <w:bCs w:val="1"/>
                <w:color w:val="auto"/>
                <w:w w:val="91"/>
              </w:rPr>
              <w:t>47-4619612</w:t>
            </w:r>
          </w:p>
        </w:tc>
      </w:tr>
      <w:tr>
        <w:trPr>
          <w:trHeight w:val="216"/>
        </w:trPr>
        <w:tc>
          <w:tcPr>
            <w:tcW w:w="2380" w:type="dxa"/>
            <w:vAlign w:val="bottom"/>
          </w:tcPr>
          <w:p>
            <w:pPr>
              <w:jc w:val="center"/>
              <w:ind w:right="130"/>
              <w:spacing w:after="0"/>
              <w:rPr>
                <w:sz w:val="20"/>
                <w:szCs w:val="20"/>
                <w:color w:val="auto"/>
              </w:rPr>
            </w:pPr>
            <w:r>
              <w:rPr>
                <w:rFonts w:ascii="Arial" w:cs="Arial" w:eastAsia="Arial" w:hAnsi="Arial"/>
                <w:sz w:val="18"/>
                <w:szCs w:val="18"/>
                <w:color w:val="auto"/>
                <w:w w:val="92"/>
              </w:rPr>
              <w:t>(State or other jurisdiction of</w:t>
            </w:r>
          </w:p>
        </w:tc>
        <w:tc>
          <w:tcPr>
            <w:tcW w:w="5360" w:type="dxa"/>
            <w:vAlign w:val="bottom"/>
          </w:tcPr>
          <w:p>
            <w:pPr>
              <w:jc w:val="center"/>
              <w:ind w:right="90"/>
              <w:spacing w:after="0"/>
              <w:rPr>
                <w:sz w:val="20"/>
                <w:szCs w:val="20"/>
                <w:color w:val="auto"/>
              </w:rPr>
            </w:pPr>
            <w:r>
              <w:rPr>
                <w:rFonts w:ascii="Arial" w:cs="Arial" w:eastAsia="Arial" w:hAnsi="Arial"/>
                <w:sz w:val="18"/>
                <w:szCs w:val="18"/>
                <w:color w:val="auto"/>
                <w:w w:val="93"/>
              </w:rPr>
              <w:t>(Commission</w:t>
            </w:r>
          </w:p>
        </w:tc>
        <w:tc>
          <w:tcPr>
            <w:tcW w:w="1760" w:type="dxa"/>
            <w:vAlign w:val="bottom"/>
          </w:tcPr>
          <w:p>
            <w:pPr>
              <w:jc w:val="center"/>
              <w:ind w:left="350"/>
              <w:spacing w:after="0"/>
              <w:rPr>
                <w:sz w:val="20"/>
                <w:szCs w:val="20"/>
                <w:color w:val="auto"/>
              </w:rPr>
            </w:pPr>
            <w:r>
              <w:rPr>
                <w:rFonts w:ascii="Arial" w:cs="Arial" w:eastAsia="Arial" w:hAnsi="Arial"/>
                <w:sz w:val="18"/>
                <w:szCs w:val="18"/>
                <w:color w:val="auto"/>
                <w:w w:val="93"/>
              </w:rPr>
              <w:t>(I.R.S. Employer</w:t>
            </w:r>
          </w:p>
        </w:tc>
      </w:tr>
      <w:tr>
        <w:trPr>
          <w:trHeight w:val="230"/>
        </w:trPr>
        <w:tc>
          <w:tcPr>
            <w:tcW w:w="2380" w:type="dxa"/>
            <w:vAlign w:val="bottom"/>
          </w:tcPr>
          <w:p>
            <w:pPr>
              <w:jc w:val="center"/>
              <w:ind w:right="130"/>
              <w:spacing w:after="0"/>
              <w:rPr>
                <w:sz w:val="20"/>
                <w:szCs w:val="20"/>
                <w:color w:val="auto"/>
              </w:rPr>
            </w:pPr>
            <w:r>
              <w:rPr>
                <w:rFonts w:ascii="Arial" w:cs="Arial" w:eastAsia="Arial" w:hAnsi="Arial"/>
                <w:sz w:val="18"/>
                <w:szCs w:val="18"/>
                <w:color w:val="auto"/>
                <w:w w:val="92"/>
              </w:rPr>
              <w:t>incorporation or organization)</w:t>
            </w:r>
          </w:p>
        </w:tc>
        <w:tc>
          <w:tcPr>
            <w:tcW w:w="5360" w:type="dxa"/>
            <w:vAlign w:val="bottom"/>
          </w:tcPr>
          <w:p>
            <w:pPr>
              <w:jc w:val="center"/>
              <w:ind w:right="90"/>
              <w:spacing w:after="0"/>
              <w:rPr>
                <w:sz w:val="20"/>
                <w:szCs w:val="20"/>
                <w:color w:val="auto"/>
              </w:rPr>
            </w:pPr>
            <w:r>
              <w:rPr>
                <w:rFonts w:ascii="Arial" w:cs="Arial" w:eastAsia="Arial" w:hAnsi="Arial"/>
                <w:sz w:val="18"/>
                <w:szCs w:val="18"/>
                <w:color w:val="auto"/>
                <w:w w:val="94"/>
              </w:rPr>
              <w:t>File Number)</w:t>
            </w:r>
          </w:p>
        </w:tc>
        <w:tc>
          <w:tcPr>
            <w:tcW w:w="1760" w:type="dxa"/>
            <w:vAlign w:val="bottom"/>
          </w:tcPr>
          <w:p>
            <w:pPr>
              <w:jc w:val="center"/>
              <w:ind w:left="330"/>
              <w:spacing w:after="0"/>
              <w:rPr>
                <w:sz w:val="20"/>
                <w:szCs w:val="20"/>
                <w:color w:val="auto"/>
              </w:rPr>
            </w:pPr>
            <w:r>
              <w:rPr>
                <w:rFonts w:ascii="Arial" w:cs="Arial" w:eastAsia="Arial" w:hAnsi="Arial"/>
                <w:sz w:val="18"/>
                <w:szCs w:val="18"/>
                <w:color w:val="auto"/>
                <w:w w:val="95"/>
              </w:rPr>
              <w:t>Identification No.)</w:t>
            </w:r>
          </w:p>
        </w:tc>
      </w:tr>
      <w:tr>
        <w:trPr>
          <w:trHeight w:val="414"/>
        </w:trPr>
        <w:tc>
          <w:tcPr>
            <w:tcW w:w="2380" w:type="dxa"/>
            <w:vAlign w:val="bottom"/>
          </w:tcPr>
          <w:p>
            <w:pPr>
              <w:spacing w:after="0"/>
              <w:rPr>
                <w:sz w:val="24"/>
                <w:szCs w:val="24"/>
                <w:color w:val="auto"/>
              </w:rPr>
            </w:pPr>
          </w:p>
        </w:tc>
        <w:tc>
          <w:tcPr>
            <w:tcW w:w="5360" w:type="dxa"/>
            <w:vAlign w:val="bottom"/>
          </w:tcPr>
          <w:p>
            <w:pPr>
              <w:jc w:val="center"/>
              <w:ind w:right="130"/>
              <w:spacing w:after="0"/>
              <w:rPr>
                <w:sz w:val="20"/>
                <w:szCs w:val="20"/>
                <w:color w:val="auto"/>
              </w:rPr>
            </w:pPr>
            <w:r>
              <w:rPr>
                <w:rFonts w:ascii="Arial" w:cs="Arial" w:eastAsia="Arial" w:hAnsi="Arial"/>
                <w:sz w:val="18"/>
                <w:szCs w:val="18"/>
                <w:b w:val="1"/>
                <w:bCs w:val="1"/>
                <w:color w:val="auto"/>
                <w:w w:val="90"/>
              </w:rPr>
              <w:t>230 Park Avenue</w:t>
            </w:r>
          </w:p>
        </w:tc>
        <w:tc>
          <w:tcPr>
            <w:tcW w:w="1760" w:type="dxa"/>
            <w:vAlign w:val="bottom"/>
          </w:tcPr>
          <w:p>
            <w:pPr>
              <w:spacing w:after="0"/>
              <w:rPr>
                <w:sz w:val="24"/>
                <w:szCs w:val="24"/>
                <w:color w:val="auto"/>
              </w:rPr>
            </w:pPr>
          </w:p>
        </w:tc>
      </w:tr>
      <w:tr>
        <w:trPr>
          <w:trHeight w:val="216"/>
        </w:trPr>
        <w:tc>
          <w:tcPr>
            <w:tcW w:w="2380" w:type="dxa"/>
            <w:vAlign w:val="bottom"/>
          </w:tcPr>
          <w:p>
            <w:pPr>
              <w:spacing w:after="0"/>
              <w:rPr>
                <w:sz w:val="18"/>
                <w:szCs w:val="18"/>
                <w:color w:val="auto"/>
              </w:rPr>
            </w:pPr>
          </w:p>
        </w:tc>
        <w:tc>
          <w:tcPr>
            <w:tcW w:w="5360" w:type="dxa"/>
            <w:vAlign w:val="bottom"/>
          </w:tcPr>
          <w:p>
            <w:pPr>
              <w:jc w:val="center"/>
              <w:ind w:right="130"/>
              <w:spacing w:after="0"/>
              <w:rPr>
                <w:sz w:val="20"/>
                <w:szCs w:val="20"/>
                <w:color w:val="auto"/>
              </w:rPr>
            </w:pPr>
            <w:r>
              <w:rPr>
                <w:rFonts w:ascii="Arial" w:cs="Arial" w:eastAsia="Arial" w:hAnsi="Arial"/>
                <w:sz w:val="18"/>
                <w:szCs w:val="18"/>
                <w:b w:val="1"/>
                <w:bCs w:val="1"/>
                <w:color w:val="auto"/>
                <w:w w:val="93"/>
              </w:rPr>
              <w:t>33rd Floor</w:t>
            </w:r>
          </w:p>
        </w:tc>
        <w:tc>
          <w:tcPr>
            <w:tcW w:w="1760" w:type="dxa"/>
            <w:vAlign w:val="bottom"/>
          </w:tcPr>
          <w:p>
            <w:pPr>
              <w:spacing w:after="0"/>
              <w:rPr>
                <w:sz w:val="18"/>
                <w:szCs w:val="18"/>
                <w:color w:val="auto"/>
              </w:rPr>
            </w:pPr>
          </w:p>
        </w:tc>
      </w:tr>
      <w:tr>
        <w:trPr>
          <w:trHeight w:val="220"/>
        </w:trPr>
        <w:tc>
          <w:tcPr>
            <w:tcW w:w="2380" w:type="dxa"/>
            <w:vAlign w:val="bottom"/>
          </w:tcPr>
          <w:p>
            <w:pPr>
              <w:spacing w:after="0"/>
              <w:rPr>
                <w:sz w:val="19"/>
                <w:szCs w:val="19"/>
                <w:color w:val="auto"/>
              </w:rPr>
            </w:pPr>
          </w:p>
        </w:tc>
        <w:tc>
          <w:tcPr>
            <w:tcW w:w="5360" w:type="dxa"/>
            <w:vAlign w:val="bottom"/>
          </w:tcPr>
          <w:p>
            <w:pPr>
              <w:jc w:val="center"/>
              <w:ind w:right="110"/>
              <w:spacing w:after="0"/>
              <w:rPr>
                <w:sz w:val="20"/>
                <w:szCs w:val="20"/>
                <w:color w:val="auto"/>
              </w:rPr>
            </w:pPr>
            <w:r>
              <w:rPr>
                <w:rFonts w:ascii="Arial" w:cs="Arial" w:eastAsia="Arial" w:hAnsi="Arial"/>
                <w:sz w:val="18"/>
                <w:szCs w:val="18"/>
                <w:b w:val="1"/>
                <w:bCs w:val="1"/>
                <w:color w:val="auto"/>
                <w:w w:val="92"/>
              </w:rPr>
              <w:t>New York, New York 10169</w:t>
            </w:r>
          </w:p>
        </w:tc>
        <w:tc>
          <w:tcPr>
            <w:tcW w:w="1760" w:type="dxa"/>
            <w:vAlign w:val="bottom"/>
          </w:tcPr>
          <w:p>
            <w:pPr>
              <w:spacing w:after="0"/>
              <w:rPr>
                <w:sz w:val="19"/>
                <w:szCs w:val="19"/>
                <w:color w:val="auto"/>
              </w:rPr>
            </w:pPr>
          </w:p>
        </w:tc>
      </w:tr>
      <w:tr>
        <w:trPr>
          <w:trHeight w:val="230"/>
        </w:trPr>
        <w:tc>
          <w:tcPr>
            <w:tcW w:w="2380" w:type="dxa"/>
            <w:vAlign w:val="bottom"/>
          </w:tcPr>
          <w:p>
            <w:pPr>
              <w:spacing w:after="0"/>
              <w:rPr>
                <w:sz w:val="20"/>
                <w:szCs w:val="20"/>
                <w:color w:val="auto"/>
              </w:rPr>
            </w:pPr>
          </w:p>
        </w:tc>
        <w:tc>
          <w:tcPr>
            <w:tcW w:w="5360" w:type="dxa"/>
            <w:vAlign w:val="bottom"/>
          </w:tcPr>
          <w:p>
            <w:pPr>
              <w:jc w:val="center"/>
              <w:ind w:right="130"/>
              <w:spacing w:after="0"/>
              <w:rPr>
                <w:sz w:val="20"/>
                <w:szCs w:val="20"/>
                <w:color w:val="auto"/>
              </w:rPr>
            </w:pPr>
            <w:r>
              <w:rPr>
                <w:rFonts w:ascii="Arial" w:cs="Arial" w:eastAsia="Arial" w:hAnsi="Arial"/>
                <w:sz w:val="18"/>
                <w:szCs w:val="18"/>
                <w:color w:val="auto"/>
                <w:w w:val="92"/>
              </w:rPr>
              <w:t>(Address of principal executive offices) (Zip Code)</w:t>
            </w:r>
          </w:p>
        </w:tc>
        <w:tc>
          <w:tcPr>
            <w:tcW w:w="1760" w:type="dxa"/>
            <w:vAlign w:val="bottom"/>
          </w:tcPr>
          <w:p>
            <w:pPr>
              <w:spacing w:after="0"/>
              <w:rPr>
                <w:sz w:val="20"/>
                <w:szCs w:val="20"/>
                <w:color w:val="auto"/>
              </w:rPr>
            </w:pPr>
          </w:p>
        </w:tc>
      </w:tr>
      <w:tr>
        <w:trPr>
          <w:trHeight w:val="418"/>
        </w:trPr>
        <w:tc>
          <w:tcPr>
            <w:tcW w:w="2380" w:type="dxa"/>
            <w:vAlign w:val="bottom"/>
          </w:tcPr>
          <w:p>
            <w:pPr>
              <w:spacing w:after="0"/>
              <w:rPr>
                <w:sz w:val="24"/>
                <w:szCs w:val="24"/>
                <w:color w:val="auto"/>
              </w:rPr>
            </w:pPr>
          </w:p>
        </w:tc>
        <w:tc>
          <w:tcPr>
            <w:tcW w:w="5360" w:type="dxa"/>
            <w:vAlign w:val="bottom"/>
          </w:tcPr>
          <w:p>
            <w:pPr>
              <w:jc w:val="center"/>
              <w:ind w:right="110"/>
              <w:spacing w:after="0"/>
              <w:rPr>
                <w:sz w:val="20"/>
                <w:szCs w:val="20"/>
                <w:color w:val="auto"/>
              </w:rPr>
            </w:pPr>
            <w:r>
              <w:rPr>
                <w:rFonts w:ascii="Arial" w:cs="Arial" w:eastAsia="Arial" w:hAnsi="Arial"/>
                <w:sz w:val="18"/>
                <w:szCs w:val="18"/>
                <w:b w:val="1"/>
                <w:bCs w:val="1"/>
                <w:color w:val="auto"/>
                <w:w w:val="90"/>
              </w:rPr>
              <w:t>(646) 885-8505</w:t>
            </w:r>
          </w:p>
        </w:tc>
        <w:tc>
          <w:tcPr>
            <w:tcW w:w="1760" w:type="dxa"/>
            <w:vAlign w:val="bottom"/>
          </w:tcPr>
          <w:p>
            <w:pPr>
              <w:spacing w:after="0"/>
              <w:rPr>
                <w:sz w:val="24"/>
                <w:szCs w:val="24"/>
                <w:color w:val="auto"/>
              </w:rPr>
            </w:pPr>
          </w:p>
        </w:tc>
      </w:tr>
      <w:tr>
        <w:trPr>
          <w:trHeight w:val="230"/>
        </w:trPr>
        <w:tc>
          <w:tcPr>
            <w:tcW w:w="2380" w:type="dxa"/>
            <w:vAlign w:val="bottom"/>
          </w:tcPr>
          <w:p>
            <w:pPr>
              <w:spacing w:after="0"/>
              <w:rPr>
                <w:sz w:val="20"/>
                <w:szCs w:val="20"/>
                <w:color w:val="auto"/>
              </w:rPr>
            </w:pPr>
          </w:p>
        </w:tc>
        <w:tc>
          <w:tcPr>
            <w:tcW w:w="5360" w:type="dxa"/>
            <w:vAlign w:val="bottom"/>
          </w:tcPr>
          <w:p>
            <w:pPr>
              <w:jc w:val="center"/>
              <w:ind w:right="130"/>
              <w:spacing w:after="0"/>
              <w:rPr>
                <w:sz w:val="20"/>
                <w:szCs w:val="20"/>
                <w:color w:val="auto"/>
              </w:rPr>
            </w:pPr>
            <w:r>
              <w:rPr>
                <w:rFonts w:ascii="Arial" w:cs="Arial" w:eastAsia="Arial" w:hAnsi="Arial"/>
                <w:sz w:val="18"/>
                <w:szCs w:val="18"/>
                <w:color w:val="auto"/>
                <w:w w:val="89"/>
              </w:rPr>
              <w:t>(Registrant’s telephone number, include area code)</w:t>
            </w:r>
          </w:p>
        </w:tc>
        <w:tc>
          <w:tcPr>
            <w:tcW w:w="1760" w:type="dxa"/>
            <w:vAlign w:val="bottom"/>
          </w:tcPr>
          <w:p>
            <w:pPr>
              <w:spacing w:after="0"/>
              <w:rPr>
                <w:sz w:val="20"/>
                <w:szCs w:val="20"/>
                <w:color w:val="auto"/>
              </w:rPr>
            </w:pPr>
          </w:p>
        </w:tc>
      </w:tr>
      <w:tr>
        <w:trPr>
          <w:trHeight w:val="418"/>
        </w:trPr>
        <w:tc>
          <w:tcPr>
            <w:tcW w:w="2380" w:type="dxa"/>
            <w:vAlign w:val="bottom"/>
          </w:tcPr>
          <w:p>
            <w:pPr>
              <w:spacing w:after="0"/>
              <w:rPr>
                <w:sz w:val="24"/>
                <w:szCs w:val="24"/>
                <w:color w:val="auto"/>
              </w:rPr>
            </w:pPr>
          </w:p>
        </w:tc>
        <w:tc>
          <w:tcPr>
            <w:tcW w:w="5360" w:type="dxa"/>
            <w:vAlign w:val="bottom"/>
          </w:tcPr>
          <w:p>
            <w:pPr>
              <w:jc w:val="center"/>
              <w:ind w:right="130"/>
              <w:spacing w:after="0"/>
              <w:rPr>
                <w:sz w:val="20"/>
                <w:szCs w:val="20"/>
                <w:color w:val="auto"/>
              </w:rPr>
            </w:pPr>
            <w:r>
              <w:rPr>
                <w:rFonts w:ascii="Arial" w:cs="Arial" w:eastAsia="Arial" w:hAnsi="Arial"/>
                <w:sz w:val="18"/>
                <w:szCs w:val="18"/>
                <w:b w:val="1"/>
                <w:bCs w:val="1"/>
                <w:color w:val="auto"/>
                <w:w w:val="96"/>
              </w:rPr>
              <w:t>N/A</w:t>
            </w:r>
          </w:p>
        </w:tc>
        <w:tc>
          <w:tcPr>
            <w:tcW w:w="1760" w:type="dxa"/>
            <w:vAlign w:val="bottom"/>
          </w:tcPr>
          <w:p>
            <w:pPr>
              <w:spacing w:after="0"/>
              <w:rPr>
                <w:sz w:val="24"/>
                <w:szCs w:val="24"/>
                <w:color w:val="auto"/>
              </w:rPr>
            </w:pPr>
          </w:p>
        </w:tc>
      </w:tr>
      <w:tr>
        <w:trPr>
          <w:trHeight w:val="230"/>
        </w:trPr>
        <w:tc>
          <w:tcPr>
            <w:tcW w:w="2380" w:type="dxa"/>
            <w:vAlign w:val="bottom"/>
          </w:tcPr>
          <w:p>
            <w:pPr>
              <w:spacing w:after="0"/>
              <w:rPr>
                <w:sz w:val="20"/>
                <w:szCs w:val="20"/>
                <w:color w:val="auto"/>
              </w:rPr>
            </w:pPr>
          </w:p>
        </w:tc>
        <w:tc>
          <w:tcPr>
            <w:tcW w:w="5360" w:type="dxa"/>
            <w:vAlign w:val="bottom"/>
          </w:tcPr>
          <w:p>
            <w:pPr>
              <w:jc w:val="center"/>
              <w:ind w:right="130"/>
              <w:spacing w:after="0"/>
              <w:rPr>
                <w:sz w:val="20"/>
                <w:szCs w:val="20"/>
                <w:color w:val="auto"/>
              </w:rPr>
            </w:pPr>
            <w:r>
              <w:rPr>
                <w:rFonts w:ascii="Arial" w:cs="Arial" w:eastAsia="Arial" w:hAnsi="Arial"/>
                <w:sz w:val="18"/>
                <w:szCs w:val="18"/>
                <w:color w:val="auto"/>
                <w:w w:val="90"/>
              </w:rPr>
              <w:t>(Former Name or Former Address, if Changed Since Last Report)</w:t>
            </w:r>
          </w:p>
        </w:tc>
        <w:tc>
          <w:tcPr>
            <w:tcW w:w="1760" w:type="dxa"/>
            <w:vAlign w:val="bottom"/>
          </w:tcPr>
          <w:p>
            <w:pPr>
              <w:spacing w:after="0"/>
              <w:rPr>
                <w:sz w:val="20"/>
                <w:szCs w:val="20"/>
                <w:color w:val="auto"/>
              </w:rPr>
            </w:pPr>
          </w:p>
        </w:tc>
      </w:tr>
    </w:tbl>
    <w:p>
      <w:pPr>
        <w:spacing w:after="0" w:line="202" w:lineRule="exact"/>
        <w:rPr>
          <w:sz w:val="24"/>
          <w:szCs w:val="24"/>
          <w:color w:val="auto"/>
        </w:rPr>
      </w:pPr>
    </w:p>
    <w:p>
      <w:pPr>
        <w:ind w:right="6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70" w:lineRule="exact"/>
        <w:rPr>
          <w:sz w:val="24"/>
          <w:szCs w:val="24"/>
          <w:color w:val="auto"/>
        </w:rPr>
      </w:pPr>
    </w:p>
    <w:p>
      <w:pPr>
        <w:ind w:left="580" w:hanging="572"/>
        <w:spacing w:after="0"/>
        <w:tabs>
          <w:tab w:leader="none" w:pos="580" w:val="left"/>
        </w:tabs>
        <w:numPr>
          <w:ilvl w:val="0"/>
          <w:numId w:val="1"/>
        </w:numPr>
        <w:rPr>
          <w:rFonts w:ascii="Arial" w:cs="Arial" w:eastAsia="Arial" w:hAnsi="Arial"/>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25" w:lineRule="exact"/>
        <w:rPr>
          <w:rFonts w:ascii="Arial" w:cs="Arial" w:eastAsia="Arial" w:hAnsi="Arial"/>
          <w:sz w:val="18"/>
          <w:szCs w:val="18"/>
          <w:color w:val="auto"/>
        </w:rPr>
      </w:pPr>
    </w:p>
    <w:p>
      <w:pPr>
        <w:ind w:left="580" w:hanging="572"/>
        <w:spacing w:after="0"/>
        <w:tabs>
          <w:tab w:leader="none" w:pos="580" w:val="left"/>
        </w:tabs>
        <w:numPr>
          <w:ilvl w:val="0"/>
          <w:numId w:val="1"/>
        </w:numPr>
        <w:rPr>
          <w:rFonts w:ascii="Arial" w:cs="Arial" w:eastAsia="Arial" w:hAnsi="Arial"/>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5" w:lineRule="exact"/>
        <w:rPr>
          <w:rFonts w:ascii="Arial" w:cs="Arial" w:eastAsia="Arial" w:hAnsi="Arial"/>
          <w:sz w:val="18"/>
          <w:szCs w:val="18"/>
          <w:color w:val="auto"/>
        </w:rPr>
      </w:pPr>
    </w:p>
    <w:p>
      <w:pPr>
        <w:ind w:left="580" w:hanging="572"/>
        <w:spacing w:after="0"/>
        <w:tabs>
          <w:tab w:leader="none" w:pos="580" w:val="left"/>
        </w:tabs>
        <w:numPr>
          <w:ilvl w:val="0"/>
          <w:numId w:val="1"/>
        </w:numPr>
        <w:rPr>
          <w:rFonts w:ascii="Arial" w:cs="Arial" w:eastAsia="Arial" w:hAnsi="Arial"/>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5" w:lineRule="exact"/>
        <w:rPr>
          <w:rFonts w:ascii="Arial" w:cs="Arial" w:eastAsia="Arial" w:hAnsi="Arial"/>
          <w:sz w:val="18"/>
          <w:szCs w:val="18"/>
          <w:color w:val="auto"/>
        </w:rPr>
      </w:pPr>
    </w:p>
    <w:p>
      <w:pPr>
        <w:ind w:left="580" w:hanging="572"/>
        <w:spacing w:after="0"/>
        <w:tabs>
          <w:tab w:leader="none" w:pos="580" w:val="left"/>
        </w:tabs>
        <w:numPr>
          <w:ilvl w:val="0"/>
          <w:numId w:val="1"/>
        </w:numPr>
        <w:rPr>
          <w:rFonts w:ascii="Arial" w:cs="Arial" w:eastAsia="Arial" w:hAnsi="Arial"/>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25"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70" w:lineRule="exact"/>
        <w:rPr>
          <w:sz w:val="24"/>
          <w:szCs w:val="24"/>
          <w:color w:val="auto"/>
        </w:rPr>
      </w:pPr>
    </w:p>
    <w:p>
      <w:pPr>
        <w:spacing w:after="0"/>
        <w:rPr>
          <w:sz w:val="20"/>
          <w:szCs w:val="20"/>
          <w:color w:val="auto"/>
        </w:rPr>
      </w:pPr>
      <w:r>
        <w:rPr>
          <w:rFonts w:ascii="Arial" w:cs="Arial" w:eastAsia="Arial" w:hAnsi="Arial"/>
          <w:sz w:val="18"/>
          <w:szCs w:val="18"/>
          <w:color w:val="auto"/>
        </w:rPr>
        <w:t>Emerging growth company x</w:t>
      </w:r>
    </w:p>
    <w:p>
      <w:pPr>
        <w:spacing w:after="0" w:line="225" w:lineRule="exact"/>
        <w:rPr>
          <w:sz w:val="24"/>
          <w:szCs w:val="24"/>
          <w:color w:val="auto"/>
        </w:rPr>
      </w:pPr>
    </w:p>
    <w:p>
      <w:pPr>
        <w:ind w:right="80"/>
        <w:spacing w:after="0" w:line="277" w:lineRule="auto"/>
        <w:rPr>
          <w:sz w:val="20"/>
          <w:szCs w:val="20"/>
          <w:color w:val="auto"/>
        </w:rPr>
      </w:pPr>
      <w:r>
        <w:rPr>
          <w:rFonts w:ascii="Arial" w:cs="Arial" w:eastAsia="Arial" w:hAnsi="Arial"/>
          <w:sz w:val="18"/>
          <w:szCs w:val="18"/>
          <w:color w:val="auto"/>
        </w:rPr>
        <w:t>If an emerging growth company, indicate by check mark if the registrant has elected not to use the extended transition period for complying with any new or revised financial accounting standards provided pursuant to Section 13(a) of the Exchange Act. x</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117475</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160020</wp:posOffset>
            </wp:positionV>
            <wp:extent cx="7246620" cy="342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398145</wp:posOffset>
            </wp:positionV>
            <wp:extent cx="7267575" cy="298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60"/>
          </w:cols>
          <w:pgMar w:left="240" w:top="544" w:right="299" w:bottom="1440" w:gutter="0" w:footer="0" w:header="0"/>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8.01 Other Events</w:t>
      </w:r>
    </w:p>
    <w:p>
      <w:pPr>
        <w:spacing w:after="0" w:line="229" w:lineRule="exact"/>
        <w:rPr>
          <w:sz w:val="20"/>
          <w:szCs w:val="20"/>
          <w:color w:val="auto"/>
        </w:rPr>
      </w:pPr>
    </w:p>
    <w:p>
      <w:pPr>
        <w:ind w:right="80" w:firstLine="441"/>
        <w:spacing w:after="0" w:line="257" w:lineRule="auto"/>
        <w:rPr>
          <w:sz w:val="20"/>
          <w:szCs w:val="20"/>
          <w:color w:val="auto"/>
        </w:rPr>
      </w:pPr>
      <w:r>
        <w:rPr>
          <w:rFonts w:ascii="Arial" w:cs="Arial" w:eastAsia="Arial" w:hAnsi="Arial"/>
          <w:sz w:val="18"/>
          <w:szCs w:val="18"/>
          <w:color w:val="auto"/>
        </w:rPr>
        <w:t>On November 1, 2018, the Y-mAbs Therapeutics, Inc. (the “Company”) issued a press release announcing that Dr. Jeong A Park from the Department of Pediatrics of Memorial Sloan-Kettering Cancer Center (MSK) will present preclinical data from the Company’s bispecific GD2 antibody in a poster presentation at the American Society of Hematology (ASH) Annual Meeting and Exposition in San Diego, CA on December 3, 2018, at 9:00 PM Eastern. An abstract of the poster presentation will be made available online by ASH on November 1, 2018 at 12:00 PM Eastern. A copy of the press release is attached hereto as Exhibit 99.1.</w:t>
      </w:r>
    </w:p>
    <w:p>
      <w:pPr>
        <w:spacing w:after="0" w:line="188" w:lineRule="exact"/>
        <w:rPr>
          <w:sz w:val="20"/>
          <w:szCs w:val="20"/>
          <w:color w:val="auto"/>
        </w:rPr>
      </w:pPr>
    </w:p>
    <w:p>
      <w:pPr>
        <w:ind w:right="200" w:firstLine="441"/>
        <w:spacing w:after="0" w:line="259" w:lineRule="auto"/>
        <w:rPr>
          <w:sz w:val="20"/>
          <w:szCs w:val="20"/>
          <w:color w:val="auto"/>
        </w:rPr>
      </w:pPr>
      <w:r>
        <w:rPr>
          <w:rFonts w:ascii="Arial" w:cs="Arial" w:eastAsia="Arial" w:hAnsi="Arial"/>
          <w:sz w:val="18"/>
          <w:szCs w:val="18"/>
          <w:color w:val="auto"/>
        </w:rPr>
        <w:t>The information furnished pursuant to Item 8.01 on this Form 8-K, including Exhibit 99.1 attached hereto, shall not be deemed “filed” for purposes of Section 18 of the Securities Exchange Act of 1934, as amended (the “Exchange Act”), or otherwise subject to the liabilities of that section, nor shall it be deemed incorporated by reference into any other filing under the Securities Act or the Exchange Act, except as expressly set forth by specific reference in such a filing.</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80" w:type="dxa"/>
            <w:vAlign w:val="bottom"/>
          </w:tcPr>
          <w:p>
            <w:pPr>
              <w:spacing w:after="0"/>
              <w:rPr>
                <w:sz w:val="20"/>
                <w:szCs w:val="20"/>
                <w:color w:val="auto"/>
              </w:rPr>
            </w:pPr>
          </w:p>
        </w:tc>
        <w:tc>
          <w:tcPr>
            <w:tcW w:w="10540" w:type="dxa"/>
            <w:vAlign w:val="bottom"/>
            <w:gridSpan w:val="3"/>
          </w:tcPr>
          <w:p>
            <w:pPr>
              <w:ind w:left="220"/>
              <w:spacing w:after="0"/>
              <w:rPr>
                <w:sz w:val="20"/>
                <w:szCs w:val="20"/>
                <w:color w:val="auto"/>
              </w:rPr>
            </w:pPr>
            <w:r>
              <w:rPr>
                <w:rFonts w:ascii="Arial" w:cs="Arial" w:eastAsia="Arial" w:hAnsi="Arial"/>
                <w:sz w:val="18"/>
                <w:szCs w:val="18"/>
                <w:color w:val="auto"/>
              </w:rPr>
              <w:t>(d) Exhibits</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42"/>
        </w:trPr>
        <w:tc>
          <w:tcPr>
            <w:tcW w:w="880" w:type="dxa"/>
            <w:vAlign w:val="bottom"/>
          </w:tcPr>
          <w:p>
            <w:pPr>
              <w:spacing w:after="0"/>
              <w:rPr>
                <w:sz w:val="20"/>
                <w:szCs w:val="20"/>
                <w:color w:val="auto"/>
              </w:rPr>
            </w:pPr>
            <w:r>
              <w:rPr>
                <w:rFonts w:ascii="Arial" w:cs="Arial" w:eastAsia="Arial" w:hAnsi="Arial"/>
                <w:sz w:val="14"/>
                <w:szCs w:val="14"/>
                <w:b w:val="1"/>
                <w:bCs w:val="1"/>
                <w:color w:val="auto"/>
              </w:rPr>
              <w:t>Exhibit</w:t>
            </w:r>
          </w:p>
        </w:tc>
        <w:tc>
          <w:tcPr>
            <w:tcW w:w="300" w:type="dxa"/>
            <w:vAlign w:val="bottom"/>
          </w:tcPr>
          <w:p>
            <w:pPr>
              <w:spacing w:after="0"/>
              <w:rPr>
                <w:sz w:val="24"/>
                <w:szCs w:val="24"/>
                <w:color w:val="auto"/>
              </w:rPr>
            </w:pPr>
          </w:p>
        </w:tc>
        <w:tc>
          <w:tcPr>
            <w:tcW w:w="10240" w:type="dxa"/>
            <w:vAlign w:val="bottom"/>
            <w:gridSpan w:val="2"/>
            <w:vMerge w:val="restart"/>
          </w:tcPr>
          <w:p>
            <w:pPr>
              <w:ind w:left="4760"/>
              <w:spacing w:after="0"/>
              <w:rPr>
                <w:sz w:val="20"/>
                <w:szCs w:val="20"/>
                <w:color w:val="auto"/>
              </w:rPr>
            </w:pPr>
            <w:r>
              <w:rPr>
                <w:rFonts w:ascii="Arial" w:cs="Arial" w:eastAsia="Arial" w:hAnsi="Arial"/>
                <w:sz w:val="14"/>
                <w:szCs w:val="14"/>
                <w:b w:val="1"/>
                <w:bCs w:val="1"/>
                <w:color w:val="auto"/>
              </w:rPr>
              <w:t>Description</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88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No.</w:t>
            </w:r>
          </w:p>
        </w:tc>
        <w:tc>
          <w:tcPr>
            <w:tcW w:w="300" w:type="dxa"/>
            <w:vAlign w:val="bottom"/>
          </w:tcPr>
          <w:p>
            <w:pPr>
              <w:spacing w:after="0"/>
              <w:rPr>
                <w:sz w:val="14"/>
                <w:szCs w:val="14"/>
                <w:color w:val="auto"/>
              </w:rPr>
            </w:pPr>
          </w:p>
        </w:tc>
        <w:tc>
          <w:tcPr>
            <w:tcW w:w="10240" w:type="dxa"/>
            <w:vAlign w:val="bottom"/>
            <w:tcBorders>
              <w:bottom w:val="single" w:sz="8" w:color="auto"/>
            </w:tcBorders>
            <w:gridSpan w:val="2"/>
            <w:vMerge w:val="continue"/>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85"/>
        </w:trPr>
        <w:tc>
          <w:tcPr>
            <w:tcW w:w="880" w:type="dxa"/>
            <w:vAlign w:val="bottom"/>
          </w:tcPr>
          <w:p>
            <w:pPr>
              <w:spacing w:after="0"/>
              <w:rPr>
                <w:sz w:val="20"/>
                <w:szCs w:val="20"/>
                <w:color w:val="auto"/>
              </w:rPr>
            </w:pPr>
            <w:r>
              <w:rPr>
                <w:rFonts w:ascii="Arial" w:cs="Arial" w:eastAsia="Arial" w:hAnsi="Arial"/>
                <w:sz w:val="18"/>
                <w:szCs w:val="18"/>
                <w:color w:val="auto"/>
              </w:rPr>
              <w:t>99.1</w:t>
            </w:r>
          </w:p>
        </w:tc>
        <w:tc>
          <w:tcPr>
            <w:tcW w:w="300" w:type="dxa"/>
            <w:vAlign w:val="bottom"/>
          </w:tcPr>
          <w:p>
            <w:pPr>
              <w:spacing w:after="0"/>
              <w:rPr>
                <w:sz w:val="24"/>
                <w:szCs w:val="24"/>
                <w:color w:val="auto"/>
              </w:rPr>
            </w:pPr>
          </w:p>
        </w:tc>
        <w:tc>
          <w:tcPr>
            <w:tcW w:w="5420" w:type="dxa"/>
            <w:vAlign w:val="bottom"/>
            <w:tcBorders>
              <w:bottom w:val="single" w:sz="8" w:color="0000EE"/>
            </w:tcBorders>
          </w:tcPr>
          <w:p>
            <w:pPr>
              <w:jc w:val="right"/>
              <w:spacing w:after="0"/>
              <w:rPr>
                <w:rFonts w:ascii="Arial" w:cs="Arial" w:eastAsia="Arial" w:hAnsi="Arial"/>
                <w:sz w:val="18"/>
                <w:szCs w:val="18"/>
                <w:color w:val="0000EE"/>
                <w:w w:val="88"/>
              </w:rPr>
            </w:pPr>
            <w:hyperlink w:anchor="page4">
              <w:r>
                <w:rPr>
                  <w:rFonts w:ascii="Arial" w:cs="Arial" w:eastAsia="Arial" w:hAnsi="Arial"/>
                  <w:sz w:val="18"/>
                  <w:szCs w:val="18"/>
                  <w:color w:val="0000EE"/>
                  <w:w w:val="88"/>
                </w:rPr>
                <w:t>Press Release, dated November, 2018 issued by Y-mAbs Therapeutics, Inc.</w:t>
              </w:r>
            </w:hyperlink>
          </w:p>
        </w:tc>
        <w:tc>
          <w:tcPr>
            <w:tcW w:w="4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3"/>
        </w:trPr>
        <w:tc>
          <w:tcPr>
            <w:tcW w:w="880" w:type="dxa"/>
            <w:vAlign w:val="bottom"/>
          </w:tcPr>
          <w:p>
            <w:pPr>
              <w:spacing w:after="0"/>
              <w:rPr>
                <w:sz w:val="24"/>
                <w:szCs w:val="24"/>
                <w:color w:val="auto"/>
              </w:rPr>
            </w:pPr>
          </w:p>
        </w:tc>
        <w:tc>
          <w:tcPr>
            <w:tcW w:w="5720" w:type="dxa"/>
            <w:vAlign w:val="bottom"/>
            <w:gridSpan w:val="2"/>
          </w:tcPr>
          <w:p>
            <w:pPr>
              <w:jc w:val="right"/>
              <w:ind w:right="759"/>
              <w:spacing w:after="0"/>
              <w:rPr>
                <w:sz w:val="20"/>
                <w:szCs w:val="20"/>
                <w:color w:val="auto"/>
              </w:rPr>
            </w:pPr>
            <w:r>
              <w:rPr>
                <w:rFonts w:ascii="Arial" w:cs="Arial" w:eastAsia="Arial" w:hAnsi="Arial"/>
                <w:sz w:val="18"/>
                <w:szCs w:val="18"/>
                <w:color w:val="auto"/>
              </w:rPr>
              <w:t>2</w:t>
            </w:r>
          </w:p>
        </w:tc>
        <w:tc>
          <w:tcPr>
            <w:tcW w:w="4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880" w:type="dxa"/>
            <w:vAlign w:val="bottom"/>
            <w:tcBorders>
              <w:bottom w:val="single" w:sz="8" w:color="808080"/>
            </w:tcBorders>
          </w:tcPr>
          <w:p>
            <w:pPr>
              <w:spacing w:after="0"/>
              <w:rPr>
                <w:sz w:val="11"/>
                <w:szCs w:val="11"/>
                <w:color w:val="auto"/>
              </w:rPr>
            </w:pPr>
          </w:p>
        </w:tc>
        <w:tc>
          <w:tcPr>
            <w:tcW w:w="300" w:type="dxa"/>
            <w:vAlign w:val="bottom"/>
            <w:tcBorders>
              <w:bottom w:val="single" w:sz="8" w:color="808080"/>
            </w:tcBorders>
          </w:tcPr>
          <w:p>
            <w:pPr>
              <w:spacing w:after="0"/>
              <w:rPr>
                <w:sz w:val="11"/>
                <w:szCs w:val="11"/>
                <w:color w:val="auto"/>
              </w:rPr>
            </w:pPr>
          </w:p>
        </w:tc>
        <w:tc>
          <w:tcPr>
            <w:tcW w:w="5420" w:type="dxa"/>
            <w:vAlign w:val="bottom"/>
            <w:tcBorders>
              <w:bottom w:val="single" w:sz="8" w:color="808080"/>
            </w:tcBorders>
          </w:tcPr>
          <w:p>
            <w:pPr>
              <w:spacing w:after="0"/>
              <w:rPr>
                <w:sz w:val="11"/>
                <w:szCs w:val="11"/>
                <w:color w:val="auto"/>
              </w:rPr>
            </w:pPr>
          </w:p>
        </w:tc>
        <w:tc>
          <w:tcPr>
            <w:tcW w:w="482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337" w:right="199" w:bottom="1440" w:gutter="0" w:footer="0" w:header="0"/>
        </w:sectPr>
      </w:pPr>
    </w:p>
    <w:bookmarkStart w:id="2" w:name="page3"/>
    <w:bookmarkEnd w:id="2"/>
    <w:p>
      <w:pPr>
        <w:jc w:val="center"/>
        <w:ind w:right="40"/>
        <w:spacing w:after="0"/>
        <w:rPr>
          <w:sz w:val="20"/>
          <w:szCs w:val="20"/>
          <w:color w:val="auto"/>
        </w:rPr>
      </w:pPr>
      <w:r>
        <w:rPr>
          <w:rFonts w:ascii="Arial" w:cs="Arial" w:eastAsia="Arial" w:hAnsi="Arial"/>
          <w:sz w:val="18"/>
          <w:szCs w:val="18"/>
          <w:color w:val="auto"/>
        </w:rPr>
        <w:t>SIGNATURES</w:t>
      </w:r>
    </w:p>
    <w:p>
      <w:pPr>
        <w:spacing w:after="0" w:line="225" w:lineRule="exact"/>
        <w:rPr>
          <w:sz w:val="20"/>
          <w:szCs w:val="20"/>
          <w:color w:val="auto"/>
        </w:rPr>
      </w:pPr>
    </w:p>
    <w:p>
      <w:pPr>
        <w:ind w:right="740" w:firstLine="441"/>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720" w:type="dxa"/>
            <w:vAlign w:val="bottom"/>
          </w:tcPr>
          <w:p>
            <w:pPr>
              <w:spacing w:after="0"/>
              <w:rPr>
                <w:sz w:val="20"/>
                <w:szCs w:val="20"/>
                <w:color w:val="auto"/>
              </w:rPr>
            </w:pPr>
          </w:p>
        </w:tc>
        <w:tc>
          <w:tcPr>
            <w:tcW w:w="7700" w:type="dxa"/>
            <w:vAlign w:val="bottom"/>
            <w:gridSpan w:val="2"/>
          </w:tcPr>
          <w:p>
            <w:pPr>
              <w:ind w:left="2000"/>
              <w:spacing w:after="0"/>
              <w:rPr>
                <w:sz w:val="20"/>
                <w:szCs w:val="20"/>
                <w:color w:val="auto"/>
              </w:rPr>
            </w:pPr>
            <w:r>
              <w:rPr>
                <w:rFonts w:ascii="Arial" w:cs="Arial" w:eastAsia="Arial" w:hAnsi="Arial"/>
                <w:sz w:val="18"/>
                <w:szCs w:val="18"/>
                <w:color w:val="auto"/>
              </w:rPr>
              <w:t>Y-MABS THERAPEUTICS, INC.</w:t>
            </w:r>
          </w:p>
        </w:tc>
        <w:tc>
          <w:tcPr>
            <w:tcW w:w="40" w:type="dxa"/>
            <w:vAlign w:val="bottom"/>
          </w:tcPr>
          <w:p>
            <w:pPr>
              <w:spacing w:after="0"/>
              <w:rPr>
                <w:sz w:val="20"/>
                <w:szCs w:val="20"/>
                <w:color w:val="auto"/>
              </w:rPr>
            </w:pPr>
          </w:p>
        </w:tc>
      </w:tr>
      <w:tr>
        <w:trPr>
          <w:trHeight w:val="432"/>
        </w:trPr>
        <w:tc>
          <w:tcPr>
            <w:tcW w:w="3720" w:type="dxa"/>
            <w:vAlign w:val="bottom"/>
          </w:tcPr>
          <w:p>
            <w:pPr>
              <w:spacing w:after="0"/>
              <w:rPr>
                <w:sz w:val="20"/>
                <w:szCs w:val="20"/>
                <w:color w:val="auto"/>
              </w:rPr>
            </w:pPr>
            <w:r>
              <w:rPr>
                <w:rFonts w:ascii="Arial" w:cs="Arial" w:eastAsia="Arial" w:hAnsi="Arial"/>
                <w:sz w:val="18"/>
                <w:szCs w:val="18"/>
                <w:color w:val="auto"/>
              </w:rPr>
              <w:t>Date: November 1, 2018</w:t>
            </w:r>
          </w:p>
        </w:tc>
        <w:tc>
          <w:tcPr>
            <w:tcW w:w="7700" w:type="dxa"/>
            <w:vAlign w:val="bottom"/>
            <w:gridSpan w:val="2"/>
          </w:tcPr>
          <w:p>
            <w:pPr>
              <w:ind w:left="2000"/>
              <w:spacing w:after="0"/>
              <w:rPr>
                <w:sz w:val="20"/>
                <w:szCs w:val="20"/>
                <w:color w:val="auto"/>
              </w:rPr>
            </w:pPr>
            <w:r>
              <w:rPr>
                <w:rFonts w:ascii="Arial" w:cs="Arial" w:eastAsia="Arial" w:hAnsi="Arial"/>
                <w:sz w:val="18"/>
                <w:szCs w:val="18"/>
                <w:color w:val="auto"/>
              </w:rPr>
              <w:t>By:   /s/ Thomas Gad</w:t>
            </w:r>
          </w:p>
        </w:tc>
        <w:tc>
          <w:tcPr>
            <w:tcW w:w="40" w:type="dxa"/>
            <w:vAlign w:val="bottom"/>
          </w:tcPr>
          <w:p>
            <w:pPr>
              <w:spacing w:after="0"/>
              <w:rPr>
                <w:sz w:val="24"/>
                <w:szCs w:val="24"/>
                <w:color w:val="auto"/>
              </w:rPr>
            </w:pPr>
          </w:p>
        </w:tc>
      </w:tr>
      <w:tr>
        <w:trPr>
          <w:trHeight w:val="195"/>
        </w:trPr>
        <w:tc>
          <w:tcPr>
            <w:tcW w:w="3720" w:type="dxa"/>
            <w:vAlign w:val="bottom"/>
          </w:tcPr>
          <w:p>
            <w:pPr>
              <w:spacing w:after="0"/>
              <w:rPr>
                <w:sz w:val="16"/>
                <w:szCs w:val="16"/>
                <w:color w:val="auto"/>
              </w:rPr>
            </w:pPr>
          </w:p>
        </w:tc>
        <w:tc>
          <w:tcPr>
            <w:tcW w:w="2480" w:type="dxa"/>
            <w:vAlign w:val="bottom"/>
          </w:tcPr>
          <w:p>
            <w:pPr>
              <w:spacing w:after="0"/>
              <w:rPr>
                <w:sz w:val="16"/>
                <w:szCs w:val="16"/>
                <w:color w:val="auto"/>
              </w:rPr>
            </w:pPr>
          </w:p>
        </w:tc>
        <w:tc>
          <w:tcPr>
            <w:tcW w:w="522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Thomas Gad</w:t>
            </w:r>
          </w:p>
        </w:tc>
        <w:tc>
          <w:tcPr>
            <w:tcW w:w="40" w:type="dxa"/>
            <w:vAlign w:val="bottom"/>
          </w:tcPr>
          <w:p>
            <w:pPr>
              <w:spacing w:after="0"/>
              <w:rPr>
                <w:sz w:val="16"/>
                <w:szCs w:val="16"/>
                <w:color w:val="auto"/>
              </w:rPr>
            </w:pPr>
          </w:p>
        </w:tc>
      </w:tr>
      <w:tr>
        <w:trPr>
          <w:trHeight w:val="230"/>
        </w:trPr>
        <w:tc>
          <w:tcPr>
            <w:tcW w:w="3720" w:type="dxa"/>
            <w:vAlign w:val="bottom"/>
          </w:tcPr>
          <w:p>
            <w:pPr>
              <w:spacing w:after="0"/>
              <w:rPr>
                <w:sz w:val="20"/>
                <w:szCs w:val="20"/>
                <w:color w:val="auto"/>
              </w:rPr>
            </w:pPr>
          </w:p>
        </w:tc>
        <w:tc>
          <w:tcPr>
            <w:tcW w:w="2480" w:type="dxa"/>
            <w:vAlign w:val="bottom"/>
          </w:tcPr>
          <w:p>
            <w:pPr>
              <w:spacing w:after="0"/>
              <w:rPr>
                <w:sz w:val="20"/>
                <w:szCs w:val="20"/>
                <w:color w:val="auto"/>
              </w:rPr>
            </w:pPr>
          </w:p>
        </w:tc>
        <w:tc>
          <w:tcPr>
            <w:tcW w:w="5220" w:type="dxa"/>
            <w:vAlign w:val="bottom"/>
          </w:tcPr>
          <w:p>
            <w:pPr>
              <w:spacing w:after="0"/>
              <w:rPr>
                <w:sz w:val="20"/>
                <w:szCs w:val="20"/>
                <w:color w:val="auto"/>
              </w:rPr>
            </w:pPr>
            <w:r>
              <w:rPr>
                <w:rFonts w:ascii="Arial" w:cs="Arial" w:eastAsia="Arial" w:hAnsi="Arial"/>
                <w:sz w:val="18"/>
                <w:szCs w:val="18"/>
                <w:color w:val="auto"/>
                <w:w w:val="97"/>
              </w:rPr>
              <w:t>Founder, Chairman, President and Head of Business Development</w:t>
            </w:r>
          </w:p>
        </w:tc>
        <w:tc>
          <w:tcPr>
            <w:tcW w:w="40" w:type="dxa"/>
            <w:vAlign w:val="bottom"/>
          </w:tcPr>
          <w:p>
            <w:pPr>
              <w:spacing w:after="0"/>
              <w:rPr>
                <w:sz w:val="20"/>
                <w:szCs w:val="20"/>
                <w:color w:val="auto"/>
              </w:rPr>
            </w:pPr>
          </w:p>
        </w:tc>
      </w:tr>
      <w:tr>
        <w:trPr>
          <w:trHeight w:val="432"/>
        </w:trPr>
        <w:tc>
          <w:tcPr>
            <w:tcW w:w="3720" w:type="dxa"/>
            <w:vAlign w:val="bottom"/>
          </w:tcPr>
          <w:p>
            <w:pPr>
              <w:spacing w:after="0"/>
              <w:rPr>
                <w:sz w:val="24"/>
                <w:szCs w:val="24"/>
                <w:color w:val="auto"/>
              </w:rPr>
            </w:pPr>
          </w:p>
        </w:tc>
        <w:tc>
          <w:tcPr>
            <w:tcW w:w="2480" w:type="dxa"/>
            <w:vAlign w:val="bottom"/>
          </w:tcPr>
          <w:p>
            <w:pPr>
              <w:jc w:val="right"/>
              <w:ind w:right="350"/>
              <w:spacing w:after="0"/>
              <w:rPr>
                <w:sz w:val="20"/>
                <w:szCs w:val="20"/>
                <w:color w:val="auto"/>
              </w:rPr>
            </w:pPr>
            <w:r>
              <w:rPr>
                <w:rFonts w:ascii="Arial" w:cs="Arial" w:eastAsia="Arial" w:hAnsi="Arial"/>
                <w:sz w:val="18"/>
                <w:szCs w:val="18"/>
                <w:color w:val="auto"/>
              </w:rPr>
              <w:t>3</w:t>
            </w:r>
          </w:p>
        </w:tc>
        <w:tc>
          <w:tcPr>
            <w:tcW w:w="522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132"/>
        </w:trPr>
        <w:tc>
          <w:tcPr>
            <w:tcW w:w="3720" w:type="dxa"/>
            <w:vAlign w:val="bottom"/>
            <w:tcBorders>
              <w:bottom w:val="single" w:sz="8" w:color="808080"/>
            </w:tcBorders>
          </w:tcPr>
          <w:p>
            <w:pPr>
              <w:spacing w:after="0"/>
              <w:rPr>
                <w:sz w:val="11"/>
                <w:szCs w:val="11"/>
                <w:color w:val="auto"/>
              </w:rPr>
            </w:pPr>
          </w:p>
        </w:tc>
        <w:tc>
          <w:tcPr>
            <w:tcW w:w="2480" w:type="dxa"/>
            <w:vAlign w:val="bottom"/>
            <w:tcBorders>
              <w:bottom w:val="single" w:sz="8" w:color="808080"/>
            </w:tcBorders>
          </w:tcPr>
          <w:p>
            <w:pPr>
              <w:spacing w:after="0"/>
              <w:rPr>
                <w:sz w:val="11"/>
                <w:szCs w:val="11"/>
                <w:color w:val="auto"/>
              </w:rPr>
            </w:pPr>
          </w:p>
        </w:tc>
        <w:tc>
          <w:tcPr>
            <w:tcW w:w="522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341" w:right="199" w:bottom="1440" w:gutter="0" w:footer="0" w:header="0"/>
        </w:sectPr>
      </w:pPr>
    </w:p>
    <w:bookmarkStart w:id="3" w:name="page4"/>
    <w:bookmarkEnd w:id="3"/>
    <w:p>
      <w:pPr>
        <w:jc w:val="right"/>
        <w:spacing w:after="0"/>
        <w:rPr>
          <w:sz w:val="20"/>
          <w:szCs w:val="20"/>
          <w:color w:val="auto"/>
        </w:rPr>
      </w:pPr>
      <w:r>
        <w:rPr>
          <w:rFonts w:ascii="Arial" w:cs="Arial" w:eastAsia="Arial" w:hAnsi="Arial"/>
          <w:sz w:val="18"/>
          <w:szCs w:val="18"/>
          <w:b w:val="1"/>
          <w:bCs w:val="1"/>
          <w:color w:val="auto"/>
        </w:rPr>
        <w:t>Exhibit 99.1</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Bispecific GD2 Antibody In Vivo Data to be Presented at ASH</w:t>
      </w:r>
    </w:p>
    <w:p>
      <w:pPr>
        <w:spacing w:after="0" w:line="229" w:lineRule="exact"/>
        <w:rPr>
          <w:sz w:val="20"/>
          <w:szCs w:val="20"/>
          <w:color w:val="auto"/>
        </w:rPr>
      </w:pPr>
    </w:p>
    <w:p>
      <w:pPr>
        <w:ind w:right="60"/>
        <w:spacing w:after="0" w:line="255" w:lineRule="auto"/>
        <w:rPr>
          <w:sz w:val="20"/>
          <w:szCs w:val="20"/>
          <w:color w:val="auto"/>
        </w:rPr>
      </w:pPr>
      <w:r>
        <w:rPr>
          <w:rFonts w:ascii="Arial" w:cs="Arial" w:eastAsia="Arial" w:hAnsi="Arial"/>
          <w:sz w:val="18"/>
          <w:szCs w:val="18"/>
          <w:color w:val="auto"/>
        </w:rPr>
        <w:t>New York, NY, November 1, 2018 (GLOBE NEWSWIRE) — Y-mAbs Therapeutics, Inc. (the “Company” or “Y-mAbs”) (Nasdaq:YMAB) a late-stage clinical biopharmaceutical company focused on the development and commercialization of novel, antibody-based therapeutic products for the treatment of cancer, today announced that Dr. Jeong A Park from the Department of Pediatrics of Memorial Sloan-Kettering Cancer Center (MSK) will present preclinical data from the Company’s bispecific GD2 antibody in a poster presentation at the American Society of Hematology (ASH) Annual Meeting and Exposition in San Diego, CA on December 3, 2018, at 9:00 PM Eastern. An abstract of the poster presentation will be made available online by ASH on November 1, 2018 at 12:00 PM Eastern.</w:t>
      </w:r>
    </w:p>
    <w:p>
      <w:pPr>
        <w:spacing w:after="0" w:line="193" w:lineRule="exact"/>
        <w:rPr>
          <w:sz w:val="20"/>
          <w:szCs w:val="20"/>
          <w:color w:val="auto"/>
        </w:rPr>
      </w:pPr>
    </w:p>
    <w:p>
      <w:pPr>
        <w:ind w:right="180"/>
        <w:spacing w:after="0" w:line="312" w:lineRule="auto"/>
        <w:rPr>
          <w:sz w:val="20"/>
          <w:szCs w:val="20"/>
          <w:color w:val="auto"/>
        </w:rPr>
      </w:pPr>
      <w:r>
        <w:rPr>
          <w:rFonts w:ascii="Arial" w:cs="Arial" w:eastAsia="Arial" w:hAnsi="Arial"/>
          <w:sz w:val="16"/>
          <w:szCs w:val="16"/>
          <w:color w:val="auto"/>
        </w:rPr>
        <w:t>Bispecific GD2 antibodies were tested in solid tumors in preclinical models with T-cells and were shown to exert anti-tumor effect against GD2(+) tumor xenografts or PDX tumors. Further, the bispecific GD2 antibodies induced rapid and quantitative T-cell homing to tumors, mediating antibody dependent T-cell mediated cytotoxicity (ADTC) against GD2, and were shown to infiltrate tumors with little to no immune response, also known as cold tumors.</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Y-mAbs</w:t>
      </w:r>
    </w:p>
    <w:p>
      <w:pPr>
        <w:spacing w:after="0" w:line="229" w:lineRule="exact"/>
        <w:rPr>
          <w:sz w:val="20"/>
          <w:szCs w:val="20"/>
          <w:color w:val="auto"/>
        </w:rPr>
      </w:pPr>
    </w:p>
    <w:p>
      <w:pPr>
        <w:ind w:right="40"/>
        <w:spacing w:after="0" w:line="264" w:lineRule="auto"/>
        <w:rPr>
          <w:sz w:val="20"/>
          <w:szCs w:val="20"/>
          <w:color w:val="auto"/>
        </w:rPr>
      </w:pPr>
      <w:r>
        <w:rPr>
          <w:rFonts w:ascii="Arial" w:cs="Arial" w:eastAsia="Arial" w:hAnsi="Arial"/>
          <w:sz w:val="18"/>
          <w:szCs w:val="18"/>
          <w:color w:val="auto"/>
        </w:rPr>
        <w:t>Y-mAbs is a late-stage clinical biopharmaceutical company focused on the development and commercialization of novel, antibody-based therapeutic products for the treatment of cancer. The Company has a broad and advanced product pipeline, including two pivotal-stage product candidates—naxitamab and omburtamab—which target tumors that express GD2 and B7-H3, respectively</w:t>
      </w:r>
      <w:r>
        <w:rPr>
          <w:rFonts w:ascii="Arial" w:cs="Arial" w:eastAsia="Arial" w:hAnsi="Arial"/>
          <w:sz w:val="17"/>
          <w:szCs w:val="17"/>
          <w:color w:val="auto"/>
        </w:rPr>
        <w:t>.</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229" w:lineRule="exact"/>
        <w:rPr>
          <w:sz w:val="20"/>
          <w:szCs w:val="20"/>
          <w:color w:val="auto"/>
        </w:rPr>
      </w:pPr>
    </w:p>
    <w:p>
      <w:pPr>
        <w:ind w:right="40"/>
        <w:spacing w:after="0" w:line="267" w:lineRule="auto"/>
        <w:rPr>
          <w:sz w:val="20"/>
          <w:szCs w:val="20"/>
          <w:color w:val="auto"/>
        </w:rPr>
      </w:pPr>
      <w:r>
        <w:rPr>
          <w:rFonts w:ascii="Arial" w:cs="Arial" w:eastAsia="Arial" w:hAnsi="Arial"/>
          <w:sz w:val="17"/>
          <w:szCs w:val="17"/>
          <w:color w:val="auto"/>
        </w:rPr>
        <w:t>Statements in this press release about future expectations, plans and prospects, as well as any other statements regarding matters that are not historical facts, may constitute “forward-looking statements” within the meaning of The Private Securities Litigation Reform Act of 1995. Such statements include, but are not limited to, statements about orphan drug- and other regulatory approvals, clinical trial timing and plans, the achievement of clinical and commercial milestones, future financial and operating results, business strategies, market opportunities, financing, and other statements that are not historical facts. Words such as ‘‘anticipate,’’ ‘‘believe,’’ ‘‘continue,’’ ‘‘could,’’ ‘‘estimate,’’ ‘‘expect,’’ ‘‘intend,’’ ‘‘may,’’ ‘‘might,’’ ‘‘plan,’’ ‘‘potential,’’ ‘‘predict,’’ ‘‘project,’’ ‘‘should,’’ ‘‘target,’’ ‘‘would’’ and similar expressions are intended to identify forward-looking statements, although not all forward-looking statements contain these identifying words. Our product candidates and related technologies are novel approaches to cancer treatment that present significant challenges. Actual results may differ materially from those indicated by such forward-looking statements as a result of various factors, including but not limited to: risks associated with the Company’s development work, including any delays or changes to the timing, cost and success of our product development activities and clinical trials including if we encounter difficulties enrolling patients in our clinical trials; the risks of delays in FDA and/or EU approval of our drug candidates or failure to receive approval; the risks related to commercializing any approved new pharmaceutical product including the rate and degree of market acceptance of our product candidates; development of our sales and marketing capabilities and risks associated with failure to obtain sufficient reimbursement for our products; our inability to enter into collaboration or alliances with partners; risks associated with protection of our intellectual property rights; and other risks and uncertainties affecting the Company including those described in the “Risk Factors” section included in our Registration Statement on Form S-1 declared effective by the SEC on September 20, 2018 and in our other SEC filings. Any forward-looking statements contained in this press release speak only as of the date hereof, and the Company undertakes no obligation to update any forward-looking statement, whether as a result of new information, future events or otherwise.</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Contact:</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Y-mAbs Therapeutics, Inc.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230 Park Avenue, suite 3350</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NY 10169</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USA</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+1 646 885 8505</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E-mail: info@ymabs.com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218440</wp:posOffset>
            </wp:positionV>
            <wp:extent cx="7267575" cy="298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sectPr>
      <w:pgSz w:w="11900" w:h="16838" w:orient="portrait"/>
      <w:cols w:equalWidth="0" w:num="1">
        <w:col w:w="11420"/>
      </w:cols>
      <w:pgMar w:left="240" w:top="121"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o"/>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2019-12-28T18:53:58Z</dcterms:created>
  <dcterms:modified xsi:type="dcterms:W3CDTF">2019-12-28T18:53:58Z</dcterms:modified>
</cp:coreProperties>
</file>