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Rajah Vignesh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5"/>
        <w:spacing w:after="0"/>
        <w:rPr>
          <w:sz w:val="20"/>
          <w:szCs w:val="20"/>
          <w:color w:val="auto"/>
        </w:rPr>
      </w:pPr>
      <w:r>
        <w:rPr>
          <w:rFonts w:ascii="Arial" w:cs="Arial" w:eastAsia="Arial" w:hAnsi="Arial"/>
          <w:sz w:val="17"/>
          <w:szCs w:val="17"/>
          <w:color w:val="0000FF"/>
        </w:rPr>
        <w:t>SVP &amp; CMO</w:t>
      </w:r>
    </w:p>
    <w:p>
      <w:pPr>
        <w:spacing w:after="0" w:line="40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10169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gridSpan w:val="3"/>
          </w:tcPr>
          <w:p>
            <w:pPr>
              <w:ind w:left="800"/>
              <w:spacing w:after="0"/>
              <w:rPr>
                <w:sz w:val="20"/>
                <w:szCs w:val="20"/>
                <w:color w:val="auto"/>
              </w:rPr>
            </w:pPr>
            <w:r>
              <w:rPr>
                <w:rFonts w:ascii="Arial" w:cs="Arial" w:eastAsia="Arial" w:hAnsi="Arial"/>
                <w:sz w:val="17"/>
                <w:szCs w:val="17"/>
                <w:color w:val="0000FF"/>
              </w:rPr>
              <w:t>08/12/2021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Pr>
          <w:p>
            <w:pPr>
              <w:ind w:left="180"/>
              <w:spacing w:after="0"/>
              <w:rPr>
                <w:sz w:val="20"/>
                <w:szCs w:val="20"/>
                <w:color w:val="auto"/>
              </w:rPr>
            </w:pPr>
            <w:r>
              <w:rPr>
                <w:rFonts w:ascii="Arial" w:cs="Arial" w:eastAsia="Arial" w:hAnsi="Arial"/>
                <w:sz w:val="17"/>
                <w:szCs w:val="17"/>
                <w:color w:val="0000FF"/>
              </w:rPr>
              <w:t>1,374</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60" w:type="dxa"/>
            <w:vAlign w:val="bottom"/>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29.947</w:t>
            </w: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3,071</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line="275" w:lineRule="exact"/>
              <w:rPr>
                <w:sz w:val="20"/>
                <w:szCs w:val="20"/>
                <w:color w:val="auto"/>
              </w:rPr>
            </w:pPr>
            <w:r>
              <w:rPr>
                <w:rFonts w:ascii="Arial" w:cs="Arial" w:eastAsia="Arial" w:hAnsi="Arial"/>
                <w:sz w:val="31"/>
                <w:szCs w:val="31"/>
                <w:color w:val="0000FF"/>
                <w:vertAlign w:val="subscript"/>
              </w:rPr>
              <w:t>minor</w:t>
            </w:r>
            <w:r>
              <w:rPr>
                <w:rFonts w:ascii="Arial" w:cs="Arial" w:eastAsia="Arial" w:hAnsi="Arial"/>
                <w:sz w:val="11"/>
                <w:szCs w:val="11"/>
                <w:color w:val="008000"/>
              </w:rPr>
              <w:t>(1)(2)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40" w:type="dxa"/>
            <w:vAlign w:val="bottom"/>
            <w:gridSpan w:val="13"/>
          </w:tcPr>
          <w:p>
            <w:pPr>
              <w:jc w:val="center"/>
              <w:ind w:righ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2,838 shares of common stock owned by Reporting Person's spouse and 233 held by Reporting Person's minor child. Reporting Person may be deemed to have a pecuniary interest in the securities due to family relationship.</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disclaims beneficial ownership of the securities reported and this report shall not be deemed an admission that Reporting Person is the beneficial owner of such securities for purposes of Section 16 of the Securities Exchange Act, as amended, or for any other purpose.</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Vignesh Rajah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08/13/2021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042"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2021-08-13T16:42:25Z</dcterms:created>
  <dcterms:modified xsi:type="dcterms:W3CDTF">2021-08-13T16:42:25Z</dcterms:modified>
</cp:coreProperties>
</file>