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122555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39" w:lineRule="exact"/>
        <w:rPr>
          <w:sz w:val="24"/>
          <w:szCs w:val="24"/>
          <w:color w:val="auto"/>
        </w:rPr>
      </w:pPr>
    </w:p>
    <w:p>
      <w:pPr>
        <w:ind w:left="400" w:hanging="350"/>
        <w:spacing w:after="0"/>
        <w:tabs>
          <w:tab w:leader="none" w:pos="4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March 31, 2022</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80" w:lineRule="exact"/>
        <w:rPr>
          <w:sz w:val="24"/>
          <w:szCs w:val="24"/>
          <w:color w:val="auto"/>
        </w:rPr>
      </w:pPr>
    </w:p>
    <w:p>
      <w:pPr>
        <w:ind w:left="400" w:hanging="350"/>
        <w:spacing w:after="0"/>
        <w:tabs>
          <w:tab w:leader="none" w:pos="4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82" w:lineRule="exact"/>
        <w:rPr>
          <w:sz w:val="24"/>
          <w:szCs w:val="24"/>
          <w:color w:val="auto"/>
        </w:rPr>
      </w:pPr>
    </w:p>
    <w:p>
      <w:pPr>
        <w:ind w:left="3340"/>
        <w:spacing w:after="0"/>
        <w:tabs>
          <w:tab w:leader="none" w:pos="5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001-38650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Y-mAbs Therapeutics, Inc.</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p>
      <w:pPr>
        <w:spacing w:after="0" w:line="336"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47-4619612</w:t>
      </w:r>
    </w:p>
    <w:p>
      <w:pPr>
        <w:spacing w:after="0" w:line="152" w:lineRule="exact"/>
        <w:rPr>
          <w:sz w:val="24"/>
          <w:szCs w:val="24"/>
          <w:color w:val="auto"/>
        </w:rPr>
      </w:pPr>
    </w:p>
    <w:p>
      <w:pPr>
        <w:sectPr>
          <w:pgSz w:w="11900" w:h="16838" w:orient="portrait"/>
          <w:cols w:equalWidth="0" w:num="2">
            <w:col w:w="5700" w:space="720"/>
            <w:col w:w="2599"/>
          </w:cols>
          <w:pgMar w:left="1440" w:top="665" w:right="1440" w:bottom="1440" w:gutter="0" w:footer="0" w:header="0"/>
          <w:type w:val="continuous"/>
        </w:sectPr>
      </w:pPr>
    </w:p>
    <w:p>
      <w:pPr>
        <w:ind w:left="140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ind w:left="13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64" w:lineRule="exact"/>
        <w:rPr>
          <w:sz w:val="24"/>
          <w:szCs w:val="24"/>
          <w:color w:val="auto"/>
        </w:rPr>
      </w:pPr>
    </w:p>
    <w:p>
      <w:pPr>
        <w:sectPr>
          <w:pgSz w:w="11900" w:h="16838" w:orient="portrait"/>
          <w:cols w:equalWidth="0" w:num="2">
            <w:col w:w="5520" w:space="720"/>
            <w:col w:w="2779"/>
          </w:cols>
          <w:pgMar w:left="1440" w:top="665" w:right="1440"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230 Park Avenue</w:t>
      </w:r>
    </w:p>
    <w:p>
      <w:pPr>
        <w:jc w:val="center"/>
        <w:ind w:right="19"/>
        <w:spacing w:after="0" w:line="226" w:lineRule="auto"/>
        <w:rPr>
          <w:sz w:val="20"/>
          <w:szCs w:val="20"/>
          <w:color w:val="auto"/>
        </w:rPr>
      </w:pPr>
      <w:r>
        <w:rPr>
          <w:rFonts w:ascii="Arial" w:cs="Arial" w:eastAsia="Arial" w:hAnsi="Arial"/>
          <w:sz w:val="14"/>
          <w:szCs w:val="14"/>
          <w:b w:val="1"/>
          <w:bCs w:val="1"/>
          <w:color w:val="auto"/>
        </w:rPr>
        <w:t>Suite 3350</w:t>
      </w:r>
    </w:p>
    <w:p>
      <w:pPr>
        <w:jc w:val="center"/>
        <w:ind w:right="19"/>
        <w:spacing w:after="0" w:line="221" w:lineRule="auto"/>
        <w:rPr>
          <w:sz w:val="20"/>
          <w:szCs w:val="20"/>
          <w:color w:val="auto"/>
        </w:rPr>
      </w:pPr>
      <w:r>
        <w:rPr>
          <w:rFonts w:ascii="Arial" w:cs="Arial" w:eastAsia="Arial" w:hAnsi="Arial"/>
          <w:sz w:val="14"/>
          <w:szCs w:val="14"/>
          <w:b w:val="1"/>
          <w:bCs w:val="1"/>
          <w:color w:val="auto"/>
        </w:rPr>
        <w:t>New York, NY 10169</w:t>
      </w:r>
    </w:p>
    <w:p>
      <w:pPr>
        <w:jc w:val="center"/>
        <w:ind w:right="19"/>
        <w:spacing w:after="0"/>
        <w:rPr>
          <w:sz w:val="20"/>
          <w:szCs w:val="20"/>
          <w:color w:val="auto"/>
        </w:rPr>
      </w:pPr>
      <w:r>
        <w:rPr>
          <w:rFonts w:ascii="Arial" w:cs="Arial" w:eastAsia="Arial" w:hAnsi="Arial"/>
          <w:sz w:val="13"/>
          <w:szCs w:val="13"/>
          <w:color w:val="auto"/>
        </w:rPr>
        <w:t>(Address of principal executive offices)</w:t>
      </w:r>
    </w:p>
    <w:p>
      <w:pPr>
        <w:jc w:val="center"/>
        <w:ind w:right="19"/>
        <w:spacing w:after="0"/>
        <w:rPr>
          <w:sz w:val="20"/>
          <w:szCs w:val="20"/>
          <w:color w:val="auto"/>
        </w:rPr>
      </w:pPr>
      <w:r>
        <w:rPr>
          <w:rFonts w:ascii="Arial" w:cs="Arial" w:eastAsia="Arial" w:hAnsi="Arial"/>
          <w:sz w:val="14"/>
          <w:szCs w:val="14"/>
          <w:color w:val="auto"/>
        </w:rPr>
        <w:t>(Zip Code)</w:t>
      </w:r>
    </w:p>
    <w:p>
      <w:pPr>
        <w:sectPr>
          <w:pgSz w:w="11900" w:h="16838" w:orient="portrait"/>
          <w:cols w:equalWidth="0" w:num="1">
            <w:col w:w="9019"/>
          </w:cols>
          <w:pgMar w:left="1440" w:top="665" w:right="1440" w:bottom="1440" w:gutter="0" w:footer="0" w:header="0"/>
          <w:type w:val="continuous"/>
        </w:sectPr>
      </w:pP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(646)-885-8505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22" w:lineRule="exact"/>
        <w:rPr>
          <w:sz w:val="24"/>
          <w:szCs w:val="24"/>
          <w:color w:val="auto"/>
        </w:rPr>
      </w:pPr>
    </w:p>
    <w:tbl>
      <w:tblPr>
        <w:tblLayout w:type="fixed"/>
        <w:tblInd w:w="960" w:type="dxa"/>
        <w:tblCellMar>
          <w:top w:w="0" w:type="dxa"/>
          <w:left w:w="0" w:type="dxa"/>
          <w:bottom w:w="0" w:type="dxa"/>
          <w:right w:w="0" w:type="dxa"/>
        </w:tblCellMar>
      </w:tblPr>
      <w:tr>
        <w:trPr>
          <w:trHeight w:val="135"/>
        </w:trPr>
        <w:tc>
          <w:tcPr>
            <w:tcW w:w="3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Title of each class:</w:t>
            </w:r>
          </w:p>
        </w:tc>
        <w:tc>
          <w:tcPr>
            <w:tcW w:w="11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Trading Symbol</w:t>
            </w:r>
          </w:p>
        </w:tc>
        <w:tc>
          <w:tcPr>
            <w:tcW w:w="290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76"/>
        </w:trPr>
        <w:tc>
          <w:tcPr>
            <w:tcW w:w="2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Common Stock, $0.0001 par value</w:t>
            </w:r>
          </w:p>
        </w:tc>
        <w:tc>
          <w:tcPr>
            <w:tcW w:w="12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YMAB</w:t>
            </w:r>
          </w:p>
        </w:tc>
        <w:tc>
          <w:tcPr>
            <w:tcW w:w="120" w:type="dxa"/>
            <w:vAlign w:val="bottom"/>
          </w:tcPr>
          <w:p>
            <w:pPr>
              <w:spacing w:after="0"/>
              <w:rPr>
                <w:sz w:val="15"/>
                <w:szCs w:val="15"/>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167005</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400" w:lineRule="exact"/>
        <w:rPr>
          <w:sz w:val="24"/>
          <w:szCs w:val="24"/>
          <w:color w:val="auto"/>
        </w:rPr>
      </w:pPr>
    </w:p>
    <w:p>
      <w:pPr>
        <w:ind w:left="60" w:right="17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left="60" w:right="79"/>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left="60" w:right="339"/>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type w:val="continuous"/>
        </w:sectPr>
      </w:pPr>
    </w:p>
    <w:p>
      <w:pPr>
        <w:spacing w:after="0" w:line="61" w:lineRule="exact"/>
        <w:rPr>
          <w:sz w:val="24"/>
          <w:szCs w:val="24"/>
          <w:color w:val="auto"/>
        </w:rPr>
      </w:pPr>
    </w:p>
    <w:p>
      <w:pPr>
        <w:ind w:left="15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480" w:space="720"/>
            <w:col w:w="2819"/>
          </w:cols>
          <w:pgMar w:left="1440" w:top="665" w:right="1440" w:bottom="1440" w:gutter="0" w:footer="0" w:header="0"/>
          <w:type w:val="continuous"/>
        </w:sectPr>
      </w:pPr>
    </w:p>
    <w:p>
      <w:pPr>
        <w:ind w:left="15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6" w:lineRule="exact"/>
        <w:rPr>
          <w:sz w:val="24"/>
          <w:szCs w:val="24"/>
          <w:color w:val="auto"/>
        </w:rPr>
      </w:pPr>
    </w:p>
    <w:p>
      <w:pPr>
        <w:sectPr>
          <w:pgSz w:w="11900" w:h="16838" w:orient="portrait"/>
          <w:cols w:equalWidth="0" w:num="3">
            <w:col w:w="5160" w:space="720"/>
            <w:col w:w="1560" w:space="80"/>
            <w:col w:w="1499"/>
          </w:cols>
          <w:pgMar w:left="1440" w:top="665" w:right="1440" w:bottom="1440" w:gutter="0" w:footer="0" w:header="0"/>
          <w:type w:val="continuous"/>
        </w:sectPr>
      </w:pPr>
    </w:p>
    <w:p>
      <w:pPr>
        <w:ind w:left="60" w:right="1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23" w:lineRule="exact"/>
        <w:rPr>
          <w:sz w:val="24"/>
          <w:szCs w:val="24"/>
          <w:color w:val="auto"/>
        </w:rPr>
      </w:pPr>
    </w:p>
    <w:p>
      <w:pPr>
        <w:ind w:left="700"/>
        <w:spacing w:after="0"/>
        <w:rPr>
          <w:sz w:val="20"/>
          <w:szCs w:val="20"/>
          <w:color w:val="auto"/>
        </w:rPr>
      </w:pPr>
      <w:r>
        <w:rPr>
          <w:rFonts w:ascii="Arial" w:cs="Arial" w:eastAsia="Arial" w:hAnsi="Arial"/>
          <w:sz w:val="14"/>
          <w:szCs w:val="14"/>
          <w:color w:val="auto"/>
        </w:rPr>
        <w:t>There were 43,718,165 shares of Common Stock ($0.0001 par value) outstanding as of May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801370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424180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68"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w:t>
      </w:r>
    </w:p>
    <w:p>
      <w:pPr>
        <w:spacing w:after="0" w:line="184"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Unless expressly indicated or the context requires otherwise, the terms "”Y-mAbs,” "company," "we," "us," and "our" in this document refer to Y-mAbs Therapeutics, Inc., a Delaware corporation, and, where appropriate, its subsidiaries.</w:t>
      </w:r>
    </w:p>
    <w:p>
      <w:pPr>
        <w:spacing w:after="0" w:line="124"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licensing agreements, collaborations, joint ventures or investments that we may make.</w:t>
      </w:r>
    </w:p>
    <w:p>
      <w:pPr>
        <w:spacing w:after="0" w:line="16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Our business is subject to a number of risks, including risks that may prevent us from achieving our business objectives or may adversely affect our business, financial condition, results of operations, cash flows, and prospects.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risks are discussed more fully below and include, but are not limited to, risks related to:</w:t>
      </w:r>
    </w:p>
    <w:p>
      <w:pPr>
        <w:spacing w:after="0" w:line="225" w:lineRule="exact"/>
        <w:rPr>
          <w:sz w:val="20"/>
          <w:szCs w:val="20"/>
          <w:color w:val="auto"/>
        </w:rPr>
      </w:pPr>
    </w:p>
    <w:p>
      <w:pPr>
        <w:ind w:left="1100" w:right="139" w:hanging="388"/>
        <w:spacing w:after="0" w:line="311" w:lineRule="auto"/>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launch and commercialize DANYELZA® (naxitamab-gqgk), referred to as DANYELZA, for the treatment of relapsed/refractory high-risk neuroblastoma in bone and/or bone marrow, in the United States and in any other jurisdictions where we may receive marketing approval in the future;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519" w:hanging="388"/>
        <w:spacing w:after="0" w:line="255"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obtain regulatory approval and develop and commercialize our lead product candidate, omburtamab, and other product candidates, including the potential clinical efficacy, safety and other benefits thereof;</w:t>
      </w:r>
    </w:p>
    <w:p>
      <w:pPr>
        <w:spacing w:after="0" w:line="2" w:lineRule="exact"/>
        <w:rPr>
          <w:rFonts w:ascii="Arial" w:cs="Arial" w:eastAsia="Arial" w:hAnsi="Arial"/>
          <w:sz w:val="18"/>
          <w:szCs w:val="18"/>
          <w:color w:val="auto"/>
        </w:rPr>
      </w:pPr>
    </w:p>
    <w:p>
      <w:pPr>
        <w:ind w:left="1100" w:right="63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for DANYELZA or any current or future product candidate for which we may receive marketing approval;</w:t>
      </w:r>
    </w:p>
    <w:p>
      <w:pPr>
        <w:jc w:val="both"/>
        <w:ind w:left="1100" w:right="7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approval of our Biological License Application, or BLA, for omburtamab, and whether we will be successful in obtaining a priority review voucher for omburtamab and the commercial value to be realized from any such, Priority Review Voucher, or PRV;</w:t>
      </w:r>
    </w:p>
    <w:p>
      <w:pPr>
        <w:spacing w:after="0" w:line="1" w:lineRule="exact"/>
        <w:rPr>
          <w:rFonts w:ascii="Arial" w:cs="Arial" w:eastAsia="Arial" w:hAnsi="Arial"/>
          <w:sz w:val="18"/>
          <w:szCs w:val="18"/>
          <w:color w:val="auto"/>
        </w:rPr>
      </w:pPr>
    </w:p>
    <w:p>
      <w:pPr>
        <w:ind w:left="1100" w:right="13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DANYELZA, omburtamab and any current or future product candidate for which we may receive marketing approval, including our plans with respect to the focus and activities of our sales force, the nature of our marketing, market access and patient support activities of DANYELZA and related assumptions;</w:t>
      </w:r>
    </w:p>
    <w:p>
      <w:pPr>
        <w:spacing w:after="0" w:line="1" w:lineRule="exact"/>
        <w:rPr>
          <w:rFonts w:ascii="Arial" w:cs="Arial" w:eastAsia="Arial" w:hAnsi="Arial"/>
          <w:sz w:val="18"/>
          <w:szCs w:val="18"/>
          <w:color w:val="auto"/>
        </w:rPr>
      </w:pPr>
    </w:p>
    <w:p>
      <w:pPr>
        <w:ind w:left="1100" w:right="15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coverage and reimbursement of, and the extent to which patient assistance programs are utilized for DANYELZA, omburtamab or any current or future product candidate for which we may receive marketing approval;</w:t>
      </w:r>
    </w:p>
    <w:p>
      <w:pPr>
        <w:spacing w:after="0" w:line="1" w:lineRule="exact"/>
        <w:rPr>
          <w:rFonts w:ascii="Arial" w:cs="Arial" w:eastAsia="Arial" w:hAnsi="Arial"/>
          <w:sz w:val="18"/>
          <w:szCs w:val="18"/>
          <w:color w:val="auto"/>
        </w:rPr>
      </w:pPr>
    </w:p>
    <w:p>
      <w:pPr>
        <w:ind w:left="1100" w:right="79" w:hanging="388"/>
        <w:spacing w:after="0" w:line="265"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ongoing and future clinical trials for DANYELZA and our lead product candidate omburtamab and other product candidates, whether conducted by us or by any of our collaborators, including the timing of initiation of these trials, the pace of enrollment, the completion of enrollment, the availability of data from these trials, the expected dates of BLA submission and approval by the United States Food and Drug Administration, or FDA, and equivalent foreign regulatory authorities and of the anticipated results;</w:t>
      </w:r>
    </w:p>
    <w:p>
      <w:pPr>
        <w:ind w:left="1100" w:right="9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business, operations and clinical development plans and timelines could be adversely affected by the effects of health epidemics, including the COVID-19 pandemic, on the manufacturing, clinical trial and other business activities performed by us or by third parties with whom we conduct business, including our contract manufacturers, or CMOs, contract research organizations, or CROs, shippers and others;</w:t>
      </w:r>
    </w:p>
    <w:p>
      <w:pPr>
        <w:spacing w:after="0" w:line="1" w:lineRule="exact"/>
        <w:rPr>
          <w:rFonts w:ascii="Arial" w:cs="Arial" w:eastAsia="Arial" w:hAnsi="Arial"/>
          <w:sz w:val="18"/>
          <w:szCs w:val="18"/>
          <w:color w:val="auto"/>
        </w:rPr>
      </w:pPr>
    </w:p>
    <w:p>
      <w:pPr>
        <w:ind w:left="1100" w:hanging="38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integrate, manage and retain qualified personnel or key employees;</w:t>
      </w:r>
    </w:p>
    <w:p>
      <w:pPr>
        <w:spacing w:after="0" w:line="9" w:lineRule="exact"/>
        <w:rPr>
          <w:rFonts w:ascii="Arial" w:cs="Arial" w:eastAsia="Arial" w:hAnsi="Arial"/>
          <w:sz w:val="18"/>
          <w:szCs w:val="18"/>
          <w:color w:val="auto"/>
        </w:rPr>
      </w:pPr>
    </w:p>
    <w:p>
      <w:pPr>
        <w:ind w:left="1100" w:right="21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marketing and reimbursement approvals for our product candidates;</w:t>
      </w:r>
    </w:p>
    <w:p>
      <w:pPr>
        <w:ind w:left="1100" w:hanging="38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1100" w:right="619" w:hanging="388"/>
        <w:spacing w:after="0" w:line="281"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intellectual property position and strategy and the scope of protection we are able to establish and maintain for the intellectual property rights covering our product candidates and technology;</w:t>
      </w:r>
    </w:p>
    <w:p>
      <w:pPr>
        <w:spacing w:after="0" w:line="1" w:lineRule="exact"/>
        <w:rPr>
          <w:rFonts w:ascii="Arial" w:cs="Arial" w:eastAsia="Arial" w:hAnsi="Arial"/>
          <w:sz w:val="16"/>
          <w:szCs w:val="16"/>
          <w:color w:val="auto"/>
        </w:rPr>
      </w:pPr>
    </w:p>
    <w:p>
      <w:pPr>
        <w:ind w:left="1100" w:right="87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ind w:left="1100" w:right="35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 and the potential benefits of any such collaboration or partnership;</w:t>
      </w:r>
    </w:p>
    <w:p>
      <w:pPr>
        <w:spacing w:after="0" w:line="1" w:lineRule="exact"/>
        <w:rPr>
          <w:rFonts w:ascii="Arial" w:cs="Arial" w:eastAsia="Arial" w:hAnsi="Arial"/>
          <w:sz w:val="18"/>
          <w:szCs w:val="18"/>
          <w:color w:val="auto"/>
        </w:rPr>
      </w:pPr>
    </w:p>
    <w:p>
      <w:pPr>
        <w:ind w:left="1100" w:right="119" w:hanging="388"/>
        <w:spacing w:after="0" w:line="281"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continue to maintain and leverage our relationship with Memorial Sloan Kettering Cancer Center, or MSK, including our exclusive rights to the 2015 MSK License Agreement (as amended), or MSK License, the 2020 SADA Technology License Agreement, or SADA License Agreement, and current and future technology and our relationship with MSK as a user of DANYELZA and any future products;</w:t>
      </w:r>
    </w:p>
    <w:p>
      <w:pPr>
        <w:spacing w:after="0" w:line="2" w:lineRule="exact"/>
        <w:rPr>
          <w:rFonts w:ascii="Arial" w:cs="Arial" w:eastAsia="Arial" w:hAnsi="Arial"/>
          <w:sz w:val="16"/>
          <w:szCs w:val="16"/>
          <w:color w:val="auto"/>
        </w:rPr>
      </w:pPr>
    </w:p>
    <w:p>
      <w:pPr>
        <w:ind w:left="1100" w:hanging="388"/>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related to the use of our cash and cash equivalents, how long that cash is expected to last;</w:t>
      </w:r>
    </w:p>
    <w:p>
      <w:pPr>
        <w:spacing w:after="0" w:line="32" w:lineRule="exact"/>
        <w:rPr>
          <w:rFonts w:ascii="Arial" w:cs="Arial" w:eastAsia="Arial" w:hAnsi="Arial"/>
          <w:sz w:val="16"/>
          <w:szCs w:val="16"/>
          <w:color w:val="auto"/>
        </w:rPr>
      </w:pPr>
    </w:p>
    <w:p>
      <w:pPr>
        <w:ind w:left="1100" w:right="11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timing and amount of any future financing transaction and the impact of our current stock price on our ability to raise additional capital on favorable terms;</w:t>
      </w:r>
    </w:p>
    <w:p>
      <w:pPr>
        <w:ind w:left="1100" w:right="79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cash flow, capital expenditure requirements;</w:t>
      </w:r>
    </w:p>
    <w:p>
      <w:pPr>
        <w:ind w:left="1100" w:hanging="38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jc w:val="both"/>
        <w:ind w:left="1100" w:right="41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effects on our business, financial condition and results of operations from the global COVID-19 pandemic, including the pace of enrollment in our clinical trials, the effects of the pandemic on the well-being of our personnel;</w:t>
      </w:r>
    </w:p>
    <w:p>
      <w:pPr>
        <w:spacing w:after="0" w:line="1" w:lineRule="exact"/>
        <w:rPr>
          <w:rFonts w:ascii="Arial" w:cs="Arial" w:eastAsia="Arial" w:hAnsi="Arial"/>
          <w:sz w:val="18"/>
          <w:szCs w:val="18"/>
          <w:color w:val="auto"/>
        </w:rPr>
      </w:pPr>
    </w:p>
    <w:p>
      <w:pPr>
        <w:ind w:left="1100" w:right="259" w:hanging="388"/>
        <w:spacing w:after="0" w:line="26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recent global conflict resulting from the invasion of Ukraine by Russia, the suspension of our clinical trial activities in Russia;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379" w:hanging="388"/>
        <w:spacing w:after="0" w:line="274"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dependence on, and difficulty to find a suitable replacement for, a small number of third party CMOs that we currently use for the complex and difficult manufacture of our product candidates;</w:t>
      </w:r>
    </w:p>
    <w:p>
      <w:pPr>
        <w:ind w:left="1100" w:right="299" w:hanging="388"/>
        <w:spacing w:after="0" w:line="250"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government laws and regulations, and our ability to comply with healthcare laws and regulations in the United States and any foreign countries, including, without limitation, those applying to the marketing and sale of pharmaceutical products; and</w:t>
      </w:r>
    </w:p>
    <w:p>
      <w:pPr>
        <w:spacing w:after="0" w:line="1" w:lineRule="exact"/>
        <w:rPr>
          <w:rFonts w:ascii="Arial" w:cs="Arial" w:eastAsia="Arial" w:hAnsi="Arial"/>
          <w:sz w:val="18"/>
          <w:szCs w:val="18"/>
          <w:color w:val="auto"/>
        </w:rPr>
      </w:pPr>
    </w:p>
    <w:p>
      <w:pPr>
        <w:ind w:left="1100" w:hanging="388"/>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described in the section herein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8"/>
            <w:vMerge w:val="restart"/>
          </w:tcPr>
          <w:p>
            <w:pPr>
              <w:jc w:val="cente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PART I — FINANCIAL INFORMATION</w:t>
              </w:r>
            </w:hyperlink>
          </w:p>
        </w:tc>
        <w:tc>
          <w:tcPr>
            <w:tcW w:w="2180" w:type="dxa"/>
            <w:vAlign w:val="bottom"/>
            <w:gridSpan w:val="6"/>
            <w:vMerge w:val="restart"/>
          </w:tcPr>
          <w:p>
            <w:pPr>
              <w:spacing w:after="0"/>
              <w:rPr>
                <w:sz w:val="15"/>
                <w:szCs w:val="15"/>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6"/>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60" w:type="dxa"/>
            <w:vAlign w:val="bottom"/>
            <w:tcBorders>
              <w:bottom w:val="single" w:sz="8" w:color="0000EE"/>
            </w:tcBorders>
            <w:gridSpan w:val="8"/>
            <w:vMerge w:val="continue"/>
          </w:tcPr>
          <w:p>
            <w:pPr>
              <w:spacing w:after="0"/>
              <w:rPr>
                <w:sz w:val="13"/>
                <w:szCs w:val="13"/>
                <w:color w:val="auto"/>
              </w:rPr>
            </w:pPr>
          </w:p>
        </w:tc>
        <w:tc>
          <w:tcPr>
            <w:tcW w:w="218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94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746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Financial Statements</w:t>
              </w:r>
            </w:hyperlink>
            <w:r>
              <w:rPr>
                <w:rFonts w:ascii="Arial" w:cs="Arial" w:eastAsia="Arial" w:hAnsi="Arial"/>
                <w:sz w:val="18"/>
                <w:szCs w:val="18"/>
                <w:color w:val="000000"/>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6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Sheets (unaudited) as of March 31, 2022 and December 31, 2021</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60" w:type="dxa"/>
            <w:vAlign w:val="bottom"/>
            <w:gridSpan w:val="22"/>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Consolidated Statements of Net Income/(Loss) and Comprehensive Income/(Loss) (unaudited) for the</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three months ended March 31, 2022 and 2021</w:t>
              </w:r>
            </w:hyperlink>
          </w:p>
        </w:tc>
        <w:tc>
          <w:tcPr>
            <w:tcW w:w="3900" w:type="dxa"/>
            <w:vAlign w:val="bottom"/>
            <w:tcBorders>
              <w:top w:val="single" w:sz="8" w:color="0000EE"/>
            </w:tcBorders>
            <w:gridSpan w:val="9"/>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60" w:type="dxa"/>
            <w:vAlign w:val="bottom"/>
            <w:gridSpan w:val="22"/>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Consolidated Statements of Changes in Stockholders’ Equity (unaudited) for the three months ended</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March 31, 2022 and 2021</w:t>
              </w:r>
            </w:hyperlink>
          </w:p>
        </w:tc>
        <w:tc>
          <w:tcPr>
            <w:tcW w:w="22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60" w:type="dxa"/>
            <w:vAlign w:val="bottom"/>
            <w:gridSpan w:val="22"/>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Consolidated Statements of Cash Flows (unaudited) for the three months ended March 31, 2022 and</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top w:val="single" w:sz="8" w:color="0000EE"/>
            </w:tcBorders>
            <w:gridSpan w:val="2"/>
          </w:tcPr>
          <w:p>
            <w:pPr>
              <w:ind w:left="140"/>
              <w:spacing w:after="0" w:line="196" w:lineRule="exact"/>
              <w:rPr>
                <w:rFonts w:ascii="Arial" w:cs="Arial" w:eastAsia="Arial" w:hAnsi="Arial"/>
                <w:sz w:val="18"/>
                <w:szCs w:val="18"/>
                <w:color w:val="0000EE"/>
                <w:w w:val="84"/>
              </w:rPr>
            </w:pPr>
            <w:hyperlink w:anchor="page9">
              <w:r>
                <w:rPr>
                  <w:rFonts w:ascii="Arial" w:cs="Arial" w:eastAsia="Arial" w:hAnsi="Arial"/>
                  <w:sz w:val="18"/>
                  <w:szCs w:val="18"/>
                  <w:color w:val="0000EE"/>
                  <w:w w:val="84"/>
                </w:rPr>
                <w:t>2021</w:t>
              </w:r>
            </w:hyperlink>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6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 (unaudited)</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746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746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746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gridSpan w:val="12"/>
          </w:tcPr>
          <w:p>
            <w:pPr>
              <w:jc w:val="center"/>
              <w:ind w:right="2340"/>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PART II — 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w:t>
              </w:r>
            </w:hyperlink>
          </w:p>
        </w:tc>
        <w:tc>
          <w:tcPr>
            <w:tcW w:w="238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2740" w:type="dxa"/>
            <w:vAlign w:val="bottom"/>
            <w:tcBorders>
              <w:top w:val="single" w:sz="8" w:color="0000EE"/>
            </w:tcBorders>
            <w:gridSpan w:val="5"/>
          </w:tcPr>
          <w:p>
            <w:pPr>
              <w:spacing w:after="0"/>
              <w:rPr>
                <w:sz w:val="24"/>
                <w:szCs w:val="24"/>
                <w:color w:val="auto"/>
              </w:rPr>
            </w:pPr>
          </w:p>
        </w:tc>
        <w:tc>
          <w:tcPr>
            <w:tcW w:w="234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Item 1A.</w:t>
              </w:r>
            </w:hyperlink>
          </w:p>
        </w:tc>
        <w:tc>
          <w:tcPr>
            <w:tcW w:w="300" w:type="dxa"/>
            <w:vAlign w:val="bottom"/>
          </w:tcPr>
          <w:p>
            <w:pPr>
              <w:spacing w:after="0"/>
              <w:rPr>
                <w:sz w:val="17"/>
                <w:szCs w:val="17"/>
                <w:color w:val="auto"/>
              </w:rPr>
            </w:pPr>
          </w:p>
        </w:tc>
        <w:tc>
          <w:tcPr>
            <w:tcW w:w="746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Item 2.</w:t>
              </w:r>
            </w:hyperlink>
          </w:p>
        </w:tc>
        <w:tc>
          <w:tcPr>
            <w:tcW w:w="300" w:type="dxa"/>
            <w:vAlign w:val="bottom"/>
          </w:tcPr>
          <w:p>
            <w:pPr>
              <w:spacing w:after="0"/>
              <w:rPr>
                <w:sz w:val="17"/>
                <w:szCs w:val="17"/>
                <w:color w:val="auto"/>
              </w:rPr>
            </w:pPr>
          </w:p>
        </w:tc>
        <w:tc>
          <w:tcPr>
            <w:tcW w:w="7460" w:type="dxa"/>
            <w:vAlign w:val="bottom"/>
            <w:gridSpan w:val="22"/>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Item 3.</w:t>
              </w:r>
            </w:hyperlink>
          </w:p>
        </w:tc>
        <w:tc>
          <w:tcPr>
            <w:tcW w:w="7460" w:type="dxa"/>
            <w:vAlign w:val="bottom"/>
            <w:gridSpan w:val="22"/>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Defaults Upon Senior Securities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Item 4.</w:t>
              </w:r>
            </w:hyperlink>
          </w:p>
        </w:tc>
        <w:tc>
          <w:tcPr>
            <w:tcW w:w="7460" w:type="dxa"/>
            <w:vAlign w:val="bottom"/>
            <w:gridSpan w:val="22"/>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Mine Safety Disclosures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700" w:type="dxa"/>
            <w:vAlign w:val="bottom"/>
            <w:gridSpan w:val="1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Item 5.</w:t>
              </w:r>
            </w:hyperlink>
          </w:p>
        </w:tc>
        <w:tc>
          <w:tcPr>
            <w:tcW w:w="7460" w:type="dxa"/>
            <w:vAlign w:val="bottom"/>
            <w:gridSpan w:val="22"/>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40" w:type="dxa"/>
            <w:vAlign w:val="bottom"/>
            <w:gridSpan w:val="1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Item 6.</w:t>
              </w:r>
            </w:hyperlink>
          </w:p>
        </w:tc>
        <w:tc>
          <w:tcPr>
            <w:tcW w:w="7460" w:type="dxa"/>
            <w:vAlign w:val="bottom"/>
            <w:gridSpan w:val="22"/>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Exhibits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You should read this Quarterly Report and the documents we have filed as exhibits to this Quarterly Report on Form 10-Q completely and with the understanding that our actual future results may be materially different from the plans, intentions, and expectations disclosed in the forward-looking statements we may make.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156,724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50"/>
        </w:trPr>
        <w:tc>
          <w:tcPr>
            <w:tcW w:w="67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191,047</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milestone and royalty payments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Operating lease liabilities, long-term portion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stock, $0.0001 par value, 5,500,000 shares authorized and none issued at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March 31, 2022 and December 31, 2021</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Pr>
          <w:p>
            <w:pPr>
              <w:spacing w:after="0" w:line="201" w:lineRule="exact"/>
              <w:rPr>
                <w:sz w:val="20"/>
                <w:szCs w:val="20"/>
                <w:color w:val="auto"/>
              </w:rPr>
            </w:pPr>
            <w:r>
              <w:rPr>
                <w:rFonts w:ascii="Arial" w:cs="Arial" w:eastAsia="Arial" w:hAnsi="Arial"/>
                <w:sz w:val="18"/>
                <w:szCs w:val="18"/>
                <w:color w:val="auto"/>
                <w:w w:val="92"/>
              </w:rPr>
              <w:t>Common stock, $0.0001 par value, 100,000,000 shares authorized at March 31, 2022 and</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w w:val="96"/>
              </w:rPr>
              <w:t>December 31, 2021; 43,718,165 and 43,694,716 shares issued at March 31, 2022 and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December 31, 2021, respectively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(368,543)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(340,475)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157,472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191,047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Income/(Loss) and Comprehensive Income/(Loss)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Product revenue, net</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10,486</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costs and expenses</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INCOME / (LOSS), NET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from sale of priority review voucher, net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and other loss</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 (LOSS)</w:t>
            </w: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33,413</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 (loss)</w:t>
            </w: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gridSpan w:val="2"/>
          </w:tcPr>
          <w:p>
            <w:pPr>
              <w:spacing w:after="0"/>
              <w:rPr>
                <w:sz w:val="20"/>
                <w:szCs w:val="20"/>
                <w:color w:val="auto"/>
              </w:rPr>
            </w:pPr>
            <w:r>
              <w:rPr>
                <w:rFonts w:ascii="Arial" w:cs="Arial" w:eastAsia="Arial" w:hAnsi="Arial"/>
                <w:sz w:val="18"/>
                <w:szCs w:val="18"/>
                <w:color w:val="auto"/>
              </w:rPr>
              <w:t>COMPREHENSIVE INCOME / (LOSS)</w:t>
            </w:r>
          </w:p>
        </w:tc>
        <w:tc>
          <w:tcPr>
            <w:tcW w:w="46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(27,757)</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Net income / (loss) per share attributable to common stockholders, basic</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(0.64)</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 outstanding, basic</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43,709,238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41,870,759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 (loss) per share attributable to common stockholders, diluted</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Weighted average common shares outstanding, diluted</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43,709,238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44,383,791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112"/>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40" w:type="dxa"/>
            <w:vAlign w:val="bottom"/>
          </w:tcPr>
          <w:p>
            <w:pPr>
              <w:spacing w:after="0"/>
              <w:rPr>
                <w:sz w:val="17"/>
                <w:szCs w:val="17"/>
                <w:color w:val="auto"/>
              </w:rPr>
            </w:pPr>
          </w:p>
        </w:tc>
        <w:tc>
          <w:tcPr>
            <w:tcW w:w="13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w w:val="94"/>
              </w:rPr>
              <w:t>Paid-in Capital</w:t>
            </w: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Income / (Loss)</w:t>
            </w:r>
          </w:p>
        </w:tc>
        <w:tc>
          <w:tcPr>
            <w:tcW w:w="14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40,688,447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391,558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(285,200)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105,836</w:t>
            </w:r>
          </w:p>
        </w:tc>
        <w:tc>
          <w:tcPr>
            <w:tcW w:w="0" w:type="dxa"/>
            <w:vAlign w:val="bottom"/>
          </w:tcPr>
          <w:p>
            <w:pPr>
              <w:spacing w:after="0"/>
              <w:rPr>
                <w:sz w:val="1"/>
                <w:szCs w:val="1"/>
                <w:color w:val="auto"/>
              </w:rPr>
            </w:pPr>
          </w:p>
        </w:tc>
      </w:tr>
      <w:tr>
        <w:trPr>
          <w:trHeight w:val="202"/>
        </w:trPr>
        <w:tc>
          <w:tcPr>
            <w:tcW w:w="3040" w:type="dxa"/>
            <w:vAlign w:val="bottom"/>
          </w:tcPr>
          <w:p>
            <w:pPr>
              <w:ind w:left="220"/>
              <w:spacing w:after="0" w:line="201" w:lineRule="exact"/>
              <w:rPr>
                <w:sz w:val="20"/>
                <w:szCs w:val="20"/>
                <w:color w:val="auto"/>
              </w:rPr>
            </w:pPr>
            <w:r>
              <w:rPr>
                <w:rFonts w:ascii="Arial" w:cs="Arial" w:eastAsia="Arial" w:hAnsi="Arial"/>
                <w:sz w:val="18"/>
                <w:szCs w:val="18"/>
                <w:color w:val="auto"/>
              </w:rPr>
              <w:t>Issuance of common stock to</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20"/>
              <w:spacing w:after="0"/>
              <w:rPr>
                <w:sz w:val="20"/>
                <w:szCs w:val="20"/>
                <w:color w:val="auto"/>
              </w:rPr>
            </w:pPr>
            <w:r>
              <w:rPr>
                <w:rFonts w:ascii="Arial" w:cs="Arial" w:eastAsia="Arial" w:hAnsi="Arial"/>
                <w:sz w:val="18"/>
                <w:szCs w:val="18"/>
                <w:color w:val="auto"/>
              </w:rPr>
              <w:t>investors, net of issuance costs</w:t>
            </w:r>
          </w:p>
        </w:tc>
        <w:tc>
          <w:tcPr>
            <w:tcW w:w="940" w:type="dxa"/>
            <w:vAlign w:val="bottom"/>
          </w:tcPr>
          <w:p>
            <w:pPr>
              <w:jc w:val="right"/>
              <w:spacing w:after="0"/>
              <w:rPr>
                <w:sz w:val="20"/>
                <w:szCs w:val="20"/>
                <w:color w:val="auto"/>
              </w:rPr>
            </w:pPr>
            <w:r>
              <w:rPr>
                <w:rFonts w:ascii="Arial" w:cs="Arial" w:eastAsia="Arial" w:hAnsi="Arial"/>
                <w:sz w:val="18"/>
                <w:szCs w:val="18"/>
                <w:color w:val="auto"/>
              </w:rPr>
              <w:t>2,804,878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107,725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w w:val="96"/>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9,094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33,413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33,413</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43,548,419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(251,787)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252,217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9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w w:val="94"/>
              </w:rPr>
              <w:t>Paid-in Capital</w:t>
            </w:r>
          </w:p>
        </w:tc>
        <w:tc>
          <w:tcPr>
            <w:tcW w:w="14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Income / (Loss)</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43,694,716</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519,206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(340,475)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180,106</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16,000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Balance March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43,718,165</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524,329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(368,543)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157,472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(28,068)</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33,413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Gain from sale of priority review voucher, net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transactions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liabilities and other</w:t>
            </w: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proceeds from sale of priority review voucher</w:t>
            </w: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107,725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exercised stock options</w:t>
            </w: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107,835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 (DECREASE) IN CASH AND CASH EQUIVALENTS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137,637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181,564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114,634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period</w:t>
            </w: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156,724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252,271</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acquisition in accrued milestones and royalty payments</w:t>
            </w: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Y mAbs Therapeutics, Inc. (“we,” “us,” “our,” the “Company,” or “Y-mAbs”) is a commercial stage biopharmaceutical company focused on the development and commercialization of novel, antibody based therapeutic products for the treatment of cancer. We are leveraging our proprietary antibody platforms and deep expertise in the field of antibodies to develop a broad portfolio of innovative medicines.</w:t>
      </w:r>
    </w:p>
    <w:p>
      <w:pPr>
        <w:spacing w:after="0" w:line="187"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Company is headquartered in New York and was incorporated on April 30, 2015 under the laws of the State of Delaware.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2—BASIS OF PRESENTATION</w:t>
      </w:r>
    </w:p>
    <w:p>
      <w:pPr>
        <w:spacing w:after="0" w:line="229"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Except for the quarter ended March 31, 2021, the Company has incurred losses since inception. Operations of the Company are subject to certain risks and uncertainties, including, among others, uncertainty of drug candidate development; technological uncertainty; uncertainty regarding patents and proprietary rights; uncertainty in obtaining the U.S. Food and Drug Administration (“FDA”) approval in the United States and regulatory approval in other jurisdictions; marketing or sales capability or experience; uncertainty in getting adequate payer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Company’s drug candidates are in various stages of development. DANYELZA (naxitamab-gqgk) was approved by the U.S. FDA in November 2020, but there can be no assurance that the Company’s other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financial statements have been prepared on the basis of continuity of operations, realization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assets and the satisfaction of liabilities in the ordinary course of business. The Company has experienced negative cash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flows from operations since inception, and had an accumulated deficit of $368,543,000 as of March 31, 2022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$340,475,000 as of December 31, 2021. Through March 31, 2022, the Company has funded its operations primarily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through proceeds from sales of shares of its common stock, including its initial public offering in September 2018 and its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subsequent public offerings in November 2019 and February 2021, as well as additional funding from the proceeds from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sales of DANYELZA and from proceeds from the sale of the DANYELZA PRV.</w:t>
      </w:r>
    </w:p>
    <w:p>
      <w:pPr>
        <w:spacing w:after="0" w:line="211"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On February 22, 2021, the Company announced the closing of its public offering of 2,804,878 shares of its common stock, at a public offering price of $41.00 per share, which includes the exercise in full of the underwriters' option to purchase 365,853 additional shares of common stock. The aggregate gross proceeds to the Company, before deducting underwriting discounts and commissions and offering expenses payable by the Company, were approximately $115,000,000.</w:t>
      </w:r>
    </w:p>
    <w:p>
      <w:pPr>
        <w:spacing w:after="0" w:line="188"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As of March 31, 2022, the Company had cash and cash equivalents of $156,724,000, and as of December 31, 2021 the Company had cash and cash equivalents of $181,564,000. As of the issuance date of the financial statements for the first quarter ended March 31, 2022, the Company expects that its cash and cash equivalents at March 31, 2022</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will be sufficient to fund its operating expenses and capital expenditure requirements through at least the next 12 months, irrespective of whether any additional product approvals are obtained.</w:t>
      </w:r>
    </w:p>
    <w:p>
      <w:pPr>
        <w:spacing w:after="0" w:line="170"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Company may raise additional capital to fund future operations through the sale of its equity securities, incurring debt, entering into licensing or collaboration agreements with partners, grants or other sources of financing. Sufficient funds may not be available to the Company on attractive terms or at all when needed from equity or debt financing. If FDA approval for omburtamab does not occur or is significantly delayed, and the Company is unable to obtain additional financing from these or other sources when needed, it will likely be necessary to take other actions to enhance its liquidity position which may include significantly reducing the current rate of spending through delaying, scaling back current operations, or suspending certain research and development programs and other operational programs.</w:t>
      </w:r>
    </w:p>
    <w:p>
      <w:pPr>
        <w:spacing w:after="0" w:line="166"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6"/>
          <w:szCs w:val="16"/>
          <w:color w:val="auto"/>
        </w:rPr>
        <w:t>The accompanying unaudited consolidated financial statements reflect the accounts of the Company and its wholly-owned subsidiaries and have been prepared in accordance with accounting principles generally accepted in the United States of America (“GAAP”) for interim financial information, Accounting Standards Codification (“ASC”) Topic 270-10 and with the instructions to Form 10-Q. Accordingly, these financial statements do not include all of the information and notes required by GAAP for complete financial statements. The unaudited interim financial statements include all adjustments (consisting only of normal recurring nature) necessary in the judgment of management for a fair statement of the results for the periods presented. All intercompany balances and transactions have been eliminated. The Company has evaluated subsequent events through the date of this filing. Operating results for the three-month period ended March 31, 2022 are not necessarily indicative of the results that may be expected for the year ended December 31, 2022, any other interim periods, or any future year or period. The December 31, 2021 consolidated balance sheet data was derived from audited financial statements, but does not include all disclosures required by GAAP. You should read these unaudited interim consolidated financial statements in conjunction with the consolidated financial statements and notes included in the Company’s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Our significant accounting policies are detailed in our Annual Report on Form 10-K for the year ended December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Company considers all highly liquid instruments with original maturities of three months or less from date of purchase to be cash equivalents. All cash and cash equivalents are held in highly rated securities including a Treasury money market fund which is unrestricted as to withdrawal or use. To date, the Company has not experienced any losses on its cash and cash equivalents. The carrying amount of cash and cash equivalents approximates its fair value due to its short-term and liquid nature. We maintain cash balances in excess of insured limits. The Company monitors the financial performance, credit ratings and liquidity of the money market fund to timely assess and respond to any changes in the asset values of the fund. We do not anticipate any losses with respect to such cash balances.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Receivables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Company’s trade accounts receivable balance consists of amounts due from sales of our approved product, DANYELZA. Receivables from product sales are recorded net of allowances which generally include chargebacks, doubtful accounts, rebates, returns, and discounts. The allowance is based primarily on assessment of specific identifiable customer account considered at risk or uncollectible, as well as an analysis of current receivables aging and expected future write-offs. The Company has not historically experienced any significant credit losses. All customer accounts are actively managed, and no losses are currently expected.</w:t>
      </w:r>
    </w:p>
    <w:p>
      <w:pPr>
        <w:spacing w:after="0" w:line="192"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Company has not experienced any write-offs related to our customers and has not recognized any allowance for doubtful accounts nor reversed any allowances in the three months ended March 31, 2022.</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Company product sales are made through arrangements primarily with three national speciality distributors in the United States of America. As of March 31, 2022, the receivables balances from such distributors totaled 94% of our outstanding accounts receivable. The Company has contractual payment terms with each of its customers and the Company monitors their financial performance, historical payment terms and credit worthiness to timely assess and respond to any changes in their credit profile.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Company values its inventories at the lower of cost or net realizable value on a first-in, first-out basis. The Company’s inventory cost includes amounts related to materials, third-party contract manufacturing, third-party packaging services, freight, labor costs for personnel involved in the manufacturing process, and indirect overhead costs. Raw and intermediate materials that may be utilized for both commercial and clinical programs are identical and given the alternative future use such amounts are initially classified as inventory. Amounts in inventory associated with clinical development programs are charged to research and development expense when the product enters the research and development process and can no longer be used for commercial purposes and, therefore, does not have an alternative future use.</w:t>
      </w:r>
    </w:p>
    <w:p>
      <w:pPr>
        <w:spacing w:after="0" w:line="192"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DANYELZA, the Company commenced capitalization of inventory at the receipt of FDA approval. Prior to FDA approval, the Company expensed such costs as part of research and development expenses.</w:t>
      </w:r>
    </w:p>
    <w:p>
      <w:pPr>
        <w:spacing w:after="0" w:line="17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Company performs an assessment of the recoverability of capitalized inventory during each reporting period, and writes down any excess and obsolete inventories to their estimated realizable value in the period in which the impairment occurs. Such impairment charges, should they occur, are recorded within cost of goods sold. The determination of whether inventory costs will be realizable requires estimates by management. No material inventory write-downs occurred in the three months ended March 31,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57" w:lineRule="exact"/>
        <w:rPr>
          <w:sz w:val="20"/>
          <w:szCs w:val="20"/>
          <w:color w:val="auto"/>
        </w:rPr>
      </w:pPr>
    </w:p>
    <w:p>
      <w:pPr>
        <w:ind w:left="800" w:hanging="10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w:t>
      </w:r>
    </w:p>
    <w:p>
      <w:pPr>
        <w:spacing w:after="0" w:line="225" w:lineRule="exact"/>
        <w:rPr>
          <w:rFonts w:ascii="Arial" w:cs="Arial" w:eastAsia="Arial" w:hAnsi="Arial"/>
          <w:sz w:val="18"/>
          <w:szCs w:val="18"/>
          <w:color w:val="auto"/>
        </w:rPr>
      </w:pPr>
    </w:p>
    <w:p>
      <w:pPr>
        <w:ind w:left="60" w:right="79" w:firstLine="638"/>
        <w:spacing w:after="0" w:line="277" w:lineRule="auto"/>
        <w:tabs>
          <w:tab w:leader="none" w:pos="81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70" w:lineRule="exact"/>
        <w:rPr>
          <w:rFonts w:ascii="Arial" w:cs="Arial" w:eastAsia="Arial" w:hAnsi="Arial"/>
          <w:sz w:val="18"/>
          <w:szCs w:val="18"/>
          <w:color w:val="auto"/>
        </w:rPr>
      </w:pPr>
    </w:p>
    <w:p>
      <w:pPr>
        <w:ind w:left="60" w:right="119" w:firstLine="638"/>
        <w:spacing w:after="0" w:line="308" w:lineRule="auto"/>
        <w:tabs>
          <w:tab w:leader="none" w:pos="816"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 which include management's own assumption about the assumptions market participants would use in pricing the asset or liability, including assumptions about risk.</w:t>
      </w:r>
    </w:p>
    <w:p>
      <w:pPr>
        <w:spacing w:after="0" w:line="146" w:lineRule="exact"/>
        <w:rPr>
          <w:sz w:val="20"/>
          <w:szCs w:val="20"/>
          <w:color w:val="auto"/>
        </w:rPr>
      </w:pPr>
    </w:p>
    <w:p>
      <w:pPr>
        <w:ind w:left="60" w:right="759" w:firstLine="648"/>
        <w:spacing w:after="0" w:line="342" w:lineRule="auto"/>
        <w:rPr>
          <w:sz w:val="20"/>
          <w:szCs w:val="20"/>
          <w:color w:val="auto"/>
        </w:rPr>
      </w:pPr>
      <w:r>
        <w:rPr>
          <w:rFonts w:ascii="Arial" w:cs="Arial" w:eastAsia="Arial" w:hAnsi="Arial"/>
          <w:sz w:val="16"/>
          <w:szCs w:val="16"/>
          <w:color w:val="auto"/>
        </w:rPr>
        <w:t>Cash equivalents held in money market funds are valued using other significant observable inputs, which represent a Level 2 measurement within the fair value hierarchy. The Company has no other cash equivalents.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following tables present the Company’s fair value hierarchy for its cash equivalents, which are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Fair Value Measurements at March 31, 2022 Using:</w:t>
            </w:r>
          </w:p>
        </w:tc>
      </w:tr>
      <w:tr>
        <w:trPr>
          <w:trHeight w:val="209"/>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$ 141,739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$ 141,739</w:t>
            </w:r>
          </w:p>
        </w:tc>
      </w:tr>
      <w:tr>
        <w:trPr>
          <w:trHeight w:val="209"/>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$ 141,739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$ 141,739</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75"/>
        </w:trPr>
        <w:tc>
          <w:tcPr>
            <w:tcW w:w="5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8"/>
              </w:rPr>
              <w:t>Fair Value Measurements at December 31, 2021 Using:</w:t>
            </w:r>
          </w:p>
        </w:tc>
      </w:tr>
      <w:tr>
        <w:trPr>
          <w:trHeight w:val="209"/>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$ 166,729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$ 166,729</w:t>
            </w:r>
          </w:p>
        </w:tc>
      </w:tr>
      <w:tr>
        <w:trPr>
          <w:trHeight w:val="209"/>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$ 166,729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$ 166,729</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During the quarter ended March 31, 2022, there were no transfers between Level 1, Level 2, and Level 3.</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The Company determines if an arrangement includes a lease at inception. Operating lease right-of-use assets represent the Company’s right to use an underlying asset for the lease term and operating lease liabilities represent its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estimated incremental borrowing rate based on information available at the lease commencement date. 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it would have to pay on a collateralized basis to borrow an amount equal to the lease payments under similar terms.</w:t>
      </w:r>
    </w:p>
    <w:p>
      <w:pPr>
        <w:spacing w:after="0" w:line="18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Company’s leases may include options to extend or terminate the lease which are included in the lease term when it is reasonably certain that it will exercise any such options. None of the Company’s leases contain any residual value guarantees. Lease expense is recognized on a straight-line basis over the expected lease term. Related variable lease costs incurred are not material to the Company.</w:t>
      </w:r>
    </w:p>
    <w:p>
      <w:pPr>
        <w:spacing w:after="0" w:line="187"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 xml:space="preserve">The Company currently elects the short-term lease recognition exemption for all leases that qualify. This means, for those leases that qualify, we will not recognize right-of-use assets or liabilities, and this includes not recognizing right-of-use assets or liabilities for existing short-term leases of those assets in transition. We also elect the practical expedient to not separate lease and non-lease components for all of our leases. The Company has made an accounting policy election to account for each separate lease component of a contract and its associated non-lease components as a single lease component. See the Lease Agreements section in </w:t>
      </w:r>
      <w:r>
        <w:rPr>
          <w:rFonts w:ascii="Arial" w:cs="Arial" w:eastAsia="Arial" w:hAnsi="Arial"/>
          <w:sz w:val="18"/>
          <w:szCs w:val="18"/>
          <w:i w:val="1"/>
          <w:iCs w:val="1"/>
          <w:color w:val="auto"/>
        </w:rPr>
        <w:t>NOTE 9—LICENSE AGREEMENTS AND COMMITMENTS</w:t>
      </w:r>
      <w:r>
        <w:rPr>
          <w:rFonts w:ascii="Arial" w:cs="Arial" w:eastAsia="Arial" w:hAnsi="Arial"/>
          <w:sz w:val="18"/>
          <w:szCs w:val="18"/>
          <w:color w:val="auto"/>
        </w:rPr>
        <w:t xml:space="preserve"> for the related disclosures.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net product revenues, the accrual for research and development expenses, the accrual of milestone and royalty payments, and the valuation of stock options. Estimates are periodically reviewed in light of changes in circumstances, facts and experience. Changes in estimates are recorded in the period in which they become known. Actual results could differ from those estimates.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The full extent to which the COVID-19 pandemic will directly or indirectly impact our business, results of operations and financial condition, including expenses,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 - Product revenue</w:t>
      </w:r>
    </w:p>
    <w:p>
      <w:pPr>
        <w:spacing w:after="0" w:line="225" w:lineRule="exact"/>
        <w:rPr>
          <w:sz w:val="20"/>
          <w:szCs w:val="20"/>
          <w:color w:val="auto"/>
        </w:rPr>
      </w:pPr>
    </w:p>
    <w:p>
      <w:pPr>
        <w:ind w:left="60" w:right="699" w:firstLine="648"/>
        <w:spacing w:after="0" w:line="308" w:lineRule="auto"/>
        <w:rPr>
          <w:sz w:val="20"/>
          <w:szCs w:val="20"/>
          <w:color w:val="auto"/>
        </w:rPr>
      </w:pPr>
      <w:r>
        <w:rPr>
          <w:rFonts w:ascii="Arial" w:cs="Arial" w:eastAsia="Arial" w:hAnsi="Arial"/>
          <w:sz w:val="17"/>
          <w:szCs w:val="17"/>
          <w:color w:val="auto"/>
        </w:rPr>
        <w:t>We recognize revenue from sales of DANYELZA at a point in time when our customer is deemed to have obtained control of the product, which generally occurs upon receipt at the end-user hospital.</w:t>
      </w:r>
    </w:p>
    <w:p>
      <w:pPr>
        <w:spacing w:after="0" w:line="14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amount of revenue we recognize from sales of DANYELZA varies due to rebates, chargebacks and discounts provided under governmental and other programs, distribution related fees and other sales-related deductions. In order to determine those deductions, we estimate, utilizing the expected value method, the amount of revenue that we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 and we review these estimates quarterly. If actual results vary from our original estimates, we will adjust these estimates quarterly, which would affect net product revenue and earnings in the period such variances occur.</w:t>
      </w:r>
    </w:p>
    <w:p>
      <w:pPr>
        <w:spacing w:after="0" w:line="192" w:lineRule="exact"/>
        <w:rPr>
          <w:sz w:val="20"/>
          <w:szCs w:val="20"/>
          <w:color w:val="auto"/>
        </w:rPr>
      </w:pPr>
    </w:p>
    <w:p>
      <w:pPr>
        <w:ind w:left="1380" w:hanging="331"/>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Rebates and chargebacks</w:t>
      </w:r>
    </w:p>
    <w:p>
      <w:pPr>
        <w:spacing w:after="0" w:line="225" w:lineRule="exact"/>
        <w:rPr>
          <w:sz w:val="20"/>
          <w:szCs w:val="20"/>
          <w:color w:val="auto"/>
        </w:rPr>
      </w:pPr>
    </w:p>
    <w:p>
      <w:pPr>
        <w:ind w:left="1340" w:right="99"/>
        <w:spacing w:after="0" w:line="269" w:lineRule="auto"/>
        <w:rPr>
          <w:sz w:val="20"/>
          <w:szCs w:val="20"/>
          <w:color w:val="auto"/>
        </w:rPr>
      </w:pPr>
      <w:r>
        <w:rPr>
          <w:rFonts w:ascii="Arial" w:cs="Arial" w:eastAsia="Arial" w:hAnsi="Arial"/>
          <w:sz w:val="17"/>
          <w:szCs w:val="17"/>
          <w:color w:val="auto"/>
        </w:rPr>
        <w:t>We contract with United States governmental agencies to ensure that DANYELZA will be eligible for coverage under the various programs administered by the agencies. We estimate the rebates and chargebacks to be provided and deduct these estimated amounts from our gross product revenues. These reserves are recorded in the same period the revenue is recognized, resulting in a reduction of product revenue and the establishment of accrued liabilities for the rebates and a reduction of accounts receivable for the chargebacks. We develop estimates for rebates and chargebacks based upon (i) the Company’s contracts with these agencies, (ii) the government-mandated discounts applicable to government-funded programs, and (iii) information obtained from hospitals and third party consultants regarding the payor mix. Our liability for these rebates and chargebacks mainly consists of claims for which invoices have not yet been received and paid. We do not maintain material levels of inventory in the wholesale or retail channel.</w:t>
      </w:r>
    </w:p>
    <w:p>
      <w:pPr>
        <w:spacing w:after="0" w:line="182" w:lineRule="exact"/>
        <w:rPr>
          <w:sz w:val="20"/>
          <w:szCs w:val="20"/>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Discounts and distribution-related fees</w:t>
      </w:r>
    </w:p>
    <w:p>
      <w:pPr>
        <w:spacing w:after="0" w:line="225" w:lineRule="exact"/>
        <w:rPr>
          <w:sz w:val="20"/>
          <w:szCs w:val="20"/>
          <w:color w:val="auto"/>
        </w:rPr>
      </w:pPr>
    </w:p>
    <w:p>
      <w:pPr>
        <w:ind w:left="1340" w:right="59"/>
        <w:spacing w:after="0" w:line="254" w:lineRule="auto"/>
        <w:rPr>
          <w:sz w:val="20"/>
          <w:szCs w:val="20"/>
          <w:color w:val="auto"/>
        </w:rPr>
      </w:pPr>
      <w:r>
        <w:rPr>
          <w:rFonts w:ascii="Arial" w:cs="Arial" w:eastAsia="Arial" w:hAnsi="Arial"/>
          <w:sz w:val="18"/>
          <w:szCs w:val="18"/>
          <w:color w:val="auto"/>
        </w:rPr>
        <w:t>We provide invoice discounts on DANYELZA sales to our distributors for prompt payment and fees for distribution services and invoice discounts reduce the original accounts receivable balances. The payment terms for sales to distributors generally include a 2% discount for prompt payment or fees for distribution services which are based on contractual rates agreed with the respective distributors. Based on historical data and experiences with the distributors, we expect our distributors to earn these discounts and fees and deduct the full amount of these discounts and fees from our gross product revenue at the time such revenues are recognized.</w:t>
      </w:r>
    </w:p>
    <w:p>
      <w:pPr>
        <w:spacing w:after="0" w:line="195" w:lineRule="exact"/>
        <w:rPr>
          <w:sz w:val="20"/>
          <w:szCs w:val="20"/>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Returns</w:t>
      </w:r>
    </w:p>
    <w:p>
      <w:pPr>
        <w:spacing w:after="0" w:line="225" w:lineRule="exact"/>
        <w:rPr>
          <w:sz w:val="20"/>
          <w:szCs w:val="20"/>
          <w:color w:val="auto"/>
        </w:rPr>
      </w:pPr>
    </w:p>
    <w:p>
      <w:pPr>
        <w:ind w:left="1340" w:right="179"/>
        <w:spacing w:after="0" w:line="301" w:lineRule="auto"/>
        <w:rPr>
          <w:sz w:val="20"/>
          <w:szCs w:val="20"/>
          <w:color w:val="auto"/>
        </w:rPr>
      </w:pPr>
      <w:r>
        <w:rPr>
          <w:rFonts w:ascii="Arial" w:cs="Arial" w:eastAsia="Arial" w:hAnsi="Arial"/>
          <w:sz w:val="16"/>
          <w:szCs w:val="16"/>
          <w:color w:val="auto"/>
        </w:rPr>
        <w:t>We offer our customers limited product return rights for damaged, defective, or expiring products. We estimate returns on sales of DANYELZA mainly based on information provided to the Company from the hospitals and distributors. The return reserves are recorded in the same period the related revenue is recognized, resulting in a reduction of product revenue and an establishment of an accrued liability.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Company is engaged solely in the discovery, development, distribution and commercialization of novel antibody-based therapeutic products for the treatment of cancer. Accordingly, the Company has determined that it operates in one operating segment.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adopted by the Company as of the specific effective date. The Company adopted ASU 2020-10, ASU 2021-04 and ASU 2020-06 effective January 1, 2022, and the adoption of these new standards did not have a material impact on the Company’s consolidated financial statements or disclosures.</w:t>
      </w:r>
    </w:p>
    <w:p>
      <w:pPr>
        <w:spacing w:after="0" w:line="187"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The Company has evaluated accounting pronouncements recently issued but not yet adopted and believes that these pronouncements do not apply to the Company’s operations and therefore will not have a material impact on the Company’s consolidated financial statements or disclosures.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4—PRODUCT REVENUE</w:t>
      </w:r>
    </w:p>
    <w:p>
      <w:pPr>
        <w:spacing w:after="0" w:line="229" w:lineRule="exact"/>
        <w:rPr>
          <w:sz w:val="20"/>
          <w:szCs w:val="20"/>
          <w:color w:val="auto"/>
        </w:rPr>
      </w:pPr>
    </w:p>
    <w:p>
      <w:pPr>
        <w:ind w:left="60" w:right="299" w:firstLine="648"/>
        <w:spacing w:after="0" w:line="308" w:lineRule="auto"/>
        <w:rPr>
          <w:sz w:val="20"/>
          <w:szCs w:val="20"/>
          <w:color w:val="auto"/>
        </w:rPr>
      </w:pPr>
      <w:r>
        <w:rPr>
          <w:rFonts w:ascii="Arial" w:cs="Arial" w:eastAsia="Arial" w:hAnsi="Arial"/>
          <w:sz w:val="17"/>
          <w:szCs w:val="17"/>
          <w:color w:val="auto"/>
        </w:rPr>
        <w:t>The Company’s product revenues were generated from sales of DANYELZA and totaled $10,486,000 for three months ended March 31, 2022 and $5,383,000 for the three months ended March 31, 2021.</w:t>
      </w:r>
    </w:p>
    <w:p>
      <w:pPr>
        <w:spacing w:after="0" w:line="146"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Revenue from product sales is recorded net of applicable provisions for rebates, chargebacks,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 As of March 31, 2022, the company had recorded accounts receivable allowances of approximately $668,000 and accrued liabilities of $2,921,000 related to product sales during the three months ended March 31, 2022. As of December 31, 2021, the company had recorded accounts receivable allowances of approximately $486,000 and accrued liabilities of $2,615,000 related to product sales.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7"/>
              </w:rPr>
              <w:t>Discounts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Allowances and</w:t>
            </w:r>
          </w:p>
        </w:tc>
        <w:tc>
          <w:tcPr>
            <w:tcW w:w="26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4"/>
              </w:rPr>
              <w:t>Returns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Government Rebates</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w w:val="98"/>
              </w:rPr>
              <w:t>Current provisions relating to sales in current year</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Payments/credits relating to sales in current year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Balance, March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Substantially all of the Company’s product sales were in the United States. The Company had product sales to certain customers that accounted for more than 10% of total gross product revenue for the three months ended March 31, 2022 and March 31, 2021. Mckesson, AmerisourceBergen, and Cardinal Health accounted for 60%, 25%, and 11%, respectively, of our gross product revenue for the three months ended March 31, 2022. Mckesson and Cardinal Health accounted for 80% and 16%, respectively, of our gross product revenue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5—NET LOSS PER SHARE</w:t>
      </w:r>
    </w:p>
    <w:p>
      <w:pPr>
        <w:spacing w:after="0" w:line="229" w:lineRule="exact"/>
        <w:rPr>
          <w:sz w:val="20"/>
          <w:szCs w:val="20"/>
          <w:color w:val="auto"/>
        </w:rPr>
      </w:pPr>
    </w:p>
    <w:p>
      <w:pPr>
        <w:ind w:left="60" w:right="120" w:firstLine="648"/>
        <w:spacing w:after="0" w:line="254" w:lineRule="auto"/>
        <w:rPr>
          <w:sz w:val="20"/>
          <w:szCs w:val="20"/>
          <w:color w:val="auto"/>
        </w:rPr>
      </w:pPr>
      <w:r>
        <w:rPr>
          <w:rFonts w:ascii="Arial" w:cs="Arial" w:eastAsia="Arial" w:hAnsi="Arial"/>
          <w:sz w:val="18"/>
          <w:szCs w:val="18"/>
          <w:color w:val="auto"/>
        </w:rPr>
        <w:t>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 (in thousands, except per share amounts):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6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(numerator)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shares (denominator), basic</w:t>
            </w:r>
          </w:p>
        </w:tc>
        <w:tc>
          <w:tcPr>
            <w:tcW w:w="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43,709</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41,871</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net income / (loss) per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(0.64)</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0.80</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(denominator), diluted</w:t>
            </w: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43,709</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44,384</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net income / (loss) per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(0.64)</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0.75</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00" w:firstLine="648"/>
        <w:spacing w:after="0" w:line="263" w:lineRule="auto"/>
        <w:rPr>
          <w:sz w:val="20"/>
          <w:szCs w:val="20"/>
          <w:color w:val="auto"/>
        </w:rPr>
      </w:pPr>
      <w:r>
        <w:rPr>
          <w:rFonts w:ascii="Arial" w:cs="Arial" w:eastAsia="Arial" w:hAnsi="Arial"/>
          <w:sz w:val="18"/>
          <w:szCs w:val="18"/>
          <w:color w:val="auto"/>
        </w:rPr>
        <w:t>Potentially dilutive securities excluded from the computation of diluted earnings per share relate to stock options and unvested restricted share units (“RSUs”) outstanding totaled 6,686,168 shares as of March 31, 2022 and 1,177,600 shares as of March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6—INVENTORIES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 of the following (in thousands):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December 31, 2021</w:t>
            </w:r>
          </w:p>
        </w:tc>
      </w:tr>
      <w:tr>
        <w:trPr>
          <w:trHeight w:val="142"/>
        </w:trPr>
        <w:tc>
          <w:tcPr>
            <w:tcW w:w="4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Progress</w:t>
            </w: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8,747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r>
      <w:tr>
        <w:trPr>
          <w:trHeight w:val="216"/>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r>
      <w:tr>
        <w:trPr>
          <w:trHeight w:val="21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44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9,288</w:t>
            </w: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r>
      <w:tr>
        <w:trPr>
          <w:trHeight w:val="20"/>
        </w:trPr>
        <w:tc>
          <w:tcPr>
            <w:tcW w:w="46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are classified on the Consolidated Balance Sheets in each respective period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2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500" w:type="dxa"/>
            <w:vAlign w:val="bottom"/>
            <w:tcBorders>
              <w:bottom w:val="single" w:sz="8" w:color="auto"/>
            </w:tcBorders>
            <w:shd w:val="clear" w:color="auto" w:fill="CCEEFF"/>
          </w:tcPr>
          <w:p>
            <w:pPr>
              <w:jc w:val="right"/>
              <w:ind w:right="13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5,588</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color w:val="auto"/>
              </w:rPr>
              <w:t>Total recorded in Current Assets</w:t>
            </w: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5,588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5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3,700</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recorded in Noncurrent Assets</w:t>
            </w:r>
          </w:p>
        </w:tc>
        <w:tc>
          <w:tcPr>
            <w:tcW w:w="1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3,700</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500" w:type="dxa"/>
            <w:vAlign w:val="bottom"/>
            <w:tcBorders>
              <w:bottom w:val="single" w:sz="8" w:color="auto"/>
            </w:tcBorders>
            <w:shd w:val="clear" w:color="auto" w:fill="CCEEFF"/>
          </w:tcPr>
          <w:p>
            <w:pPr>
              <w:jc w:val="right"/>
              <w:ind w:right="13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9,288</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40" w:firstLine="648"/>
        <w:spacing w:after="0" w:line="342" w:lineRule="auto"/>
        <w:rPr>
          <w:sz w:val="20"/>
          <w:szCs w:val="20"/>
          <w:color w:val="auto"/>
        </w:rPr>
      </w:pPr>
      <w:r>
        <w:rPr>
          <w:rFonts w:ascii="Arial" w:cs="Arial" w:eastAsia="Arial" w:hAnsi="Arial"/>
          <w:sz w:val="16"/>
          <w:szCs w:val="16"/>
          <w:color w:val="auto"/>
        </w:rPr>
        <w:t>The Company has classified $3,700,000 of work in progress inventory as noncurrent assets based on our current demand schedule and expectation that such inventory will be utilized in excess of one year from the balance sheet date.</w:t>
      </w: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7—INTANGIBLE ASSETS</w:t>
      </w:r>
    </w:p>
    <w:p>
      <w:pPr>
        <w:spacing w:after="0" w:line="229"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company’s intangible assets as of March 31, 2022 totaled $1,618,000 and related to capitalized milestone payments made following FDA approval and commercialization of DANYELZA. The intangible asset net book value as of March 31, 2022 is net of $182,000 of accumulated amortization.</w:t>
      </w:r>
    </w:p>
    <w:p>
      <w:pPr>
        <w:spacing w:after="0" w:line="184"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company’s intangible assets as of December 31, 2021 totaled $1,663,000. The intangible asset net book value as of December 31, 2021 is net of $137,000 of accumulated amortization.</w:t>
      </w:r>
    </w:p>
    <w:p>
      <w:pPr>
        <w:spacing w:after="0" w:line="17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Intangible assets are amortized on a straight-line basis based on a 10 year useful of the assets. Annual amortization expense is expected to $180,000 each year for the five-year period from 2022 to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8—ACCRUED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short-term liabilities at March 31, 2022 and December 31, 2021 are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4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licensing, milestone and royalty payments</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Accrued clinical costs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board fees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Accrued manufacturing costs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reserves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12,930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9—LICENSE AGREEMENTS AND COMMITMENTS</w:t>
      </w:r>
    </w:p>
    <w:p>
      <w:pPr>
        <w:spacing w:after="0" w:line="229"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As of March 31, 2022, the Company has entered into two license agreements and certain other agreements with Memorial Sloan Kettering Cancer Center (“MSK”). The license agreements, as previously disclosed in our annual report on Form 10-K, are the MSK License and the CD33 License Agreement. In addition, the Company entered into the SADA Technology License Agreement, or the SADA License Agreement, with MSK and Massachusetts Institute of Technology (“MIT”) in 2020. Through a 2019 Settlement and Assumption and Assignment of the MSK License and Y-mAbs Sublicense Agreement (“SAAA”) with MabVax, Inc. (“MabVax”) and MSK, the Company has established a direct license with MSK relating to the GD2-GD3 Vaccine, which was originally sublicensed by the Company in 2018 from MabVax. These license agreements with MSK and MIT grant the Company certain patent rights and intellectual property rights, and in consideration thereof, the Company agreed to make certain payments and issue shares of the Company’s common stock to MSK and MIT.</w:t>
      </w:r>
    </w:p>
    <w:p>
      <w:pPr>
        <w:spacing w:after="0" w:line="185" w:lineRule="exact"/>
        <w:rPr>
          <w:sz w:val="20"/>
          <w:szCs w:val="20"/>
          <w:color w:val="auto"/>
        </w:rPr>
      </w:pPr>
    </w:p>
    <w:p>
      <w:pPr>
        <w:jc w:val="both"/>
        <w:ind w:left="60" w:right="159" w:firstLine="648"/>
        <w:spacing w:after="0" w:line="286" w:lineRule="auto"/>
        <w:rPr>
          <w:sz w:val="20"/>
          <w:szCs w:val="20"/>
          <w:color w:val="auto"/>
        </w:rPr>
      </w:pPr>
      <w:r>
        <w:rPr>
          <w:rFonts w:ascii="Arial" w:cs="Arial" w:eastAsia="Arial" w:hAnsi="Arial"/>
          <w:sz w:val="17"/>
          <w:szCs w:val="17"/>
          <w:color w:val="auto"/>
        </w:rPr>
        <w:t>Certain of the payments are contingent milestone and royalty payments, as disclosed in the table below. Amounts disclosed for accrued milestone and royalty payments are inclusive of obligations under the MSK License, CD33 License Agreement, MabVax License Agreement, and SADA License Agreement, collectively. We have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following significant license agreements and related commitments which include all obligations that have been paid or are accrued as of and for the period ending March 31, 2022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Accrued</w:t>
            </w: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Accrued</w:t>
            </w: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Accrued</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0"/>
              </w:rPr>
              <w:t>Accrued</w:t>
            </w:r>
          </w:p>
        </w:tc>
        <w:tc>
          <w:tcPr>
            <w:tcW w:w="0" w:type="dxa"/>
            <w:vAlign w:val="bottom"/>
          </w:tcPr>
          <w:p>
            <w:pPr>
              <w:spacing w:after="0"/>
              <w:rPr>
                <w:sz w:val="1"/>
                <w:szCs w:val="1"/>
                <w:color w:val="auto"/>
              </w:rPr>
            </w:pPr>
          </w:p>
        </w:tc>
      </w:tr>
      <w:tr>
        <w:trPr>
          <w:trHeight w:val="125"/>
        </w:trPr>
        <w:tc>
          <w:tcPr>
            <w:tcW w:w="254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Cash paid</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Cash paid</w:t>
            </w: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Expense</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Expense</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liabilities</w:t>
            </w: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liabilities</w:t>
            </w: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liabilities</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liabilities</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8"/>
              </w:rPr>
              <w:t>Three months</w:t>
            </w: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8"/>
              </w:rPr>
              <w:t>Three months</w:t>
            </w:r>
          </w:p>
        </w:tc>
        <w:tc>
          <w:tcPr>
            <w:tcW w:w="94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8"/>
              </w:rPr>
              <w:t>Three months</w:t>
            </w: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88"/>
              </w:rPr>
              <w:t>Three months</w:t>
            </w: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7"/>
              </w:rPr>
              <w:t>Current</w:t>
            </w: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2"/>
              </w:rPr>
              <w:t>Non-current</w:t>
            </w: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2"/>
              </w:rPr>
              <w:t>Current</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w w:val="89"/>
              </w:rPr>
              <w:t>Non-current</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78"/>
              </w:rPr>
              <w:t>ended</w:t>
            </w: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4"/>
              </w:rPr>
              <w:t>ended</w:t>
            </w:r>
          </w:p>
        </w:tc>
        <w:tc>
          <w:tcPr>
            <w:tcW w:w="94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84"/>
              </w:rPr>
              <w:t>ended</w:t>
            </w: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4"/>
              </w:rPr>
              <w:t>ended</w:t>
            </w: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3"/>
              </w:rPr>
              <w:t>as of</w:t>
            </w: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2"/>
              </w:rPr>
              <w:t>as of</w:t>
            </w: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2"/>
              </w:rPr>
              <w:t>as of</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w w:val="83"/>
              </w:rPr>
              <w:t>as of</w:t>
            </w:r>
          </w:p>
        </w:tc>
        <w:tc>
          <w:tcPr>
            <w:tcW w:w="0" w:type="dxa"/>
            <w:vAlign w:val="bottom"/>
          </w:tcPr>
          <w:p>
            <w:pPr>
              <w:spacing w:after="0"/>
              <w:rPr>
                <w:sz w:val="1"/>
                <w:szCs w:val="1"/>
                <w:color w:val="auto"/>
              </w:rPr>
            </w:pPr>
          </w:p>
        </w:tc>
      </w:tr>
      <w:tr>
        <w:trPr>
          <w:trHeight w:val="121"/>
        </w:trPr>
        <w:tc>
          <w:tcPr>
            <w:tcW w:w="2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Agreements</w:t>
            </w: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1"/>
              </w:rPr>
              <w:t>March</w:t>
            </w: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1"/>
              </w:rPr>
              <w:t>March</w:t>
            </w:r>
          </w:p>
        </w:tc>
        <w:tc>
          <w:tcPr>
            <w:tcW w:w="94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1"/>
              </w:rPr>
              <w:t>March</w:t>
            </w: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91"/>
              </w:rPr>
              <w:t>March</w:t>
            </w: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1"/>
              </w:rPr>
              <w:t>March</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91"/>
              </w:rPr>
              <w:t>March</w:t>
            </w:r>
          </w:p>
        </w:tc>
        <w:tc>
          <w:tcPr>
            <w:tcW w:w="68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6"/>
              </w:rPr>
              <w:t>December</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w w:val="86"/>
              </w:rPr>
              <w:t>December</w:t>
            </w:r>
          </w:p>
        </w:tc>
        <w:tc>
          <w:tcPr>
            <w:tcW w:w="0" w:type="dxa"/>
            <w:vAlign w:val="bottom"/>
          </w:tcPr>
          <w:p>
            <w:pPr>
              <w:spacing w:after="0"/>
              <w:rPr>
                <w:sz w:val="1"/>
                <w:szCs w:val="1"/>
                <w:color w:val="auto"/>
              </w:rPr>
            </w:pPr>
          </w:p>
        </w:tc>
      </w:tr>
      <w:tr>
        <w:trPr>
          <w:trHeight w:val="131"/>
        </w:trPr>
        <w:tc>
          <w:tcPr>
            <w:tcW w:w="2540" w:type="dxa"/>
            <w:vAlign w:val="bottom"/>
            <w:tcBorders>
              <w:bottom w:val="single" w:sz="8" w:color="CCEEFF"/>
            </w:tcBorders>
            <w:vMerge w:val="continue"/>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1"/>
              </w:rPr>
              <w:t>2022</w:t>
            </w: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2021</w:t>
            </w: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2022</w:t>
            </w: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2021</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2022</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2022</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2021</w:t>
            </w: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2021</w:t>
            </w:r>
          </w:p>
        </w:tc>
        <w:tc>
          <w:tcPr>
            <w:tcW w:w="0" w:type="dxa"/>
            <w:vAlign w:val="bottom"/>
          </w:tcPr>
          <w:p>
            <w:pPr>
              <w:spacing w:after="0"/>
              <w:rPr>
                <w:sz w:val="1"/>
                <w:szCs w:val="1"/>
                <w:color w:val="auto"/>
              </w:rPr>
            </w:pPr>
          </w:p>
        </w:tc>
      </w:tr>
      <w:tr>
        <w:trPr>
          <w:trHeight w:val="142"/>
        </w:trPr>
        <w:tc>
          <w:tcPr>
            <w:tcW w:w="25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MSK</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$ 450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$ 677</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$ 2,163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$ 1,650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$ 1,486</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$ 1,650</w:t>
            </w:r>
          </w:p>
        </w:tc>
        <w:tc>
          <w:tcPr>
            <w:tcW w:w="0" w:type="dxa"/>
            <w:vAlign w:val="bottom"/>
          </w:tcPr>
          <w:p>
            <w:pPr>
              <w:spacing w:after="0"/>
              <w:rPr>
                <w:sz w:val="1"/>
                <w:szCs w:val="1"/>
                <w:color w:val="auto"/>
              </w:rPr>
            </w:pPr>
          </w:p>
        </w:tc>
      </w:tr>
      <w:tr>
        <w:trPr>
          <w:trHeight w:val="148"/>
        </w:trPr>
        <w:tc>
          <w:tcPr>
            <w:tcW w:w="2540" w:type="dxa"/>
            <w:vAlign w:val="bottom"/>
          </w:tcPr>
          <w:p>
            <w:pPr>
              <w:ind w:left="20"/>
              <w:spacing w:after="0" w:line="149" w:lineRule="exact"/>
              <w:rPr>
                <w:sz w:val="20"/>
                <w:szCs w:val="20"/>
                <w:color w:val="auto"/>
              </w:rPr>
            </w:pPr>
            <w:r>
              <w:rPr>
                <w:rFonts w:ascii="Arial" w:cs="Arial" w:eastAsia="Arial" w:hAnsi="Arial"/>
                <w:sz w:val="14"/>
                <w:szCs w:val="14"/>
                <w:color w:val="auto"/>
              </w:rPr>
              <w:t>CD33</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MabVax</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color w:val="auto"/>
              </w:rPr>
              <w:t>SADA</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1,605</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84"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Minimum royalties and certain clinical and regulatory milestones that become due based upon the passage of time under the CD33 License Agreement, the SADA Agreement and the MabVax Agreement are excluded from the above table as the Company does not consider such obligations to be probable.</w:t>
      </w:r>
    </w:p>
    <w:p>
      <w:pPr>
        <w:spacing w:after="0" w:line="184"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The below table represents the maximum clinical, regulatory or sales-based milestones as reflected within the agreements, certain of which have been paid in prior periods or are accrued as presented in the table above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Agreements</w:t>
            </w: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Maximum</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Maximum</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4080" w:type="dxa"/>
            <w:vAlign w:val="bottom"/>
            <w:vMerge w:val="continue"/>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Clinical Milestones</w:t>
            </w: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Regulatory Milestones</w:t>
            </w: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Sales-based milestones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MSK</w:t>
            </w:r>
          </w:p>
        </w:tc>
        <w:tc>
          <w:tcPr>
            <w:tcW w:w="1400" w:type="dxa"/>
            <w:vAlign w:val="bottom"/>
            <w:tcBorders>
              <w:top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color w:val="auto"/>
                <w:w w:val="89"/>
              </w:rPr>
              <w:t>$ 2,450</w:t>
            </w: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ind w:left="56"/>
              <w:spacing w:after="0"/>
              <w:rPr>
                <w:sz w:val="20"/>
                <w:szCs w:val="20"/>
                <w:color w:val="auto"/>
              </w:rPr>
            </w:pPr>
            <w:r>
              <w:rPr>
                <w:rFonts w:ascii="Arial" w:cs="Arial" w:eastAsia="Arial" w:hAnsi="Arial"/>
                <w:sz w:val="18"/>
                <w:szCs w:val="18"/>
                <w:color w:val="auto"/>
                <w:w w:val="89"/>
              </w:rPr>
              <w:t>$ 9,000</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color w:val="auto"/>
                <w:w w:val="91"/>
              </w:rPr>
              <w:t>$ 20,000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4"/>
                <w:szCs w:val="14"/>
                <w:color w:val="auto"/>
              </w:rPr>
              <w:t>CD33</w:t>
            </w:r>
          </w:p>
        </w:tc>
        <w:tc>
          <w:tcPr>
            <w:tcW w:w="1400" w:type="dxa"/>
            <w:vAlign w:val="bottom"/>
          </w:tcPr>
          <w:p>
            <w:pPr>
              <w:jc w:val="center"/>
              <w:ind w:left="76"/>
              <w:spacing w:after="0"/>
              <w:rPr>
                <w:sz w:val="20"/>
                <w:szCs w:val="20"/>
                <w:color w:val="auto"/>
              </w:rPr>
            </w:pPr>
            <w:r>
              <w:rPr>
                <w:rFonts w:ascii="Arial" w:cs="Arial" w:eastAsia="Arial" w:hAnsi="Arial"/>
                <w:sz w:val="18"/>
                <w:szCs w:val="18"/>
                <w:color w:val="auto"/>
                <w:w w:val="93"/>
              </w:rPr>
              <w:t>550</w:t>
            </w:r>
          </w:p>
        </w:tc>
        <w:tc>
          <w:tcPr>
            <w:tcW w:w="180" w:type="dxa"/>
            <w:vAlign w:val="bottom"/>
          </w:tcPr>
          <w:p>
            <w:pPr>
              <w:spacing w:after="0"/>
              <w:rPr>
                <w:sz w:val="18"/>
                <w:szCs w:val="18"/>
                <w:color w:val="auto"/>
              </w:rPr>
            </w:pPr>
          </w:p>
        </w:tc>
        <w:tc>
          <w:tcPr>
            <w:tcW w:w="1440" w:type="dxa"/>
            <w:vAlign w:val="bottom"/>
          </w:tcPr>
          <w:p>
            <w:pPr>
              <w:jc w:val="center"/>
              <w:ind w:left="76"/>
              <w:spacing w:after="0"/>
              <w:rPr>
                <w:sz w:val="20"/>
                <w:szCs w:val="20"/>
                <w:color w:val="auto"/>
              </w:rPr>
            </w:pPr>
            <w:r>
              <w:rPr>
                <w:rFonts w:ascii="Arial" w:cs="Arial" w:eastAsia="Arial" w:hAnsi="Arial"/>
                <w:sz w:val="18"/>
                <w:szCs w:val="18"/>
                <w:color w:val="auto"/>
                <w:w w:val="93"/>
              </w:rPr>
              <w:t>500</w:t>
            </w:r>
          </w:p>
        </w:tc>
        <w:tc>
          <w:tcPr>
            <w:tcW w:w="160" w:type="dxa"/>
            <w:vAlign w:val="bottom"/>
          </w:tcPr>
          <w:p>
            <w:pPr>
              <w:spacing w:after="0"/>
              <w:rPr>
                <w:sz w:val="18"/>
                <w:szCs w:val="18"/>
                <w:color w:val="auto"/>
              </w:rPr>
            </w:pPr>
          </w:p>
        </w:tc>
        <w:tc>
          <w:tcPr>
            <w:tcW w:w="1460" w:type="dxa"/>
            <w:vAlign w:val="bottom"/>
          </w:tcPr>
          <w:p>
            <w:pPr>
              <w:jc w:val="center"/>
              <w:ind w:left="96"/>
              <w:spacing w:after="0"/>
              <w:rPr>
                <w:sz w:val="20"/>
                <w:szCs w:val="20"/>
                <w:color w:val="auto"/>
              </w:rPr>
            </w:pPr>
            <w:r>
              <w:rPr>
                <w:rFonts w:ascii="Arial" w:cs="Arial" w:eastAsia="Arial" w:hAnsi="Arial"/>
                <w:sz w:val="18"/>
                <w:szCs w:val="18"/>
                <w:color w:val="auto"/>
                <w:w w:val="88"/>
              </w:rPr>
              <w:t>7,500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MabVax</w:t>
            </w:r>
          </w:p>
        </w:tc>
        <w:tc>
          <w:tcPr>
            <w:tcW w:w="140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93"/>
              </w:rPr>
              <w:t>200</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8"/>
              </w:rPr>
              <w:t>1,200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1"/>
        </w:trPr>
        <w:tc>
          <w:tcPr>
            <w:tcW w:w="4080" w:type="dxa"/>
            <w:vAlign w:val="bottom"/>
          </w:tcPr>
          <w:p>
            <w:pPr>
              <w:ind w:left="20"/>
              <w:spacing w:after="0"/>
              <w:rPr>
                <w:sz w:val="20"/>
                <w:szCs w:val="20"/>
                <w:color w:val="auto"/>
              </w:rPr>
            </w:pPr>
            <w:r>
              <w:rPr>
                <w:rFonts w:ascii="Arial" w:cs="Arial" w:eastAsia="Arial" w:hAnsi="Arial"/>
                <w:sz w:val="14"/>
                <w:szCs w:val="14"/>
                <w:color w:val="auto"/>
              </w:rPr>
              <w:t>SADA</w:t>
            </w:r>
          </w:p>
        </w:tc>
        <w:tc>
          <w:tcPr>
            <w:tcW w:w="1400" w:type="dxa"/>
            <w:vAlign w:val="bottom"/>
          </w:tcPr>
          <w:p>
            <w:pPr>
              <w:jc w:val="center"/>
              <w:ind w:left="76"/>
              <w:spacing w:after="0"/>
              <w:rPr>
                <w:sz w:val="20"/>
                <w:szCs w:val="20"/>
                <w:color w:val="auto"/>
              </w:rPr>
            </w:pPr>
            <w:r>
              <w:rPr>
                <w:rFonts w:ascii="Arial" w:cs="Arial" w:eastAsia="Arial" w:hAnsi="Arial"/>
                <w:sz w:val="18"/>
                <w:szCs w:val="18"/>
                <w:color w:val="auto"/>
                <w:w w:val="88"/>
              </w:rPr>
              <w:t>4,730</w:t>
            </w:r>
          </w:p>
        </w:tc>
        <w:tc>
          <w:tcPr>
            <w:tcW w:w="180" w:type="dxa"/>
            <w:vAlign w:val="bottom"/>
          </w:tcPr>
          <w:p>
            <w:pPr>
              <w:spacing w:after="0"/>
              <w:rPr>
                <w:sz w:val="20"/>
                <w:szCs w:val="20"/>
                <w:color w:val="auto"/>
              </w:rPr>
            </w:pPr>
          </w:p>
        </w:tc>
        <w:tc>
          <w:tcPr>
            <w:tcW w:w="1440" w:type="dxa"/>
            <w:vAlign w:val="bottom"/>
          </w:tcPr>
          <w:p>
            <w:pPr>
              <w:jc w:val="center"/>
              <w:ind w:left="56"/>
              <w:spacing w:after="0"/>
              <w:rPr>
                <w:sz w:val="20"/>
                <w:szCs w:val="20"/>
                <w:color w:val="auto"/>
              </w:rPr>
            </w:pPr>
            <w:r>
              <w:rPr>
                <w:rFonts w:ascii="Arial" w:cs="Arial" w:eastAsia="Arial" w:hAnsi="Arial"/>
                <w:sz w:val="18"/>
                <w:szCs w:val="18"/>
                <w:color w:val="auto"/>
                <w:w w:val="90"/>
              </w:rPr>
              <w:t>18,125</w:t>
            </w:r>
          </w:p>
        </w:tc>
        <w:tc>
          <w:tcPr>
            <w:tcW w:w="160" w:type="dxa"/>
            <w:vAlign w:val="bottom"/>
          </w:tcPr>
          <w:p>
            <w:pPr>
              <w:spacing w:after="0"/>
              <w:rPr>
                <w:sz w:val="20"/>
                <w:szCs w:val="20"/>
                <w:color w:val="auto"/>
              </w:rPr>
            </w:pPr>
          </w:p>
        </w:tc>
        <w:tc>
          <w:tcPr>
            <w:tcW w:w="1460" w:type="dxa"/>
            <w:vAlign w:val="bottom"/>
          </w:tcPr>
          <w:p>
            <w:pPr>
              <w:jc w:val="center"/>
              <w:ind w:left="76"/>
              <w:spacing w:after="0"/>
              <w:rPr>
                <w:sz w:val="20"/>
                <w:szCs w:val="20"/>
                <w:color w:val="auto"/>
              </w:rPr>
            </w:pPr>
            <w:r>
              <w:rPr>
                <w:rFonts w:ascii="Arial" w:cs="Arial" w:eastAsia="Arial" w:hAnsi="Arial"/>
                <w:sz w:val="18"/>
                <w:szCs w:val="18"/>
                <w:color w:val="auto"/>
                <w:w w:val="90"/>
              </w:rPr>
              <w:t>23,750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Research and development is inherently uncertain and as described above, should such research and development fail, the MSK License, the CD 33 License, and the SADA License are cancelable at the Company’s option. The Company will also consider the development risk and each party’s termination rights under the agreements when considering whether any clinical or regulatory based milestone payments, certain of which also contain time-based payment requirements, are deemed probable. The Company records milestones in the period in which the contingent liability is probable and the amount is reasonably estimable.</w:t>
      </w:r>
    </w:p>
    <w:p>
      <w:pPr>
        <w:spacing w:after="0" w:line="192"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The Company did not have an expense related to milestones under the SADA License Agreement in the first quarters of 2022 and 2021 and had $1,605,000 in accrued liabilities as of March 31, 2022 and 2021. This includes clinical-based milestones of $605,000 coming due within 36 months of the effective date of the agreement as this continues to represent the time period we expect will be required to gather necessary clinical data to determine which patent rights to further pursue, if any, under the SADA License Agreement. The Company does not consider any other milestones under the SADA License Agreement to be probable as of March 31, 2022 and December 31, 2021.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agreements</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We have also entered into various other support agreements with MSK including a sponsored research agreement to provide research services related to the intellectual property licensed under the MSK License Agreement; a master data services agreement, for services provided by approximately five full time employees at MSK, who are engaged in transferring clinical data, databases, regulatory files and other know how included in the MSK License Agreement to the Company; a master clinical trial agreement pursuant to which we committed to fund certain clinical trials at MSK; two separate core facility service agreements pursuant to which we committed to obtaining certain laboratory services from MSK; and in October 2020 we entered into a SADA sponsored research agreement pursuant to which we agreed to pay MSK to provide research services over a period of three years related to the intellectual property licensed under the SADA License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For three months ended March 31, 2022 and 2021, we incurred research and development expenses of $697,000 and $948,000, respectively, under these agreements.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July 2019, the Company entered a development, manufacturing and supply agreement with SpectronRx in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South Bend, Indiana, to secure access to clinical and commercial scale radiolabeling capacity for omburtamab. Under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terms of the agreement, SpectronRx has agreed to establish a manufacturing unit designated for the Company within its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existing facilities, at which both clinical and commercial supply of radiolabeled omburtamab can be produced. Since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Company possesses the right to substantially all the economic benefits and directs the use of the production area,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accounts for the payments related to the access to the manufacturing space under ASC 842 as an operating lease.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term of the lease is two years from the commencement date of August 31, 2020. Upon the lease commencement date,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recorded $3,617,000 as right-of-use asset and $2,680,000 as lease liability with the difference of $937,000 resulting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from certain prepayments and other costs incurred. The Company pays equal monthly installments of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$117,000 per month in additional access fees through September 2022 resulting in total payments of $583,000 remaining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under the agreement. There are no renewal options in this agreement.</w:t>
      </w:r>
    </w:p>
    <w:p>
      <w:pPr>
        <w:spacing w:after="0" w:line="211"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In February 2019, the Company entered into a lease agreement in connection with its 4,548 square feet laboratory in New Jersey. In December 2019, we expanded the space with an additional 235 square feet. The term of the lease is three years from the date the Company occupied the premises, with an option to extend for an additional two years which the Company expects to exercise and has included in the determination of the related lease liability. This lease will expire in the fourth quarter of 2023. Fixed rent payable under the lease is approximately $144,000 per annum and is payable in equal monthly installments of approximately $12,000.</w:t>
      </w:r>
    </w:p>
    <w:p>
      <w:pPr>
        <w:spacing w:after="0" w:line="178"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January 2018, the Company entered into a lease agreement in connection with its corporate headquarters in New York. The term of the lease is five years from the date the Company begins to occupy the premises. Fixed rent payable under the lease is approximately $384,000 per annum and is payable in equal monthly installments of approximately $32,000, which are recognized on a straight line basis.</w:t>
      </w:r>
    </w:p>
    <w:p>
      <w:pPr>
        <w:spacing w:after="0" w:line="18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Company entered a three-year lease agreement for the lease of certain office space in Denmark in February 2018, as amended in November 2018 and February 2019. Additionally, on September 26, 2021, the Company entered into a lease agreement in Denmark to expand the size of its current office space to a total of 29,288 square feet. The lease is payable in monthly installments of approximately $41,000, which are recognized on a straight line basis. The new lease is expected to last for 48 months and commenced on November 1, 2021 when we were provided access to the leased space.</w:t>
      </w:r>
    </w:p>
    <w:p>
      <w:pPr>
        <w:spacing w:after="0" w:line="192"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Total operating lease costs were $704,000 and $646,000 for the three months ended March 31, 2022 and 2021, respectively. During the three months ended March 31, 2022, the expenses were recorded as $638,000 in research and development expense and $66,000 in selling, general, and administrative expense. During the three months ended March 31, 2021, the expenses were recorded as $587,000 in research and development expense and $59,000 in selling, general, and administrative expense.</w:t>
      </w:r>
    </w:p>
    <w:p>
      <w:pPr>
        <w:spacing w:after="0" w:line="188"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Cash paid for amounts included in the measurement of lease liabilities for the three months ended March 31, 2022 and 2021 was $607,000 and $544,000, respectively, and was included in net cash used in operating activities in the Company’s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Maturities of operating lease liabilities at March 31, 2022 were as follows (in thousands):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171"/>
        </w:trPr>
        <w:tc>
          <w:tcPr>
            <w:tcW w:w="7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at March 31, 2022</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30"/>
        </w:trPr>
        <w:tc>
          <w:tcPr>
            <w:tcW w:w="7400" w:type="dxa"/>
            <w:vAlign w:val="bottom"/>
          </w:tcPr>
          <w:p>
            <w:pPr>
              <w:ind w:left="2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9"/>
        </w:trPr>
        <w:tc>
          <w:tcPr>
            <w:tcW w:w="7400" w:type="dxa"/>
            <w:vAlign w:val="bottom"/>
          </w:tcPr>
          <w:p>
            <w:pPr>
              <w:ind w:left="20"/>
              <w:spacing w:after="0"/>
              <w:rPr>
                <w:sz w:val="20"/>
                <w:szCs w:val="20"/>
                <w:color w:val="auto"/>
              </w:rPr>
            </w:pPr>
            <w:r>
              <w:rPr>
                <w:rFonts w:ascii="Arial" w:cs="Arial" w:eastAsia="Arial" w:hAnsi="Arial"/>
                <w:sz w:val="18"/>
                <w:szCs w:val="18"/>
                <w:color w:val="auto"/>
              </w:rPr>
              <w:t>Total operating lease liabilities at March 31,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Maturities of operating lease liabilities at December 31, 2021 were as follows (in thousands):</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Years ending December 31,</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01"/>
        </w:trPr>
        <w:tc>
          <w:tcPr>
            <w:tcW w:w="74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at December 31, 2021</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9"/>
        </w:trPr>
        <w:tc>
          <w:tcPr>
            <w:tcW w:w="7400" w:type="dxa"/>
            <w:vAlign w:val="bottom"/>
          </w:tcPr>
          <w:p>
            <w:pPr>
              <w:ind w:left="2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 at 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Operating lease liabilities are based on the net present value of the remaining lease payments over the remaining lease term. In determining the present value of lease payments, the Company uses its estimate of its incremental borrowing rate based on the information available at the lease commencement date. As of March 31, 2022, the weighted average remaining lease term is 2.54 years and the weighted average discount rate used to determine the operating lease liability was 6.5%. As of March 31, 2021, the weighted average remaining lease term is 1.97 years and the weighted average discount rate used to determine the operating lease liability was 7.6%.</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22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The Company has been named a nominal defendant in a lawsuit instigated by a stockholder against our Board Member and President, Interim Chief Executive Officer and Head of Business Development and Strategy, Mr. Thomas Gad, seeking to compel Mr. Gad to disgorge alleged short swing profits stemming from a certain transaction involving the Company’s common stock undertaken by Mr. Gad on March 10, 2021. The Company is of the opinion that the claim is without merit and intends to maintain this position in the proceedings. In addition, the Company had been informed by Mr. Gad that he also believes the claim is without merit, that he has strong defenses against such claim and that he intends to vigorously defend the action. The Company has assessed the proceedings and does not believe that it is probable that a gain or a liability will be realized by the Company. As a result, the Company did not record any loss or gain contingencies for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As of March 31, 2022 and December 31, 2021, the Company has authorized a total of 105,500,000 shares, 100,000,000 of which are common stock, par value $0.0001 per share, and 5,500,000 of which are preferred stock, par value $0.0001 per share.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43,718,165 shares of its common stock as of March 31, 2022 and 43,694,716 shares of its common stock as of December 31,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60" w:right="399" w:firstLine="648"/>
        <w:spacing w:after="0" w:line="311" w:lineRule="auto"/>
        <w:rPr>
          <w:sz w:val="20"/>
          <w:szCs w:val="20"/>
          <w:color w:val="auto"/>
        </w:rPr>
      </w:pPr>
      <w:r>
        <w:rPr>
          <w:rFonts w:ascii="Arial" w:cs="Arial" w:eastAsia="Arial" w:hAnsi="Arial"/>
          <w:sz w:val="16"/>
          <w:szCs w:val="16"/>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March 31, 2022 or December 31,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grant agreements with non-employees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April 2020, in connection with the SADA License Agreement, we entered into certain stock grant agreements pursuant to which we agreed to issue a total of 213,996 shares to two non-employee researchers who were involved in the development of the SADA technology licensed from MSK and MIT in consideration for their prior service. All 213,996 shares were issued in April 2020 into escrow with 40% of the shares immediately vesting at the time of issuance and the remaining 60% of the shares subject to vesting ratably over the next three years on the anniversary date of the agreement. In accordance with the terms of the agreement, the non-employee researchers vested in an additional 20% of the awards in 2021 and the remaining 40% vesting ratably over the years of 2022 and 2023 on the anniversary date of the agreement. The shares are subject to forfeiture to the extent the SADA License Agreement is terminated prior to the vesting of the shares. There is no cash settlement feature, and no future service is required for the non-employee researchers to vest and receive the shares. While the shares vest over time, there is no performance condition for the shares. In April 2020, we recorded an expense within research and development totaling $7,376,000 related to the shares which represents the fair value of the shares on the grant date.</w:t>
      </w:r>
    </w:p>
    <w:p>
      <w:pPr>
        <w:spacing w:after="0" w:line="17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In July 2020, pursuant to the stock grant agreements, we also loaned the two researchers a total of $2,610,000 related to their individual tax payments due in conjunction with the stock grants. Each of the loans are evidenced by a three year Secured Promissory Note. The outstanding principal amounts of the loans, together with all accrued interest thereon at the rate of 1% per annum, is due and payable on the maturity date of the loans. The loans are secured by Pledge and Security Agreements, pursuant to which the researchers have pledged the shares as security for repayment of the loans with interest rates. The loans are classified as held to maturity securities, recorded at amortized cost and included in other assets in the Company’s Consolidated Balance Sheet.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On February 22, 2021, we completed a third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our secondary public offering of $115,000,000, or aggregate net proceeds of approximately $107,725,000 after deducting underwriting discounts and commissions and offering expenses.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11—SHARE-BASED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Our board of directors and stockholders have approved and adopted the 2015 Plan, which provided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were reserved for issuance pursuant to the 2015 Plan. Options granted under the 2015 Plan vest according to the schedule specified in the grant agreements, which is generally a four-year period and generally become immediately exercisable upon the occurrence of a change in control, as defined. Upon the 2018 Equity Incentive Plan (the “2018 Plan’) becoming effective in September 2018, no further grants are allowed under the 2015 Plan.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25"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Our board of directors and stockholders approved and adopted the 2018 Plan, which became effective upon the Company’s initial public offering in September 2018 and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5,500,000 shares of our common stock, inclusive of the awards previously granted under the 2015 Equity Incentive Plan, are reserved for issuance pursuant to the 2018 Plan. In addition, the number of shares available for issuance under the 2018 Plan will also include an annual increase on the first day of each fiscal year beginning in 2019, equal to 4% of the outstanding shares of common stock as of the last day of our immediately preceding fiscal year. The exercise price of options granted under the plans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 agreements, which is generally a four-year period and generally become immediately exercisable upon the occurrence of a change in control, as defined.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the three-month periods ended March 31, 2022 and 2021, there were no new stock options granted. During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three month periods ended in March 31, 2022 and 2021, stock-based compensation for stock option grants were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$5,017,000 and $4,629,000, respectively, for options granted to employees and directors. During the three months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March 31, 2022, the expenses were recorded as $1,779,000 in research and development expense and $3,238,000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selling, general, and administrative expense. During the three months ended March 31, 2021, the expenses were recorded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$1,692,000 in research and development expense and $2,937,000 in selling, general, and administrative expense.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common stock options issued and outstanding: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value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price</w:t>
            </w: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6,687,128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$ 22.43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Exercised</w:t>
            </w:r>
          </w:p>
        </w:tc>
        <w:tc>
          <w:tcPr>
            <w:tcW w:w="840" w:type="dxa"/>
            <w:vAlign w:val="bottom"/>
          </w:tcPr>
          <w:p>
            <w:pPr>
              <w:jc w:val="right"/>
              <w:spacing w:after="0"/>
              <w:rPr>
                <w:sz w:val="20"/>
                <w:szCs w:val="20"/>
                <w:color w:val="auto"/>
              </w:rPr>
            </w:pPr>
            <w:r>
              <w:rPr>
                <w:rFonts w:ascii="Arial" w:cs="Arial" w:eastAsia="Arial" w:hAnsi="Arial"/>
                <w:sz w:val="18"/>
                <w:szCs w:val="18"/>
                <w:color w:val="auto"/>
              </w:rPr>
              <w:t>(16,000)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and expected to vest at March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6,648,961</w:t>
            </w:r>
          </w:p>
        </w:tc>
        <w:tc>
          <w:tcPr>
            <w:tcW w:w="14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$ 22.46</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15,726</w:t>
            </w:r>
          </w:p>
        </w:tc>
        <w:tc>
          <w:tcPr>
            <w:tcW w:w="14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March 31, 2022</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4,083,593</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$ 17.23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15,720</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fair value of each stock option grant is estimated on the date of grant using the Black-Scholes option pricing model. The Company’s public trading commenced in September 2018, and, as a result, there is only limited available historical volatility experience. Therefore, we estimate our expected share price volatility based on a combination of the historical volatility of a group of publicly traded peer companies and the historical volatility of the Y-mAbs share price,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risk 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 There were no significant changes to the inputs included in the Black-Scholes option pricing model during the period ended March 31, 2022.</w:t>
      </w:r>
    </w:p>
    <w:p>
      <w:pPr>
        <w:spacing w:after="0" w:line="184" w:lineRule="exact"/>
        <w:rPr>
          <w:sz w:val="20"/>
          <w:szCs w:val="20"/>
          <w:color w:val="auto"/>
        </w:rPr>
      </w:pPr>
    </w:p>
    <w:p>
      <w:pPr>
        <w:jc w:val="both"/>
        <w:ind w:left="60" w:right="99" w:firstLine="648"/>
        <w:spacing w:after="0" w:line="286" w:lineRule="auto"/>
        <w:rPr>
          <w:sz w:val="20"/>
          <w:szCs w:val="20"/>
          <w:color w:val="auto"/>
        </w:rPr>
      </w:pPr>
      <w:r>
        <w:rPr>
          <w:rFonts w:ascii="Arial" w:cs="Arial" w:eastAsia="Arial" w:hAnsi="Arial"/>
          <w:sz w:val="17"/>
          <w:szCs w:val="17"/>
          <w:color w:val="auto"/>
        </w:rPr>
        <w:t>As of March 31, 2022, we had $44,592,000 of unrecognized compensation related to employee stock options that are expected to vest over a period of 2.79 years. As of March 31, 2021, we had $47,610,000 of unrecognized compensation related to employee stock options that are expected to vest over a period of 2.92 years.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During the three months ended March 31, 2022 and March 31, 2021, stock-based compensation for restricted stock unit grants was $74,000 and $69,000, respectively. During the three months ended March 31, 2022, the expenses were recorded as $68,000 in research and development expense and $6,000 in selling, general, and administrative expense. During the three months ended March 31, 2021, the expenses were recorded as $63,000 in research and development expense and $6,000 in selling, general, and administrative expense.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restricted stock units issued and outstanding:</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Restricted Stock Units</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w:t>
            </w: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vesting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price</w:t>
            </w: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and expected to vest at</w:t>
            </w:r>
          </w:p>
        </w:tc>
        <w:tc>
          <w:tcPr>
            <w:tcW w:w="14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28,907</w:t>
            </w:r>
          </w:p>
        </w:tc>
        <w:tc>
          <w:tcPr>
            <w:tcW w:w="7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$ 28.04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16,283</w:t>
            </w:r>
          </w:p>
        </w:tc>
        <w:tc>
          <w:tcPr>
            <w:tcW w:w="760" w:type="dxa"/>
            <w:vAlign w:val="bottom"/>
            <w:gridSpan w:val="2"/>
          </w:tcPr>
          <w:p>
            <w:pPr>
              <w:jc w:val="right"/>
              <w:ind w:right="4"/>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7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tcPr>
          <w:p>
            <w:pPr>
              <w:jc w:val="right"/>
              <w:spacing w:after="0"/>
              <w:rPr>
                <w:sz w:val="20"/>
                <w:szCs w:val="20"/>
                <w:color w:val="auto"/>
              </w:rPr>
            </w:pPr>
            <w:r>
              <w:rPr>
                <w:rFonts w:ascii="Arial" w:cs="Arial" w:eastAsia="Arial" w:hAnsi="Arial"/>
                <w:sz w:val="18"/>
                <w:szCs w:val="18"/>
                <w:color w:val="auto"/>
              </w:rPr>
              <w:t>(534)</w:t>
            </w:r>
          </w:p>
        </w:tc>
        <w:tc>
          <w:tcPr>
            <w:tcW w:w="760" w:type="dxa"/>
            <w:vAlign w:val="bottom"/>
            <w:gridSpan w:val="2"/>
          </w:tcPr>
          <w:p>
            <w:pPr>
              <w:jc w:val="right"/>
              <w:ind w:right="4"/>
              <w:spacing w:after="0"/>
              <w:rPr>
                <w:sz w:val="20"/>
                <w:szCs w:val="20"/>
                <w:color w:val="auto"/>
              </w:rPr>
            </w:pPr>
            <w:r>
              <w:rPr>
                <w:rFonts w:ascii="Arial" w:cs="Arial" w:eastAsia="Arial" w:hAnsi="Arial"/>
                <w:sz w:val="18"/>
                <w:szCs w:val="18"/>
                <w:color w:val="auto"/>
              </w:rPr>
              <w:t>28.89</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Outstanding and expected to vest at March 31, 2022</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86"/>
              </w:rPr>
              <w:t>$ 20.74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As of March 31, 2022, we had $650,000 of unrecognized compensation related to employee restricted stock units that are expected to vest over a period of 2.38 years. As of March 31, 2021, we had $523,000 of unrecognized compensation related to employee restricted stock units that are expected to vest over a period of 1.96 years.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 xml:space="preserve">Under the MSK License Agreement, SADA License Agreement, the CD33 License Agreement, MabVax Agreement, and various other supporting agreements with MSK, we have expensed costs in the total amount of $1,374,000 and $948,000 in the three months ended March 31, 2022 and 2021, respectively, for milestones, and research and development costs, under these agreements with MSK. Please refer to </w:t>
      </w:r>
      <w:r>
        <w:rPr>
          <w:rFonts w:ascii="Arial" w:cs="Arial" w:eastAsia="Arial" w:hAnsi="Arial"/>
          <w:sz w:val="18"/>
          <w:szCs w:val="18"/>
          <w:i w:val="1"/>
          <w:iCs w:val="1"/>
          <w:color w:val="auto"/>
        </w:rPr>
        <w:t>NOTE 9—LICENSE AGREEMENTS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w:t>
      </w:r>
      <w:r>
        <w:rPr>
          <w:rFonts w:ascii="Arial" w:cs="Arial" w:eastAsia="Arial" w:hAnsi="Arial"/>
          <w:sz w:val="18"/>
          <w:szCs w:val="18"/>
          <w:color w:val="auto"/>
        </w:rPr>
        <w:t>for additional details on our agreements with MSK. As of March 31, 2022, our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includes liabilities due to MSK totaling $6,455,000, $335,000 recorded within accounts payable and $6,120,000 recorded within accrued liabilities. As of December 31, 2021, our consolidated balance sheet includes liabilities due to MSK totaling $6,191,000, $748,000 recorded within accounts accounts payable, $5,443,000 recorded within accrued liabilities.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13—INCOME TAXES</w:t>
      </w:r>
    </w:p>
    <w:p>
      <w:pPr>
        <w:spacing w:after="0" w:line="229"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The Company provided no current and deferred income taxes on net loss of $28,068,000 and net income of $33,413,000 for the three-month periods ended March 31, 2022 and 2021, respectively.</w:t>
      </w:r>
    </w:p>
    <w:p>
      <w:pPr>
        <w:spacing w:after="0" w:line="170"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 Company recognizes income tax benefits for tax positions determined more likely than not to be sustained upon examination, based on the technical merits of the positions. Unrecognized tax benefits were $0 and $304,000 at March 31, 2022 and December 31, 2021, respectively. As of March 31, 2022 and December 31, 2021, the Company does not have any interest or penalties accrued related to the total amount of unrecognized tax benefits. The Company’s tax returns for the years 2020, 2019, 2018, and 2017 are open for tax examination by U.S. federal and state and Danish tax authorities. During 2022, the review of the Company’s transfer pricing policies by the Danish Tax Authorities for tax years 2016 through 2020 was completed resulting in no material impacts to our income tax accounts.</w:t>
      </w:r>
    </w:p>
    <w:p>
      <w:pPr>
        <w:spacing w:after="0" w:line="166"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7"/>
          <w:szCs w:val="17"/>
          <w:color w:val="auto"/>
        </w:rPr>
        <w:t>The Company maintains a full valuation allowance on its U.S. and foreign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its evaluation, the Company considered its cumulative losses historically and in recent years and its forecasted losses in the near 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14—OTHER BENEFITS</w:t>
      </w:r>
    </w:p>
    <w:p>
      <w:pPr>
        <w:spacing w:after="0" w:line="229"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Company has adopted a defined contribution 401(k) savings plan (the “401(k) plan”) covering all U.S. employees. Participants may elect to defer a percentage of their pretax or after-tax compensation to the 401(k) plan, subject to defined limitations. The plan allows for a discretionary match by the Company. The Company made no matching contributions to the plan during the three months ended March 31, 2022 and 2021.</w:t>
      </w:r>
    </w:p>
    <w:p>
      <w:pPr>
        <w:spacing w:after="0" w:line="171"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The Company has established a retirement program for employees of our Danish subsidiary pursuant to which all such employees can contribute an amount at their election from their base compensation and may receive contributions from our Danish subsidiary. The Danish subsidiary made no contributions during the three months ended March 31, 2022 and 2021. In addition, health insurance benefits for our Danish employees are fully paid for by such employees. Our Danish subsidiary does not incur any costs for these health insurance benefits.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w:t>
      </w:r>
      <w:r>
        <w:rPr>
          <w:rFonts w:ascii="Arial" w:cs="Arial" w:eastAsia="Arial" w:hAnsi="Arial"/>
          <w:sz w:val="18"/>
          <w:szCs w:val="18"/>
          <w:color w:val="auto"/>
        </w:rPr>
        <w:t>—</w:t>
      </w:r>
      <w:r>
        <w:rPr>
          <w:rFonts w:ascii="Arial" w:cs="Arial" w:eastAsia="Arial" w:hAnsi="Arial"/>
          <w:sz w:val="18"/>
          <w:szCs w:val="18"/>
          <w:b w:val="1"/>
          <w:bCs w:val="1"/>
          <w:color w:val="auto"/>
        </w:rPr>
        <w:t>GAIN FROM SALE OF PRIORITY REVIEW VOUCHER</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On December 28, 2020, the Company announced that it entered into a definitive agreement to sell its DANYELZA Priority Review Voucher, or PRV, to United Therapeutics Corporation for $105,000,000. The PRV was granted in conjunction with the approval by FDA of DANYELZA, for the treatment of refractory/relapsed high-risk neuroblastoma. Under the terms of the Company’s license agreement with MSK, Y-mAbs retained 60% of the net proceeds received from the sale, and the remaining 40% was paid to MSK. The transaction closed on January 21, 2021 once the substantive closing conditions included within the agreement were resolved. The Company recognized a net gain of $62,010,000 during the quarter ended March 31, 2021 related to the sale.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recognize a corresponding gain during the quarter ended March 31, 2022.</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w:t>
      </w:r>
      <w:r>
        <w:rPr>
          <w:rFonts w:ascii="Arial" w:cs="Arial" w:eastAsia="Arial" w:hAnsi="Arial"/>
          <w:sz w:val="18"/>
          <w:szCs w:val="18"/>
          <w:color w:val="auto"/>
        </w:rPr>
        <w:t>—</w:t>
      </w:r>
      <w:r>
        <w:rPr>
          <w:rFonts w:ascii="Arial" w:cs="Arial" w:eastAsia="Arial" w:hAnsi="Arial"/>
          <w:sz w:val="18"/>
          <w:szCs w:val="18"/>
          <w:b w:val="1"/>
          <w:bCs w:val="1"/>
          <w:color w:val="auto"/>
        </w:rPr>
        <w:t>SUBSEQUENT EVENT</w:t>
      </w:r>
    </w:p>
    <w:p>
      <w:pPr>
        <w:spacing w:after="0" w:line="229"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On April 27, 2022, the Company announced certain executive management changes. Effective April 22, 2022, Dr. Claus Møller stepped down from his positions as Chief Executive Officer and as a member of the Company’s Board of Directors. There were no disagreements with the Company expressed by Dr. Møller on any matters relating the Company’s operations, policies or practices. Dr. Møller’s employment agreement provides for cash compensation of $1,428,000, which includes salary and certain benefits continuation. Also, under terms of the equity award agreement, Dr. Møller’s outstanding stock option awards will continue to vest as scheduled and become exercisable when vested. This will result in a non-cash share-based compensation expense charge of $9,286,000 that the Company anticipates will be recognized in 2022 as there is no longer a service condition related to such awards. Therefore, the Company expects a total charge of $10,714,000 related to executive management change to be recorded during 2022.</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accompanying financial statements and related notes thereto included elsewhere in this Quarterly Report on Form 10-Q and in our Annual Report on Form 10-K for the year ended December 31, 2021 filed with the U.S. Securities and Exchange Commission, or SEC.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For convenience of presentation some of the numbers have been rounded in the text below.</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We are a commercial-stage biopharmaceutical company focused on the development and commercialization of novel, antibody-based therapeutic products for the treatment of cancer. We are leveraging our proprietary antibody platforms and deep expertise in the field of antibodies to develop a broad portfolio of innovative medicines.</w:t>
      </w:r>
    </w:p>
    <w:p>
      <w:pPr>
        <w:spacing w:after="0" w:line="139" w:lineRule="exact"/>
        <w:rPr>
          <w:sz w:val="20"/>
          <w:szCs w:val="20"/>
          <w:color w:val="auto"/>
        </w:rPr>
      </w:pPr>
    </w:p>
    <w:p>
      <w:pPr>
        <w:ind w:left="60" w:right="139" w:firstLine="648"/>
        <w:spacing w:after="0" w:line="237" w:lineRule="auto"/>
        <w:rPr>
          <w:sz w:val="20"/>
          <w:szCs w:val="20"/>
          <w:color w:val="auto"/>
        </w:rPr>
      </w:pPr>
      <w:r>
        <w:rPr>
          <w:rFonts w:ascii="Arial" w:cs="Arial" w:eastAsia="Arial" w:hAnsi="Arial"/>
          <w:sz w:val="18"/>
          <w:szCs w:val="18"/>
          <w:color w:val="auto"/>
        </w:rPr>
        <w:t>Our only approved drug DANYELZA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(naxitamab-gqgk) was approved by the United States Food and Drug Administration, or FDA, in November 2020 for the treatment, in combination with Granulocyte-Macrophage Colony-Stimulating Factor, or GM-CSF, of pediatric patients one year of age and older and adult patients with relapsed or refractory, or R/R, high-risk neuroblastoma, or NB, in the bone or bone marrow who have demonstrated a partial response, minor response, or stable disease to prior therapy. We are commercializing DANYELZA in the United States and began shipping the product in February 2021.</w:t>
      </w:r>
    </w:p>
    <w:p>
      <w:pPr>
        <w:spacing w:after="0" w:line="205"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DANYELZA is also currently being investigated in three Phase 2 clinical studies for the treatment of patients with first-line NB, third-line NB, and in relapsed osteosarcoma. In addition, we have an ongoing Phase 2 trial at</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Memorial Sloan Kettering Cancer Center, or MSK, with our GD2-GD3 Vaccine for the treatment of Stage 4 high-risk NB.</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the GD2-GD3 Vaccine can potentially serve as an add-on treatment to DANYELZA.</w:t>
      </w:r>
    </w:p>
    <w:p>
      <w:pPr>
        <w:spacing w:after="0" w:line="201"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7"/>
          <w:szCs w:val="17"/>
          <w:color w:val="auto"/>
        </w:rPr>
        <w:t xml:space="preserve">We submitted a Biologics License Application, or BLA, to the FDA for radiolabeled </w:t>
      </w:r>
      <w:r>
        <w:rPr>
          <w:rFonts w:ascii="Arial" w:cs="Arial" w:eastAsia="Arial" w:hAnsi="Arial"/>
          <w:sz w:val="25"/>
          <w:szCs w:val="25"/>
          <w:color w:val="auto"/>
          <w:vertAlign w:val="superscript"/>
        </w:rPr>
        <w:t>131</w:t>
      </w:r>
      <w:r>
        <w:rPr>
          <w:rFonts w:ascii="Arial" w:cs="Arial" w:eastAsia="Arial" w:hAnsi="Arial"/>
          <w:sz w:val="17"/>
          <w:szCs w:val="17"/>
          <w:color w:val="auto"/>
        </w:rPr>
        <w:t>I-omburtamab for central nervous system, or CNS, leptomeningeal metastases, or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have been working closely with the FDA to resolve all issues, and had a number of Type B meetings with the agency, including a pre-BLA meeting in January 2022. We completed the resubmission of the BLA for omburtamab in March 2022. However, we can provide no assurance that omburtamab will ultimately receive FDA approval.</w:t>
      </w:r>
    </w:p>
    <w:p>
      <w:pPr>
        <w:spacing w:after="0" w:line="195"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Additionally, we are conducting clinical studies with omburtamab in diffuse intrinsic pontine glioma, or DIPG, and desmoplastic small round cell tumor, or DSRCT. We also have two omburtamab follow-on product candidates.</w:t>
      </w:r>
    </w:p>
    <w:p>
      <w:pPr>
        <w:spacing w:after="0" w:line="124" w:lineRule="exact"/>
        <w:rPr>
          <w:sz w:val="20"/>
          <w:szCs w:val="20"/>
          <w:color w:val="auto"/>
        </w:rPr>
      </w:pPr>
    </w:p>
    <w:p>
      <w:pPr>
        <w:ind w:left="60" w:right="99" w:firstLine="648"/>
        <w:spacing w:after="0" w:line="237" w:lineRule="auto"/>
        <w:rPr>
          <w:sz w:val="20"/>
          <w:szCs w:val="20"/>
          <w:color w:val="auto"/>
        </w:rPr>
      </w:pPr>
      <w:r>
        <w:rPr>
          <w:rFonts w:ascii="Arial" w:cs="Arial" w:eastAsia="Arial" w:hAnsi="Arial"/>
          <w:sz w:val="18"/>
          <w:szCs w:val="18"/>
          <w:color w:val="auto"/>
        </w:rPr>
        <w:t>We are advancing a new generation of antibody constructs based on the SADA technology, where we use our proprietary radioimmunotherapy SADA platform to create SADA contructs. Bispecific antibody fragments bind to the tumor before a radioactive payload is injected in a two-step approach. We also refer to the SADA technology as Liquid Radiation</w:t>
      </w:r>
      <w:r>
        <w:rPr>
          <w:rFonts w:ascii="Arial" w:cs="Arial" w:eastAsia="Arial" w:hAnsi="Arial"/>
          <w:sz w:val="26"/>
          <w:szCs w:val="26"/>
          <w:color w:val="auto"/>
          <w:vertAlign w:val="superscript"/>
        </w:rPr>
        <w:t>TM</w:t>
      </w:r>
      <w:r>
        <w:rPr>
          <w:rFonts w:ascii="Arial" w:cs="Arial" w:eastAsia="Arial" w:hAnsi="Arial"/>
          <w:sz w:val="18"/>
          <w:szCs w:val="18"/>
          <w:color w:val="auto"/>
        </w:rPr>
        <w:t>. We have designated GD2-SADA for potential use in GD2 positive solid tumors as our first SADA constructs and have filed an IND for GD2-SADA in December 2021. We believe the SADA technology could potentially improve the efficacy of radiolabeled therapeutics in tumors that have not historically demonstrated meaningful responses to radiolabeled agents.</w:t>
      </w:r>
    </w:p>
    <w:p>
      <w:pPr>
        <w:spacing w:after="0" w:line="20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Based on the Y-BiClone platform, we have a new generation of T cell engaging bispecific antibodies, or BsAbs, that may destroy tumor cells by recruitment of host T cells. Our Y-BiClone format contains two binding arms for the tumor target and two binding arms for T cells. This format was designed to have the smallest binding affinity necessary to recruit T cells. We are advancing a CD33 BsAb for the treatment of hematological cancers expressing CD33, a transmembrane receptor expressed on cells of myeloid lineage, for which we have filed an IND and expect clinical trials to be initiated by the middle of 2022. We believe our BsAbs have the potential to result in improved tumor binding, longer serum half-life and significantly greater T cell mediated killing of tumor cells without the need for continuous infusion. Our Phase 2 trial with nivatrotamab, a GD2 BsAb product candidate, for Small Cell Lung Cancer, or SCLC, and our Phase 1/2 trial for the treatment of refractory GD2 positive adult and pediatric solid tumors will be winded down during the second quarter of 2022 in order to allow for reallocation of resources to our SADA constructs.</w:t>
      </w:r>
    </w:p>
    <w:p>
      <w:pPr>
        <w:spacing w:after="0" w:line="18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continue to advance and expand our product pipeline into certain adult cancer indications either independently or in collaboration with potential partners.</w:t>
      </w:r>
    </w:p>
    <w:p>
      <w:pPr>
        <w:spacing w:after="0" w:line="187"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Since our inception on April 30, 2015, we have devoted substantially all of our resources to organizing and staffing our company, business planning, identifying potential product candidates, conducting pre-clinical studies of our product candidates and clinical trials of our lead product candidates, commercializing our approved product, raising capital, and acquiring and developing our technology platform among other matters. We have not generated substantial revenues from sales of DANYELZA which is currently our only approved product.</w:t>
      </w:r>
    </w:p>
    <w:p>
      <w:pPr>
        <w:spacing w:after="0" w:line="176" w:lineRule="exact"/>
        <w:rPr>
          <w:sz w:val="20"/>
          <w:szCs w:val="20"/>
          <w:color w:val="auto"/>
        </w:rPr>
      </w:pPr>
    </w:p>
    <w:p>
      <w:pPr>
        <w:ind w:left="60" w:right="319" w:firstLine="648"/>
        <w:spacing w:after="0" w:line="286" w:lineRule="auto"/>
        <w:rPr>
          <w:sz w:val="20"/>
          <w:szCs w:val="20"/>
          <w:color w:val="auto"/>
        </w:rPr>
      </w:pPr>
      <w:r>
        <w:rPr>
          <w:rFonts w:ascii="Arial" w:cs="Arial" w:eastAsia="Arial" w:hAnsi="Arial"/>
          <w:sz w:val="17"/>
          <w:szCs w:val="17"/>
          <w:color w:val="auto"/>
        </w:rPr>
        <w:t>To date, we have financed our operations primarily through private placements of our securities, proceeds from our IPO and proceeds from our two subsequent public offerings, revenues generated from DANYELZA and license revenues, and the proceeds from our sale of the PRV obtained upon FDA approval of DANYELZA.</w:t>
      </w:r>
    </w:p>
    <w:p>
      <w:pPr>
        <w:spacing w:after="0" w:line="165"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On February 22, 2021, we completed our most recent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this offering of $115.0 million, with aggregate net proceeds of approximately $107.7 million after deducting underwriting discounts and commissions and offering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In conjunction with the approval by the FDA of DANYELZA in November 2020 we received a Priority Review Voucher, or PRV, which we subsequently sold to United Therapeutics Corporation for a purchase price of $105 million. We were obligated to pay, and paid 40% of the net proceeds from the sale of the PRV to MSK as required under the terms of the MSK License. We intend to use the remaining proceeds to fund further research and development and other operational programs. The transaction closed in January 2021 upon the resolution of the substantive closing conditions, and the gain was recognized within “Other Income, Net” on the Consolidated Statements of Net Income / (Loss) and Comprehensive Income / (Loss) for the three months ended March 31, 2021. Upon the potential FDA approval of omburtamab, we expect to receive another PRV, and upon the sale we would be obligated to pay 33% of the net proceeds from such sale to MSK.</w:t>
      </w:r>
    </w:p>
    <w:p>
      <w:pPr>
        <w:spacing w:after="0" w:line="16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As of March 31, 2022, we had an accumulated deficit of $368.5 million. Our net loss was $28.1 million for the three months ended March 31, 2022 and our net income was $33.4 million for the three months ended March 31, 2021. We have incurred significant net operating losses in every year since our inception and expect to continue to incur net operating losses and significant expenses for the foreseeable future. Our net losses may fluctuate significantly from quarter to quarter and year to year as we:</w:t>
      </w:r>
    </w:p>
    <w:p>
      <w:pPr>
        <w:spacing w:after="0" w:line="188" w:lineRule="exact"/>
        <w:rPr>
          <w:sz w:val="20"/>
          <w:szCs w:val="20"/>
          <w:color w:val="auto"/>
        </w:rPr>
      </w:pPr>
    </w:p>
    <w:p>
      <w:pPr>
        <w:ind w:left="60" w:right="119" w:firstLine="638"/>
        <w:spacing w:after="0" w:line="277" w:lineRule="auto"/>
        <w:tabs>
          <w:tab w:leader="none" w:pos="13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advance our lead product candidates through the regulatory approval process both in the U.S. and internationally;</w:t>
      </w:r>
    </w:p>
    <w:p>
      <w:pPr>
        <w:spacing w:after="0" w:line="170" w:lineRule="exact"/>
        <w:rPr>
          <w:rFonts w:ascii="Arial" w:cs="Arial" w:eastAsia="Arial" w:hAnsi="Arial"/>
          <w:sz w:val="18"/>
          <w:szCs w:val="18"/>
          <w:color w:val="auto"/>
        </w:rPr>
      </w:pPr>
    </w:p>
    <w:p>
      <w:pPr>
        <w:ind w:left="1340" w:hanging="642"/>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 clinical and clinical development;</w:t>
      </w:r>
    </w:p>
    <w:p>
      <w:pPr>
        <w:spacing w:after="0" w:line="225" w:lineRule="exact"/>
        <w:rPr>
          <w:rFonts w:ascii="Arial" w:cs="Arial" w:eastAsia="Arial" w:hAnsi="Arial"/>
          <w:sz w:val="18"/>
          <w:szCs w:val="18"/>
          <w:color w:val="auto"/>
        </w:rPr>
      </w:pPr>
    </w:p>
    <w:p>
      <w:pPr>
        <w:ind w:left="60" w:right="99" w:firstLine="638"/>
        <w:spacing w:after="0" w:line="277" w:lineRule="auto"/>
        <w:tabs>
          <w:tab w:leader="none" w:pos="13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70" w:lineRule="exact"/>
        <w:rPr>
          <w:rFonts w:ascii="Arial" w:cs="Arial" w:eastAsia="Arial" w:hAnsi="Arial"/>
          <w:sz w:val="18"/>
          <w:szCs w:val="18"/>
          <w:color w:val="auto"/>
        </w:rPr>
      </w:pPr>
    </w:p>
    <w:p>
      <w:pPr>
        <w:ind w:left="1340" w:hanging="642"/>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pre clinical studies and clinical trials for any additional product candidates we identify;</w:t>
      </w:r>
    </w:p>
    <w:p>
      <w:pPr>
        <w:spacing w:after="0" w:line="225" w:lineRule="exact"/>
        <w:rPr>
          <w:rFonts w:ascii="Arial" w:cs="Arial" w:eastAsia="Arial" w:hAnsi="Arial"/>
          <w:sz w:val="18"/>
          <w:szCs w:val="18"/>
          <w:color w:val="auto"/>
        </w:rPr>
      </w:pPr>
    </w:p>
    <w:p>
      <w:pPr>
        <w:ind w:left="1340" w:hanging="642"/>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 and</w:t>
      </w:r>
    </w:p>
    <w:p>
      <w:pPr>
        <w:spacing w:after="0" w:line="225" w:lineRule="exact"/>
        <w:rPr>
          <w:rFonts w:ascii="Arial" w:cs="Arial" w:eastAsia="Arial" w:hAnsi="Arial"/>
          <w:sz w:val="18"/>
          <w:szCs w:val="18"/>
          <w:color w:val="auto"/>
        </w:rPr>
      </w:pPr>
    </w:p>
    <w:p>
      <w:pPr>
        <w:ind w:left="1340" w:hanging="642"/>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w:t>
      </w:r>
    </w:p>
    <w:p>
      <w:pPr>
        <w:spacing w:after="0" w:line="225"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7"/>
          <w:szCs w:val="17"/>
          <w:color w:val="auto"/>
        </w:rPr>
        <w:t>In August 2015, we entered into a license agreement with MSK, or the MSK License, pursuant to which we have obtained exclusive rights to MSK’s rights in our current antibody product candidates. Under the MSK License, we committed to funding scientific research at MSK as well as conducting certain clinical trial activities at MSK. As these product candidates progress through clinical development, regulatory approval and commercialization, certain milestone payments will come due to MSK either as a result of the milestones having been met or the passage of time even if the milestones have not been met. Also, we owe MSK customary royalties on commercial sales of our approved products. In addition, we have committed to obtain certain personnel and laboratory services at MSK under our Master Data Services Agreement, or MDSA, and two separate Core Facility Service Agreements, or CFSAs. Also, under our Investigator-Sponsored Master Clinical Trial Agreement, or MCTA, with MSK, we will provide drug product and funding for certain clinical trials at MSK.</w:t>
      </w:r>
    </w:p>
    <w:p>
      <w:pPr>
        <w:spacing w:after="0" w:line="185"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6"/>
          <w:szCs w:val="16"/>
          <w:color w:val="auto"/>
        </w:rPr>
        <w:t>On April 15, 2020, we entered into the SADA Technology License Agreement, or the SADA License Agreement, with MSK and Massachusetts Institute of Technology, or MIT, that grants us an exclusive, worldwide, sublicensable license to certain patent and intellectual property rights developed by MSK and MIT to develop, manufacture, and commercialize licensed products and to perform services for all therapeutic and diagnostic uses in the field of cancer diagnostics and cancer treatments using SADA-BiDE (2-step Self-Assembly and DisAssembly-Bispecific DOTA-Engaging antibody system) Pre-targeted Radioimmunotherapy Platform, or the SADA Technology, a concept we also refer to as Liquid Radiation</w:t>
      </w:r>
      <w:r>
        <w:rPr>
          <w:rFonts w:ascii="Arial" w:cs="Arial" w:eastAsia="Arial" w:hAnsi="Arial"/>
          <w:sz w:val="23"/>
          <w:szCs w:val="23"/>
          <w:color w:val="auto"/>
          <w:vertAlign w:val="superscript"/>
        </w:rPr>
        <w:t>TM</w:t>
      </w:r>
      <w:r>
        <w:rPr>
          <w:rFonts w:ascii="Arial" w:cs="Arial" w:eastAsia="Arial" w:hAnsi="Arial"/>
          <w:sz w:val="16"/>
          <w:szCs w:val="16"/>
          <w:color w:val="auto"/>
        </w:rPr>
        <w:t>. The patents and patent applications covered by the SADA License Agreement are directed, in part, to the SADA Technology, as well as a number of SADA constructs developed by MSK. Upon entering into the SADA License Agreement in April 2020 and in exchange for the licenses, we paid MSK and MIT a cash upfront payment and issued an aggregate of 42,900 shares of our common stock to them. During the year ended December 31, 2021, we made a cash payment in the amount of $1.0 million to MSK and MIT under the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firstLine="648"/>
        <w:spacing w:after="0" w:line="342" w:lineRule="auto"/>
        <w:rPr>
          <w:sz w:val="20"/>
          <w:szCs w:val="20"/>
          <w:color w:val="auto"/>
        </w:rPr>
      </w:pPr>
      <w:r>
        <w:rPr>
          <w:rFonts w:ascii="Arial" w:cs="Arial" w:eastAsia="Arial" w:hAnsi="Arial"/>
          <w:sz w:val="16"/>
          <w:szCs w:val="16"/>
          <w:color w:val="auto"/>
        </w:rPr>
        <w:t>As required under the SADA License Agreement, in October 2020, we entered into a Sponsored Research Agreement with MSK to fund at least $1,500,000 in scientific research at MSK over the following three years.</w:t>
      </w:r>
    </w:p>
    <w:p>
      <w:pPr>
        <w:spacing w:after="0" w:line="124"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Further, the SADA License Agreement requires us to pay to MSK and MIT mid to high single-digit royalties based on annual net sales of licensed products or the performance of licensed services by us and our affiliates and sublicensees. We are obligated to pay minimum annual royalties of $40,000, which shall increase to $60,000 once a patent has been issued, over the royalty term, commencing on the tenth anniversary of the license agreement. These amounts are non refundable but are creditable against royalty payments otherwise due under the SADA License Agreement. As of March 31, 2022, we have determined that payment of the minimum royalties is not probable, and accordingly have not accrued for such royalties at March 31, 2022.</w:t>
      </w:r>
    </w:p>
    <w:p>
      <w:pPr>
        <w:spacing w:after="0" w:line="177"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Under the SADA License Agreement, we are also obligated to pay MSK and MIT certain clinical, regulatory and sales based milestone payments. Certain of the clinical and regulatory milestone payments become due at the earlier of either the completion of the related milestone activity or the date indicated in the SADA License Agreement. Total clinical and regulatory milestones potentially due under the SADA License Agreement are $4,730,000 and $18,125,000, respectively. Sales based milestones payments, totaling $23,750,000, become due should the Company achieve certain amounts of sales. In addition, for each of the SADA constructs generated by MSK and sold on behalf of the Company by a sublicensee, the Company may make sales-based milestone payments in the total amount up to $60,000,000 based on the achievement of various cumulative net sales made by the sub-licensee. Finally, under the terms of the SADA License, MSK is entitled to receive 25% of any income generated from the sale of any PRV or the sale of other comparable incentives provided by any non-U.S. jurisdiction. As of March 31, 2022, we have accrued $605,000 of the clinical based milestones under the SADA License Agreement which we considered to be estimable and probable and we expect to pay this amount in the fourth quarter of 2022.</w:t>
      </w:r>
    </w:p>
    <w:p>
      <w:pPr>
        <w:spacing w:after="0" w:line="179"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 xml:space="preserve">These MSK agreements are important to our business. For a more detailed discussion of the terms and conditions of certain of these agreements, see </w:t>
      </w:r>
      <w:r>
        <w:rPr>
          <w:rFonts w:ascii="Arial" w:cs="Arial" w:eastAsia="Arial" w:hAnsi="Arial"/>
          <w:sz w:val="17"/>
          <w:szCs w:val="17"/>
          <w:i w:val="1"/>
          <w:iCs w:val="1"/>
          <w:color w:val="auto"/>
        </w:rPr>
        <w:t>NOTE 9—LICENSE AGREEMENTS AND COMMITMENTS.</w:t>
      </w:r>
    </w:p>
    <w:p>
      <w:pPr>
        <w:spacing w:after="0" w:line="146"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For DANYELZA, and for any other product candidates for which we obtain regulatory approval, if any, we expect to incur significant milestone costs, as well as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uncertain,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Since it was first reported to have emerged in December 2019, a novel strain of coronavirus, which causes COVID-19, has spread around the world, including the New York metropolitan area and Copenhagen, Denmark, where our primary office and laboratory spaces are located. The coronavirus pandemic is evolving, and to date has led to the implementation of various responses, including government-imposed quarantines, travel restrictions and other public health safety measures.</w:t>
      </w:r>
    </w:p>
    <w:p>
      <w:pPr>
        <w:spacing w:after="0" w:line="1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extent to which the COVID-19 pandemic impacts our operations or those of our third-party partners, including our preclinical studies, clinical trials, manufacturing operations and commercialization efforts, will depend on future developments, which are highly uncertain and cannot be predicted with confidence, including the duration of the outbreak, new information that will emerge concerning the severity of the COVID-19 pandemic, the emergence of new</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variants of the virus such as the Delta and Omicron variants and the actions to contain the coronavirus or treat its impact, among others. We have taken precautionary measures intended to help minimize the risk of the virus to our employees which could negatively affect our business. To date, the COVID-19 pandemic has caused slower initiation of new clinical trials and a fluctuating rate of recruitment for ongoing clinical trials, which has marginally delayed our clinical development activities and thereby postponed certain accompanying costs. The aggregate impact of the coronavirus has not been significant to the Company.</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cannot presently predict the scope and severity of the potential future shutdowns or disruptions of vendors and other businesses and government agencies, such as the SEC, the FDA or other domestic and international regulatory authorities.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Product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Product revenue consists of sales of DANYELZA.</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Cost of goods sold includes direct and indirect costs related to the manufacturing and distribution of DANYELZA, including materials, third-party manufacturing costs, packaging services, freight, labor costs for personnel involved in the manufacturing process, indirect overhead costs and third-party royalties payable on our net product revenues.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Research and development expenses consist of expenses incurred in connection with the discovery and development of our product candidates. We expense research and development costs as incurred. These expenses include, but are not limited to:</w:t>
      </w:r>
    </w:p>
    <w:p>
      <w:pPr>
        <w:spacing w:after="0" w:line="184" w:lineRule="exact"/>
        <w:rPr>
          <w:sz w:val="20"/>
          <w:szCs w:val="20"/>
          <w:color w:val="auto"/>
        </w:rPr>
      </w:pPr>
    </w:p>
    <w:p>
      <w:pPr>
        <w:ind w:left="1040" w:right="299" w:hanging="315"/>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sponsored research, laboratory facility services, clinical trial and data service at MSK under the Sponsored Research Agreements, or the SRAs, the two CFSAs, the MCTA, and the MDSA, with MSK;</w:t>
      </w:r>
    </w:p>
    <w:p>
      <w:pPr>
        <w:spacing w:after="0" w:line="123" w:lineRule="exact"/>
        <w:rPr>
          <w:rFonts w:ascii="Arial" w:cs="Arial" w:eastAsia="Arial" w:hAnsi="Arial"/>
          <w:sz w:val="16"/>
          <w:szCs w:val="16"/>
          <w:color w:val="auto"/>
        </w:rPr>
      </w:pPr>
    </w:p>
    <w:p>
      <w:pPr>
        <w:ind w:left="1040" w:right="29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non-clinical and pre-clinical studies and clinical trials;</w:t>
      </w:r>
    </w:p>
    <w:p>
      <w:pPr>
        <w:spacing w:after="0" w:line="170" w:lineRule="exact"/>
        <w:rPr>
          <w:rFonts w:ascii="Arial" w:cs="Arial" w:eastAsia="Arial" w:hAnsi="Arial"/>
          <w:sz w:val="18"/>
          <w:szCs w:val="18"/>
          <w:color w:val="auto"/>
        </w:rPr>
      </w:pPr>
    </w:p>
    <w:p>
      <w:pPr>
        <w:ind w:left="1040" w:right="159" w:hanging="315"/>
        <w:spacing w:after="0" w:line="263"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CMOs, including manufacturing scale-up expenses and the cost of acquiring and manufacturing pre-clinical studies and clinical trial materials, including manufacturing validation batches;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upfront, milestone and other non-revenue related payments due under our third-party licensing agreements;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travel and stock-based compensation;</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2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 including rent, insurance, supplies and maintenance expenses, and other operating costs.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The successful development and regulatory approval of our product candidates is highly uncertain. At this time, we cannot reasonably estimate or know the nature, timing and costs of the efforts that will be necessary to complete the remainder of the development of DANYELZA and omburtamab or any future product candidates we may develop. This uncertainty is due to the numerous risks and uncertainties associated with the duration and cost of clinical trials, which vary significantly over the life of a project as a result of many factors, including, but not limited to:</w:t>
      </w:r>
    </w:p>
    <w:p>
      <w:pPr>
        <w:spacing w:after="0" w:line="176"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length of time required to enroll a sufficient number of suitable patients in our clinical trials;</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25" w:lineRule="exact"/>
        <w:rPr>
          <w:rFonts w:ascii="Arial" w:cs="Arial" w:eastAsia="Arial" w:hAnsi="Arial"/>
          <w:sz w:val="18"/>
          <w:szCs w:val="18"/>
          <w:color w:val="auto"/>
        </w:rPr>
      </w:pPr>
    </w:p>
    <w:p>
      <w:pPr>
        <w:ind w:left="1040" w:right="79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170"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timing of regulatory approvals, including the timing of our BLA and MAA submissions and their acceptance;</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the EMA or any other non-U.S. regulatory authority;</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requirement by the FDA, the EMA or any other non-US regulatory authority to conduct post market surveillance or safety studies;</w:t>
      </w:r>
    </w:p>
    <w:p>
      <w:pPr>
        <w:spacing w:after="0" w:line="170"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commercialization of approved products.</w:t>
      </w:r>
    </w:p>
    <w:p>
      <w:pPr>
        <w:spacing w:after="0" w:line="225"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the EMA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also never succeed in achieving regulatory approval for omburtamab or any other product candidates we may develop.</w:t>
      </w:r>
    </w:p>
    <w:p>
      <w:pPr>
        <w:spacing w:after="0" w:line="177" w:lineRule="exact"/>
        <w:rPr>
          <w:sz w:val="20"/>
          <w:szCs w:val="20"/>
          <w:color w:val="auto"/>
        </w:rPr>
      </w:pPr>
    </w:p>
    <w:p>
      <w:pPr>
        <w:ind w:left="60" w:right="579" w:firstLine="648"/>
        <w:spacing w:after="0" w:line="342"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primarily due to the increased size and duration of later-stage clinical trials. We expect our research and development expenses to increase significantly over the next several years as we increase personnel costs, including stock-based compensation, conduct clinical trials and potentially prepare regulatory submissions for our pipeline candidates, including supplementary regulatory submissions for DANYELZA.</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Selling, general, and administrative expenses consist primarily of employee related expenses, including salaries, bonus, benefits, and stock-based compensation expenses for personnel in executive, commercial, finance and administrative functions. Other significant costs include facility costs not otherwise included in research and development expenses or cost of goods sold, legal fees relating to corporate matters, and fees for patent, accounting, tax, and consulting services.</w:t>
      </w:r>
    </w:p>
    <w:p>
      <w:pPr>
        <w:spacing w:after="0" w:line="188"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We anticipate that our selling, general, and administrative expenses will increase in the future to support continued research and development activities, potential commercialization of additional product candidates and costs associated with operating as a public company, including expenses related to services associated with maintaining compliance with exchange listing and the SEC requirements, director and officer insurance costs and investor and public relations costs. These increases will likely include increased costs related to the hiring of additional personnel and fees to outside consultants, lawyers and accountants, among other expenses.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 (Loss), Net</w:t>
      </w:r>
    </w:p>
    <w:p>
      <w:pPr>
        <w:spacing w:after="0" w:line="225"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On December 28, 2020, the Company announced that it entered into a definitive agreement to sell its DANYELZA PRV to United Therapeutics Corporation for $105.0 million. The PRV was granted in conjunction with the approval by the FDA of DANYELZA®, for the treatment of refractory/relapsed high-risk NB. Under the terms of the MSK License Agreement, we retained 60% of the net proceeds received from the sale, and the remaining 40% was paid to MSK. As a result, we received net proceeds from this sale of $62.0 million. The transaction closed on January 21, 2021 when the substantive closing conditions included within the agreement were resolved.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 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8" w:lineRule="exact"/>
        <w:rPr>
          <w:sz w:val="20"/>
          <w:szCs w:val="20"/>
          <w:color w:val="auto"/>
        </w:rPr>
      </w:pPr>
    </w:p>
    <w:p>
      <w:pPr>
        <w:jc w:val="both"/>
        <w:ind w:left="60" w:right="479" w:firstLine="648"/>
        <w:spacing w:after="0" w:line="286"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Quarterly Report on Form 10-Q, we believe the following accounting policies to be most critical to the judgments and estimates used in the preparation of our financial statements.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net product revenues,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color w:val="auto"/>
        </w:rPr>
        <w:t>the accrual for research and development expenses, the accrual of milestone and royalty payments, and the valuation of stock options. Estimates are periodically reviewed in light of changes in circumstances, facts and experience. Changes in estimates are recorded in the period in which they occur. Actual results could differ from those estimates.</w:t>
      </w:r>
    </w:p>
    <w:p>
      <w:pPr>
        <w:spacing w:after="0" w:line="149"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The full extent to which the COVID-19 pandemic will directly or indirectly impact our business, results of operations and financial condition, including expenses,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0" w:right="699" w:firstLine="648"/>
        <w:spacing w:after="0" w:line="308" w:lineRule="auto"/>
        <w:rPr>
          <w:sz w:val="20"/>
          <w:szCs w:val="20"/>
          <w:color w:val="auto"/>
        </w:rPr>
      </w:pPr>
      <w:r>
        <w:rPr>
          <w:rFonts w:ascii="Arial" w:cs="Arial" w:eastAsia="Arial" w:hAnsi="Arial"/>
          <w:sz w:val="17"/>
          <w:szCs w:val="17"/>
          <w:color w:val="auto"/>
        </w:rPr>
        <w:t>We recognize revenue from sales of DANYELZA at a point in time when our customer is deemed to have obtained control of the product, which generally occurs upon receipt at the end-user hospital.</w:t>
      </w:r>
    </w:p>
    <w:p>
      <w:pPr>
        <w:spacing w:after="0" w:line="146" w:lineRule="exact"/>
        <w:rPr>
          <w:sz w:val="20"/>
          <w:szCs w:val="20"/>
          <w:color w:val="auto"/>
        </w:rPr>
      </w:pPr>
    </w:p>
    <w:p>
      <w:pPr>
        <w:ind w:left="60" w:right="259" w:firstLine="648"/>
        <w:spacing w:after="0" w:line="296" w:lineRule="auto"/>
        <w:rPr>
          <w:sz w:val="20"/>
          <w:szCs w:val="20"/>
          <w:color w:val="auto"/>
        </w:rPr>
      </w:pPr>
      <w:r>
        <w:rPr>
          <w:rFonts w:ascii="Arial" w:cs="Arial" w:eastAsia="Arial" w:hAnsi="Arial"/>
          <w:sz w:val="16"/>
          <w:szCs w:val="16"/>
          <w:color w:val="auto"/>
        </w:rPr>
        <w:t>Substantially all of the Company’s product sales were in the United States. The Company had product sales to certain customers that accounted for more than 10% of total gross product revenue for the three months ended March 31, 2022 and March 31, 2021. Mckesson, AmerisourceBergen, and Cardinal Health accounted for 60%, 25%, and 11%, respectively, of our gross product revenue for the three months ended March 31, 2022. Mckesson and Cardinal Health accounted for 80% and 16%, respectively, of our gross product revenue for the three months ended March 31, 2021.</w:t>
      </w:r>
    </w:p>
    <w:p>
      <w:pPr>
        <w:spacing w:after="0" w:line="161"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amount of revenue we recognize from sales of DANYELZA varies due to rebates, chargebacks and discounts provided under governmental and other programs, distribution related fees and other sales-related deductions. In order to determine those deductions, we estimate, utilizing the expected value method, the amount of revenue that we will ultimately be entitled to. Such estimate are based upon contracts with customers and government agencies, statutorily-defined discounts applicable to government-funded programs, estimated payor mix, and other relevant factors. Calculating these amounts involves estimates and judgments.</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costs to obtain and maintain our licenses, the payments to third parties for CMOs and CROs and additional product development, and consumables and other materials used in research and development. We record accruals for estimated ongoing research costs. When evaluating the adequacy of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CD33 License, MabVax Sublicense, and SADA License Agreement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Certain assets and liabilities are carried at fair value under GAAP. Fair value is defined as the price that would be received to sell an asset or paid to transfer a liability in an orderly transaction between market participants at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color w:val="auto"/>
        </w:rPr>
        <w:t>measurement date (i.e. an exit price). The accounting guidance includes a fair value hierarchy that prioritizes the inputs to valuation techniques used to measure fair value. The three levels of the fair value hierarchy are as follows:</w:t>
      </w:r>
    </w:p>
    <w:p>
      <w:pPr>
        <w:spacing w:after="0" w:line="146" w:lineRule="exact"/>
        <w:rPr>
          <w:sz w:val="20"/>
          <w:szCs w:val="20"/>
          <w:color w:val="auto"/>
        </w:rPr>
      </w:pPr>
    </w:p>
    <w:p>
      <w:pPr>
        <w:ind w:left="800" w:hanging="102"/>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w:t>
      </w:r>
    </w:p>
    <w:p>
      <w:pPr>
        <w:spacing w:after="0" w:line="225" w:lineRule="exact"/>
        <w:rPr>
          <w:rFonts w:ascii="Arial" w:cs="Arial" w:eastAsia="Arial" w:hAnsi="Arial"/>
          <w:sz w:val="18"/>
          <w:szCs w:val="18"/>
          <w:color w:val="auto"/>
        </w:rPr>
      </w:pPr>
    </w:p>
    <w:p>
      <w:pPr>
        <w:ind w:left="60" w:right="79" w:firstLine="638"/>
        <w:spacing w:after="0" w:line="277" w:lineRule="auto"/>
        <w:tabs>
          <w:tab w:leader="none" w:pos="8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70" w:lineRule="exact"/>
        <w:rPr>
          <w:rFonts w:ascii="Arial" w:cs="Arial" w:eastAsia="Arial" w:hAnsi="Arial"/>
          <w:sz w:val="18"/>
          <w:szCs w:val="18"/>
          <w:color w:val="auto"/>
        </w:rPr>
      </w:pPr>
    </w:p>
    <w:p>
      <w:pPr>
        <w:ind w:left="60" w:right="119" w:firstLine="638"/>
        <w:spacing w:after="0" w:line="308" w:lineRule="auto"/>
        <w:tabs>
          <w:tab w:leader="none" w:pos="8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 which include management's own assumption about the assumptions market participants would use in pricing the asset or liability, including assumptions about risk.</w:t>
      </w:r>
    </w:p>
    <w:p>
      <w:pPr>
        <w:spacing w:after="0" w:line="146" w:lineRule="exact"/>
        <w:rPr>
          <w:sz w:val="20"/>
          <w:szCs w:val="20"/>
          <w:color w:val="auto"/>
        </w:rPr>
      </w:pPr>
    </w:p>
    <w:p>
      <w:pPr>
        <w:ind w:left="60" w:right="679" w:firstLine="648"/>
        <w:spacing w:after="0" w:line="277" w:lineRule="auto"/>
        <w:rPr>
          <w:sz w:val="20"/>
          <w:szCs w:val="20"/>
          <w:color w:val="auto"/>
        </w:rPr>
      </w:pPr>
      <w:r>
        <w:rPr>
          <w:rFonts w:ascii="Arial" w:cs="Arial" w:eastAsia="Arial" w:hAnsi="Arial"/>
          <w:sz w:val="18"/>
          <w:szCs w:val="18"/>
          <w:color w:val="auto"/>
        </w:rPr>
        <w:t>The Company’s cash equivalents are carried at fair value, determined according to the fair value hierarchy described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We measure stock options granted to employees, directors, and consultants based on the fair value on the date of the grant and recognize compensation expense of those awards, over the requisite service period, which is the vesting period of the respective award for employees and directors. Forfeitures are accounted for as they occur. We issue stock options to employees and directors with only service-based vesting conditions and record the expense for these awards using the straight-line method over the requisite service period.</w:t>
      </w:r>
    </w:p>
    <w:p>
      <w:pPr>
        <w:spacing w:after="0" w:line="176"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a combination of the historical volatility of a group of publicly-traded peer companies and the historical volatility of the Y-mAbs share price,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Stock Options</w:t>
      </w:r>
    </w:p>
    <w:p>
      <w:pPr>
        <w:spacing w:after="0" w:line="225" w:lineRule="exact"/>
        <w:rPr>
          <w:sz w:val="20"/>
          <w:szCs w:val="20"/>
          <w:color w:val="auto"/>
        </w:rPr>
      </w:pPr>
    </w:p>
    <w:p>
      <w:pPr>
        <w:ind w:left="60" w:right="219" w:firstLine="648"/>
        <w:spacing w:after="0" w:line="308"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 pricing model. The assumptions used to determine the fair value of the granted stock options were as follows:</w:t>
      </w:r>
    </w:p>
    <w:p>
      <w:pPr>
        <w:spacing w:after="0" w:line="146" w:lineRule="exact"/>
        <w:rPr>
          <w:sz w:val="20"/>
          <w:szCs w:val="20"/>
          <w:color w:val="auto"/>
        </w:rPr>
      </w:pPr>
    </w:p>
    <w:p>
      <w:pPr>
        <w:ind w:left="1040" w:right="79" w:hanging="315"/>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assumption is based on the U.S. Treasury instruments whose terms were consistent with the expected option term of our stock options.</w:t>
      </w:r>
    </w:p>
    <w:p>
      <w:pPr>
        <w:spacing w:after="0" w:line="170"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83" w:lineRule="exact"/>
        <w:rPr>
          <w:rFonts w:ascii="Arial" w:cs="Arial" w:eastAsia="Arial" w:hAnsi="Arial"/>
          <w:sz w:val="18"/>
          <w:szCs w:val="18"/>
          <w:color w:val="auto"/>
        </w:rPr>
      </w:pPr>
    </w:p>
    <w:p>
      <w:pPr>
        <w:ind w:left="1040" w:right="79" w:hanging="315"/>
        <w:spacing w:after="0" w:line="286"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Expected Volatility: The expected stock price volatility is estimated based on a combination of the historical volatility of a group of publicly traded peer companies and the historical volatility of the Y-mAbs share price. Our industry peers consist of several public companies in the biopharmaceutical industry.</w:t>
      </w:r>
    </w:p>
    <w:p>
      <w:pPr>
        <w:spacing w:after="0" w:line="165" w:lineRule="exact"/>
        <w:rPr>
          <w:rFonts w:ascii="Arial" w:cs="Arial" w:eastAsia="Arial" w:hAnsi="Arial"/>
          <w:sz w:val="17"/>
          <w:szCs w:val="17"/>
          <w:color w:val="auto"/>
        </w:rPr>
      </w:pPr>
    </w:p>
    <w:p>
      <w:pPr>
        <w:ind w:left="1040" w:right="259" w:hanging="315"/>
        <w:spacing w:after="0" w:line="34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Expected Term: We determine the average expected life of stock options based on the simplified method in accordance with SEC Staff Accounting Bulletin Nos. 107 and 110. We expect to continue to use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19"/>
        <w:spacing w:after="0" w:line="277" w:lineRule="auto"/>
        <w:rPr>
          <w:sz w:val="20"/>
          <w:szCs w:val="20"/>
          <w:color w:val="auto"/>
        </w:rPr>
      </w:pPr>
      <w:r>
        <w:rPr>
          <w:rFonts w:ascii="Arial" w:cs="Arial" w:eastAsia="Arial" w:hAnsi="Arial"/>
          <w:sz w:val="18"/>
          <w:szCs w:val="18"/>
          <w:color w:val="auto"/>
        </w:rPr>
        <w:t>simplified method until we have sufficient historical exercise data to provide a reasonable basis upon which to estimate the expected term.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2022 and 2021:</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56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5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Product revenue,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10,486</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5,383</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5,103</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21,579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11,970</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33,642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(27,695)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(28,259)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Other income / (loss), net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from sale of priority review voucher</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62,010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(62,010)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Interest and other loss</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(28,068)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33,413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(61,481)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launched DANYELZA in February 2021 and recorded $10.5 million and $5.4 million in net revenues for the three months ended March 31, 2022 and 2021,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8"/>
          <w:szCs w:val="18"/>
          <w:color w:val="auto"/>
        </w:rPr>
        <w:t>We began capitalizing inventory costs once DANYELZA was approved by the FDA in November 2020. Cost of Goods Sold was $1,831,000 and $93,000 for the three months ended March 31, 2022 and 2021, respectively. Our cost of goods sold includes amounts related to materials, third-party contract manufacturing, third-party packaging services, freight, labor costs for personnel involved in the manufacturing process, third party royalties for approved products, and indirect overhead costs. In periods prior to receiving FDA approval for DANYELZA, we recognized inventory and related manufacturing costs of DANYELZA as research and development expenses. This resulted in inventory being sold during the quater ended March 31, 2021 for which a portion of the costs had been previously expensed prior to FDA approval. All inventory sold in the quater ended March 31, 2022, had been produced after we had received FDA approval for DANYELZA.</w:t>
      </w:r>
    </w:p>
    <w:p>
      <w:pPr>
        <w:spacing w:after="0" w:line="19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In addition, in 2016, we expensed $1.2 million of minimum royalties related to DANYELZA prior to commercial launch which were fully creditable against earned royalties in future periods. As a result, there was no royalty expense recorded for the three months ended March 31, 2021. If we had not sold previously expensed inventory and if we had not utilized the minimum royalty credit, our cost of goods sold would have been approximately $561,000 for the three months ended March 31, 2021.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We do not record our research and development expenses on a program-by-program or on a product-by-product basis as they primarily relate to personnel, research, manufacturing, license fees, and consumable costs, which are simultaneously deployed across multiple projects under development. These costs are included in the table below.</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80" w:type="dxa"/>
            <w:vAlign w:val="bottom"/>
            <w:gridSpan w:val="3"/>
            <w:vMerge w:val="restart"/>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Amount</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Percentage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Outsourced manufacturing</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(1,166)</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Clinical trials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Outsourced research and supplies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and consulting fees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22,912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21,579</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Research and development expenses were $22.9 million for the three months ended March 31, 2022, as compared to $21.6 million for the three months ended March 31, 2021. The $1.3 million increase was primarily due to a $0.9 million increase in employee-related costs, including salary, benefits and non-cash stock-based compensation for personnel related to our research activities due to our expanding workforce, a $1.2 million increase in clinical trials mainly related to omburtamab, and a $0.6 million increase in other items which mainly included increased expenses for IT consulting services and rent expenses. The increase was partially offset by a $1.2 million reduction of oursourced manufacturing costs mainly due to reduced CMC development costs for omburtamab, and a $0.4 million decrease in outsourced research and supplies primarily driven from the reduction in outsourced clinical studies.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Selling, general, and administrative expenses were $13.4 million for the three months ended March 31, 2022, as compared to $12.0 million for the three months ended March 31, 2021. The $1.4 million increase in selling, general, and administrative expenses was primarily attributable to a $0.7 million increase in employee related costs, including salary, benefits and non-cash stock-based compensation for personnel related to our business activities mainly due to the growth of commercialization team, $0.2 million increase in commercial expense, and a $0.2 million increase in travel expense, primarily related to the increased activity of our commercial team to support DANYELZA sales growth.</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 (Loss), Net</w:t>
      </w:r>
    </w:p>
    <w:p>
      <w:pPr>
        <w:spacing w:after="0" w:line="22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On December 28, 2020, the Company announced that it entered into a definitive agreement to sell its DANYELZA Priority Review Voucher, or PRV to United Therapeutics Corporation for $105.0 million. The PRV was granted in conjunction with the approval by the FDA of DANYELZA for the treatment of refractory/relapsed high-risk NB. Under the terms of the MSK License, Y-mAbs retained 60% of the net proceeds received from the sale of the PRV, and the remaining 40% was paid to MSK. The transaction closed on January 21, 2021 and the Company recognized a net gain of $62.0 million during the quarter ended March 31, 2021 related to the sale of the PRV. There were no PRV sales during the quarter ended March 31, 2022.</w:t>
      </w:r>
    </w:p>
    <w:p>
      <w:pPr>
        <w:spacing w:after="0" w:line="19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Interest and other loss for the three months ended March 31, 2022 was $373,000 as compared to $338,000 for the three months ended March 31, 2021. Our interest and other loss increased by $35,000 due to an increase in foreign currency exchange losses.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Except for the quarter ended March 31, 2021, we have incurred significant net operating losses since inception,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expect to continue to incur net operating losses and significant expenses for the foreseeable future. Our net losses may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fluctuate significantly from quarter to quarter and year to year. We currently have one approved product, DANYELZA,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which launched in the first quarter of 2021. We have financed our operations through March 31, 2022 primarily through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gross proceeds from the sale of our common stock of $378.8 million in the years 2015 through 2019, and an additional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$115.0 million from the sale of our common stock in 2021, as well as additional funding from the proceeds from the sales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DANYELZA and from proceeds from the sale of the DANYELZA PRV. As of March 31, 2022 and December 31, 2021,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had cash and cash equivalents of $156.7 million and $181.6 million, respectively. We might need additional capital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continue funding our operations, which we may obtain from additional equity or debt financings, collaborations, licensing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arrangements, or other sources.</w:t>
      </w:r>
    </w:p>
    <w:p>
      <w:pPr>
        <w:spacing w:after="0" w:line="211"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In conjunction with the approval by the FDA of DANYELZA in November 2020 we received a PRV, which we subsequently sold to United Therapeutics Corporation in a transaction that closed in January 2021 based on an agreed valuation of $105.0 million. We were obligated to pay 40% of the net proceeds to MSK. We intend to use the remaining proceeds to fund further research and development and other operational programs.</w:t>
      </w:r>
    </w:p>
    <w:p>
      <w:pPr>
        <w:spacing w:after="0" w:line="171"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For an analysis of the type of contractual obligation and the relevant time periods for the related cash requirements of such obligations which may have a material impact on our liquidity and capital resources see the section herein entitled “Contractual Obligations and Commitments”.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The following table provides information regarding our cash flows for the three months ended March 31, 2022 and 2021:</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3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87"/>
              </w:rPr>
              <w:t>Percentage</w:t>
            </w:r>
          </w:p>
        </w:tc>
        <w:tc>
          <w:tcPr>
            <w:tcW w:w="20" w:type="dxa"/>
            <w:vAlign w:val="bottom"/>
          </w:tcPr>
          <w:p>
            <w:pPr>
              <w:spacing w:after="0"/>
              <w:rPr>
                <w:sz w:val="12"/>
                <w:szCs w:val="12"/>
                <w:color w:val="auto"/>
              </w:rPr>
            </w:pPr>
          </w:p>
        </w:tc>
      </w:tr>
      <w:tr>
        <w:trPr>
          <w:trHeight w:val="128"/>
        </w:trPr>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4"/>
          </w:tcPr>
          <w:p>
            <w:pPr>
              <w:jc w:val="right"/>
              <w:ind w:right="528"/>
              <w:spacing w:after="0" w:line="129"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gridSpan w:val="4"/>
          </w:tcPr>
          <w:p>
            <w:pPr>
              <w:jc w:val="right"/>
              <w:ind w:right="568"/>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149"/>
        </w:trPr>
        <w:tc>
          <w:tcPr>
            <w:tcW w:w="4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(24,925)</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(31,861)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r>
      <w:tr>
        <w:trPr>
          <w:trHeight w:val="148"/>
        </w:trPr>
        <w:tc>
          <w:tcPr>
            <w:tcW w:w="4440" w:type="dxa"/>
            <w:vAlign w:val="bottom"/>
          </w:tcPr>
          <w:p>
            <w:pPr>
              <w:ind w:left="20"/>
              <w:spacing w:after="0" w:line="149" w:lineRule="exact"/>
              <w:rPr>
                <w:sz w:val="20"/>
                <w:szCs w:val="20"/>
                <w:color w:val="auto"/>
              </w:rPr>
            </w:pPr>
            <w:r>
              <w:rPr>
                <w:rFonts w:ascii="Arial" w:cs="Arial" w:eastAsia="Arial" w:hAnsi="Arial"/>
                <w:sz w:val="14"/>
                <w:szCs w:val="14"/>
                <w:color w:val="auto"/>
              </w:rPr>
              <w:t>Net cash provided by investing activities</w:t>
            </w:r>
          </w:p>
        </w:tc>
        <w:tc>
          <w:tcPr>
            <w:tcW w:w="2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61,610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(61,610)</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2"/>
                <w:szCs w:val="12"/>
                <w:color w:val="auto"/>
              </w:rPr>
            </w:pPr>
          </w:p>
        </w:tc>
      </w:tr>
      <w:tr>
        <w:trPr>
          <w:trHeight w:val="148"/>
        </w:trPr>
        <w:tc>
          <w:tcPr>
            <w:tcW w:w="4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107,835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(107,803)</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2"/>
                <w:szCs w:val="12"/>
                <w:color w:val="auto"/>
              </w:rPr>
            </w:pPr>
          </w:p>
        </w:tc>
      </w:tr>
      <w:tr>
        <w:trPr>
          <w:trHeight w:val="149"/>
        </w:trPr>
        <w:tc>
          <w:tcPr>
            <w:tcW w:w="4440" w:type="dxa"/>
            <w:vAlign w:val="bottom"/>
          </w:tcPr>
          <w:p>
            <w:pPr>
              <w:ind w:left="20"/>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2"/>
        </w:trPr>
        <w:tc>
          <w:tcPr>
            <w:tcW w:w="444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Net increase / (decrease) in cash and cash equivalents</w:t>
            </w: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(24,840)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137,637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(162,477)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use of cash in all periods resulted primarily from our net losses adjusted for non-cash charges and changes in components of working capital.</w:t>
      </w:r>
    </w:p>
    <w:p>
      <w:pPr>
        <w:spacing w:after="0" w:line="170"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Net cash used in operating activities was $24.9 million for the three months ended March 31, 2022, as compared to net cash used in operating activities of $31.9 million for the three months ended March 31, 2021. The $7.0 million decrease in cash used in operating activities was primarily due to decreased cash used for working capital of $6.1 million during the three months ended March 31, 2022 compared to the corresponding period in 2021. This $6.1 million decreased cash used for working capital is driven by higher accounts receivable collection of $4.4 million for the three months ended March 31, 2022, as compared to March 31, 2021. Additionally, there was a $0.9 million decreased use of cash to fund the net loss in the three months ended March 31, 2022 of $22.5 million, net of non-cash adjustments, compared to the net loss in the three months ended March 31, 2021 of $23.3 million, net of non-cash adjustments.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29"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We did not generate or use cash for investing activities during the three months ended March 31, 2022. Net cash provided by investing activities was $61.6 million for the three months ended March 31, 2021. The net change of $61.6 million was primarily the result of $62.0 million of our share of net proceeds received from the sale of our PRV to United Therapeutics Corporation, please refer to the section entitled “Other Income / (Loss), Net”.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Net cash provided by financing activities was $32.0 thousand for the three months ended March 31, 2022, which resulted from proceeds from exercised stock options. Net cash provided by financing activities was $107.8 million for the three months ended March 31, 2021, which was driven by the net proceeds of $107.7 million received from our public offering in February 2021 and proceeds from exercised stock options of $110.0 thousand for the three months ended March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We expect our expenses to increase as we continue to expand our commercialization efforts for DANYELZA, continue the development of omburtamab, and advance our BLA for omburtamab. In addition, we plan to advance the development of other pipeline programs, initiate new research and pre-clinical development efforts and seek marketing approval for any additional product candidates that we successfully develop. If we obtain approval for any additional product candidates, we expect to incur commercialization expenses, which may be significant, related to establishing sales, marketing, manufacturing capabilities, distribution and other commercial infrastructure to commercialize such products. Accordingly, we might need to obtain substantial additional funding in connection with our continuing operations. If we are unable to raise capital when needed or on attractive terms, we would be forced to delay, reduce or eliminate our research and development programs and/or future commercialization efforts.</w:t>
      </w:r>
    </w:p>
    <w:p>
      <w:pPr>
        <w:spacing w:after="0" w:line="181"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In conjunction with the approval by the FDA of DANYELZA in November 2020 we received a PRV, which we subsequently sold to United Therapeutics Corporation for $105.0 million. We were obligated to pay 40% of the net proceeds to MSK. We intend to use the remaining net proceeds of $62.0 million to fund further research and development and other operational programs.</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On February 22, 2021, we completed a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our third public offering of $115.0 million, with aggregate net proceeds of approximately $107.7 million after deducting underwriting discounts and commissions and offering expenses.</w:t>
      </w:r>
    </w:p>
    <w:p>
      <w:pPr>
        <w:spacing w:after="0" w:line="188"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We believe our current cash and cash equivalents of $156.7 million is sufficient to fund our operation through mid-2024, and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64" w:lineRule="exact"/>
        <w:rPr>
          <w:sz w:val="20"/>
          <w:szCs w:val="20"/>
          <w:color w:val="auto"/>
        </w:rPr>
      </w:pPr>
    </w:p>
    <w:p>
      <w:pPr>
        <w:ind w:left="1040" w:right="419" w:hanging="315"/>
        <w:spacing w:after="0" w:line="263"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pre-clinical studies and clinical trials for our other product candidates;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research and pre-clinical development efforts for any future product candidates that we may develop;</w:t>
      </w:r>
    </w:p>
    <w:p>
      <w:pPr>
        <w:spacing w:after="0" w:line="236" w:lineRule="exact"/>
        <w:rPr>
          <w:rFonts w:ascii="Arial" w:cs="Arial" w:eastAsia="Arial" w:hAnsi="Arial"/>
          <w:sz w:val="17"/>
          <w:szCs w:val="17"/>
          <w:color w:val="auto"/>
        </w:rPr>
      </w:pPr>
    </w:p>
    <w:p>
      <w:pPr>
        <w:ind w:left="1040" w:right="39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distribution agreements or other arrangements;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or other agreements;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25" w:lineRule="exact"/>
        <w:rPr>
          <w:rFonts w:ascii="Arial" w:cs="Arial" w:eastAsia="Arial" w:hAnsi="Arial"/>
          <w:sz w:val="18"/>
          <w:szCs w:val="18"/>
          <w:color w:val="auto"/>
        </w:rPr>
      </w:pPr>
    </w:p>
    <w:p>
      <w:pPr>
        <w:ind w:left="1040" w:right="119" w:hanging="315"/>
        <w:spacing w:after="0" w:line="286"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65" w:lineRule="exact"/>
        <w:rPr>
          <w:rFonts w:ascii="Arial" w:cs="Arial" w:eastAsia="Arial" w:hAnsi="Arial"/>
          <w:sz w:val="17"/>
          <w:szCs w:val="17"/>
          <w:color w:val="auto"/>
        </w:rPr>
      </w:pPr>
    </w:p>
    <w:p>
      <w:pPr>
        <w:ind w:left="1040" w:right="3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future revenue, if any, received from commercial sales of our current and future product candidates upon any marketing approvals;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PRVs;</w:t>
      </w:r>
    </w:p>
    <w:p>
      <w:pPr>
        <w:spacing w:after="0" w:line="225"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70"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61"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common stockholders’ rights. Debt financing, if available, may involve agreements that include covenants limiting or restricting our ability to take specific actions, such as incurring additional debt, making capital expenditures or declaring dividends.</w:t>
      </w:r>
    </w:p>
    <w:p>
      <w:pPr>
        <w:spacing w:after="0" w:line="195"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 of the SEC.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 xml:space="preserve">A summary of the financial balances related to our material outstanding contractual commitments and the maximum financial impact related to milestones under those contractual obligations are included in </w:t>
      </w:r>
      <w:r>
        <w:rPr>
          <w:rFonts w:ascii="Arial" w:cs="Arial" w:eastAsia="Arial" w:hAnsi="Arial"/>
          <w:sz w:val="18"/>
          <w:szCs w:val="18"/>
          <w:i w:val="1"/>
          <w:iCs w:val="1"/>
          <w:color w:val="auto"/>
        </w:rPr>
        <w:t>NOTE 9—LICENSE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AGREEMENTS AND COMMITMENTS </w:t>
      </w:r>
      <w:r>
        <w:rPr>
          <w:rFonts w:ascii="Arial" w:cs="Arial" w:eastAsia="Arial" w:hAnsi="Arial"/>
          <w:sz w:val="18"/>
          <w:szCs w:val="18"/>
          <w:color w:val="auto"/>
        </w:rPr>
        <w:t>of our enclosed financial statements.</w:t>
      </w:r>
    </w:p>
    <w:p>
      <w:pPr>
        <w:spacing w:after="0" w:line="184"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We enter into contracts in the normal course of business with CROs, CMOs, clinical sites and other third parties for clinical trials, pre 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 cancellable obligations of our service providers, up to the date of cancellation.</w:t>
      </w:r>
    </w:p>
    <w:p>
      <w:pPr>
        <w:spacing w:after="0" w:line="164"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As further described below, under various licensing and related agreements with third parties, we have agreed to make milestone and royalty payments to third parties.</w:t>
      </w:r>
    </w:p>
    <w:p>
      <w:pPr>
        <w:spacing w:after="0" w:line="170" w:lineRule="exact"/>
        <w:rPr>
          <w:sz w:val="20"/>
          <w:szCs w:val="20"/>
          <w:color w:val="auto"/>
        </w:rPr>
      </w:pPr>
    </w:p>
    <w:p>
      <w:pPr>
        <w:ind w:left="60" w:right="299" w:firstLine="648"/>
        <w:spacing w:after="0" w:line="286" w:lineRule="auto"/>
        <w:rPr>
          <w:sz w:val="20"/>
          <w:szCs w:val="20"/>
          <w:color w:val="auto"/>
        </w:rPr>
      </w:pPr>
      <w:r>
        <w:rPr>
          <w:rFonts w:ascii="Arial" w:cs="Arial" w:eastAsia="Arial" w:hAnsi="Arial"/>
          <w:sz w:val="17"/>
          <w:szCs w:val="17"/>
          <w:color w:val="auto"/>
        </w:rPr>
        <w:t>We have entered into three license agreements and certain other agreements with MSK. The license agreements are further described below as the MSK License, the CD33 License, and the SADA License. Additionally, through the SAAA we have established a direct license with MSK relating to the GD2-GD3 Vaccine.</w:t>
      </w:r>
    </w:p>
    <w:p>
      <w:pPr>
        <w:spacing w:after="0" w:line="16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Under the MSK License and the CD33 License we are obligated to (i) make certain payments to MSK, which become due based upon the achievement of the related milestone activities or the passage of time in the event such milestone activities are not achieved, as well as certain sales-related milestones, (ii) pay mid to high single-digit royalties to MSK, on a product-by-product and country-by-country basis, based on net sales of products licensed under the applicable agreement and (iii) pay to MSK a percentage of any sublicense fees received by us. Under the CD33 License, we are obligated to pay annual minimum royalties of $40,000 over the royalty term beginning in 2027, increasing to $60,000 once a patent within the licensed rights is issued. These amounts are non-refundable but are creditable against royalty payments otherwise due under the respective agreements. We are also obligated to pay MSK certain clinical, regulatory and sales-based milestone payments under the MSK License and the CD33 License. Certain of the clinical and regulatory milestone payments become due at the earlier of completion of the related milestone activity or the date indicated in the MSK License. Total clinical, regulatory and sales based milestones potentially due under the MSK License are $2,450,000, $9,000,000 and $20,000,000, respectively. In addition, under the CD33 License, we are obligated to make potential payments of $550,000, $500,000 and $7,500,000 for clinical, regulatory and sales based milestones, respectively. We record milestones in the period in which the contingent liability is probable and the amount is reasonably estimable.</w:t>
      </w:r>
    </w:p>
    <w:p>
      <w:pPr>
        <w:spacing w:after="0" w:line="171"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On April 15, 2020, we entered the SADA License Agreement, which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 refundable but are creditable against royalty payments otherwise due under the SADA License Agreement. Under the SADA License Agreement, we are also obligated to pay MSK and MIT certain clinical, regulatory and sales 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 based milestones, totaling $23,750,000, that become due should the Company achieve certain amounts of sales of licensed products. In addition, for each SADA construct generated by MSK and sold for the Company by a sublicensee, the Company may pay sales milestones in the total amount of $60,000,000 based on the achievement of various levels of cumulative net sales by the sublicensee. Further, under the SADA License Agreement, we have committed to funding scientific research at MSK for up to $1,500,000 over the next three years, which we will expense as incurred.</w:t>
      </w:r>
    </w:p>
    <w:p>
      <w:pPr>
        <w:spacing w:after="0" w:line="182"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On December 2, 2019, we entered into the Settlement and Assumption and Assignment, or SAAA, of MSK License and Y-mAbs Sublicense Agreement, or the MabVax/Y-mAbs Sublicense, between us and MabVax dated June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5" w:lineRule="auto"/>
        <w:rPr>
          <w:sz w:val="20"/>
          <w:szCs w:val="20"/>
          <w:color w:val="auto"/>
        </w:rPr>
      </w:pPr>
      <w:r>
        <w:rPr>
          <w:rFonts w:ascii="Arial" w:cs="Arial" w:eastAsia="Arial" w:hAnsi="Arial"/>
          <w:sz w:val="16"/>
          <w:szCs w:val="16"/>
          <w:color w:val="auto"/>
        </w:rPr>
        <w:t>27, 2018, with MabVax Therapeutics Holdings, Inc. and MabVax Therapeutics, Inc., or together, MabVax, and MSK, which became effective on December 13, 2019. Pursuant to the MabVax/Y-mAbs Sublicense, MabVax sublicensed to us certain patent rights and know-how for development and commercialization of products for the prevention or treatment of NB by means of administering a bi-valent ganglioside vaccine granted to MabVax, pursuant to an exclusive license agreement dated June 20, 2008 between MabVax and MSK, as amended, or the MabVax/MSK License Agreement. We remain responsible for any potential downstream payment obligations by MabVax to MSK related to the GD2-GD3 Vaccine that were specified in the MabVax/MSK License Agreement. This includes the obligation to pay development milestones totaling $1,400,000, annual minimum royalties of $10,000, increasing to $25,000 from approval of the first NDA/BLA for a licensed product, over the royalty term, commencing on the second anniversary of the MabVax/Y-mAbs Sublicense and mid single-digit royalty payments to MSK on sales. Minimum royalties are non-refundable but creditable against royalty payments otherwise due from us to MSK pursuant to the MabVax/MSK License Agreement. In addition, if we obtain FDA approval for the GD2-GD3 Vaccine, then we are obligated to file with the FDA for a PRV. The SAAA stipulates that, if we are granted a PRV from the FDA covering a licensed product under the MabVax/Y-mAbs Sublicense and the PRV is subsequently sold, we will pay directly to MabVax and to MSK, respectively, a percentage of the proceeds from the sale thereof in order that MabVax and MSK each receive the same amount therefrom as envisaged under the MabVax/MSK License Agreement. The MabVax/MSK License Agreement will expire with effect for us, on a country by country basis, on the later of the expiration of (i) 10 years from the first commercial sale of the licensed product in such country or (ii) the last to expire valid claim covering such licensed product rights at the time of and in the country of sale.</w:t>
      </w:r>
    </w:p>
    <w:p>
      <w:pPr>
        <w:spacing w:after="0" w:line="171"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Research and development is inherently uncertain and, should such research and development fail, the MSK License, the CD33 License, and SADA License are cancelable at our option. We have also considered the development risk and each party’s termination rights under the three license agreements when considering whether any contingent payments, certain of which also contain time based payment requirements, were probable.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To date, we have not entered into any sublicenses related to the CD33 License, the SADA License or the MabVax License. We have entered sublicenses with SciClone and Takeda in 2020 and Adium in 2021 as allowed under the MSK License. Our failure to meet certain conditions under such arrangements could cause the related license to such licensed product to be canceled and could result in termination of the entire respective arrangement with MSK. In addition, we may terminate the MSK License, the CD33 License, or the SADA License with prior written notice to MSK.</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3—SUMMARY OF SIGNIFICANT ACCOUNTING POLICIES</w:t>
      </w:r>
      <w:r>
        <w:rPr>
          <w:rFonts w:ascii="Arial" w:cs="Arial" w:eastAsia="Arial" w:hAnsi="Arial"/>
          <w:sz w:val="18"/>
          <w:szCs w:val="18"/>
          <w:color w:val="auto"/>
        </w:rPr>
        <w:t xml:space="preserve"> in the accompanying notes to the consolidated financial statements for a discussion of recent accounting pronouncements.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We are exposed to market risk related to changes in interest rates. As of March 31, 2022 and December 31, 2021, we had cash and cash equivalents of $156.7 million and $181.6 million, respectively. Due to the nature of our investments in money market funds, the carrying value of our cash equivalents approximate their fair value at March 31, 2022. We currently have, and may, from time to time in the future, cash in banks in excess of FDIC insurance limits. We have not experienced any losses to date. We mitigate our risk by maintaining the majority of our cash and equivalents with high quality financial institutions. Our exposure to changes in the general level of U.S. interest rates is considered immaterial, particularly because our cash equivalents are primarily held in highly rated securities including a Treasury money market fund. Due to the short-term nature of such balances, an immediate 100 basis point change in interest rates would not have any significant effect on the fair market value of cash balances.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primary exposure to market risk is foreign exchange rate sensitivity to the Danish Kroner (DKK),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currency used in the Kingdom of Denmark, where our wholly owned subsidiary, Y-mAbs Therapeutics A/S, is located. 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March 31, 2022 and December 31, 2021, we had cash and cash equivalents denominated in DKK of $0.6 million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$0.9 million, respectively, and an immediate 10% change, respectively, in DKK exchange rate would not have any material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effect on the fair market value of cash balances with the subsidiary.</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Our management, with the participation of our Interim Chief Executive Officer and Chief Financial Officer, evaluated, as of the end of the period covered by this Quarterly Report, the effectiveness of our disclosure controls and procedures (as defined in Rules 13a 15(e) and 15d 15(e) under the Securities Exchange Act of 1934, as amended, or the Exchange Act). Based on that evaluation, our Interim Chief Executive Officer and Chief Financial Officer concluded that our disclosure controls and procedures were effective at the reasonable assurance level as of March 31, 2022.</w:t>
      </w:r>
    </w:p>
    <w:p>
      <w:pPr>
        <w:spacing w:after="0" w:line="16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recognized that controls and procedures, no matter how well designed and operated, can provide only reasonable assurance of achieving the desired control objectives. Further, because of the inherent limitations in all control systems, no evaluation of controls can provide absolute assurance that misstatements due to error or fraud will not occur or that all control issues and instances of fraud, if any, within the Company will be detected.</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 15(f) and 15d 15(f) under the Exchange Act) during the first quarter ended March 31,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We have been named a nominal defendant in a lawsuit instigated by a stockholder against our Board Member and President, Interim Chief Executive Officer and Head of Business Development and Strategy, Mr. Thomas Gad, seeking to compel Mr. Gad to disgorge alleged short swing profits stemming from a certain transaction involving the Company’s common stock undertaken by Mr. Gad on March 10, 2021. The Company is of the opinion that the claim is without merit and intends to maintain this position in the proceedings. In addition, we have been informed by Mr. Gad that he also believes the claim is without merit, that he has strong defenses against such claim and that he intends to vigorously defend the action. We have assessed the proceedings and do not believe that it is probable that a gain or a liability will be realized by us. As a result, we did not record any loss or gain contingencies for this matter.</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i w:val="1"/>
          <w:iCs w:val="1"/>
          <w:color w:val="auto"/>
        </w:rPr>
        <w:t>Our business is subject to numerous risks. You should carefully consider the risks and uncertainties described below together with all of the other information contained in this Quarterly Report on Form 10-Q, including our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i w:val="1"/>
          <w:iCs w:val="1"/>
          <w:color w:val="auto"/>
        </w:rPr>
        <w:t>could be materially and adversely affected. In such event, the trading price of our common stock could decline and you might lose all or part of your investment.</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left="60" w:right="119"/>
        <w:spacing w:after="0" w:line="327" w:lineRule="auto"/>
        <w:rPr>
          <w:sz w:val="20"/>
          <w:szCs w:val="20"/>
          <w:color w:val="auto"/>
        </w:rPr>
      </w:pPr>
      <w:r>
        <w:rPr>
          <w:rFonts w:ascii="Arial" w:cs="Arial" w:eastAsia="Arial" w:hAnsi="Arial"/>
          <w:sz w:val="15"/>
          <w:szCs w:val="15"/>
          <w:b w:val="1"/>
          <w:bCs w:val="1"/>
          <w:i w:val="1"/>
          <w:iCs w:val="1"/>
          <w:color w:val="auto"/>
        </w:rPr>
        <w:t>We have a limited operating history and have incurred significant losses since inception. Our only product approved for sale is DANYELZA, which only recently received approval and we have never generated any substantial revenue from product sales. We expect to incur significant losses for the foreseeable future. We may never achieve or maintain profitability, which may cause the market value of our common stock to decline significantly.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are a commercial-stage biopharmaceutical company with a limited operating history. Since our inception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2015, we have incurred significant losses each year. As of March 31, 2022 our accumulated deficit was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$368.5 million. We have financed our operations principally through private placements, the initial public offering of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common stock in 2018 as well as our public offerings of our common stock in November 2019 and February 2021, as well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the sale of our PRV granted upon FDA approval of DANYELZA.</w:t>
      </w:r>
    </w:p>
    <w:p>
      <w:pPr>
        <w:spacing w:after="0" w:line="211"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To date, we have devoted substantially all our efforts to research and development of DANYELZA, our only approved product to date and our other lead product candidate omburtamab. On November 25, 2020, DANYELZA was approved by the FDA for the treatment, in combination with GM-CSF, of pediatric patients 1 year of age and older and adult patients R/R high-risk NB, in the bone or bone marrow who have demonstrated a partial response, minor response, or stable disease to prior therapy. While our lead product candidate omburtamab is in registration stage clinical development, no assurance can be given that we will receive regulatory approval for the sale of omburtamab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w:t>
      </w:r>
    </w:p>
    <w:p>
      <w:pPr>
        <w:spacing w:after="0" w:line="18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The net losses we incur may fluctuate significantly from quarter to quarter. Our only product approved for sale is DANYELZA, which only received approval on November 25, 2020 and we have not generated any substantial revenue from product sales. We have only begun limited sales and shipments of DANYELZA since February 2021 and we do not anticipate generating substantial revenue from product sales until DANYELZA has been on the market for a period of time. No assurance can be given that we will ever receive regulatory approval for any of our product candidates other than DANYELZA. Our ability to generate revenue and achieve profitability depends significantly on our success in many factors, including:</w:t>
      </w:r>
    </w:p>
    <w:p>
      <w:pPr>
        <w:spacing w:after="0" w:line="192" w:lineRule="exact"/>
        <w:rPr>
          <w:sz w:val="20"/>
          <w:szCs w:val="20"/>
          <w:color w:val="auto"/>
        </w:rPr>
      </w:pPr>
    </w:p>
    <w:p>
      <w:pPr>
        <w:ind w:left="1040" w:right="119" w:hanging="315"/>
        <w:spacing w:after="0" w:line="342"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successful launch and commercialization of DANYELZA and our product candidates for which we may obtain regulatory approvals and marketing authorizations, either directly or with a collaborator or distributor;</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completing research regarding, and non-clinical and clinical development of, our product candidates;</w:t>
      </w:r>
    </w:p>
    <w:p>
      <w:pPr>
        <w:spacing w:after="0" w:line="236" w:lineRule="exact"/>
        <w:rPr>
          <w:rFonts w:ascii="Arial" w:cs="Arial" w:eastAsia="Arial" w:hAnsi="Arial"/>
          <w:sz w:val="17"/>
          <w:szCs w:val="17"/>
          <w:color w:val="auto"/>
        </w:rPr>
      </w:pPr>
    </w:p>
    <w:p>
      <w:pPr>
        <w:ind w:left="1040" w:right="19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approvals, marketing authorizations and coverage and reimbursements from payors for DANYELZA and other product candidates for which we complete clinical studies;</w:t>
      </w:r>
    </w:p>
    <w:p>
      <w:pPr>
        <w:spacing w:after="0" w:line="170" w:lineRule="exact"/>
        <w:rPr>
          <w:rFonts w:ascii="Arial" w:cs="Arial" w:eastAsia="Arial" w:hAnsi="Arial"/>
          <w:sz w:val="18"/>
          <w:szCs w:val="18"/>
          <w:color w:val="auto"/>
        </w:rPr>
      </w:pPr>
    </w:p>
    <w:p>
      <w:pPr>
        <w:ind w:left="1040" w:right="99" w:hanging="315"/>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maintaining a sustainable and scalable manufacturing process for DANYELZA and our other product candidates, including establishing and maintaining commercially viable supply relationships with third parties including Patheon/Thermo Fisher and EMD/Merck or establishing our own manufacturing capabilities and infrastructure;</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market acceptance of DANYELZA and our product candidates as viable treatment options;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addressing any competing products, product candidates, related technologies and/or market developments;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distribution or other arrangements into which we may enter;</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adequately financing our operations at acceptable terms.</w:t>
      </w:r>
    </w:p>
    <w:p>
      <w:pPr>
        <w:spacing w:after="0" w:line="22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We anticipate incurring research, development, clinical trial, manufacturing and marketing costs associated with commercializing even approved products such as DANYELZA.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more of our product candidates, such as DANYELZA, in the US,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DANYELZA or any other approved products, we may never become profitable.</w:t>
      </w:r>
    </w:p>
    <w:p>
      <w:pPr>
        <w:spacing w:after="0" w:line="16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70"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were incorporated and began our operations on April 30, 2015. Our operations to date have been limited to organizing and staffing our company, business planning, raising capital, commercializing DANYELZA, conducting clinical trials of DANYELZA and our lead product candidates and conducting pre-clinical studies and clinical trials of our other product candidates, and identifying additional potential product candidates.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DANYELZA and our other product candidates.</w:t>
      </w:r>
    </w:p>
    <w:p>
      <w:pPr>
        <w:spacing w:after="0" w:line="185"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b w:val="1"/>
          <w:bCs w:val="1"/>
          <w:i w:val="1"/>
          <w:iCs w:val="1"/>
          <w:color w:val="auto"/>
        </w:rPr>
        <w:t>Our payment obligations to MSK and MIT may be a drain on our cash resources, or may cause us to incur debt obligations or issue additional equity securities to satisfy such payment obligations, which may adversely affect our financial position and results of operations.</w:t>
      </w:r>
    </w:p>
    <w:p>
      <w:pPr>
        <w:spacing w:after="0" w:line="184"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Under the MSK License, we have committed to funding scientific research as well as conducting certain clinical trial activities at MSK. As licensed product candidates progress through clinical development and commercialization, certain milestone payments will come due, and we will owe MSK customary royalties on commercial sales of our approved products, if any. Milestone payments become due upon achievement of the related clinical, regulatory or sales-based milestone set forth in the MSK license agreements and all milestones are accrued for when they are probable and estimable. Certain of the clinical and regulatory milestone payments become due at the earlier of completion of the related milestone activity or the date indicated in the MSK license agreements, whether or not the milestone activity has been achieved. Total clinical and regulatory milestones potentially due under the MSK License are $2,450,000 and $9,000,000, respectively. There are also sales-based milestones that become due should we achieve certain amounts of sales of licensed products with total sales-based milestones potentially due of $20,000,000.</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Under the MSK CD33 License, we are obligated to make potential payments of $550,000, $500,000 and $7,500,000 for clinical, regulatory and sales-based milestones, respectively.</w:t>
      </w:r>
    </w:p>
    <w:p>
      <w:pPr>
        <w:spacing w:after="0" w:line="170"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In April 2020, we entered into the SADA License Agreement which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SADA License. These amounts are nonrefundable but are creditable against royalty payments otherwise due under the SADA License. We are also obligated to pay to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 payments potentially due under the SADA License Agreement are $4,730,000 and $18,125,000, respectively. Additionally, we are also obligated to make sales-based milestones payments totaling $23,750,000, that become due should we achieve certain amounts of sales of licensed products under the SADA License. In addition, for each of the SADA constructs generated by MSK and sold on our behalf by one of our sublicenses, we may pay sales-based milestone payments in the total amount of $60,000,000 based on the achievement of various levels of cumulative net sales by the sublicensee. Under the SADA License Agreement, we have also committed to fund scientific research at MSK under a Sponsored Research Agreement for up to $1,500,000 over three years.</w:t>
      </w:r>
    </w:p>
    <w:p>
      <w:pPr>
        <w:spacing w:after="0" w:line="167" w:lineRule="exact"/>
        <w:rPr>
          <w:sz w:val="20"/>
          <w:szCs w:val="20"/>
          <w:color w:val="auto"/>
        </w:rPr>
      </w:pPr>
    </w:p>
    <w:p>
      <w:pPr>
        <w:ind w:left="60" w:right="99" w:firstLine="648"/>
        <w:spacing w:after="0" w:line="276" w:lineRule="auto"/>
        <w:rPr>
          <w:sz w:val="20"/>
          <w:szCs w:val="20"/>
          <w:color w:val="auto"/>
        </w:rPr>
      </w:pPr>
      <w:r>
        <w:rPr>
          <w:rFonts w:ascii="Arial" w:cs="Arial" w:eastAsia="Arial" w:hAnsi="Arial"/>
          <w:sz w:val="16"/>
          <w:szCs w:val="16"/>
          <w:color w:val="auto"/>
        </w:rPr>
        <w:t xml:space="preserve">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the MCTA, with MSK under which we will provide drug product and funding for certain clinical trials at MSK under separate appendices to be executed. Additionally, we have entered into a Sponsored Research Agreement, or the SRA, with MSK pursuant to which we paid MSK to conduct certain research projects over a period of five years related to the intellectual property licensed under the MSK License. The SRA was amended on September 13, 2019, and will expire five years from the date of the amendment. We entered into a Manufacturing Agreement with MSK’s Radiochemistry and Molecular Imaging Probes Core Facility, or RMIP, pursuant to which RMIP will complete specified manufacturing activities related to </w:t>
      </w:r>
      <w:r>
        <w:rPr>
          <w:rFonts w:ascii="Arial" w:cs="Arial" w:eastAsia="Arial" w:hAnsi="Arial"/>
          <w:sz w:val="23"/>
          <w:szCs w:val="23"/>
          <w:color w:val="auto"/>
          <w:vertAlign w:val="superscript"/>
        </w:rPr>
        <w:t>131</w:t>
      </w:r>
      <w:r>
        <w:rPr>
          <w:rFonts w:ascii="Arial" w:cs="Arial" w:eastAsia="Arial" w:hAnsi="Arial"/>
          <w:sz w:val="16"/>
          <w:szCs w:val="16"/>
          <w:color w:val="auto"/>
        </w:rPr>
        <w:t>I-omburtamab in connection with Study 101. We also remain responsible for any potential downstream payment obligations to MSK related to the GD2-GD3 Vaccine. This includes our obligation to make development and regulatory milestone payments totaling $1,400,000, annual minimum royalties of $10,000, increasing to $25,000 from approval of the first NDA/BLA for a licensed product over the royalty term, and mid single-digit royalty payments to MSK on sales.</w:t>
      </w:r>
    </w:p>
    <w:p>
      <w:pPr>
        <w:spacing w:after="0" w:line="181"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These payments could be significant and in order to satisfy our obligations to MSK and MIT, if and when they are triggered, we may use our existing cash, incur debt obligations or issue additional equity securities, which may materially and adversely affect our financial position and results of operations.</w:t>
      </w:r>
    </w:p>
    <w:p>
      <w:pPr>
        <w:spacing w:after="0" w:line="184"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b w:val="1"/>
          <w:bCs w:val="1"/>
          <w:i w:val="1"/>
          <w:iCs w:val="1"/>
          <w:color w:val="auto"/>
        </w:rPr>
        <w:t>We will need substantial additional funding until at least such time as we can generate substantial revenue from product sales. If we fail to obtain such additional funding, we may be forced to delay, reduce or eliminate our research and drug development programs or current or future commercialization efforts and our license and other agreements may be terminated.</w:t>
      </w:r>
    </w:p>
    <w:p>
      <w:pPr>
        <w:spacing w:after="0" w:line="187"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Developing pharmaceutical products, including conducting pre-clinical studies and clinical trials and commercialization of any approved products, is a very time-consuming, expensive and uncertain process that takes years to complete. We expect our expenses to increase in connection with our ongoing activities, particularly as we commence sales and marketing of DANYELZA and conduct clinical trials of, and seek marketing approval for our lead product candidate omburtamab and our other product candidates. We expect to incur commercialization expenses, which may be significant, related to product sales, marketing, manufacturing and distribution of DANYELZA or our product candidates to the extent that such sales, marketing, manufacturing and distribution are not the responsibility of any collaborator that we may have at such time for any such product candidate. Furthermore, we expect to incur additional costs associated with operating as a public company. Accordingly, until at least such time as we can generate substantial additional revenues from sales of DANYELZA or our product candidates, if approved, we will need to obtain substantial additional funding in connection with our continuing operations. If we are unable to raise sufficient amounts of</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additional capital when needed or on attractive terms, we may be forced to delay, reduce or eliminate our research and drug development programs or our future commercialization efforts.</w:t>
      </w:r>
    </w:p>
    <w:p>
      <w:pPr>
        <w:spacing w:after="0" w:line="170"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71"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DANYELZA 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8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DANYELZA or our product candidates on terms unfavorable to us.</w:t>
      </w:r>
    </w:p>
    <w:p>
      <w:pPr>
        <w:spacing w:after="0" w:line="170"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additional revenues from the sale of DANYELZA and our product candidates, if approved, we expect to finance our cash needs through a combination of cash on hand, equity offerings, debt financings, collaborations, strategic alliances and/or licensing arrangements. To the extent that we raise additional capital through the sale of equity or convertible debt securities, ownership interests will be diluted, and the terms of these securities could include liquidation or other preferences and anti-dilution protections that could adversely affect the rights of common stockholders.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commercialization of DANYELZA or other products, if approved, or development of our product candidates.</w:t>
      </w:r>
    </w:p>
    <w:p>
      <w:pPr>
        <w:spacing w:after="0" w:line="17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current or future commercialization efforts or grant rights to develop and market products or product candidates that we would otherwise prefer to develop and market ourselves.</w:t>
      </w:r>
    </w:p>
    <w:p>
      <w:pPr>
        <w:spacing w:after="0" w:line="19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We may expand our resources to pursue a particular product or product candidate or indication and fail to capitalize on other products or product candidates or indications that may be more profitable or for which there is a greater likelihood of success.</w:t>
      </w:r>
    </w:p>
    <w:p>
      <w:pPr>
        <w:spacing w:after="0" w:line="184"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We intend to focus our efforts and managerial resources on specific products and product candidates and on specific indications such as DANYELZA for the treatment of relapsed/refractory high-risk neuroblastoma in bone and/or bone marrow and omburtamab for central nervous system leptomeningeal metastases from neuroblastoma. As a result, we may forgo or delay pursuit of opportunities with other products or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b w:val="1"/>
          <w:bCs w:val="1"/>
          <w:i w:val="1"/>
          <w:iCs w:val="1"/>
          <w:color w:val="auto"/>
        </w:rPr>
        <w:t>Our only approved product, DANYELZA, our product candidates and related technologies are novel approaches to cancer treatment that present significant challenges, and our ability to generate product revenue is dependent on the success of DANYELZA or one or more of our product candidates, which might require additional clinical testing before we can seek regulatory approval and begin commercial sales.</w:t>
      </w:r>
    </w:p>
    <w:p>
      <w:pPr>
        <w:spacing w:after="0" w:line="171"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Our only approved product DANYELZA, our product candidates and related technologies represent novel approaches to cancer treatment generally. Developing and commercializing these products therefore subjects us to a number of challenges. To date we have not generated substantial revenues from sales of DANYELZA which is currently our only approved product. We may never be able to develop another marketable product. Our ability to generate product revenue is highly dependent on our ability to successfully commercialize DANYELZA and to obtain additional regulatory approvals of and successfully commercialize additional product candidates including in particular omburtamab. This will require additional clinical and non-clinical development, regulatory review and approval in each jurisdiction in which we intend to market them, substantial investment, access to sufficient commercial manufacturing capacity, and significant marketing efforts. We cannot be certain that any other of our product candidates will be successful in clinical studies and they may not receive regulatory approval even if they are successful in clinical studies.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success of our product candidates in development will depend on several factors, including the following:</w:t>
      </w:r>
    </w:p>
    <w:p>
      <w:pPr>
        <w:spacing w:after="0" w:line="237"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initiation and successful patient enrollment and completion of additional clinical trials on a timely basis;</w:t>
      </w:r>
    </w:p>
    <w:p>
      <w:pPr>
        <w:spacing w:after="0" w:line="236" w:lineRule="exact"/>
        <w:rPr>
          <w:rFonts w:ascii="Arial" w:cs="Arial" w:eastAsia="Arial" w:hAnsi="Arial"/>
          <w:sz w:val="17"/>
          <w:szCs w:val="17"/>
          <w:color w:val="auto"/>
        </w:rPr>
      </w:pPr>
    </w:p>
    <w:p>
      <w:pPr>
        <w:ind w:left="1040" w:right="11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or any comparable foreign regulatory authority for marketing approval;</w:t>
      </w:r>
    </w:p>
    <w:p>
      <w:pPr>
        <w:spacing w:after="0" w:line="170" w:lineRule="exact"/>
        <w:rPr>
          <w:rFonts w:ascii="Arial" w:cs="Arial" w:eastAsia="Arial" w:hAnsi="Arial"/>
          <w:sz w:val="18"/>
          <w:szCs w:val="18"/>
          <w:color w:val="auto"/>
        </w:rPr>
      </w:pPr>
    </w:p>
    <w:p>
      <w:pPr>
        <w:ind w:left="1040" w:right="3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receipt of marketing and reimbursement approvals for our lead product candidates from applicable regulatory authorities;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236" w:lineRule="exact"/>
        <w:rPr>
          <w:rFonts w:ascii="Arial" w:cs="Arial" w:eastAsia="Arial" w:hAnsi="Arial"/>
          <w:sz w:val="17"/>
          <w:szCs w:val="17"/>
          <w:color w:val="auto"/>
        </w:rPr>
      </w:pPr>
    </w:p>
    <w:p>
      <w:pPr>
        <w:ind w:left="1040" w:right="7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170"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protection of our rights in our intellectual property portfolio, including our licensed intellectual property;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 including the hiring of a direct salesforce and creation of marketing campaigns;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commercial acceptance by physicians and patients, the medical community and third-party payors;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84"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DANYELZA and our lead product candidate omburtamab are our most advanced product and product candidate. Because our other product candidates are based on similar technology, if DANYELZA or omburtamab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61"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b w:val="1"/>
          <w:bCs w:val="1"/>
          <w:i w:val="1"/>
          <w:iCs w:val="1"/>
          <w:color w:val="auto"/>
        </w:rPr>
        <w:t>Our normal business operations may, directly or indirectly, be adversely impacted by the still ongoing global COVID-19 pandemic. COVID-19 and future outbreak of any highly infectious or contagious diseases, could materially and adversely affect our operations and have a material impact on our financial position. Further, the spread of the COVID-19 outbreak has caused business continuity issues of an as yet unknown magnitude and duration.</w:t>
      </w:r>
    </w:p>
    <w:p>
      <w:pPr>
        <w:spacing w:after="0" w:line="15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COVID-19 pandemic, and preventative measures taken to contain or mitigate the pandemic may disrupt normal business operations both in and outside of affected areas and may have significant negative impacts on businesses and financial markets worldwide. We continue to monitor our operations and applicable government recommendations, and we have made modifications to our normal operations because of the COVID-19 pandemic, including limiting travel and working from home. Prolonged remote working arrangements could impact employees’ productivity and morale, strain our technology resources and introduce operational risks. Operating requirements may continually change due to the COVID-19 pandemic and we may experience unpredictability in our expenses, employee productivity and employee work culture. Additionally, the risk of cyber-attacks or other privacy or data security incidents may be heightened as a result of our moving increasingly towards a remote working environment, which may be less secure and more susceptible to security breaches.</w:t>
      </w:r>
    </w:p>
    <w:p>
      <w:pPr>
        <w:spacing w:after="0" w:line="185"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CMOs and other third parties and collaborators upon whom we rely. The COVID-19 pandemic has affected multiple countries worldwide, including those where we have planned and ongoing preclinical studies and clinical trials. Site initiation and patient enrollment could be delayed or suspended due to prioritization of hospital resources toward the COVID-19 pandemic or patients not having a desire to enroll in clinical trials due to concerns regarding COVID-19.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 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72" w:lineRule="auto"/>
        <w:rPr>
          <w:sz w:val="20"/>
          <w:szCs w:val="20"/>
          <w:color w:val="auto"/>
        </w:rPr>
      </w:pPr>
      <w:r>
        <w:rPr>
          <w:rFonts w:ascii="Arial" w:cs="Arial" w:eastAsia="Arial" w:hAnsi="Arial"/>
          <w:sz w:val="17"/>
          <w:szCs w:val="17"/>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CMOs,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177"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COVID-19 is adversely affecting, and is expected to continue to adversely affect, our operations, and COVID-19 or another pandemic may result in material and adverse effects on our ability to successfully operate our business, including:</w:t>
      </w:r>
    </w:p>
    <w:p>
      <w:pPr>
        <w:spacing w:after="0" w:line="184" w:lineRule="exact"/>
        <w:rPr>
          <w:sz w:val="20"/>
          <w:szCs w:val="20"/>
          <w:color w:val="auto"/>
        </w:rPr>
      </w:pPr>
    </w:p>
    <w:p>
      <w:pPr>
        <w:ind w:left="1040" w:right="79" w:hanging="315"/>
        <w:spacing w:after="0" w:line="301"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successfully launch, commercialize, and generate revenue from DANYELZA and our product candidates, even if approved, may be adversely affected by the impact of the COVID-19 pandemic. For example, limited hospital access for non-patients, social distancing requirements, and precautionary measures due to COVID-19 have impacted the ability of our sales personnel to interact in-person with customers;</w:t>
      </w:r>
    </w:p>
    <w:p>
      <w:pPr>
        <w:spacing w:after="0" w:line="157" w:lineRule="exact"/>
        <w:rPr>
          <w:rFonts w:ascii="Arial" w:cs="Arial" w:eastAsia="Arial" w:hAnsi="Arial"/>
          <w:sz w:val="16"/>
          <w:szCs w:val="16"/>
          <w:color w:val="auto"/>
        </w:rPr>
      </w:pPr>
    </w:p>
    <w:p>
      <w:pPr>
        <w:ind w:left="1040" w:right="1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 including receiving any required investigational new drug applications, or INDs;</w:t>
      </w:r>
    </w:p>
    <w:p>
      <w:pPr>
        <w:spacing w:after="0" w:line="170" w:lineRule="exact"/>
        <w:rPr>
          <w:rFonts w:ascii="Arial" w:cs="Arial" w:eastAsia="Arial" w:hAnsi="Arial"/>
          <w:sz w:val="18"/>
          <w:szCs w:val="18"/>
          <w:color w:val="auto"/>
        </w:rPr>
      </w:pPr>
    </w:p>
    <w:p>
      <w:pPr>
        <w:ind w:left="1040" w:right="439" w:hanging="315"/>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or difficulties in enrolling and retaining patients in our clinical trials if patients are affected by the virus or are fearful of visiting or traveling to clinical trial sites because of the outbreak;</w:t>
      </w:r>
    </w:p>
    <w:p>
      <w:pPr>
        <w:spacing w:after="0" w:line="146" w:lineRule="exact"/>
        <w:rPr>
          <w:rFonts w:ascii="Arial" w:cs="Arial" w:eastAsia="Arial" w:hAnsi="Arial"/>
          <w:sz w:val="17"/>
          <w:szCs w:val="17"/>
          <w:color w:val="auto"/>
        </w:rPr>
      </w:pPr>
    </w:p>
    <w:p>
      <w:pPr>
        <w:ind w:left="1040" w:right="199" w:hanging="315"/>
        <w:spacing w:after="0" w:line="263"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disruptions;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the transport of clinical trial materials;</w:t>
      </w:r>
    </w:p>
    <w:p>
      <w:pPr>
        <w:spacing w:after="0" w:line="225" w:lineRule="exact"/>
        <w:rPr>
          <w:rFonts w:ascii="Arial" w:cs="Arial" w:eastAsia="Arial" w:hAnsi="Arial"/>
          <w:sz w:val="18"/>
          <w:szCs w:val="18"/>
          <w:color w:val="auto"/>
        </w:rPr>
      </w:pPr>
    </w:p>
    <w:p>
      <w:pPr>
        <w:jc w:val="both"/>
        <w:ind w:left="1040" w:right="599" w:hanging="315"/>
        <w:spacing w:after="0" w:line="263"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183" w:lineRule="exact"/>
        <w:rPr>
          <w:rFonts w:ascii="Arial" w:cs="Arial" w:eastAsia="Arial" w:hAnsi="Arial"/>
          <w:sz w:val="18"/>
          <w:szCs w:val="18"/>
          <w:color w:val="auto"/>
        </w:rPr>
      </w:pPr>
    </w:p>
    <w:p>
      <w:pPr>
        <w:ind w:left="1040" w:right="99" w:hanging="315"/>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146" w:lineRule="exact"/>
        <w:rPr>
          <w:rFonts w:ascii="Arial" w:cs="Arial" w:eastAsia="Arial" w:hAnsi="Arial"/>
          <w:sz w:val="17"/>
          <w:szCs w:val="17"/>
          <w:color w:val="auto"/>
        </w:rPr>
      </w:pPr>
    </w:p>
    <w:p>
      <w:pPr>
        <w:ind w:left="1040" w:right="139" w:hanging="315"/>
        <w:spacing w:after="0" w:line="25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187" w:lineRule="exact"/>
        <w:rPr>
          <w:rFonts w:ascii="Arial" w:cs="Arial" w:eastAsia="Arial" w:hAnsi="Arial"/>
          <w:sz w:val="18"/>
          <w:szCs w:val="18"/>
          <w:color w:val="auto"/>
        </w:rPr>
      </w:pPr>
    </w:p>
    <w:p>
      <w:pPr>
        <w:ind w:left="1040" w:right="359" w:hanging="315"/>
        <w:spacing w:after="0" w:line="34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in necessary interactions with local regulators, ethics committees and other important agencies and contractors due to limitations in employee resources or forced furlough of government employees;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regulatory approvals for our product candidates due to the FDA focusing on clinical trials related to therapies and vaccines targeting COVID-19;</w:t>
      </w:r>
    </w:p>
    <w:p>
      <w:pPr>
        <w:spacing w:after="0" w:line="170" w:lineRule="exact"/>
        <w:rPr>
          <w:rFonts w:ascii="Arial" w:cs="Arial" w:eastAsia="Arial" w:hAnsi="Arial"/>
          <w:sz w:val="18"/>
          <w:szCs w:val="18"/>
          <w:color w:val="auto"/>
        </w:rPr>
      </w:pPr>
    </w:p>
    <w:p>
      <w:pPr>
        <w:ind w:left="1040" w:right="179" w:hanging="315"/>
        <w:spacing w:after="0" w:line="263"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of the FDA or other regulatory authorities to accept data, including from clinical trials in affected geographies or failure to comply with updated FDA or other regulatory guidance and expectations related to the conduct of clinical trials during the COVID-19 pandemic;</w:t>
      </w:r>
    </w:p>
    <w:p>
      <w:pPr>
        <w:spacing w:after="0" w:line="183" w:lineRule="exact"/>
        <w:rPr>
          <w:rFonts w:ascii="Arial" w:cs="Arial" w:eastAsia="Arial" w:hAnsi="Arial"/>
          <w:sz w:val="18"/>
          <w:szCs w:val="18"/>
          <w:color w:val="auto"/>
        </w:rPr>
      </w:pPr>
    </w:p>
    <w:p>
      <w:pPr>
        <w:ind w:left="1040" w:right="199" w:hanging="315"/>
        <w:spacing w:after="0" w:line="263"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negative impacts on the healthcare system or regulatory authorities globally could negatively impact our ability to obtain approval to market, market and sell our products, including through the disruption of regulatory activities or health care activities in general;</w:t>
      </w:r>
    </w:p>
    <w:p>
      <w:pPr>
        <w:spacing w:after="0" w:line="183" w:lineRule="exact"/>
        <w:rPr>
          <w:rFonts w:ascii="Arial" w:cs="Arial" w:eastAsia="Arial" w:hAnsi="Arial"/>
          <w:sz w:val="18"/>
          <w:szCs w:val="18"/>
          <w:color w:val="auto"/>
        </w:rPr>
      </w:pPr>
    </w:p>
    <w:p>
      <w:pPr>
        <w:jc w:val="both"/>
        <w:ind w:left="1040" w:right="439" w:hanging="315"/>
        <w:spacing w:after="0" w:line="286"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delays in the preparation and submission of applications for regulatory approval of our product candidates, as well as potential interruptions or delays in FDA’s ability to review applications in a timely manner consistent with past practices, which may impact review and approval times;</w:t>
      </w:r>
    </w:p>
    <w:p>
      <w:pPr>
        <w:spacing w:after="0" w:line="165" w:lineRule="exact"/>
        <w:rPr>
          <w:rFonts w:ascii="Arial" w:cs="Arial" w:eastAsia="Arial" w:hAnsi="Arial"/>
          <w:sz w:val="17"/>
          <w:szCs w:val="17"/>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scheduling manufacturing inspections in connection with BLA approval;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deterioration in our ability to ensure business continuity during a disruption.</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trading prices for our common stock and the shares of other biopharmaceutical and biotechnology companies have been highly volatile as a result of the COVID-19 pandemic and the trading prices for our common stock could continue to experience high volatility. As a result, we may face difficulties raising additional capital through sales of our common stock or any such sales may be on unfavorable terms. In addition, a sustained adverse market event resulting from the spread of the COVID-19 could materially and adversely affect our business and the value of our common stock.</w:t>
      </w:r>
    </w:p>
    <w:p>
      <w:pPr>
        <w:spacing w:after="0" w:line="161"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Despite our efforts to manage and mitigate these impacts to our company, their ultimate impact also depends on factors beyond our knowledge or control, including the duration and severity of this and any other pandemic, as well as third-party actions taken to contain its spread and mitigate its public health effects, and the pace of global economic recovery following containment of the spread. In addition, while we cannot predict the impact that COVID-19 will have on our suppliers, vendors and other business partners and each of their financial conditions, any material adverse effects on these parties could adversely impact us. The ultimate impact of this and any other pandemic on our business is highly uncertain and the continued spread of COVID-19 may have further adverse impacts on our business, operations, any pending regulatory approvals, supply chain, and financial position, and may also exacerbate other risks discussed in this Quarterly Report on Form 10-Q.</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Russia’s invasion of Ukraine and ancillary developments may have an adverse effect on our business.</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On February 24, 2022, Russia launched a wide-ranging attack on Ukraine. The resulting conflict and retaliatory measures by the global community have created global security concerns, including the possibility of expanded regional or global conflict, which have had and are likely to continue to have, short-term and more likely longer-term adverse impacts on Russia, Ukraine and Europe and around the globe. In light of the continuously evolving and worsening conditions in the region, we have terminated our clinical trials and regulatory activities to obtain marketing authorization for DANYELZA in Russia. This will negatively impact our plans to commercialize DANYELZA in Russia and may therefore adversely affect our business. In addition, the conflict between Russia and the Ukraine has had significant ramifications on global financial markets, which may adversely impact our ability to raise capital on favorable terms or at all.</w:t>
      </w:r>
    </w:p>
    <w:p>
      <w:pPr>
        <w:spacing w:after="0" w:line="165"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b w:val="1"/>
          <w:bCs w:val="1"/>
          <w:i w:val="1"/>
          <w:iCs w:val="1"/>
          <w:color w:val="auto"/>
        </w:rPr>
        <w:t>We have limited experience operating as a commercial company and the marketing and sale of DANYELZA or any future approved products may be unsuccessful or less successful than anticipated.</w:t>
      </w:r>
    </w:p>
    <w:p>
      <w:pPr>
        <w:spacing w:after="0" w:line="146"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While we have initiated the commercial launch of DANYELZA in the United States, we have limited experience as a commercial company and there is limited information about our ability to successfully overcome many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color w:val="auto"/>
        </w:rPr>
        <w:t>of the risks and uncertainties encountered by companies commercializing drugs in the biopharmaceutical industry. To execute our business plan, in addition to successfully marketing and selling DANYELZA, we will need to successfully:</w:t>
      </w:r>
    </w:p>
    <w:p>
      <w:pPr>
        <w:spacing w:after="0" w:line="124" w:lineRule="exact"/>
        <w:rPr>
          <w:sz w:val="20"/>
          <w:szCs w:val="20"/>
          <w:color w:val="auto"/>
        </w:rPr>
      </w:pPr>
    </w:p>
    <w:p>
      <w:pPr>
        <w:ind w:left="1040" w:right="1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the patients who may receive our products and any future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adequate pricing and reimbursement for DANYELZA and any future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gain regulatory authorization for the development and commercialization of our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maintain successful strategic alliances;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accurately forecast demand for our products and scale manufacturing to meet that demand;</w:t>
      </w:r>
    </w:p>
    <w:p>
      <w:pPr>
        <w:spacing w:after="0" w:line="225" w:lineRule="exact"/>
        <w:rPr>
          <w:rFonts w:ascii="Arial" w:cs="Arial" w:eastAsia="Arial" w:hAnsi="Arial"/>
          <w:sz w:val="18"/>
          <w:szCs w:val="18"/>
          <w:color w:val="auto"/>
        </w:rPr>
      </w:pPr>
    </w:p>
    <w:p>
      <w:pPr>
        <w:ind w:left="1040" w:right="81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and grow our relationship with MSK as a user of DANYELZA and any future products.</w:t>
      </w:r>
    </w:p>
    <w:p>
      <w:pPr>
        <w:spacing w:after="0" w:line="225"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product candidates, commercialize DANYELZA or any future approved products, raise capital, expand our business, or continue our operations.</w:t>
      </w:r>
    </w:p>
    <w:p>
      <w:pPr>
        <w:spacing w:after="0" w:line="184"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b w:val="1"/>
          <w:bCs w:val="1"/>
          <w:i w:val="1"/>
          <w:iCs w:val="1"/>
          <w:color w:val="auto"/>
        </w:rPr>
        <w:t>The commercial success of DANYELZA and of any future approved products, will depend upon the degree of market acceptance by physicians, patients, third-party payors, and others in the medical community.</w:t>
      </w:r>
    </w:p>
    <w:p>
      <w:pPr>
        <w:spacing w:after="0" w:line="14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commercial success of DANYELZA, and of any future approved products, will depend in part on market acceptance by physicians, patients, third-party payors, and others in the medical community. For example, current cancer treatments like surgery, chemotherapy or radiation therapy are well-established in the medical community, and doctors may continue to rely on these treatments. If DANYELZA or any future approved products do not achieve an adequate level of acceptance, we may not generate significant revenues from sales of drugs and we may not become profitable. The degree of market acceptance of DANYELZA, and of any future product, if approved for commercial sale, will depend on a number of factors, including:</w:t>
      </w:r>
    </w:p>
    <w:p>
      <w:pPr>
        <w:spacing w:after="0" w:line="195" w:lineRule="exact"/>
        <w:rPr>
          <w:sz w:val="20"/>
          <w:szCs w:val="20"/>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25" w:lineRule="exact"/>
        <w:rPr>
          <w:rFonts w:ascii="Arial" w:cs="Arial" w:eastAsia="Arial" w:hAnsi="Arial"/>
          <w:sz w:val="18"/>
          <w:szCs w:val="18"/>
          <w:color w:val="auto"/>
        </w:rPr>
      </w:pPr>
    </w:p>
    <w:p>
      <w:pPr>
        <w:ind w:left="1040" w:right="59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our products, including long-term follow-up for all patients who receive the product;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or the ability of any potential future collaborators, to offer the product for sale at competitive prices;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69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w:t>
      </w:r>
    </w:p>
    <w:p>
      <w:pPr>
        <w:spacing w:after="0" w:line="225"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populations to try new therapies, enroll in ongoing clinical trials, and of physicians to prescribe these therapies;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for in-patient versus out-patient administration;</w:t>
      </w:r>
    </w:p>
    <w:p>
      <w:pPr>
        <w:spacing w:after="0" w:line="225"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third-party payors;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competitive product introductions and other actions by competitors in the marketplace.</w:t>
      </w:r>
    </w:p>
    <w:p>
      <w:pPr>
        <w:spacing w:after="0" w:line="225"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b w:val="1"/>
          <w:bCs w:val="1"/>
          <w:i w:val="1"/>
          <w:iCs w:val="1"/>
          <w:color w:val="auto"/>
        </w:rPr>
        <w:t>We have only recently established our marketing and sales organization and have only limited experience in marketing and sale of biopharmaceutical products. We may not be successful in commercializing DANYELZA or any future approved product unless we are able to maintain and expand our sales and marketing capabilities or enter into agreements with third parties to sell and market such approved products.</w:t>
      </w:r>
    </w:p>
    <w:p>
      <w:pPr>
        <w:spacing w:after="0" w:line="15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have only recently established our sales and marketing organization and have only limited experience in marketing and sale of biopharmaceutical products. We began small shipments of DANYELZA in February 2021. Other than our commercialization partnerships for DANYELZA and omburtamab covering certain territories outside the United States with SciClone Pharmaceuticals International Ltd, Takeda Israel, Swixx Biopharma AG and Adium Pharma S.A., we are not currently a party to any strategic collaboration that provides us with access to a collaborator’s resources in selling or marketing drugs. To achieve commercial success for any future approved products we must successfully maintain and expand our sales and marketing organization or outsource these functions to strategic collaborators and other third parties. We have built our own focused, specialized sales and marketing organization in the United States. We continue to explore selectively establishing partnerships in markets outside the United States to support the commercialization of our product candidates for which we obtain marketing approval and that can be commercialized with such capabilities, and we are currently initiating the process of building our own sales capabilities in Europe, however, no assurance can be given that we will be successful in our efforts.</w:t>
      </w:r>
    </w:p>
    <w:p>
      <w:pPr>
        <w:spacing w:after="0" w:line="17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There are risks involved with both further establishing our own direct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4"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Factors that may inhibit our efforts to commercialize our drugs on our own after obtaining any regulatory approval to gain market acceptance include:</w:t>
      </w:r>
    </w:p>
    <w:p>
      <w:pPr>
        <w:spacing w:after="0" w:line="170" w:lineRule="exact"/>
        <w:rPr>
          <w:sz w:val="20"/>
          <w:szCs w:val="20"/>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raise financing necessary to maintain and grow our commercialization infrastructure;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79" w:hanging="315"/>
        <w:spacing w:after="0" w:line="259"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DANYELZA or any future approved products, in particular in light of current reduced in-person access to medical institutions and personnel and other significant disruptions to the healthcare system and community due to COVID-19;</w:t>
      </w:r>
    </w:p>
    <w:p>
      <w:pPr>
        <w:spacing w:after="0" w:line="186"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and</w:t>
      </w:r>
    </w:p>
    <w:p>
      <w:pPr>
        <w:spacing w:after="0" w:line="248" w:lineRule="exact"/>
        <w:rPr>
          <w:rFonts w:ascii="Arial" w:cs="Arial" w:eastAsia="Arial" w:hAnsi="Arial"/>
          <w:sz w:val="16"/>
          <w:szCs w:val="16"/>
          <w:color w:val="auto"/>
        </w:rPr>
      </w:pPr>
    </w:p>
    <w:p>
      <w:pPr>
        <w:ind w:left="1040" w:right="7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revenues from the sale of drugs or the profitability of these revenues to us are likely to be lower from arrangements that we enter into with third parties to perform sales and marketing service (such as with SciClone Pharmaceuticals International Ltd, Takeda Israel, Swixx Biopharma AG and Adium Pharma S.A.) than if we were to market and sell any drugs that we develop ourselves. In addition, we may not be successful in entering additional arrangements with third parties to sell and market our product candidates or may be unable to do so on terms that are favorable to us. We have limited control over such third parties, and any of them may fail to devote the necessary resources and attention to sell and market our drugs effectively. If we do not maintain and expand our sales and marketing capabilities successfully, either on our own or in collaboration with third parties, we might not be successful in commercializing DANYELZA or any of our product candidates for which we receive marketing approval, if any. In the event that we are unable to effectively deploy our sales organization or distribution strategy on a timely and efficient basis, if at all, the commercialization of DANYELZA or our product candidates, if approved, could be delayed which would negatively impact our ability to generate product revenues.</w:t>
      </w:r>
    </w:p>
    <w:p>
      <w:pPr>
        <w:spacing w:after="0" w:line="17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actual and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DANYELZA or our product candidates or may develop proprietary technologies or secure patent protection that we may need for the commercialization of DANYELZA and development of our product candidates and related technologies.</w:t>
      </w:r>
    </w:p>
    <w:p>
      <w:pPr>
        <w:spacing w:after="0" w:line="182"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Specifically, MacroGenics, Inc. and Daiichi Sankyo Co. are developing antibodies against B7-H3. United Therapeutics Corporation, or United Therapeutics, has commercialized Unituxin (dinutuximab), an antibody against GD2, in the United States. In the first quarter of 2021 United Therapeutics announced that it had discontinued plans to develop Unituxin in R/R NB. During the third quarter of 2020, United Therapeutics discontinued its efforts to investigate Unituxin’s potential activity against adult cancerous tumors, and its efforts to develop a humanized version of Unituxin. In addition, DANYELZA may face competition from dinutuximab beta, a similar antibody product against GD2 developed by Apeiron Biologics AG, or Apeiron, that was approved in Europe in May 2017 to treat high-risk NB and R/R NB. In October 2016, EUSA Pharma (UK) Ltd., or EUSA, announced that it had acquired global commercialization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right="79"/>
        <w:spacing w:after="0" w:line="228" w:lineRule="auto"/>
        <w:rPr>
          <w:sz w:val="20"/>
          <w:szCs w:val="20"/>
          <w:color w:val="auto"/>
        </w:rPr>
      </w:pPr>
      <w:r>
        <w:rPr>
          <w:rFonts w:ascii="Arial" w:cs="Arial" w:eastAsia="Arial" w:hAnsi="Arial"/>
          <w:sz w:val="16"/>
          <w:szCs w:val="16"/>
          <w:color w:val="auto"/>
        </w:rPr>
        <w:t>rights to dinutuximab beta, which is currently being commercialized under the name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Europe. In January 2020, EUSA and BeiGene Ltd., or BeiGene, announced an exclusive collaboration to commercialize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mainland China and in August 2021 EUSA and BeiGene announced that the China National Medical Products Administration had granted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(dinutuximab beta) conditional approval for the treatment of high-risk NB and R/R NB. EUSA has previously announced plans to file for registration of dinutuximab beta in the United States in R/R NB.</w:t>
      </w:r>
    </w:p>
    <w:p>
      <w:pPr>
        <w:spacing w:after="0" w:line="203"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We may not be the first to market even with respect to our approved products such as DANYELZA and that may affect the price or demand for DANYELZA and our product candidates. Additionally, the availability and price of our competitors’ products could limit the demand and the price we are able to charge for our products. We may not be able to implement our business plan if the acceptance of our products is inhibited by price competition or the reluctance of physicians to switch from existing methods of treatment to our products, or if physicians switch to other new drug or biologic products or choose to reserve our products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66"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b w:val="1"/>
          <w:bCs w:val="1"/>
          <w:i w:val="1"/>
          <w:iCs w:val="1"/>
          <w:color w:val="auto"/>
        </w:rPr>
        <w:t>The market opportunities for DANYELZA and our product candidates, if approved, may be limited to those patients who are ineligible for or have failed prior treatments and may be small. If we encounter difficulties enrolling patients in our clinical trials, our clinical development activities could be delayed or otherwise adversely affected. Also, the market opportunity for DANYELZA and our product candidates, if approved, may be smaller than we expect.</w:t>
      </w:r>
    </w:p>
    <w:p>
      <w:pPr>
        <w:spacing w:after="0" w:line="157"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Our current target patient population is based on our beliefs and estimates regarding the incidence or prevalence of certain types of cancers that may be addressable by DANYELZA and our product candidates, which are derived from a variety of sources, including scientific literature, surveys of clinics, patient foundations, or market research. The total addressable market opportunity for DANYELZA and any other product candidates we may produce, if approved, will ultimately depend upon, among other things, the diagnosis criteria included in the final label for our current and future products for sale for these indications, acceptance by the medical community and patient access, drug pricing, and reimbursement. The number of patients in our targeted commercial markets and elsewhere may turn out to be lower than expected, possibly materially, patients may not be otherwise amenable to treatment with our drug, or new patients may become increasingly difficult to identify or gain access to, all of which would adversely affect our results of operations and our business.</w:t>
      </w:r>
    </w:p>
    <w:p>
      <w:pPr>
        <w:spacing w:after="0" w:line="194"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Even if we obtain significant market share for DANYELZA or our product candidates, if approved, because the potential target populations are small, we may never achieve profitability without obtaining regulatory approval for additional and broader indications, including use of DANYELZA or our product candidates, if approved, for front-line and third-line therapy.</w:t>
      </w:r>
    </w:p>
    <w:p>
      <w:pPr>
        <w:spacing w:after="0" w:line="187"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DANYELZA is approved only as second line treatment for patients with relapsed/refractory high-risk neuroblastoma in bone and/or bone marrow, and we expect to initially seek approval of our product candidate omburtamab also as second-line therapy for patients who have relapsed from systemic disease. Even if we would seek approval as front-line or third-line therapy for DANYELZA, omburtamab or another product candidate there is no guarantee that they would be approved. In addition, we may have to conduct additional clinical trials prior to gaining approval for front-line or third-line therapy.</w:t>
      </w:r>
    </w:p>
    <w:p>
      <w:pPr>
        <w:spacing w:after="0" w:line="192"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84"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our product candidates and or related technologies;</w:t>
      </w:r>
    </w:p>
    <w:p>
      <w:pPr>
        <w:spacing w:after="0" w:line="170" w:lineRule="exact"/>
        <w:rPr>
          <w:rFonts w:ascii="Arial" w:cs="Arial" w:eastAsia="Arial" w:hAnsi="Arial"/>
          <w:sz w:val="18"/>
          <w:szCs w:val="18"/>
          <w:color w:val="auto"/>
        </w:rPr>
      </w:pPr>
    </w:p>
    <w:p>
      <w:pPr>
        <w:ind w:left="1040" w:right="259" w:hanging="315"/>
        <w:spacing w:after="0" w:line="263"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8"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launch of our products, upon approval.</w:t>
      </w:r>
    </w:p>
    <w:p>
      <w:pPr>
        <w:spacing w:after="0" w:line="171"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b w:val="1"/>
          <w:bCs w:val="1"/>
          <w:i w:val="1"/>
          <w:iCs w:val="1"/>
          <w:color w:val="auto"/>
        </w:rPr>
        <w:t>DANYELZA or any current or future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or cause regulatory authorities to require labeling statements, such as boxed warnings. Even after approval, if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7"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As with most biological drug products, use of DANYELZA or any current or future product candidates could be associated with undesirable side effects or adverse events which can vary in severity from minor reactions to death and in frequency from infrequent to prevalent. Undesirable side effects or unacceptable toxicities caused by our products or product candidates could cause us or regulatory authorities to interrupt, delay, or halt clinical trials.</w:t>
      </w:r>
    </w:p>
    <w:p>
      <w:pPr>
        <w:spacing w:after="0" w:line="171"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products and product candidates to understand their side effect profiles, both for our planned clinical trials and upon any commercialization of any product candidates when approved such as DANYELZA. Inadequate training in recognizing or managing the potential side effects of our products or product candidates could result in adverse effects to patients, including death. Any of these occurrences may materially and adversely harm our business, financial condition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Undesirable side effects caused by DANYELZA or any other product or product candidate could limit the commercial profile of such product or product candidate or result in significant negative consequences such as a more restrictive label or other limitations or restrictions.</w:t>
      </w:r>
    </w:p>
    <w:p>
      <w:pPr>
        <w:spacing w:after="0" w:line="184"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9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such as for DANYELZA in the US, a product candidate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78" w:lineRule="exact"/>
        <w:rPr>
          <w:sz w:val="20"/>
          <w:szCs w:val="20"/>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25" w:lineRule="exact"/>
        <w:rPr>
          <w:rFonts w:ascii="Arial" w:cs="Arial" w:eastAsia="Arial" w:hAnsi="Arial"/>
          <w:sz w:val="18"/>
          <w:szCs w:val="18"/>
          <w:color w:val="auto"/>
        </w:rPr>
      </w:pPr>
    </w:p>
    <w:p>
      <w:pPr>
        <w:ind w:left="1040" w:right="65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70"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70" w:lineRule="exact"/>
        <w:rPr>
          <w:rFonts w:ascii="Arial" w:cs="Arial" w:eastAsia="Arial" w:hAnsi="Arial"/>
          <w:sz w:val="18"/>
          <w:szCs w:val="18"/>
          <w:color w:val="auto"/>
        </w:rPr>
      </w:pPr>
    </w:p>
    <w:p>
      <w:pPr>
        <w:ind w:left="1040" w:right="399" w:hanging="315"/>
        <w:spacing w:after="0" w:line="263"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(such as for DANYELZA) narrow the indications for use or require additional warnings in the labeling, such as a boxed warning or a contraindication, or impose distribution or use restrictions;</w:t>
      </w:r>
    </w:p>
    <w:p>
      <w:pPr>
        <w:spacing w:after="0" w:line="183" w:lineRule="exact"/>
        <w:rPr>
          <w:rFonts w:ascii="Arial" w:cs="Arial" w:eastAsia="Arial" w:hAnsi="Arial"/>
          <w:sz w:val="18"/>
          <w:szCs w:val="18"/>
          <w:color w:val="auto"/>
        </w:rPr>
      </w:pPr>
    </w:p>
    <w:p>
      <w:pPr>
        <w:ind w:left="1040" w:right="439" w:hanging="315"/>
        <w:spacing w:after="0" w:line="311"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48" w:lineRule="exact"/>
        <w:rPr>
          <w:rFonts w:ascii="Arial" w:cs="Arial" w:eastAsia="Arial" w:hAnsi="Arial"/>
          <w:sz w:val="16"/>
          <w:szCs w:val="16"/>
          <w:color w:val="auto"/>
        </w:rPr>
      </w:pPr>
    </w:p>
    <w:p>
      <w:pPr>
        <w:ind w:left="1040" w:right="43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DANYELZA or a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61"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later-stage clinical trials.</w:t>
      </w:r>
    </w:p>
    <w:p>
      <w:pPr>
        <w:spacing w:after="0" w:line="16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68" w:lineRule="exact"/>
        <w:rPr>
          <w:sz w:val="20"/>
          <w:szCs w:val="20"/>
          <w:color w:val="auto"/>
        </w:rPr>
      </w:pPr>
    </w:p>
    <w:p>
      <w:pPr>
        <w:jc w:val="both"/>
        <w:ind w:left="60" w:right="99" w:firstLine="648"/>
        <w:spacing w:after="0" w:line="259"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spacing w:after="0" w:line="18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 We have received clinical holds on our IND applications for certain of our product candidates in the past and there is no assurance that we will not be subject to additional clinical holds in the future, which may ultimately delay or otherwise adversely affect the clinical development of our product candidates. Survival and safety data from Study 03-133 formed the primary basis for our resubmission of the BLA for omburtamab, and we compared with data from an external cohort comprising data from the Central German Childhood Cancer Registry, or CGCCR, database. Furthermore, interim efficacy, safety and pharmacokinetic data from Study 101 supported the BLA resubmission. If the results of this study fail to demonstrate comparability to the satisfaction of the FDA and other comparable regulatory authorities, this may lead to a delay in the approval process for omburtamab. While we aim for a full approval of omburtamab, we do not know what an approval of omburtamab (if approved) will become subject to in terms of postmarketing requirements and commitments, including confirmatory study requirements.</w:t>
      </w:r>
    </w:p>
    <w:p>
      <w:pPr>
        <w:spacing w:after="0" w:line="171"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7"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present or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66"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84"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6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Other than DANYELZA, the product candidates and related technologies we have licensed have not yet led, and may never lead, to approved products. Further, our only approved product DANYELZA was only recently approved and launched in the United States and hence its commercial potential cannot be judged with accuracy at this point in time. Even if we are successful in continuing to build our pipeline, obtaining regulatory approvals and commercializing our product candidates will require substantial additional funding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82" w:lineRule="exact"/>
        <w:rPr>
          <w:sz w:val="20"/>
          <w:szCs w:val="20"/>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not be able to assemble sufficient resources to acquire or discover additional product candidates;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25" w:lineRule="exact"/>
        <w:rPr>
          <w:rFonts w:ascii="Arial" w:cs="Arial" w:eastAsia="Arial" w:hAnsi="Arial"/>
          <w:sz w:val="18"/>
          <w:szCs w:val="18"/>
          <w:color w:val="auto"/>
        </w:rPr>
      </w:pPr>
    </w:p>
    <w:p>
      <w:pPr>
        <w:ind w:left="1040" w:right="239" w:hanging="315"/>
        <w:spacing w:after="0" w:line="342"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product candidate may on further study be shown to have harmful side effects or other characteristics that indicate it is unlikely to be effective or otherwise does not meet applicable regulatory criteria;</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competitors may develop alternatives that render our product candidates obsolete or less attractive;</w:t>
      </w:r>
    </w:p>
    <w:p>
      <w:pPr>
        <w:spacing w:after="0" w:line="236" w:lineRule="exact"/>
        <w:rPr>
          <w:rFonts w:ascii="Arial" w:cs="Arial" w:eastAsia="Arial" w:hAnsi="Arial"/>
          <w:sz w:val="17"/>
          <w:szCs w:val="17"/>
          <w:color w:val="auto"/>
        </w:rPr>
      </w:pPr>
    </w:p>
    <w:p>
      <w:pPr>
        <w:ind w:left="1040" w:right="53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70"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7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70"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As for DANYELZA, which has been approved by the FDA for the United States market, even if we receive approval to market our product candidates from the FDA, the European Medicines Agency, or EMA, or other regulatory bodies, whether for the treatment of cancers or other diseases, no assurance can be given you that any such product candidates will be successfully commercialized, widely accepted in the marketplace or more effective than other commercially available alternatives.</w:t>
      </w:r>
    </w:p>
    <w:p>
      <w:pPr>
        <w:spacing w:after="0" w:line="166"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71"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We currently have in place several agreements with MSK, including the MSK License, the CD33 License, and the SADA License Agreement, which are important to us,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 addition, we anticipate that MSK, due to patients obtaining treatment at the institution, may become a major source for the distribution and administration of DANYELZA. Any disruption of our relationship with MSK could have a material adverse effect on our business, results of operations and financial condition. In addition,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 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 or because the commercial potential is difficult to predict.</w:t>
      </w:r>
    </w:p>
    <w:p>
      <w:pPr>
        <w:spacing w:after="0" w:line="184"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Further, arrangements with third parties, such as our arrangement with MSK or our current or potential future collaborations we may enter into involving our product candidates, are subject to numerous risks, including the following:</w:t>
      </w:r>
    </w:p>
    <w:p>
      <w:pPr>
        <w:spacing w:after="0" w:line="124" w:lineRule="exact"/>
        <w:rPr>
          <w:sz w:val="20"/>
          <w:szCs w:val="20"/>
          <w:color w:val="auto"/>
        </w:rPr>
      </w:pPr>
    </w:p>
    <w:p>
      <w:pPr>
        <w:ind w:left="1040" w:right="85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have significant discretion in determining the efforts and resources that they will apply to a collaboration;</w:t>
      </w:r>
    </w:p>
    <w:p>
      <w:pPr>
        <w:spacing w:after="0" w:line="170" w:lineRule="exact"/>
        <w:rPr>
          <w:rFonts w:ascii="Arial" w:cs="Arial" w:eastAsia="Arial" w:hAnsi="Arial"/>
          <w:sz w:val="18"/>
          <w:szCs w:val="18"/>
          <w:color w:val="auto"/>
        </w:rPr>
      </w:pPr>
    </w:p>
    <w:p>
      <w:pPr>
        <w:ind w:left="1040" w:right="179" w:hanging="315"/>
        <w:spacing w:after="0" w:line="275"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such third parties or any current or potential future collaborators may not pursue development and commercialization of our products or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76" w:lineRule="exact"/>
        <w:rPr>
          <w:rFonts w:ascii="Arial" w:cs="Arial" w:eastAsia="Arial" w:hAnsi="Arial"/>
          <w:sz w:val="17"/>
          <w:szCs w:val="17"/>
          <w:color w:val="auto"/>
        </w:rPr>
      </w:pPr>
    </w:p>
    <w:p>
      <w:pPr>
        <w:ind w:left="1040" w:right="79" w:hanging="315"/>
        <w:spacing w:after="0" w:line="263"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1040" w:right="379" w:hanging="315"/>
        <w:spacing w:after="0" w:line="3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such third parties or any current or potential future collaborators could independently develop, or develop with third parties, products that compete directly or indirectly with our products or product candidates;</w:t>
      </w:r>
    </w:p>
    <w:p>
      <w:pPr>
        <w:spacing w:after="0" w:line="123" w:lineRule="exact"/>
        <w:rPr>
          <w:rFonts w:ascii="Arial" w:cs="Arial" w:eastAsia="Arial" w:hAnsi="Arial"/>
          <w:sz w:val="16"/>
          <w:szCs w:val="16"/>
          <w:color w:val="auto"/>
        </w:rPr>
      </w:pPr>
    </w:p>
    <w:p>
      <w:pPr>
        <w:ind w:left="1040" w:right="159" w:hanging="315"/>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product candidates discovered through such arrangements or any potential future collaborations with us may be viewed by such third parties or any potential future collaborators as competitive with their own</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639"/>
        <w:spacing w:after="0" w:line="277" w:lineRule="auto"/>
        <w:rPr>
          <w:sz w:val="20"/>
          <w:szCs w:val="20"/>
          <w:color w:val="auto"/>
        </w:rPr>
      </w:pPr>
      <w:r>
        <w:rPr>
          <w:rFonts w:ascii="Arial" w:cs="Arial" w:eastAsia="Arial" w:hAnsi="Arial"/>
          <w:sz w:val="18"/>
          <w:szCs w:val="18"/>
          <w:color w:val="auto"/>
        </w:rPr>
        <w:t>product candidates or products, which may cause such third parties or collaborators to cease to devote resources to the commercialization of our products or product candidates;</w:t>
      </w:r>
    </w:p>
    <w:p>
      <w:pPr>
        <w:spacing w:after="0" w:line="170" w:lineRule="exact"/>
        <w:rPr>
          <w:sz w:val="20"/>
          <w:szCs w:val="20"/>
          <w:color w:val="auto"/>
        </w:rPr>
      </w:pPr>
    </w:p>
    <w:p>
      <w:pPr>
        <w:ind w:left="1040" w:right="219" w:hanging="315"/>
        <w:spacing w:after="0" w:line="308"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such third party or any current tor potential future collaborator with marketing and distribution rights to one or more products may not commit sufficient resources to their marketing and distribution;</w:t>
      </w:r>
    </w:p>
    <w:p>
      <w:pPr>
        <w:spacing w:after="0" w:line="146" w:lineRule="exact"/>
        <w:rPr>
          <w:rFonts w:ascii="Arial" w:cs="Arial" w:eastAsia="Arial" w:hAnsi="Arial"/>
          <w:sz w:val="17"/>
          <w:szCs w:val="17"/>
          <w:color w:val="auto"/>
        </w:rPr>
      </w:pPr>
    </w:p>
    <w:p>
      <w:pPr>
        <w:ind w:left="1040" w:right="119" w:hanging="315"/>
        <w:spacing w:after="0" w:line="25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6" w:lineRule="exact"/>
        <w:rPr>
          <w:rFonts w:ascii="Arial" w:cs="Arial" w:eastAsia="Arial" w:hAnsi="Arial"/>
          <w:sz w:val="18"/>
          <w:szCs w:val="18"/>
          <w:color w:val="auto"/>
        </w:rPr>
      </w:pPr>
    </w:p>
    <w:p>
      <w:pPr>
        <w:ind w:left="1040" w:right="239" w:hanging="315"/>
        <w:spacing w:after="0" w:line="311"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disputes may arise between us and such third party or any current or potential future collaborator that cause the delay or termination of the research, development or commercialization of our products or product candidates, or that result in costly litigation or arbitration that diverts management attention and resources;</w:t>
      </w:r>
    </w:p>
    <w:p>
      <w:pPr>
        <w:spacing w:after="0" w:line="148" w:lineRule="exact"/>
        <w:rPr>
          <w:rFonts w:ascii="Arial" w:cs="Arial" w:eastAsia="Arial" w:hAnsi="Arial"/>
          <w:sz w:val="16"/>
          <w:szCs w:val="16"/>
          <w:color w:val="auto"/>
        </w:rPr>
      </w:pPr>
    </w:p>
    <w:p>
      <w:pPr>
        <w:ind w:left="1040" w:right="15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1040" w:right="419" w:hanging="315"/>
        <w:spacing w:after="0" w:line="263"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arrangements or any current or potential future collaborations may be terminated and, if terminated, may result in a need for additional capital to pursue further development or commercialization of the applicable product or product candidate; and</w:t>
      </w:r>
    </w:p>
    <w:p>
      <w:pPr>
        <w:spacing w:after="0" w:line="183" w:lineRule="exact"/>
        <w:rPr>
          <w:rFonts w:ascii="Arial" w:cs="Arial" w:eastAsia="Arial" w:hAnsi="Arial"/>
          <w:sz w:val="18"/>
          <w:szCs w:val="18"/>
          <w:color w:val="auto"/>
        </w:rPr>
      </w:pPr>
    </w:p>
    <w:p>
      <w:pPr>
        <w:jc w:val="both"/>
        <w:ind w:left="1040" w:right="339" w:hanging="315"/>
        <w:spacing w:after="0" w:line="263"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own or co-own intellectual property covering our products that results from our collaborating with them, and in such cases, we would not have the exclusive right to commercialize such intellectual property.</w:t>
      </w:r>
    </w:p>
    <w:p>
      <w:pPr>
        <w:spacing w:after="0" w:line="18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As a result, if we are unable to maintain current arrangements or collaborations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products or product candidates could delay the development and commercialization of our products or product candidates in certain territories for certain indications, which would harm our business prospects, financial condition, and results of operations.</w:t>
      </w:r>
    </w:p>
    <w:p>
      <w:pPr>
        <w:spacing w:after="0" w:line="185"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4"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beta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b w:val="1"/>
          <w:bCs w:val="1"/>
          <w:i w:val="1"/>
          <w:iCs w:val="1"/>
          <w:color w:val="auto"/>
        </w:rPr>
        <w:t>Third parties have sponsored most clinical trials of DANYELZA and omburtamab so far, and our ability to influence the design and conduct of such clinical trials has been limited. We have incurred significant expenses and are obligated to make significant payments in the future with respect to such clinical trials. We plan to assume control over the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78"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We have sponsored only a limited number of clinical trials relating to DANYELZA and omburtamab.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DANYELZA and omburtamab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DANYELZA or omburtamab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18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 before we may begin our planned trials and/or may not accept such additional data as adequate to begin our planned trials.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84"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We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0"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 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8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61"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b w:val="1"/>
          <w:bCs w:val="1"/>
          <w:i w:val="1"/>
          <w:iCs w:val="1"/>
          <w:color w:val="auto"/>
        </w:rPr>
        <w:t>We rely on third parties to manufacture DANYELZA for commercial supplies and our product candidates for our ongoing and planned pre-clinical studies and clinical studies. Our business could be harmed if those third parties fail to provide us with sufficient quantities of DANYELZA or our product candidates, or fail to do so at acceptable quantities, quality levels or prices or fail to maintain adequate compliance with CMC guidelines of the FDA.</w:t>
      </w:r>
    </w:p>
    <w:p>
      <w:pPr>
        <w:spacing w:after="0" w:line="157"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We do not currently own any facility that may be used as commercial or clinical-scale manufacturing and processing facility and we rely on outside vendors to manufacture DANYELZA for commercial supply and for supplies and processing of our product candidates for pre-clinical studies and clinical trials under the guidance of our management team. Omburtamab and our other product candidates have only been manufactured or processed on a limited basis and we may not be able to continue doing so for omburtamab 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To date, we have obtained the active pharmaceutical ingredient, or API, of DANYELZA and omburtamab from a limited number of third-party manufacturers. We have engaged a separate third-party manufacturer to conduct fill-and-finish and labeling services, as well as for the storage and distribution of DANYELZA and omburtamab to clinical sites. We do not have a long-term supply agreement with any of these third-party API manufacturers, and we purchase our required drug supplies on a purchase order basis.</w:t>
      </w:r>
    </w:p>
    <w:p>
      <w:pPr>
        <w:spacing w:after="0" w:line="188"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We rely also on third-party manufacturers and third-party collaborators for the manufacture of DANYELZA for commercial supply and we expect this also to be the case for any of our product candidates for which we or any of our potential future collaborators obtain marketing approval. We may be unable to establish any agreements with third-party manufacturers or to do so on acceptable terms.</w:t>
      </w:r>
    </w:p>
    <w:p>
      <w:pPr>
        <w:spacing w:after="0" w:line="187"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We are highly dependent on our current third-party drug substance manufacturer of omburtamab, EMD/Merck, since this manufacturing process uses a hybridoma cell line in a relatively small scale (200 litres) cGMP manufacturing process. Many manufacturers refuse to allow hybridoma cell lines to be used in their facilities due to the risk of contamination and the relatively small scale of the cGMP system may render a collaboration with us less attractive from a third party’s commercial point of view.</w:t>
      </w:r>
    </w:p>
    <w:p>
      <w:pPr>
        <w:spacing w:after="0" w:line="188"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spacing w:after="0" w:line="170" w:lineRule="exact"/>
        <w:rPr>
          <w:sz w:val="20"/>
          <w:szCs w:val="20"/>
          <w:color w:val="auto"/>
        </w:rPr>
      </w:pPr>
    </w:p>
    <w:p>
      <w:pPr>
        <w:ind w:left="1040" w:right="119" w:hanging="315"/>
        <w:spacing w:after="0" w:line="25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potential manufacturers is limited, we would need to qualify any new manufacturers, our BLA submissions would need to be amended and ultimately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187" w:lineRule="exact"/>
        <w:rPr>
          <w:rFonts w:ascii="Arial" w:cs="Arial" w:eastAsia="Arial" w:hAnsi="Arial"/>
          <w:sz w:val="18"/>
          <w:szCs w:val="18"/>
          <w:color w:val="auto"/>
        </w:rPr>
      </w:pPr>
    </w:p>
    <w:p>
      <w:pPr>
        <w:ind w:left="1040" w:right="99" w:hanging="315"/>
        <w:spacing w:after="0" w:line="263"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 and their ability to meet our manufacturing requirements may be adversely affected by the COVID-19 pandemic;</w:t>
      </w:r>
    </w:p>
    <w:p>
      <w:pPr>
        <w:spacing w:after="0" w:line="183"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third-party manufacturers may not be able to execute our manufacturing procedures and other logistical support requirements appropriately;</w:t>
      </w:r>
    </w:p>
    <w:p>
      <w:pPr>
        <w:spacing w:after="0" w:line="170" w:lineRule="exact"/>
        <w:rPr>
          <w:rFonts w:ascii="Arial" w:cs="Arial" w:eastAsia="Arial" w:hAnsi="Arial"/>
          <w:sz w:val="18"/>
          <w:szCs w:val="18"/>
          <w:color w:val="auto"/>
        </w:rPr>
      </w:pPr>
    </w:p>
    <w:p>
      <w:pPr>
        <w:ind w:left="1040" w:right="139" w:hanging="315"/>
        <w:spacing w:after="0" w:line="301"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157" w:lineRule="exact"/>
        <w:rPr>
          <w:rFonts w:ascii="Arial" w:cs="Arial" w:eastAsia="Arial" w:hAnsi="Arial"/>
          <w:sz w:val="16"/>
          <w:szCs w:val="16"/>
          <w:color w:val="auto"/>
        </w:rPr>
      </w:pPr>
    </w:p>
    <w:p>
      <w:pPr>
        <w:ind w:left="1040" w:right="29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of cross-contamination if more than one product is manufactured at our third-party manufacturer’s production facilities;</w:t>
      </w:r>
    </w:p>
    <w:p>
      <w:pPr>
        <w:spacing w:after="0" w:line="170" w:lineRule="exact"/>
        <w:rPr>
          <w:rFonts w:ascii="Arial" w:cs="Arial" w:eastAsia="Arial" w:hAnsi="Arial"/>
          <w:sz w:val="18"/>
          <w:szCs w:val="18"/>
          <w:color w:val="auto"/>
        </w:rPr>
      </w:pPr>
    </w:p>
    <w:p>
      <w:pPr>
        <w:ind w:left="1040" w:right="199" w:hanging="315"/>
        <w:spacing w:after="0" w:line="25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186"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third-party manufacturers could breach, terminate or not renew their agreement with us at a time that is costly or inconvenient for us;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6"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165" w:lineRule="exact"/>
        <w:rPr>
          <w:rFonts w:ascii="Arial" w:cs="Arial" w:eastAsia="Arial" w:hAnsi="Arial"/>
          <w:sz w:val="17"/>
          <w:szCs w:val="17"/>
          <w:color w:val="auto"/>
        </w:rPr>
      </w:pPr>
    </w:p>
    <w:p>
      <w:pPr>
        <w:ind w:left="1040" w:right="199" w:hanging="315"/>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pacing w:after="0" w:line="236" w:lineRule="exact"/>
        <w:rPr>
          <w:rFonts w:ascii="Arial" w:cs="Arial" w:eastAsia="Arial" w:hAnsi="Arial"/>
          <w:sz w:val="17"/>
          <w:szCs w:val="17"/>
          <w:color w:val="auto"/>
        </w:rPr>
      </w:pPr>
    </w:p>
    <w:p>
      <w:pPr>
        <w:ind w:left="1040" w:right="79" w:hanging="315"/>
        <w:spacing w:after="0" w:line="25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186"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 and may have inadequate quality control systems.</w:t>
      </w:r>
    </w:p>
    <w:p>
      <w:pPr>
        <w:spacing w:after="0" w:line="170"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Each of these risks could delay or prevent the completion of our clinical trials, could delay any additional BLA submissions or the approval of any of our product candidates by the FDA, result in higher costs or adversely impact commercialization of our product candidates. Any such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6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DANYELZA and our product candidates must be approved by the FDA pursuant to inspections conducted after submittal of the BLA to the FDA. We do not have complete control over all aspects of the manufacturing process of, and are dependent on, our contract manufacturing partners for compliance with cGMP regulations for manufacturing both active drug substances and finished drug products. DANYELZA and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82"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Any performance failure on the part of our existing or future manufacturers could adversely affect our commercialization of approved products, such as DANYELZA, and delay clinical development or marketing approval of other product candidates. We do not currently have arrangements in place for redundant supply of DANYELZA and omburtamab and we only currently use a different single third-party manufacturer for fill-and-finish services for DANYELZA and omburtamab. If our current contract manufacturers cannot perform as agreed, we may be required to replace those manufacturers and we may incur added costs and delays in identifying and qualifying any such replacement. We have been informed that the FDA plans to visit and inspect the site of EMD Millipore Corporation (now part of the Merck KGaA group of companies), or EMD/Merck, in Martillac, France, where the omburtamab drug substance is manufactured and Vela Labs, GmbH, in Austria where an analytical release test of omburtamab drug substance is performed. We estimate that the FDA inspection may occur in the fourth quarter of 2022 assuming the FDA accepts the omburtamab BLA submission. However, if the FDA is not able to timely conduct an inspection for any reason, including due to COVID-19 travel restrictions or otherwise, there may be adverse consequences to the approval process, and we may not obtain BLA approval on a timely basis or at all. Delays in the approval process or our inability to obtain approval for any reason for omburtamab or any other product candidate would have a material adverse effect upon our business, results of operations and financial condition. The FDA may also decide to inspect the fill and finish site at Patheon/Thermo Fisher in Ferentino, Italy, which may cause similar risks. We also expect EMA to require an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inspection of the manufacturing facilities for omburtamab due to our MAA submission for omburtamab. If the EMA is unable to conclude that these manufacturing facilities are in compliance with cGMP there may be adverse consequences to the approval process, and we may not obtain a MA for omburtamab in Europe on a timely basis or at all. In addition, if the EMA is not able to timely conduct an inspection for any reason, including due to COVID 19 travel restrictions or otherwise, there may be adverse consequences to the approval process, and we may not obtain MAA approval on a timely basis or at all.</w:t>
      </w:r>
    </w:p>
    <w:p>
      <w:pPr>
        <w:spacing w:after="0" w:line="192"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the IND filings and our ability to conduct future planned clinical trials.</w:t>
      </w:r>
    </w:p>
    <w:p>
      <w:pPr>
        <w:spacing w:after="0" w:line="157"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We currently have limited internal research and development capabilities. We conduct independent clinical trials and perform preclinical research but we also rely on third-party research institutions for both clinical trial and preclinical research.</w:t>
      </w:r>
    </w:p>
    <w:p>
      <w:pPr>
        <w:spacing w:after="0" w:line="184"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Currently, MSK is conducting clinical trials to address pediatric high-risk NB and relapsed osteosarcoma using DANYELZA. We are also conducting clinical trials at MSK for CNS/LM from NB, DIPG and DSRCT for our omburtamab product candidate. Under the terms of the MCTA, we are obligated to pay for costs associated with these clinical trials.</w:t>
      </w:r>
    </w:p>
    <w:p>
      <w:pPr>
        <w:spacing w:after="0" w:line="187"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have agreed to fund certain research and development costs under both the MSK License, the MSK CD33 License and the SADA License Agreement. However, the research we have agreed to fund constitutes only a small portion of the overall research of MSK. Other research being conducted by MSK may receive higher priority than research on the programs we may fund.</w:t>
      </w:r>
    </w:p>
    <w:p>
      <w:pPr>
        <w:spacing w:after="0" w:line="18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outside scientists who conduct the clinical testing of DANYELZA and our other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8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If MSK terminates the MSK License, the MSK CD33 License, the SADA License Agreement or its other agreements with us, commercialization of any approved product, such as DANYELZA, or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16" w:lineRule="auto"/>
        <w:rPr>
          <w:sz w:val="20"/>
          <w:szCs w:val="20"/>
          <w:color w:val="auto"/>
        </w:rPr>
      </w:pPr>
      <w:r>
        <w:rPr>
          <w:rFonts w:ascii="Arial" w:cs="Arial" w:eastAsia="Arial" w:hAnsi="Arial"/>
          <w:sz w:val="15"/>
          <w:szCs w:val="15"/>
          <w:b w:val="1"/>
          <w:bCs w:val="1"/>
          <w:i w:val="1"/>
          <w:iCs w:val="1"/>
          <w:color w:val="auto"/>
        </w:rPr>
        <w:t>DANYELZA and our product candidates are biologics and the manufacture of DANYELZA and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49"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DANYELZA and our product candidates are biologics and the process of manufacturing them is complex, highly 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of DANYELZA and our product candidates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No assurance can be given that any stability failures or other issues relating to the manufacture of DANYELZA or our product candidates will not occur in the future.</w:t>
      </w:r>
    </w:p>
    <w:p>
      <w:pPr>
        <w:spacing w:after="0" w:line="39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66"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b w:val="1"/>
          <w:bCs w:val="1"/>
          <w:i w:val="1"/>
          <w:iCs w:val="1"/>
          <w:color w:val="auto"/>
        </w:rPr>
        <w:t>We have entered into strategic collaborations for the development, marketing and commercialization of DANYELZA and omburtamab in certain jurisdictions and may do so also in the future for all or some of our product candidates. If those collaborations are not successful, or if we are unable to establish additional collaborations, we may have to alter or delay our development and commercialization plans.</w:t>
      </w:r>
    </w:p>
    <w:p>
      <w:pPr>
        <w:spacing w:after="0" w:line="171"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As we further develop our lead product candidates and following potential approval, commercialize our products, we may build a commercial infrastructure with the capability to directly market it to a variety of markets and territories. In November 2020, we entered into an exclusive license and distribution agreement for DANYELZA and omburtamab with Takeda Israel, a wholly owned subsidiary of Takeda Pharmaceutical Company Limited covering the State of Israel, West Bank and Gaza Strip.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Sanctions issued by the U.S. and other countries against Russia in response to its attack on Ukraine and related counter-sanctions issued by Russia have made it very difficult for us to operate in Russia and may have a material adverse impact on our ability to sell our products and/or collect receivables from customers in Russia. In December 2020, we entered into a license agreement for DANYELZA and omburtamab with SciClone Pharmaceuticals International Ltd., or SciClone, for Greater China, including Mainland China, Taiwan, Hong Kong and Macau. Finally, in May 2021, we entered into an exclusive distribution agreement with Adium Pharma S.A., or Adium, for Latin America. We may enter into further strategic collaborations for the development, marketing and commercialization of all or some of our product candidates. Our current and future potential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any further collaborations will depend, among other things, upon our assessment of the collaborator’s resources and expertise, the terms and conditions of the proposed collaboration and the proposed collaborator’s evaluation of a number of factors. We have and will for any future collaborations likely have limited control over the amount and timing of resources that our collaborators dedicate to the development, marketing and/or commercialization of our product candidates. Our ability to generate revenues from these arrangements will depend on our current and future potential collaborators’ abilities to successfully perform the functions assigned to them in these arrangements. In addition, our current collaborators have and any future collaborators may have, the right to abandon research or development projects and terminate applicable agreements, including funding obligations, prior to or upon the expiration of the agreed upon terms.</w:t>
      </w:r>
    </w:p>
    <w:p>
      <w:pPr>
        <w:spacing w:after="0" w:line="173"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Our current and any future potential collaborations involving our product candidates pose risks to us, including the following:</w:t>
      </w:r>
    </w:p>
    <w:p>
      <w:pPr>
        <w:spacing w:after="0" w:line="170" w:lineRule="exact"/>
        <w:rPr>
          <w:sz w:val="20"/>
          <w:szCs w:val="20"/>
          <w:color w:val="auto"/>
        </w:rPr>
      </w:pPr>
    </w:p>
    <w:p>
      <w:pPr>
        <w:ind w:left="1040" w:right="13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1040" w:right="119" w:hanging="315"/>
        <w:spacing w:after="0" w:line="279"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1" w:lineRule="exact"/>
        <w:rPr>
          <w:rFonts w:ascii="Arial" w:cs="Arial" w:eastAsia="Arial" w:hAnsi="Arial"/>
          <w:sz w:val="17"/>
          <w:szCs w:val="17"/>
          <w:color w:val="auto"/>
        </w:rPr>
      </w:pPr>
    </w:p>
    <w:p>
      <w:pPr>
        <w:ind w:left="1040" w:right="119" w:hanging="315"/>
        <w:spacing w:after="0" w:line="263"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70"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99" w:hanging="315"/>
        <w:spacing w:after="0" w:line="25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7"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83"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70" w:lineRule="exact"/>
        <w:rPr>
          <w:rFonts w:ascii="Arial" w:cs="Arial" w:eastAsia="Arial" w:hAnsi="Arial"/>
          <w:sz w:val="18"/>
          <w:szCs w:val="18"/>
          <w:color w:val="auto"/>
        </w:rPr>
      </w:pPr>
    </w:p>
    <w:p>
      <w:pPr>
        <w:ind w:left="1040" w:right="459" w:hanging="315"/>
        <w:spacing w:after="0" w:line="342"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marketing and/or commercialization of the applicable product candidates;</w:t>
      </w:r>
    </w:p>
    <w:p>
      <w:pPr>
        <w:spacing w:after="0" w:line="123"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70"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170"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Our current and any future collaboration agreements, if any, may not lead to development or commercialization of product candidates in the most efficient manner, or at all.</w:t>
      </w:r>
    </w:p>
    <w:p>
      <w:pPr>
        <w:spacing w:after="0" w:line="170"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6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Coverage and reimbursement decisions by third-party payors may have an adverse effect on pricing and market acceptance. If there is not sufficient coverage and reimbursement for our products, it is less likely that our products will be widely used.</w:t>
      </w:r>
    </w:p>
    <w:p>
      <w:pPr>
        <w:spacing w:after="0" w:line="184"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Market acceptance and sales of our products, if approved, such as DANYELZA, will depend on coverage and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To date, although a number of third party providers have established coverage policies and provided reimbursement for DANYELZA, no third-party provider has established coverage policies or provided reimbursement for any of our other product candidates and we cannot assure you that coverage and reimbursement will be readily available for DANYELZA or any products that we develop or that the reimbursement level will be adequate to allow us to operate profitably. Also, we cannot be certain that coverage and reimbursement policies will not reduce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3" w:lineRule="auto"/>
        <w:rPr>
          <w:sz w:val="20"/>
          <w:szCs w:val="20"/>
          <w:color w:val="auto"/>
        </w:rPr>
      </w:pPr>
      <w:r>
        <w:rPr>
          <w:rFonts w:ascii="Arial" w:cs="Arial" w:eastAsia="Arial" w:hAnsi="Arial"/>
          <w:sz w:val="18"/>
          <w:szCs w:val="18"/>
          <w:color w:val="auto"/>
        </w:rPr>
        <w:t>the demand for, or the price paid for, our products. If coverage and reimbursement is not available or is available on a limited basis, or if the coverage and reimbursement amount is inadequate, we may not be able to successfully commercialize any of our approved products.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29"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b w:val="1"/>
          <w:bCs w:val="1"/>
          <w:i w:val="1"/>
          <w:iCs w:val="1"/>
          <w:color w:val="auto"/>
        </w:rPr>
        <w:t>In October 2020 we received a Refusal to File letter from the FDA regarding our BLA for omburtamab. We resubmitted the BLA in March 2022. The FDA retains discretion to decide again not to file our BLA for omburtamab which could have a material adverse impact on our development and approval process for omburtamab.</w:t>
      </w:r>
    </w:p>
    <w:p>
      <w:pPr>
        <w:spacing w:after="0" w:line="14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initiated submission of a BLA for omburtamab in June 2020 under the FDA’s rolling review process and completed the submission in August 2020. In October 2020 we received a Refusal to File letter from the FDA regarding the BLA for omburtamab. The reason for the FDA’s Refusal to File was that upon preliminary review, the FDA determined that certain parts of the Chemistry, Manufacturing and Control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anti-tumor effect be included in the Clinical Module. We have been working closely with the FDA to resolve these issues and have discussed the adequacy of the external control reanalysis and supporting data to demonstrate direct anti-tumor effect for a BLA resubmission. We held a pre-BLA meeting with the FDA in January 2022 and resubmitted the BLA for omburtamab in March 2022.</w:t>
      </w:r>
    </w:p>
    <w:p>
      <w:pPr>
        <w:spacing w:after="0" w:line="18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plan to commercialize omburtamab as soon as possible after obtaining FDA approval, if such approval occurs. However, there is no assurance that the FDA will accept our data as sufficient to allow filing of the BLA by the FDA, and we may receive another refusal to file letter. The FDA retains discretion to decide again not to review our BLA for omburtamab. No assurance can be given that we would be able to satisfactorily or timely answer or resolve all the questions and issues the FDA may pose.</w:t>
      </w:r>
    </w:p>
    <w:p>
      <w:pPr>
        <w:spacing w:after="0" w:line="188" w:lineRule="exact"/>
        <w:rPr>
          <w:sz w:val="20"/>
          <w:szCs w:val="20"/>
          <w:color w:val="auto"/>
        </w:rPr>
      </w:pPr>
    </w:p>
    <w:p>
      <w:pPr>
        <w:ind w:left="60" w:right="79" w:firstLine="693"/>
        <w:spacing w:after="0" w:line="275" w:lineRule="auto"/>
        <w:rPr>
          <w:sz w:val="20"/>
          <w:szCs w:val="20"/>
          <w:color w:val="auto"/>
        </w:rPr>
      </w:pPr>
      <w:r>
        <w:rPr>
          <w:rFonts w:ascii="Arial" w:cs="Arial" w:eastAsia="Arial" w:hAnsi="Arial"/>
          <w:sz w:val="17"/>
          <w:szCs w:val="17"/>
          <w:color w:val="auto"/>
        </w:rPr>
        <w:t>In addition, the FDA may raise additional issues and pose questions to us that may delay the filing of the BLA for omburtamab by the FDA, the approval process and the ultimate issuance of any Marketing Authorization for omburtamab. If the FDA files the BLA and we are delayed or unable to provide data in response to FDA information requests, the PDUFA date for our BLA may be extended or we may receive a Complete Response Letter, which would have a material adverse effect on our business, results of operation and financial condition.</w:t>
      </w:r>
    </w:p>
    <w:p>
      <w:pPr>
        <w:spacing w:after="0" w:line="17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addition, while we are currently pursuing a full approval for our BLA for omburtamab, in the event the FDA finds our data insufficient to support such full approval, it is possible that the FDA would consider whether our clinical data is sufficient for a potential accelerated approval. However, the FDA may not find our data sufficient to support either a full approval or an accelerated approval. Even if the FDA were to find our clinical data sufficient to support an accelerated approval, we would need to conduct a post-marketing study to confirm the clinical benefit of omburtamab. The FDA may also impose other conditions as a result of any accelerated or full approval which we may not be able to satisfy.</w:t>
      </w:r>
    </w:p>
    <w:p>
      <w:pPr>
        <w:spacing w:after="0" w:line="164" w:lineRule="exact"/>
        <w:rPr>
          <w:sz w:val="20"/>
          <w:szCs w:val="20"/>
          <w:color w:val="auto"/>
        </w:rPr>
      </w:pPr>
    </w:p>
    <w:p>
      <w:pPr>
        <w:ind w:left="60" w:right="339" w:firstLine="648"/>
        <w:spacing w:after="0" w:line="275" w:lineRule="auto"/>
        <w:rPr>
          <w:sz w:val="20"/>
          <w:szCs w:val="20"/>
          <w:color w:val="auto"/>
        </w:rPr>
      </w:pPr>
      <w:r>
        <w:rPr>
          <w:rFonts w:ascii="Arial" w:cs="Arial" w:eastAsia="Arial" w:hAnsi="Arial"/>
          <w:sz w:val="17"/>
          <w:szCs w:val="17"/>
          <w:color w:val="auto"/>
        </w:rPr>
        <w:t>Any delay or inability to obtain approval for our BLA for omburtamab would materially adversely affect our ability to generate revenue from commercialization of omburtamab, which would likely result in significant harm to our financial position and adversely impact our stock price. This could also adversely affect the development and approval process for our other product candidates. We can provide no assurance that the FDA will agree to review our BLA as planned or at all or that we will ultimately be able to obtain FDA approval for omburtamab.</w:t>
      </w:r>
    </w:p>
    <w:p>
      <w:pPr>
        <w:spacing w:after="0" w:line="176"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Additionally, as part of the FDA approval process, the FDA requires an inspection of the manufacturing facilities for omburtamab. If the FDA is unable to conclude that these manufacturing facilities are in substantial compliance with cGMP there may be adverse consequences to the approval process, and we may not obtain BLA approval on a timely basis or at all. We estimate that the FDA inspection may occur in the fourth quarter of 2022 assuming the FDA accepts the omburtamab BLA for filing, however, if the FDA is not able to timely conduct an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inspection for any reason including due to COVID-19 travel restrictions or otherwise, there may be adverse consequences to the approval process, and we may not obtain BLA approval on a timely basis or at all.</w:t>
      </w:r>
    </w:p>
    <w:p>
      <w:pPr>
        <w:spacing w:after="0" w:line="170"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We expect EMA to require an inspection of the manufacturing facilities for omburtamab due to our MAA submission for omburtamab. If the EMA is unable to conclude that these manufacturing facilities are in substantial compliance with cGMP there may be adverse consequences to the approval process, and we may not obtain a MA for omburtamab in Europe on a timely basis or at all. In addition, if the EMA is not able to timely conduct an inspection for any reason including due to COVID-19 travel restrictions or otherwise, there may be adverse consequences to the approval process, and we may not obtain MA approval on a timely basis or at all. Delays in the approval process or our inability to obtain approval for any reason for omburtamab or any other product candidate would have a material adverse effect upon our business, results of operations and financial condition.</w:t>
      </w:r>
    </w:p>
    <w:p>
      <w:pPr>
        <w:spacing w:after="0" w:line="178"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b w:val="1"/>
          <w:bCs w:val="1"/>
          <w:i w:val="1"/>
          <w:iCs w:val="1"/>
          <w:color w:val="auto"/>
        </w:rPr>
        <w:t>Even if we complete the necessary non-clinical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To date, we have only obtained regulatory approval to market DANYELZA in the United States for relapsed/refractory high-risk neuroblastoma in bone and/or bone marrow. We cannot predict when or if, and in which other territories, we, or any of our potential future collaborators, will obtain marketing approval to commercialize a product or product candidate.</w:t>
      </w:r>
    </w:p>
    <w:p>
      <w:pPr>
        <w:spacing w:after="0" w:line="17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as we did for DANYELZA for relapsed/refractory high-risk neuroblastoma in bone and/or bone marrow. We intend to conduct additional clinical trials in the United States and Europe. We intend to discuss with the FDA submission of BLAs for respective approval of DANYELZA and omburtamab as treatments for additional indications that currently lack FDA-approved treatments.</w:t>
      </w:r>
    </w:p>
    <w:p>
      <w:pPr>
        <w:spacing w:after="0" w:line="192"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may not agree with our accelerated approval strategy with respect to omburtamab. The FDA may ultimately require one or multiple Phase 3 clinical trials prior to approval of omburtamab or other product candidates.</w:t>
      </w:r>
    </w:p>
    <w:p>
      <w:pPr>
        <w:spacing w:after="0" w:line="182"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We have some, but only limited, experience in completing a submission of a BLA to the FDA, or similar approval submissions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completed clinical trials. Accordingly, the regulatory approval pathway for our product candidates may be uncertain, complex, expensive, and lengthy, and approval may not be obtained.</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process of obtaining marketing approvals, both in the United States, the European Union and elsewhere,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EMA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85" w:lineRule="exact"/>
        <w:rPr>
          <w:sz w:val="20"/>
          <w:szCs w:val="20"/>
          <w:color w:val="auto"/>
        </w:rPr>
      </w:pPr>
    </w:p>
    <w:p>
      <w:pPr>
        <w:ind w:left="60" w:right="899" w:firstLine="648"/>
        <w:spacing w:after="0" w:line="277" w:lineRule="auto"/>
        <w:rPr>
          <w:sz w:val="20"/>
          <w:szCs w:val="20"/>
          <w:color w:val="auto"/>
        </w:rPr>
      </w:pPr>
      <w:r>
        <w:rPr>
          <w:rFonts w:ascii="Arial" w:cs="Arial" w:eastAsia="Arial" w:hAnsi="Arial"/>
          <w:sz w:val="18"/>
          <w:szCs w:val="18"/>
          <w:color w:val="auto"/>
        </w:rPr>
        <w:t>Any marketing approval we ultimately obtain may be limited or subject to restrictions or post-approval commitments that render the approved product not commercially viable.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clinical trials can be delayed or terminated for a variety of reasons, including delays or failures related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25" w:lineRule="exact"/>
        <w:rPr>
          <w:rFonts w:ascii="Arial" w:cs="Arial" w:eastAsia="Arial" w:hAnsi="Arial"/>
          <w:sz w:val="18"/>
          <w:szCs w:val="18"/>
          <w:color w:val="auto"/>
        </w:rPr>
      </w:pPr>
    </w:p>
    <w:p>
      <w:pPr>
        <w:ind w:left="1040" w:right="339" w:hanging="315"/>
        <w:spacing w:after="0" w:line="342" w:lineRule="auto"/>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CROs and clinical trial sites, the terms of which can be subject to extensive negotiation and may vary significantly among different CROs and trial sites;</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Institutional Review Board or IRB;</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GCPs, or dropping out of a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 of the COVID-19 pandemic;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inspection of clinical trial sites and manufacturing facilities by regulatory authorities.</w:t>
      </w:r>
    </w:p>
    <w:p>
      <w:pPr>
        <w:spacing w:after="0" w:line="22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Patient enrollment is a significant factor in the timing of clinical trials and is affected by many factors. See the risk factor above “—The market opportunities for DANYELZA and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Also, the market opportunity for DANYELZA and our product candidates may be smaller than we expect.” for additional information on risks related to patient enrollment. Further, a clinical trial may be suspended or terminated by us, the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auto"/>
        </w:rPr>
        <w:t>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5" w:lineRule="exact"/>
        <w:rPr>
          <w:sz w:val="20"/>
          <w:szCs w:val="20"/>
          <w:color w:val="auto"/>
        </w:rPr>
      </w:pPr>
    </w:p>
    <w:p>
      <w:pPr>
        <w:jc w:val="both"/>
        <w:ind w:left="60" w:right="199" w:firstLine="648"/>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Our product candidates, including omburtamab, could fail to receive marketing approval for many reasons, including the following:</w:t>
      </w:r>
    </w:p>
    <w:p>
      <w:pPr>
        <w:spacing w:after="0" w:line="170" w:lineRule="exact"/>
        <w:rPr>
          <w:sz w:val="20"/>
          <w:szCs w:val="20"/>
          <w:color w:val="auto"/>
        </w:rPr>
      </w:pPr>
    </w:p>
    <w:p>
      <w:pPr>
        <w:ind w:left="1040" w:right="11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EMA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comparable foreign regulatory authorities for approval;</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70"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040" w:right="399" w:hanging="315"/>
        <w:spacing w:after="0" w:line="263"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marketing approval in the United States, the EU or elsewhere;</w:t>
      </w:r>
    </w:p>
    <w:p>
      <w:pPr>
        <w:spacing w:after="0" w:line="183"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FDA, EMA or comparable foreign regulatory authorities may fail to approve the manufacturing processes or facilities of third-party manufacturers with which we contract for clinical and commercial supplies;</w:t>
      </w:r>
    </w:p>
    <w:p>
      <w:pPr>
        <w:spacing w:after="0" w:line="123" w:lineRule="exact"/>
        <w:rPr>
          <w:rFonts w:ascii="Arial" w:cs="Arial" w:eastAsia="Arial" w:hAnsi="Arial"/>
          <w:sz w:val="16"/>
          <w:szCs w:val="16"/>
          <w:color w:val="auto"/>
        </w:rPr>
      </w:pPr>
    </w:p>
    <w:p>
      <w:pPr>
        <w:ind w:left="1040" w:right="179" w:hanging="315"/>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fail to approve any companion diagnostics that may be required in connection with approval of our therapeutic product candidates; and</w:t>
      </w:r>
    </w:p>
    <w:p>
      <w:pPr>
        <w:spacing w:after="0" w:line="146" w:lineRule="exact"/>
        <w:rPr>
          <w:rFonts w:ascii="Arial" w:cs="Arial" w:eastAsia="Arial" w:hAnsi="Arial"/>
          <w:sz w:val="17"/>
          <w:szCs w:val="17"/>
          <w:color w:val="auto"/>
        </w:rPr>
      </w:pPr>
    </w:p>
    <w:p>
      <w:pPr>
        <w:ind w:left="1040" w:right="499" w:hanging="315"/>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approval policies or regulations of the FDA, EMA or comparable foreign regulatory authorities may significantly change in a manner rendering our clinical data insufficient for approval.</w:t>
      </w:r>
    </w:p>
    <w:p>
      <w:pPr>
        <w:spacing w:after="0" w:line="146"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marketing approval to market omburtamab or any of our other product candidates, which would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4" w:lineRule="auto"/>
        <w:rPr>
          <w:sz w:val="20"/>
          <w:szCs w:val="20"/>
          <w:color w:val="auto"/>
        </w:rPr>
      </w:pPr>
      <w:r>
        <w:rPr>
          <w:rFonts w:ascii="Arial" w:cs="Arial" w:eastAsia="Arial" w:hAnsi="Arial"/>
          <w:sz w:val="18"/>
          <w:szCs w:val="18"/>
          <w:color w:val="auto"/>
        </w:rPr>
        <w:t>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95"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84"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b w:val="1"/>
          <w:bCs w:val="1"/>
          <w:i w:val="1"/>
          <w:iCs w:val="1"/>
          <w:color w:val="auto"/>
        </w:rPr>
        <w:t>The EMA or comparable foreign regulatory authorities, may disagree with our regulatory plans, including our plans to seek conditional marketing authorization, and we may fail to obtain regulatory approval of DANYELZA, omburtamab or our product candidates, which would prevent DANYELZA, omburtamab or our product candidates from being marketed abroad. Any approval we are granted for our product candidates in the United States, such as the approval of DANYELZA, would not assure approval of our product candidates in foreign jurisdictions.</w:t>
      </w:r>
    </w:p>
    <w:p>
      <w:pPr>
        <w:spacing w:after="0" w:line="161"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order to market and sell our drugs in the European Union and many other jurisdictions, we, and any collaborators we may have in the future, must obtain separate marketing approvals and comply with numerous and varying regulatory requirements.</w:t>
      </w:r>
    </w:p>
    <w:p>
      <w:pPr>
        <w:spacing w:after="0" w:line="184"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On April 27, 2021 we submitted a Marketing Authorization Application, or MAA, to the European Medicines Agency for omburtamab for the treatment of pediatric patients with CNS/leptomeningeal metastasis from neuroblastoma.</w:t>
      </w:r>
    </w:p>
    <w:p>
      <w:pPr>
        <w:spacing w:after="0" w:line="124" w:lineRule="exact"/>
        <w:rPr>
          <w:sz w:val="20"/>
          <w:szCs w:val="20"/>
          <w:color w:val="auto"/>
        </w:rPr>
      </w:pPr>
    </w:p>
    <w:p>
      <w:pPr>
        <w:ind w:left="60" w:right="99" w:firstLine="693"/>
        <w:spacing w:after="0" w:line="289" w:lineRule="auto"/>
        <w:rPr>
          <w:sz w:val="20"/>
          <w:szCs w:val="20"/>
          <w:color w:val="auto"/>
        </w:rPr>
      </w:pPr>
      <w:r>
        <w:rPr>
          <w:rFonts w:ascii="Arial" w:cs="Arial" w:eastAsia="Arial" w:hAnsi="Arial"/>
          <w:sz w:val="16"/>
          <w:szCs w:val="16"/>
          <w:color w:val="auto"/>
        </w:rPr>
        <w:t>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such as the approval of DANYELZA for relapsed/refractory high-risk neuroblastoma in bone and/or bone marrow,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66"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78" w:lineRule="exact"/>
        <w:rPr>
          <w:sz w:val="20"/>
          <w:szCs w:val="20"/>
          <w:color w:val="auto"/>
        </w:rPr>
      </w:pPr>
    </w:p>
    <w:p>
      <w:pPr>
        <w:ind w:left="60" w:right="579" w:firstLine="648"/>
        <w:spacing w:after="0" w:line="263"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84"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9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70"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49"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4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88"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76" w:lineRule="exact"/>
        <w:rPr>
          <w:sz w:val="20"/>
          <w:szCs w:val="20"/>
          <w:color w:val="auto"/>
        </w:rPr>
      </w:pPr>
    </w:p>
    <w:p>
      <w:pPr>
        <w:ind w:left="1040" w:right="11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70" w:lineRule="exact"/>
        <w:rPr>
          <w:rFonts w:ascii="Arial" w:cs="Arial" w:eastAsia="Arial" w:hAnsi="Arial"/>
          <w:sz w:val="18"/>
          <w:szCs w:val="18"/>
          <w:color w:val="auto"/>
        </w:rPr>
      </w:pPr>
    </w:p>
    <w:p>
      <w:pPr>
        <w:ind w:left="1040" w:right="83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170"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comparable foreign regulatory authorities for approval;</w:t>
      </w:r>
    </w:p>
    <w:p>
      <w:pPr>
        <w:spacing w:after="0" w:line="170"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170"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jc w:val="both"/>
        <w:ind w:left="1040" w:right="119" w:hanging="315"/>
        <w:spacing w:after="0" w:line="25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EMA or comparable foreign regulatory authorities to support the submission of a BLA, MAA or other comparable submission in foreign jurisdictions or to obtain regulatory approval in the United States, the EU or elsewhere;</w:t>
      </w:r>
    </w:p>
    <w:p>
      <w:pPr>
        <w:spacing w:after="0" w:line="186"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fail to approve the manufacturing processes, our own manufacturing facilities, or a third-party manufacturer’s facilities with which we contract for clinical and commercial supplies; and</w:t>
      </w:r>
    </w:p>
    <w:p>
      <w:pPr>
        <w:spacing w:after="0" w:line="183" w:lineRule="exact"/>
        <w:rPr>
          <w:rFonts w:ascii="Arial" w:cs="Arial" w:eastAsia="Arial" w:hAnsi="Arial"/>
          <w:sz w:val="18"/>
          <w:szCs w:val="18"/>
          <w:color w:val="auto"/>
        </w:rPr>
      </w:pPr>
    </w:p>
    <w:p>
      <w:pPr>
        <w:ind w:left="1040" w:right="499" w:hanging="315"/>
        <w:spacing w:after="0" w:line="308"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approval policies or regulations of the FDA, EMA or comparable foreign regulatory authorities may significantly change in a manner rendering our clinical data insufficient for approval.</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Failure to obtain regulatory approval to market any of our product candidates would significantly harm our business, results of operations, and prospects.</w:t>
      </w:r>
    </w:p>
    <w:p>
      <w:pPr>
        <w:spacing w:after="0" w:line="170"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or BTD, for one or more of our product candidates. We may not receive such designation, and even if we do, such designation may not lead to a faster development or regulatory review or approval process.</w:t>
      </w:r>
    </w:p>
    <w:p>
      <w:pPr>
        <w:spacing w:after="0" w:line="18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BTD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In June 2017, </w:t>
      </w:r>
      <w:r>
        <w:rPr>
          <w:rFonts w:ascii="Arial" w:cs="Arial" w:eastAsia="Arial" w:hAnsi="Arial"/>
          <w:sz w:val="25"/>
          <w:szCs w:val="25"/>
          <w:color w:val="auto"/>
          <w:vertAlign w:val="superscript"/>
        </w:rPr>
        <w:t>131</w:t>
      </w:r>
      <w:r>
        <w:rPr>
          <w:rFonts w:ascii="Arial" w:cs="Arial" w:eastAsia="Arial" w:hAnsi="Arial"/>
          <w:sz w:val="17"/>
          <w:szCs w:val="17"/>
          <w:color w:val="auto"/>
        </w:rPr>
        <w:t>I-omburtamab received BTD for the treatment of pediatric patients with R/R NB who have</w:t>
      </w:r>
    </w:p>
    <w:p>
      <w:pPr>
        <w:ind w:left="60"/>
        <w:spacing w:after="0"/>
        <w:rPr>
          <w:sz w:val="20"/>
          <w:szCs w:val="20"/>
          <w:color w:val="auto"/>
        </w:rPr>
      </w:pPr>
      <w:r>
        <w:rPr>
          <w:rFonts w:ascii="Arial" w:cs="Arial" w:eastAsia="Arial" w:hAnsi="Arial"/>
          <w:sz w:val="17"/>
          <w:szCs w:val="17"/>
          <w:color w:val="auto"/>
        </w:rPr>
        <w:t>CNS/LM from NB. We may seek BTD for some or all of our other product candidates, but we may never receive such</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BTD, or, if received, the development of our product candidates may not be expedited or benefited by such designation.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BTD does not change the standards for product approval.</w:t>
      </w:r>
    </w:p>
    <w:p>
      <w:pPr>
        <w:spacing w:after="0" w:line="211" w:lineRule="exact"/>
        <w:rPr>
          <w:sz w:val="20"/>
          <w:szCs w:val="20"/>
          <w:color w:val="auto"/>
        </w:rPr>
      </w:pPr>
    </w:p>
    <w:p>
      <w:pPr>
        <w:ind w:left="60" w:right="279" w:firstLine="648"/>
        <w:spacing w:after="0" w:line="254"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92"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product candidates may not be able to obtain or maintain Orphan Drug Designation, or ODD, or Rare Pediatric Disease Designation, or RPDD.</w:t>
      </w:r>
    </w:p>
    <w:p>
      <w:pPr>
        <w:spacing w:after="0" w:line="17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6"/>
          <w:szCs w:val="16"/>
          <w:color w:val="auto"/>
        </w:rPr>
        <w:t xml:space="preserve">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September 2021 the FDA granted RPDD for </w:t>
      </w:r>
      <w:r>
        <w:rPr>
          <w:rFonts w:ascii="Arial" w:cs="Arial" w:eastAsia="Arial" w:hAnsi="Arial"/>
          <w:sz w:val="23"/>
          <w:szCs w:val="23"/>
          <w:color w:val="auto"/>
          <w:vertAlign w:val="superscript"/>
        </w:rPr>
        <w:t>177</w:t>
      </w:r>
      <w:r>
        <w:rPr>
          <w:rFonts w:ascii="Arial" w:cs="Arial" w:eastAsia="Arial" w:hAnsi="Arial"/>
          <w:sz w:val="16"/>
          <w:szCs w:val="16"/>
          <w:color w:val="auto"/>
        </w:rPr>
        <w:t xml:space="preserve">Lu-omburtamab-DTPA for the treatment of medulloblastoma. In July 2021, the European Commission granted orphan medicinal product designation, or OMPD, for </w:t>
      </w:r>
      <w:r>
        <w:rPr>
          <w:rFonts w:ascii="Arial" w:cs="Arial" w:eastAsia="Arial" w:hAnsi="Arial"/>
          <w:sz w:val="23"/>
          <w:szCs w:val="23"/>
          <w:color w:val="auto"/>
          <w:vertAlign w:val="superscript"/>
        </w:rPr>
        <w:t>177</w:t>
      </w:r>
      <w:r>
        <w:rPr>
          <w:rFonts w:ascii="Arial" w:cs="Arial" w:eastAsia="Arial" w:hAnsi="Arial"/>
          <w:sz w:val="16"/>
          <w:szCs w:val="16"/>
          <w:color w:val="auto"/>
        </w:rPr>
        <w:t xml:space="preserve">Lu-omburtamab-DTPA for the treatment of medulloblastoma. In November 2018, the European Commission granted orphan medicinal product designation, or OMPD, for naxitamab for the treatment of NB. In February 2017, the European Commission granted OMPD to omburtamab for the treatment of NB. In August 2016, the FDA granted ODD to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the treatment of NB. In 2013, the FDA granted ODD to DANYELZA for the treatment of NB.</w:t>
      </w:r>
    </w:p>
    <w:p>
      <w:pPr>
        <w:spacing w:after="0" w:line="195"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may be entitled to orphan drug exclusivity. Orphan drug exclusivity in the United States provides that the FDA may not approve any other applications, including a full BLA, to market the same drug for the same indication for seven years, except in limited circumstances. The corresponding exclusivity period is 10 years in Europe. The European exclusivity period can be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reduced to six years if a drug no longer meets the criteria for ODD or if the drug is sufficiently profitable so that market exclusivity is no longer justified.</w:t>
      </w:r>
    </w:p>
    <w:p>
      <w:pPr>
        <w:spacing w:after="0" w:line="170"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The Rare Pediatric Disease Priority Review Voucher Program, or PRV Program, is intended to incentivize pharmaceutical sponsors to develop drugs for rare pediatric diseases. A sponsor who obtains approval of a BLA for a rare pediatric disease may be eligible for a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w:t>
      </w:r>
    </w:p>
    <w:p>
      <w:pPr>
        <w:spacing w:after="0" w:line="192"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A drug that receives RPDD before September 30, 2024, will continue to be eligible for a PRV if the drug is approved by the FDA before September 30, 2026.</w:t>
      </w:r>
    </w:p>
    <w:p>
      <w:pPr>
        <w:spacing w:after="0" w:line="170"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Even if our product candidates obtain ODD or RPDD in the future, they may not be able to obtain or maintain such status or the associated benefits. We may not be the first to obtain marketing approval of any product candidate that has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84"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87"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Once marketing approval has been granted, such as for DANYELZA in the United States, an approved drug and its manufacturer and marketer are subject to ongoing review and extensive regulation. The accelerated approval of DANYELZA is subject to certain postmarketing requirements and commitments, including a confirmatory postmarketing trial of clinical benefit, that must be completed in order to convert the BLA to full approval and prevent withdrawal of the license by FDA. The confirmatory postmarketing clinical trial required by the FDA to verify and to further characterize the clinical benefit is our ongoing Study 201, which will enroll a minimum of 80 patients and report overall rate of response, or ORR, duration of response, or DOR, progression free survival, or PFS, or overall survival, or OS. The ORR is the primary endpoint for the study, DOR is the secondary endpoint, PFS and OS are secondary endpoints in long-term follow up. As of April 1, 2022 we have enrolled 78 patients and we anticipate completing the study no later than March 31, 2027. Other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74"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drug. For example, the approval may be subject to limitations on the indicated uses for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68"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61"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in a manner that could prevent, limit or delay regulatory approval of our product candidates, which would impact our ability to generate revenue.</w:t>
      </w:r>
    </w:p>
    <w:p>
      <w:pPr>
        <w:spacing w:after="0" w:line="184"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such as for DANYELZA,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spacing w:after="0" w:line="192" w:lineRule="exact"/>
        <w:rPr>
          <w:sz w:val="20"/>
          <w:szCs w:val="20"/>
          <w:color w:val="auto"/>
        </w:rPr>
      </w:pPr>
    </w:p>
    <w:p>
      <w:pPr>
        <w:jc w:val="both"/>
        <w:ind w:left="60" w:right="199"/>
        <w:spacing w:after="0" w:line="311" w:lineRule="auto"/>
        <w:rPr>
          <w:sz w:val="20"/>
          <w:szCs w:val="20"/>
          <w:color w:val="auto"/>
        </w:rPr>
      </w:pPr>
      <w:r>
        <w:rPr>
          <w:rFonts w:ascii="Arial" w:cs="Arial" w:eastAsia="Arial" w:hAnsi="Arial"/>
          <w:sz w:val="16"/>
          <w:szCs w:val="16"/>
          <w:b w:val="1"/>
          <w:bCs w:val="1"/>
          <w:i w:val="1"/>
          <w:iCs w:val="1"/>
          <w:color w:val="auto"/>
        </w:rPr>
        <w:t>DANYELZA and 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49" w:lineRule="exact"/>
        <w:rPr>
          <w:sz w:val="20"/>
          <w:szCs w:val="20"/>
          <w:color w:val="auto"/>
        </w:rPr>
      </w:pPr>
    </w:p>
    <w:p>
      <w:pPr>
        <w:ind w:left="60" w:right="659" w:firstLine="648"/>
        <w:spacing w:after="0" w:line="342" w:lineRule="auto"/>
        <w:rPr>
          <w:sz w:val="20"/>
          <w:szCs w:val="20"/>
          <w:color w:val="auto"/>
        </w:rPr>
      </w:pPr>
      <w:r>
        <w:rPr>
          <w:rFonts w:ascii="Arial" w:cs="Arial" w:eastAsia="Arial" w:hAnsi="Arial"/>
          <w:sz w:val="16"/>
          <w:szCs w:val="16"/>
          <w:color w:val="auto"/>
        </w:rPr>
        <w:t>DANYELZA and any of our product candidates for which we, or our potential future collaborators, obtain marketing approval in the future, will be subject to continual review by the FDA and other regulatory authorities.</w:t>
      </w:r>
    </w:p>
    <w:p>
      <w:pPr>
        <w:spacing w:after="0" w:line="12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Federal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81"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84" w:lineRule="exact"/>
        <w:rPr>
          <w:sz w:val="20"/>
          <w:szCs w:val="20"/>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8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9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In the United States, the Patient Protection and Affordable Care Act, as amended by the Health Care and Education Reconciliation Act, or collectively the Affordable Care Act, or ACA, substantially changed the way healthcare is financed by both governmental and private insurers.</w:t>
      </w:r>
    </w:p>
    <w:p>
      <w:pPr>
        <w:spacing w:after="0" w:line="184"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7"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5"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Some states are also considering legislation and ballot initiatives that would control the prices and coverage and reimbursement levels of drugs, including laws to allow importation of pharmaceutical products from lower cost jurisdictions outside the U.S. and laws intended to impose price controls on state drug purchases.</w:t>
      </w:r>
    </w:p>
    <w:p>
      <w:pPr>
        <w:spacing w:after="0" w:line="16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We expect healthcare reform measures that may be adopted in the future may result in more rigorous coverage criteria and in additional downward pressure on the price that we receive for DANYELZA and any other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7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DANYELZA or our other approved products,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64"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b w:val="1"/>
          <w:bCs w:val="1"/>
          <w:i w:val="1"/>
          <w:iCs w:val="1"/>
          <w:color w:val="auto"/>
        </w:rPr>
        <w:t>Government price controls or other changes in pricing regulation could restrict the amount that we are able to charge for DANYELZA and omburtamab, if approved, or any of our other product candidates that may be approved in the future, which would adversely affect our revenue and results of operations.</w:t>
      </w:r>
    </w:p>
    <w:p>
      <w:pPr>
        <w:spacing w:after="0" w:line="165"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reimbursement methodologies for drugs. In some international markets, the government controls the pricing, which can affect the profitability of drugs.</w:t>
      </w:r>
    </w:p>
    <w:p>
      <w:pPr>
        <w:spacing w:after="0" w:line="170"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Current government regulations and possible future legislation regarding health care may affect coverage and reimbursement for medical treatment by third-party payors, which may render DANYELZA or our other product candidates, if approved, not commercially viable or may adversely affect our anticipated future revenues and gross margins.</w:t>
      </w:r>
    </w:p>
    <w:p>
      <w:pPr>
        <w:spacing w:after="0" w:line="187"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any our future products, which would adversely affect our anticipated revenue and results of operations.</w:t>
      </w:r>
    </w:p>
    <w:p>
      <w:pPr>
        <w:spacing w:after="0" w:line="171" w:lineRule="exact"/>
        <w:rPr>
          <w:sz w:val="20"/>
          <w:szCs w:val="20"/>
          <w:color w:val="auto"/>
        </w:rPr>
      </w:pPr>
    </w:p>
    <w:p>
      <w:pPr>
        <w:ind w:left="60" w:right="219"/>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are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31"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Our relationships with healthcare providers, physicians and third-party payors are subject to additional healthcare statutory and regulatory requirements and enforcement by the federal government and the states and foreign governments in which we conduct our business. Our current and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DANYELZA and other our products for which we obtain marketing approval. Restrictions under applicable federal and state healthcare laws and regulations include the following:</w:t>
      </w:r>
    </w:p>
    <w:p>
      <w:pPr>
        <w:spacing w:after="0" w:line="177" w:lineRule="exact"/>
        <w:rPr>
          <w:sz w:val="20"/>
          <w:szCs w:val="20"/>
          <w:color w:val="auto"/>
        </w:rPr>
      </w:pPr>
    </w:p>
    <w:p>
      <w:pPr>
        <w:ind w:left="1040" w:right="79" w:hanging="315"/>
        <w:spacing w:after="0" w:line="293"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Anti-Kickback Statute—the federal healthcare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4" w:lineRule="exact"/>
        <w:rPr>
          <w:rFonts w:ascii="Arial" w:cs="Arial" w:eastAsia="Arial" w:hAnsi="Arial"/>
          <w:sz w:val="16"/>
          <w:szCs w:val="16"/>
          <w:color w:val="auto"/>
        </w:rPr>
      </w:pPr>
    </w:p>
    <w:p>
      <w:pPr>
        <w:ind w:left="1040" w:right="79" w:hanging="315"/>
        <w:spacing w:after="0" w:line="255"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False Claims Act—the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92" w:lineRule="exact"/>
        <w:rPr>
          <w:rFonts w:ascii="Arial" w:cs="Arial" w:eastAsia="Arial" w:hAnsi="Arial"/>
          <w:sz w:val="18"/>
          <w:szCs w:val="18"/>
          <w:color w:val="auto"/>
        </w:rPr>
      </w:pPr>
    </w:p>
    <w:p>
      <w:pPr>
        <w:ind w:left="1040" w:right="79" w:hanging="315"/>
        <w:spacing w:after="0" w:line="268"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HIPAA—the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2"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HIPAA Privacy Provisions—as amended by HITECH and its implementing regulations, HIPAA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HIPAA, as amended, requires notification to affected individuals and regulatory authorities of certain breaches of security of individually identifiable health information;</w:t>
      </w:r>
    </w:p>
    <w:p>
      <w:pPr>
        <w:spacing w:after="0" w:line="177" w:lineRule="exact"/>
        <w:rPr>
          <w:rFonts w:ascii="Arial" w:cs="Arial" w:eastAsia="Arial" w:hAnsi="Arial"/>
          <w:sz w:val="17"/>
          <w:szCs w:val="17"/>
          <w:color w:val="auto"/>
        </w:rPr>
      </w:pPr>
    </w:p>
    <w:p>
      <w:pPr>
        <w:ind w:left="1040" w:right="259" w:hanging="315"/>
        <w:spacing w:after="0" w:line="290"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Transparency Requirements—the federal legislation commonly referred to as the Physician Payments Sunshine 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65"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FDCA—the FDCA, which prohibits, among other things, the adulteration or misbranding of drugs, biologics and medical devices; and</w:t>
      </w:r>
    </w:p>
    <w:p>
      <w:pPr>
        <w:spacing w:after="0" w:line="170" w:lineRule="exact"/>
        <w:rPr>
          <w:rFonts w:ascii="Arial" w:cs="Arial" w:eastAsia="Arial" w:hAnsi="Arial"/>
          <w:sz w:val="18"/>
          <w:szCs w:val="18"/>
          <w:color w:val="auto"/>
        </w:rPr>
      </w:pPr>
    </w:p>
    <w:p>
      <w:pPr>
        <w:ind w:left="1040" w:right="139" w:hanging="315"/>
        <w:spacing w:after="0" w:line="259"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Analogous State and Foreign Laws—analogous state and foreign fraud and abuse laws and regulations, such as state anti-kickback and false claims laws that may apply to sales or marketing arrangements and claims involving healthcare items or services reimbursed by non-governmental third-party payors, including private insurers.</w:t>
      </w:r>
    </w:p>
    <w:p>
      <w:pPr>
        <w:spacing w:after="0" w:line="187"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In Europe, the collection and processing of personal data—including health data—is governed by the European Union-wide General Data Protection Regulation, or GDPR. GDPR applies to us through the activities of our wholly-owned subsidiary Y-mAbs Therapeutics A/S, and also to most businesses, regardless of location, that provides goods or services to residents in the EU, which includes our clinical trial activities in European Union Member States. The GDPR imposes operational requirements for processors and controllers of personal data, including, for example, special protections for “sensitive information” which includes health and genetic information of data subjects residing in the EU, expanded disclosures about how personal information is to be used, limitations on retention of information, increased requirements pertaining to health data and pseudonymized (i.e., key-coded) data, mandatory data breach notification requirements and higher standards for controllers to demonstrate that they have obtained valid consent for certain data processing activities.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European Union to the United States or other regions that have not been deemed to offer “adequate” privacy protections. The GDPR provides that European Union Member States may make their own further laws and regulations related to the processing of genetic, biometric or health data, which could result in differences between Member States, limit our ability to use and share personal data or could cause our costs to increase, and harm our business and financial condition. We are also subject to evolving and strict rules on the transfer of personal data out of the European Union to the United States. Failure to comply with European Union data protection laws may result in fines and other administrative penalties, which may be onerous and adversely affect our business, financial condition, results of operations and prospects. As a result of the implementation of the GDPR, we may be required to put in place additional mechanisms ensuring compliance with the new data protection rules. There is significant uncertainty related to the manner in which data protection authorities will</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seek to enforce compliance with GDPR. For example, it is not clear if the authorities will conduct random audits of companies doing business in the EU, or if the authorities will wait for complaints to be filed by individuals who claim their rights have been violated.</w:t>
      </w:r>
    </w:p>
    <w:p>
      <w:pPr>
        <w:spacing w:after="0" w:line="184"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Efforts to ensure that our business arrangements with third parties comply with applicable healthcare laws and regulations involve substantial costs. It is possible that interpretation of healthcare laws and regulations will vary across jurisdictions, and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We have established internal policies and procedure to mitigate our compliance risks. However, no assurance can be given that such policies and procedures will be adequate to ensure compliance with applicable laws and regulations. Moreover,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80" w:lineRule="exact"/>
        <w:rPr>
          <w:sz w:val="20"/>
          <w:szCs w:val="20"/>
          <w:color w:val="auto"/>
        </w:rPr>
      </w:pPr>
    </w:p>
    <w:p>
      <w:pPr>
        <w:ind w:left="60" w:right="519"/>
        <w:spacing w:after="0" w:line="381" w:lineRule="auto"/>
        <w:rPr>
          <w:sz w:val="20"/>
          <w:szCs w:val="20"/>
          <w:color w:val="auto"/>
        </w:rPr>
      </w:pPr>
      <w:r>
        <w:rPr>
          <w:rFonts w:ascii="Arial" w:cs="Arial" w:eastAsia="Arial" w:hAnsi="Arial"/>
          <w:sz w:val="15"/>
          <w:szCs w:val="15"/>
          <w:b w:val="1"/>
          <w:bCs w:val="1"/>
          <w:i w:val="1"/>
          <w:iCs w:val="1"/>
          <w:color w:val="auto"/>
        </w:rPr>
        <w:t>Coverage and reimbursement may be limited or unavailable in certain market segments for DANYELZA and our product candidates, which could make it difficult for us to sell DANYELZA and our product candidates profitably.</w:t>
      </w:r>
    </w:p>
    <w:p>
      <w:pPr>
        <w:spacing w:after="0" w:line="100"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Successful sales of DANYELZA and our product candidates, if approved, depend on the availability of adequate coverage and reimbursement from third-party payors. In addition, because DANYELZA and our product candidates represent relatively new approaches to the treatment of cancer, we cannot accurately estimate the potential revenue from DANYELZA or our product candidates.</w:t>
      </w:r>
    </w:p>
    <w:p>
      <w:pPr>
        <w:spacing w:after="0" w:line="187"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49" w:lineRule="exact"/>
        <w:rPr>
          <w:sz w:val="20"/>
          <w:szCs w:val="20"/>
          <w:color w:val="auto"/>
        </w:rPr>
      </w:pPr>
    </w:p>
    <w:p>
      <w:pPr>
        <w:ind w:left="60" w:right="739" w:firstLine="648"/>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87" w:lineRule="exact"/>
        <w:rPr>
          <w:sz w:val="20"/>
          <w:szCs w:val="20"/>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adequate reimbursement will be obtained. To date, although a number of third party providers have established coverage policies and provided reimbursement for DANYELZA, no third party provider has established coverage policies or provided reimbursement for any of our other product candidates. Even if we obtain coverage for DANYELZA or any other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unless coverage is provided and reimbursement is adequate to cover a significant portion of the cost of our products. Because our products and product candidates have a higher cost of goods than conventional therapies, and may require long-term follow up evaluations, the risk that coverage and reimbursement rates may be inadequate for us to achieve profitability may be greater.</w:t>
      </w:r>
    </w:p>
    <w:p>
      <w:pPr>
        <w:spacing w:after="0" w:line="18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To date DANYELZA has been approved for sale in the United States only, but we intend to seek approval to market our products in both the United States as well as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78"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We may incur significant liability if enforcement authorities allege or determine that we are engaging in commercial activities or promoting DANYELZA or another product candidate in a way that violates applicable regulations.</w:t>
      </w:r>
    </w:p>
    <w:p>
      <w:pPr>
        <w:spacing w:after="0" w:line="100"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Physicians have the discretion to prescribe drug products for uses that are not described in the product’s labeling and that differ from those approved by the FDA or other applicable regulatory agencies. Off-label uses are common across medical specialties. Although the FDA and other regulatory agencies do not regulate a physician’s choice of treatments, the FDA and other regulatory agencies regulate a manufacturer’s communications regarding off-label use and prohibit off-label promotion, as well as the dissemination of false or misleading labeling or promotional materials. Manufacturers may not promote drugs for off-label uses. Accordingly, we may not promote DANYELZA in the United States for use in any indications other than relapsed/refractory high-risk neuroblastoma in bone and/or bone marrow. The FDA and other regulatory and enforcement authorities actively enforce laws and regulations prohibiting promotion of off-label uses and the promotion of products for which marketing approval has not been obtained. A company that is found to have improperly promoted off-label uses may be subject to significant liability, which may include civil and administrative remedies as well as criminal sanctions.</w:t>
      </w:r>
    </w:p>
    <w:p>
      <w:pPr>
        <w:spacing w:after="0" w:line="182"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Notwithstanding regulations related to product promotion, the FDA and other regulatory authorities allow companies to engage in truthful, non-misleading, and non-promotional scientific exchange concerning their products. We intend to engage in medical education activities and communicate with healthcare providers in compliance with all applicable laws and regulatory guidance.</w:t>
      </w:r>
    </w:p>
    <w:p>
      <w:pPr>
        <w:spacing w:after="0" w:line="187" w:lineRule="exact"/>
        <w:rPr>
          <w:sz w:val="20"/>
          <w:szCs w:val="20"/>
          <w:color w:val="auto"/>
        </w:rPr>
      </w:pPr>
    </w:p>
    <w:p>
      <w:pPr>
        <w:ind w:left="60" w:right="639" w:firstLine="648"/>
        <w:spacing w:after="0" w:line="381" w:lineRule="auto"/>
        <w:rPr>
          <w:sz w:val="20"/>
          <w:szCs w:val="20"/>
          <w:color w:val="auto"/>
        </w:rPr>
      </w:pPr>
      <w:r>
        <w:rPr>
          <w:rFonts w:ascii="Arial" w:cs="Arial" w:eastAsia="Arial" w:hAnsi="Arial"/>
          <w:sz w:val="15"/>
          <w:szCs w:val="15"/>
          <w:b w:val="1"/>
          <w:bCs w:val="1"/>
          <w:i w:val="1"/>
          <w:iCs w:val="1"/>
          <w:color w:val="auto"/>
        </w:rPr>
        <w:t>Our radioimmunotherapy product candidates have very limited shelf lives that make them susceptible to damage and loss, which could adversely affect our business, financial condition and operating results.</w:t>
      </w:r>
    </w:p>
    <w:p>
      <w:pPr>
        <w:spacing w:after="0" w:line="100"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Our radioimmunotherapy product candidates have very limited shelf life once radiolabelled with radioactive elements. These product candidates require reliable transportation or radiolabelling production facilities located in close proximity to their final customers to avoid spoilage, damage and/or loss. The failure of third parties with whom we contract to deliver these product candidates within the scope of their limited shelf lives could result in the loss of a given shipment and the sales associated with it. Any delay in shipment results in a loss of the radioactive dose as a result of radioactive decay, with the risk that the entire useful dose may be lost. Moreover, since each order is made individually and delivered with dedicated transportation in compliance with local regulations applicable to the delivery of radioactive materials, we do not have readily available replacements to substitute for a lost delivery if circumstances beyond our control, such as delays or problems caused by weather changes or a failure in the transportation system operated by third parties that we hire, prevent the timely delivery of a batch, or if our facilities fail to distribute the ordered batch in a</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timely fashion in accordance with specifications. Such losses or failures could have a material adverse effect on our business, financial condition and results of operations.</w:t>
      </w:r>
    </w:p>
    <w:p>
      <w:pPr>
        <w:spacing w:after="0" w:line="170" w:lineRule="exact"/>
        <w:rPr>
          <w:sz w:val="20"/>
          <w:szCs w:val="20"/>
          <w:color w:val="auto"/>
        </w:rPr>
      </w:pPr>
    </w:p>
    <w:p>
      <w:pPr>
        <w:ind w:left="60" w:right="399"/>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46"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7"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products or product candidates outside of the United States and require us to develop and implement costly compliance programs.</w:t>
      </w:r>
    </w:p>
    <w:p>
      <w:pPr>
        <w:spacing w:after="0" w:line="184"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No assurance can be given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85" w:lineRule="exact"/>
        <w:rPr>
          <w:sz w:val="20"/>
          <w:szCs w:val="20"/>
          <w:color w:val="auto"/>
        </w:rPr>
      </w:pPr>
    </w:p>
    <w:p>
      <w:pPr>
        <w:ind w:left="60" w:right="199" w:firstLine="648"/>
        <w:spacing w:after="0" w:line="253" w:lineRule="auto"/>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96"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color w:val="auto"/>
        </w:rPr>
        <w:t>foreign officials. Certain payments to hospitals in connection with clinical trials and other work have been deemed to be improper payments to government officials and have led to FCPA enforcement actions. Similar laws in other countries, such as the U.K. Bribery Act 2010, may apply to our operations.</w:t>
      </w:r>
    </w:p>
    <w:p>
      <w:pPr>
        <w:spacing w:after="0" w:line="184"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92"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46"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Our commercial success will depend in large part on obtaining and maintaining proprietary rights including patent, trademark and trade secret protection of our products, product candidates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products, product candidates and related proprietary technologies is dependent upon the extent to which we have rights under valid and enforceable patents or trade secrets that cover these activities.</w:t>
      </w:r>
    </w:p>
    <w:p>
      <w:pPr>
        <w:spacing w:after="0" w:line="164"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66"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currently depend on proprietary technology licensed from MSK and MIT and may depend on other third-party licensors in the future. If we lose our existing licenses or are unable to acquire or license additional proprietary rights from MSK, MIT or other third parties, we may not be able to continue developing our products.</w:t>
      </w:r>
    </w:p>
    <w:p>
      <w:pPr>
        <w:spacing w:after="0" w:line="149"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We currently in-license certain intellectual property from MSK and MIT.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enforceable or sufficient patents and other intellectual property rights. We have limited control over the manner in which our licensors may initiate an infringement proceeding against a third-party infringer of the intellectual property rights, or defend certain of the intellectual property that is licensed to us.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It is possible that the licensors’ infringement proceedings or defense activities may be less vigorous than had we conducted them ourselves.</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products or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products or product candidates. Such diagnostic test or tests may be covered by intellectual property rights held by others. We may not own, or may have to share, the intellectual property rights obtained in collaboration with any other party, or intellectual property rights obtained relating to improvements of in-licensed products or processes.</w:t>
      </w:r>
    </w:p>
    <w:p>
      <w:pPr>
        <w:spacing w:after="0" w:line="18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67" w:lineRule="exact"/>
        <w:rPr>
          <w:sz w:val="20"/>
          <w:szCs w:val="20"/>
          <w:color w:val="auto"/>
        </w:rPr>
      </w:pPr>
    </w:p>
    <w:p>
      <w:pPr>
        <w:jc w:val="both"/>
        <w:ind w:left="60" w:right="199" w:firstLine="648"/>
        <w:spacing w:after="0" w:line="285"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w:t>
      </w:r>
    </w:p>
    <w:p>
      <w:pPr>
        <w:spacing w:after="0" w:line="2" w:lineRule="exact"/>
        <w:rPr>
          <w:sz w:val="20"/>
          <w:szCs w:val="20"/>
          <w:color w:val="auto"/>
        </w:rPr>
      </w:pPr>
    </w:p>
    <w:p>
      <w:pPr>
        <w:ind w:left="60" w:right="139"/>
        <w:spacing w:after="0" w:line="290" w:lineRule="auto"/>
        <w:rPr>
          <w:sz w:val="20"/>
          <w:szCs w:val="20"/>
          <w:color w:val="auto"/>
        </w:rPr>
      </w:pPr>
      <w:r>
        <w:rPr>
          <w:rFonts w:ascii="Arial" w:cs="Arial" w:eastAsia="Arial" w:hAnsi="Arial"/>
          <w:sz w:val="17"/>
          <w:szCs w:val="17"/>
          <w:color w:val="auto"/>
        </w:rPr>
        <w:t>There can be no assurance that we will be able to successfully complete such negotiations and ultimately acquire the rights to the intellectual property surrounding the additional product candidates that we may seek to acquire.</w:t>
      </w:r>
    </w:p>
    <w:p>
      <w:pPr>
        <w:spacing w:after="0" w:line="161"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We are a party to license agreements with MSK, MIT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66" w:lineRule="exact"/>
        <w:rPr>
          <w:sz w:val="20"/>
          <w:szCs w:val="20"/>
          <w:color w:val="auto"/>
        </w:rPr>
      </w:pPr>
    </w:p>
    <w:p>
      <w:pPr>
        <w:ind w:left="60" w:right="199"/>
        <w:spacing w:after="0" w:line="340" w:lineRule="auto"/>
        <w:rPr>
          <w:sz w:val="20"/>
          <w:szCs w:val="20"/>
          <w:color w:val="auto"/>
        </w:rPr>
      </w:pPr>
      <w:r>
        <w:rPr>
          <w:rFonts w:ascii="Arial" w:cs="Arial" w:eastAsia="Arial" w:hAnsi="Arial"/>
          <w:sz w:val="15"/>
          <w:szCs w:val="15"/>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31"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value of our patent rights and in-licensed patent rights are highly uncertain. Our pending and future patent applications and in-licensed patent applications may not result in patents being issued in the United States or in other jurisdictions which protect our products or product candidates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84"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own as well as our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which may also result in a patent not being issued. We may become involved in opposition, interference, derivation, post grant review, inter partes review, ex-parte re-examination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products, product candidates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not provide us with sufficient rights to exclude others from commercializing products similar or identical to ours or otherwise provide us with a competitive advantage.</w:t>
      </w:r>
    </w:p>
    <w:p>
      <w:pPr>
        <w:spacing w:after="0" w:line="170"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040" w:right="19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products or product candidates but that are not covered by the claims of our patents;</w:t>
      </w:r>
    </w:p>
    <w:p>
      <w:pPr>
        <w:spacing w:after="0" w:line="170" w:lineRule="exact"/>
        <w:rPr>
          <w:rFonts w:ascii="Arial" w:cs="Arial" w:eastAsia="Arial" w:hAnsi="Arial"/>
          <w:sz w:val="18"/>
          <w:szCs w:val="18"/>
          <w:color w:val="auto"/>
        </w:rPr>
      </w:pPr>
    </w:p>
    <w:p>
      <w:pPr>
        <w:ind w:left="1040" w:right="399" w:hanging="315"/>
        <w:spacing w:after="0" w:line="263"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APIs in our current products or product candidates may eventually become commercially available in generic drug products, and no patent protection may be available with regard to formulation, method of manufacture or method of use;</w:t>
      </w:r>
    </w:p>
    <w:p>
      <w:pPr>
        <w:spacing w:after="0" w:line="183"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be able to prevent parallel importation of products into the U.S., EU member states and/or other jurisdictions, which may reduce our profit margin;</w:t>
      </w:r>
    </w:p>
    <w:p>
      <w:pPr>
        <w:spacing w:after="0" w:line="170" w:lineRule="exact"/>
        <w:rPr>
          <w:rFonts w:ascii="Arial" w:cs="Arial" w:eastAsia="Arial" w:hAnsi="Arial"/>
          <w:sz w:val="18"/>
          <w:szCs w:val="18"/>
          <w:color w:val="auto"/>
        </w:rPr>
      </w:pPr>
    </w:p>
    <w:p>
      <w:pPr>
        <w:ind w:left="1040" w:right="119" w:hanging="315"/>
        <w:spacing w:after="0" w:line="263"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83" w:lineRule="exact"/>
        <w:rPr>
          <w:rFonts w:ascii="Arial" w:cs="Arial" w:eastAsia="Arial" w:hAnsi="Arial"/>
          <w:sz w:val="18"/>
          <w:szCs w:val="18"/>
          <w:color w:val="auto"/>
        </w:rPr>
      </w:pPr>
    </w:p>
    <w:p>
      <w:pPr>
        <w:ind w:left="1040" w:right="47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products or product candidates and proprietary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it is possible that our owned or in-licensed pending patent applications will not result in issued patents;</w:t>
      </w:r>
    </w:p>
    <w:p>
      <w:pPr>
        <w:spacing w:after="0" w:line="23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be able to obtain patent term extensions or supplementary protection certificates covering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25" w:lineRule="exact"/>
        <w:rPr>
          <w:rFonts w:ascii="Arial" w:cs="Arial" w:eastAsia="Arial" w:hAnsi="Arial"/>
          <w:sz w:val="18"/>
          <w:szCs w:val="18"/>
          <w:color w:val="auto"/>
        </w:rPr>
      </w:pPr>
    </w:p>
    <w:p>
      <w:pPr>
        <w:ind w:left="1040" w:right="379" w:hanging="315"/>
        <w:spacing w:after="0" w:line="308"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 candidates, products or technologies similar to ours;</w:t>
      </w:r>
    </w:p>
    <w:p>
      <w:pPr>
        <w:spacing w:after="0" w:line="14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cover our product candidates or products;</w:t>
      </w:r>
    </w:p>
    <w:p>
      <w:pPr>
        <w:spacing w:after="0" w:line="170" w:lineRule="exact"/>
        <w:rPr>
          <w:rFonts w:ascii="Arial" w:cs="Arial" w:eastAsia="Arial" w:hAnsi="Arial"/>
          <w:sz w:val="18"/>
          <w:szCs w:val="18"/>
          <w:color w:val="auto"/>
        </w:rPr>
      </w:pPr>
    </w:p>
    <w:p>
      <w:pPr>
        <w:jc w:val="both"/>
        <w:ind w:left="1040" w:right="679" w:hanging="315"/>
        <w:spacing w:after="0" w:line="342" w:lineRule="auto"/>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owned or in-licensed issued patents may not provide us with any competitive advantages, may be narrowed in scope, or be held invalid or unenforceable as a result of legal challenges by third parties;</w:t>
      </w:r>
    </w:p>
    <w:p>
      <w:pPr>
        <w:spacing w:after="0" w:line="123" w:lineRule="exact"/>
        <w:rPr>
          <w:rFonts w:ascii="Arial" w:cs="Arial" w:eastAsia="Arial" w:hAnsi="Arial"/>
          <w:sz w:val="16"/>
          <w:szCs w:val="16"/>
          <w:color w:val="auto"/>
        </w:rPr>
      </w:pPr>
    </w:p>
    <w:p>
      <w:pPr>
        <w:ind w:left="1040" w:right="259" w:hanging="315"/>
        <w:spacing w:after="0" w:line="263"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59" w:hanging="315"/>
        <w:spacing w:after="0" w:line="25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party;</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25" w:lineRule="exact"/>
        <w:rPr>
          <w:rFonts w:ascii="Arial" w:cs="Arial" w:eastAsia="Arial" w:hAnsi="Arial"/>
          <w:sz w:val="18"/>
          <w:szCs w:val="18"/>
          <w:color w:val="auto"/>
        </w:rPr>
      </w:pPr>
    </w:p>
    <w:p>
      <w:pPr>
        <w:ind w:left="1040" w:right="63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products, product candidates or diagnostic tests we develop may be covered by third parties’ patents or other proprietary rights; or</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product or product candidates infringed the intellectual property of any third party, we may be liable for damages, enhanced damages or subjected to an injunction, any of which could have a material adverse effect on our business.</w:t>
      </w:r>
    </w:p>
    <w:p>
      <w:pPr>
        <w:spacing w:after="0" w:line="187"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6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products and product candidates. Likewise, our current owned patents and patents in-licensed from MSK relating to our proprietary technologies and our product candidates comprise patents that are expected to expire on various dates from 2021 through 2041, without taking into account any possible patent term adjustments, extensions or supplementary protection.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and others covering our proprietary technologies or our product candidates that if issued as patents are expected to expire from 2021 through 2041, without taking into account any possible patent term adjustments, extensions or supplementary protections. However, no assurance can be given that the USPTO or relevant foreign patent offices will grant any of these patent applications. Even if granted, we may fail to obtain patent term extensions or supplementary protection certificates covering our products.</w:t>
      </w:r>
    </w:p>
    <w:p>
      <w:pPr>
        <w:spacing w:after="0" w:line="18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7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92"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There is also a risk that, even if the validity of these patents is upheld, the court will refuse to stop the third party on the ground that such third party’s activities do not infringe our owned or in-licensed patents. In addition, the U.S. Supreme Court has changed some legal principles that affect patent applications, granted patents and assessment of the eligibility or validity of these patents. As a consequence, issued patents may be found to contain invalid claims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 to patents granted outside of the United States, for which the validity, enforceability and/or scope of protection may be influenced by changing national and/or international legal principles.</w:t>
      </w:r>
    </w:p>
    <w:p>
      <w:pPr>
        <w:spacing w:after="0" w:line="176"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such oppositions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91" w:lineRule="exact"/>
        <w:rPr>
          <w:sz w:val="20"/>
          <w:szCs w:val="20"/>
          <w:color w:val="auto"/>
        </w:rPr>
      </w:pPr>
    </w:p>
    <w:p>
      <w:pPr>
        <w:ind w:left="60" w:right="139"/>
        <w:spacing w:after="0" w:line="381" w:lineRule="auto"/>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00"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81"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88"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84" w:lineRule="exact"/>
        <w:rPr>
          <w:sz w:val="20"/>
          <w:szCs w:val="20"/>
          <w:color w:val="auto"/>
        </w:rPr>
      </w:pPr>
    </w:p>
    <w:p>
      <w:pPr>
        <w:ind w:left="60" w:right="599"/>
        <w:spacing w:after="0" w:line="381" w:lineRule="auto"/>
        <w:rPr>
          <w:sz w:val="20"/>
          <w:szCs w:val="20"/>
          <w:color w:val="auto"/>
        </w:rPr>
      </w:pPr>
      <w:r>
        <w:rPr>
          <w:rFonts w:ascii="Arial" w:cs="Arial" w:eastAsia="Arial" w:hAnsi="Arial"/>
          <w:sz w:val="15"/>
          <w:szCs w:val="15"/>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00"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Our commercial success depends upon our ability to develop, manufacture, market and sell our products or product candidates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issued, the risk increases that others may assert that our products or product candidates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88"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w:t>
      </w:r>
    </w:p>
    <w:p>
      <w:pPr>
        <w:ind w:left="60" w:right="79"/>
        <w:spacing w:after="0" w:line="285" w:lineRule="auto"/>
        <w:rPr>
          <w:sz w:val="20"/>
          <w:szCs w:val="20"/>
          <w:color w:val="auto"/>
        </w:rPr>
      </w:pPr>
      <w:r>
        <w:rPr>
          <w:rFonts w:ascii="Arial" w:cs="Arial" w:eastAsia="Arial" w:hAnsi="Arial"/>
          <w:sz w:val="16"/>
          <w:szCs w:val="16"/>
          <w:color w:val="auto"/>
        </w:rPr>
        <w:t>18 months after filing, and publications in the scientific literature often lag behind actual discoveries, we cannot be certain that others have not filed patent applications for technology related to our products or product candidates,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74"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87"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w:t>
      </w:r>
    </w:p>
    <w:p>
      <w:pPr>
        <w:spacing w:after="0" w:line="170" w:lineRule="exact"/>
        <w:rPr>
          <w:sz w:val="20"/>
          <w:szCs w:val="20"/>
          <w:color w:val="auto"/>
        </w:rPr>
      </w:pPr>
    </w:p>
    <w:p>
      <w:pPr>
        <w:ind w:left="1040" w:right="239" w:hanging="315"/>
        <w:spacing w:after="0" w:line="308" w:lineRule="auto"/>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146" w:lineRule="exact"/>
        <w:rPr>
          <w:rFonts w:ascii="Arial" w:cs="Arial" w:eastAsia="Arial" w:hAnsi="Arial"/>
          <w:sz w:val="17"/>
          <w:szCs w:val="17"/>
          <w:color w:val="auto"/>
        </w:rPr>
      </w:pPr>
    </w:p>
    <w:p>
      <w:pPr>
        <w:ind w:left="1040" w:right="99" w:hanging="315"/>
        <w:spacing w:after="0" w:line="311" w:lineRule="auto"/>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148" w:lineRule="exact"/>
        <w:rPr>
          <w:rFonts w:ascii="Arial" w:cs="Arial" w:eastAsia="Arial" w:hAnsi="Arial"/>
          <w:sz w:val="16"/>
          <w:szCs w:val="16"/>
          <w:color w:val="auto"/>
        </w:rPr>
      </w:pPr>
    </w:p>
    <w:p>
      <w:pPr>
        <w:ind w:left="1040" w:right="279" w:hanging="315"/>
        <w:spacing w:after="0" w:line="263"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83" w:lineRule="exact"/>
        <w:rPr>
          <w:rFonts w:ascii="Arial" w:cs="Arial" w:eastAsia="Arial" w:hAnsi="Arial"/>
          <w:sz w:val="18"/>
          <w:szCs w:val="18"/>
          <w:color w:val="auto"/>
        </w:rPr>
      </w:pPr>
    </w:p>
    <w:p>
      <w:pPr>
        <w:jc w:val="both"/>
        <w:ind w:left="1040" w:right="159" w:hanging="315"/>
        <w:spacing w:after="0" w:line="263"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83"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redesigning our products or product candidates or processes so they do not infringe, which may not be possible or may require substantial monetary expenditures and time.</w:t>
      </w:r>
    </w:p>
    <w:p>
      <w:pPr>
        <w:spacing w:after="0" w:line="170"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such proceedings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Filing, prosecuting and defending patents on all of our products or product candidates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products or product candidates in jurisdictions where we do not have any issued patents and our patent claims or other intellectual property rights may not be effective or sufficient to prevent them from so competing.</w:t>
      </w:r>
    </w:p>
    <w:p>
      <w:pPr>
        <w:spacing w:after="0" w:line="178"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77" w:lineRule="exact"/>
        <w:rPr>
          <w:sz w:val="20"/>
          <w:szCs w:val="20"/>
          <w:color w:val="auto"/>
        </w:rPr>
      </w:pPr>
    </w:p>
    <w:p>
      <w:pPr>
        <w:ind w:left="60" w:right="279"/>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Failure to secure trademark registrations could adversely affect our business.</w:t>
      </w:r>
    </w:p>
    <w:p>
      <w:pPr>
        <w:spacing w:after="0" w:line="22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If we do not successfully register our trademarks, we may encounter difficulty in enforcing, or be unable to enforce, our trademark rights against third parties, which could adversely affect our business and our ability to effectively compete in the marketplace. When we file registration applications for trademarks relating to our products or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66"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In addition, any proprietary name we use, such as DANYELZA, or propose to use with any of our products or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identify a suitable proprietary product name that would qualify under applicable trademark laws, not infringe the existing rights of third parties and be acceptable to the FDA.</w:t>
      </w:r>
    </w:p>
    <w:p>
      <w:pPr>
        <w:spacing w:after="0" w:line="170"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4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b w:val="1"/>
          <w:bCs w:val="1"/>
          <w:i w:val="1"/>
          <w:iCs w:val="1"/>
          <w:color w:val="auto"/>
        </w:rPr>
        <w:t>We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84"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are highly dependent on the members of our executive management as well as the other principal members of our management and scientific teams. Our agreements with any of them do not prevent them from terminating their employment with us at any time. From time to time, there may be changes in our executive management team resulting from the hiring or departure of executives. Such changes in our executive management team may be disruptive to our business.</w:t>
      </w:r>
    </w:p>
    <w:p>
      <w:pPr>
        <w:spacing w:after="0" w:line="18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92"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person” insurance for any of our executives or other employees.</w:t>
      </w:r>
    </w:p>
    <w:p>
      <w:pPr>
        <w:spacing w:after="0" w:line="166" w:lineRule="exact"/>
        <w:rPr>
          <w:sz w:val="20"/>
          <w:szCs w:val="20"/>
          <w:color w:val="auto"/>
        </w:rPr>
      </w:pPr>
    </w:p>
    <w:p>
      <w:pPr>
        <w:ind w:left="60" w:right="839" w:firstLine="648"/>
        <w:spacing w:after="0" w:line="342" w:lineRule="auto"/>
        <w:rPr>
          <w:sz w:val="20"/>
          <w:szCs w:val="20"/>
          <w:color w:val="auto"/>
        </w:rPr>
      </w:pPr>
      <w:r>
        <w:rPr>
          <w:rFonts w:ascii="Arial" w:cs="Arial" w:eastAsia="Arial" w:hAnsi="Arial"/>
          <w:sz w:val="16"/>
          <w:szCs w:val="16"/>
          <w:color w:val="auto"/>
        </w:rPr>
        <w:t>In addition, we rely on consultants and advisors, including scientific and clinical advisors, to assist us in formulating our research and development and commercialization strategy. Our consultants and advisors may be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employed by employers other than us and may have commitments under consulting or advisory contracts with other entities that may limit their availability to us.</w:t>
      </w:r>
    </w:p>
    <w:p>
      <w:pPr>
        <w:spacing w:after="0" w:line="170" w:lineRule="exact"/>
        <w:rPr>
          <w:sz w:val="20"/>
          <w:szCs w:val="20"/>
          <w:color w:val="auto"/>
        </w:rPr>
      </w:pPr>
    </w:p>
    <w:p>
      <w:pPr>
        <w:ind w:left="60" w:right="259" w:firstLine="648"/>
        <w:spacing w:after="0" w:line="290" w:lineRule="auto"/>
        <w:rPr>
          <w:sz w:val="20"/>
          <w:szCs w:val="20"/>
          <w:color w:val="auto"/>
        </w:rPr>
      </w:pPr>
      <w:r>
        <w:rPr>
          <w:rFonts w:ascii="Arial" w:cs="Arial" w:eastAsia="Arial" w:hAnsi="Arial"/>
          <w:sz w:val="16"/>
          <w:szCs w:val="16"/>
          <w:color w:val="auto"/>
        </w:rPr>
        <w:t>On April 27, 2022, we announced certain management changes, including that our Chief Executive Officer had stepped down effective immediately and that our current Chairman, President and Head of Business Development &amp; Strategy had stepped down as Chairman and had assumed the role of Interim Chief Executive Officer. We cannot assure you that we will be able to identify, attract and hire a suitable replacement for our Chief Executive Officer in a timely fashion or that the loss of our Chief Executive Officer and such additional management changes will not have an adverse impact on our business operations. The loss of the services of our Chief Executive Officer or other members of our executive management team and the failure to find appropriate replacements in a timely fashion could impede the achievement of our research, development and commercialization objectives.</w:t>
      </w:r>
    </w:p>
    <w:p>
      <w:pPr>
        <w:spacing w:after="0" w:line="165"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b w:val="1"/>
          <w:bCs w:val="1"/>
          <w:i w:val="1"/>
          <w:iCs w:val="1"/>
          <w:color w:val="auto"/>
        </w:rPr>
        <w:t>We have expanded and expect to continue to expand our development and regulatory capabilities and our sales and marketing capabilities, and as a result, we may encounter difficulties in managing our growth, which could disrupt our operations.</w:t>
      </w:r>
    </w:p>
    <w:p>
      <w:pPr>
        <w:spacing w:after="0" w:line="184"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We have expanded and continue to expect to experience significant growth in the number of our employees and the scope of our operations, particularly in the areas of sales and marketing, clinical operations, regulatory affairs and, drug development.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46"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As of April 1, 2022, our executive officers, directors and our stockholders, which own more than 5% of our outstanding common stock beneficially own shares representing approximately 33.38% of our common stock. As a result, if these stockholders were to choose to act together, they would be able to exert significant influence over all matters submitted to our stockholders for approval, as well as our management and affairs. For example, these persons, if they choose to act together, would have significant influence over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7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spacing w:after="0" w:line="184"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8" w:lineRule="exact"/>
        <w:rPr>
          <w:sz w:val="20"/>
          <w:szCs w:val="20"/>
          <w:color w:val="auto"/>
        </w:rPr>
      </w:pPr>
    </w:p>
    <w:p>
      <w:pPr>
        <w:ind w:left="1040" w:hanging="315"/>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1040" w:right="259" w:hanging="315"/>
        <w:spacing w:after="0" w:line="311" w:lineRule="auto"/>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48" w:lineRule="exact"/>
        <w:rPr>
          <w:rFonts w:ascii="Arial" w:cs="Arial" w:eastAsia="Arial" w:hAnsi="Arial"/>
          <w:sz w:val="16"/>
          <w:szCs w:val="16"/>
          <w:color w:val="auto"/>
        </w:rPr>
      </w:pPr>
    </w:p>
    <w:p>
      <w:pPr>
        <w:ind w:left="1040" w:right="219" w:hanging="315"/>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70"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as a result, it may be difficult for you to sell your shares of our common stock.</w:t>
      </w:r>
    </w:p>
    <w:p>
      <w:pPr>
        <w:spacing w:after="0" w:line="170"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Our shares of common stock began trading on The NASDAQ Global Select Market on September 21, 2018.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187"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b w:val="1"/>
          <w:bCs w:val="1"/>
          <w:i w:val="1"/>
          <w:iCs w:val="1"/>
          <w:color w:val="auto"/>
        </w:rPr>
        <w:t>Effective as of December 31, 2020, we became a large accelerated filer and were no longer an emerging growth company. We are not able to take advantage of the reduced disclosure requirements applicable to emerging growth companies.</w:t>
      </w:r>
    </w:p>
    <w:p>
      <w:pPr>
        <w:spacing w:after="0" w:line="184"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As a result of our public float (the market value of our common shares held by non-affiliates) as of June 30, 2020, we became a large accelerated filer as of December 31, 2020 and therefore no longer qualified as an “emerging growth company,” as defined in the JOBS Act. Additionally, due to our public float as of June 30, 2020, we no longer qualified as a “smaller reporting company” as defined in the Exchange Act. As a large accelerated filer, we are subject to certain disclosure and compliance requirements that apply to other public companies but did not previously apply to us due to our status as an emerging growth company. These requirements include, but are not limited to:</w:t>
      </w:r>
    </w:p>
    <w:p>
      <w:pPr>
        <w:spacing w:after="0" w:line="164" w:lineRule="exact"/>
        <w:rPr>
          <w:sz w:val="20"/>
          <w:szCs w:val="20"/>
          <w:color w:val="auto"/>
        </w:rPr>
      </w:pPr>
    </w:p>
    <w:p>
      <w:pPr>
        <w:ind w:left="1040" w:right="539" w:hanging="315"/>
        <w:spacing w:after="0" w:line="342" w:lineRule="auto"/>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requirement that our independent registered public accounting firm attest to the effectiveness of our internal control over financial reporting under Section 404(b) of the Sarbanes-Oxley Act of 2002;</w:t>
      </w:r>
    </w:p>
    <w:p>
      <w:pPr>
        <w:spacing w:after="0" w:line="123" w:lineRule="exact"/>
        <w:rPr>
          <w:rFonts w:ascii="Arial" w:cs="Arial" w:eastAsia="Arial" w:hAnsi="Arial"/>
          <w:sz w:val="16"/>
          <w:szCs w:val="16"/>
          <w:color w:val="auto"/>
        </w:rPr>
      </w:pPr>
    </w:p>
    <w:p>
      <w:pPr>
        <w:ind w:left="1040" w:right="199" w:hanging="315"/>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 regarding mandatory audit firm rotation;</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requirement that we provide full and more detailed disclosures regarding executive compensation; and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requirement that we hold a non-binding advisory vote on executive compensation and obtain stockholder approval of any golden parachute payments not previously approved.</w:t>
      </w:r>
    </w:p>
    <w:p>
      <w:pPr>
        <w:spacing w:after="0" w:line="170"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We expect that compliance with the additional requirements of being a large accelerated filer will increase our legal and financial compliance costs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60" w:right="379" w:firstLine="648"/>
        <w:spacing w:after="0" w:line="287" w:lineRule="auto"/>
        <w:rPr>
          <w:sz w:val="20"/>
          <w:szCs w:val="20"/>
          <w:color w:val="auto"/>
        </w:rPr>
      </w:pPr>
      <w:r>
        <w:rPr>
          <w:rFonts w:ascii="Arial" w:cs="Arial" w:eastAsia="Arial" w:hAnsi="Arial"/>
          <w:sz w:val="16"/>
          <w:szCs w:val="16"/>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w:t>
      </w:r>
    </w:p>
    <w:p>
      <w:pPr>
        <w:spacing w:after="0" w:line="2" w:lineRule="exact"/>
        <w:rPr>
          <w:sz w:val="20"/>
          <w:szCs w:val="20"/>
          <w:color w:val="auto"/>
        </w:rPr>
      </w:pPr>
    </w:p>
    <w:p>
      <w:pPr>
        <w:ind w:left="60" w:right="179"/>
        <w:spacing w:after="0" w:line="252" w:lineRule="auto"/>
        <w:rPr>
          <w:sz w:val="20"/>
          <w:szCs w:val="20"/>
          <w:color w:val="auto"/>
        </w:rPr>
      </w:pPr>
      <w:r>
        <w:rPr>
          <w:rFonts w:ascii="Arial" w:cs="Arial" w:eastAsia="Arial" w:hAnsi="Arial"/>
          <w:sz w:val="18"/>
          <w:szCs w:val="18"/>
          <w:color w:val="auto"/>
        </w:rPr>
        <w:t>50 percentage point cumulative change (by value) in the equity ownership of certain stockholders over a rolling three year period), the corporation’s ability to use its pre-change net operating loss carryforwards and other pre-change tax attributes to offset its post-change taxable income or taxes may be limited. We have performed an analysis of our Section 382 ownership changes through March 31, 2021. Due to the large annual limitation, we believe that it is more likely than not that none of the net operating loss carryforwards will expire as a result of the limitation from the ownership change under Section 382.</w:t>
      </w:r>
    </w:p>
    <w:p>
      <w:pPr>
        <w:spacing w:after="0" w:line="194" w:lineRule="exact"/>
        <w:rPr>
          <w:sz w:val="20"/>
          <w:szCs w:val="20"/>
          <w:color w:val="auto"/>
        </w:rPr>
      </w:pPr>
    </w:p>
    <w:p>
      <w:pPr>
        <w:ind w:left="60" w:right="799"/>
        <w:spacing w:after="0" w:line="30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46"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87"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Future sales of common stock by stockholders may have an adverse effect on the then prevailing market price of our common stock.</w:t>
      </w:r>
    </w:p>
    <w:p>
      <w:pPr>
        <w:spacing w:after="0" w:line="170"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4"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Sales of our common stock may be made by holders of our public float or by holders of restricted securities in compliance with the provisions of Rule 144 of the Securities Act of 1933, or the Securities Act. There were 43,718,165 shares of common stock outstanding as of May 4, 2022. Of these shares of our common stock, 6,900,000 shares sold in our initial public offering in 2018, 5,134,750 shares sold in our public offering in 2019 and 2,804,878 shares sold in our public offering in February 2021 are freely tradable, without restriction, in the public market. As of May 4, 2022 holders of approximately 2,550,348 shares of our common stock have rights, subject to certain conditions, to require us to file registration statements covering their shares or to include their shares in registration statements that we may file for ourselves or other stockholders. Once we register these shares, they can be freely sold in the public market upon issuance, subject to volume limitations applicable to affiliates. We have also registered 6,200,000 shares of our common stock that we may issue under our equity compensation plans.</w:t>
      </w:r>
    </w:p>
    <w:p>
      <w:pPr>
        <w:spacing w:after="0" w:line="18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55" w:lineRule="auto"/>
        <w:rPr>
          <w:sz w:val="20"/>
          <w:szCs w:val="20"/>
          <w:color w:val="auto"/>
        </w:rPr>
      </w:pPr>
      <w:r>
        <w:rPr>
          <w:rFonts w:ascii="Arial" w:cs="Arial" w:eastAsia="Arial" w:hAnsi="Arial"/>
          <w:sz w:val="18"/>
          <w:szCs w:val="18"/>
          <w:color w:val="auto"/>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pacing w:after="0" w:line="192"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We may issue additional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65"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71"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is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sales of our common stock by us, our insiders or other stockholders.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Our financial condition, results of operations, business and cash flow may be negatively affected by unfavorable U.S. or global economic conditions.</w:t>
      </w:r>
    </w:p>
    <w:p>
      <w:pPr>
        <w:spacing w:after="0" w:line="170"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Our financial condition, results of operations, business and cash flow may be negatively affected by general conditions in the global economy and in the global financial markets and uncertainty about economic stability. The global economy has experienced extreme volatility and disruptions, including as a result of public health epidemics and pandemics, or other outbreaks of communicable diseases, such as the COVID-19 pandemic, as well as from international conflicts, terrorism or other geopolitical events, such as the Russian invasion of Ukraine, and related sanctions and other economic disruptions or concerns.</w:t>
      </w:r>
    </w:p>
    <w:p>
      <w:pPr>
        <w:spacing w:after="0" w:line="192"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For example, during March 2020, a global pandemic was declared by the World Health Organization related to the rapidly growing outbreak of a novel strain of coronavirus (COVID-19). The global spread of COVID-19 has created, and continues to create, significant volatility, uncertainty and economic disruption, including significant volatility in the capital markets. The extent to which the COVID-19 pandemic affects our business, operations, financial results and the trading price of our common stock will depend on numerous evolving factors that we may not be able to accurately predict, including: the duration and scope of the pandemic or possible resurgence of the pandemic or continued emergence of new strains of COVID-19; the availability of an effective vaccine and the speed with which it is administered to the public; governmental and business actions that have been and continue to be taken in response to the pandemic (including mitigation efforts such as stay at home and other social distancing orders) and the impact of the pandemic on economic activity and actions taken in response (including stimulus efforts such as the Families First Coronavirus Act and the Coronavirus Aid, Relief, and Economic Security Act). The ultimate impact of the COVID-19 pandemic on our results of operations and financial condition is dependent on future developments, including the duration of the pandemic and the related extent of its severity, as well as its impact on macroeconomic conditions, which are uncertain and cannot be predicted at this time. If the global response to contain the COVID-19 pandemic escalates further or is unsuccessful, or if governmental decisions to ease pandemic related restrictions are ineffective, premature or counterproductive, we could experience a material adverse effect on our business, financial condition, results of operations and cash flows.</w:t>
      </w:r>
    </w:p>
    <w:p>
      <w:pPr>
        <w:spacing w:after="0" w:line="176" w:lineRule="exact"/>
        <w:rPr>
          <w:sz w:val="20"/>
          <w:szCs w:val="20"/>
          <w:color w:val="auto"/>
        </w:rPr>
      </w:pPr>
    </w:p>
    <w:p>
      <w:pPr>
        <w:ind w:left="60" w:right="139" w:firstLine="693"/>
        <w:spacing w:after="0" w:line="286" w:lineRule="auto"/>
        <w:rPr>
          <w:sz w:val="20"/>
          <w:szCs w:val="20"/>
          <w:color w:val="auto"/>
        </w:rPr>
      </w:pPr>
      <w:r>
        <w:rPr>
          <w:rFonts w:ascii="Arial" w:cs="Arial" w:eastAsia="Arial" w:hAnsi="Arial"/>
          <w:sz w:val="16"/>
          <w:szCs w:val="16"/>
          <w:color w:val="auto"/>
        </w:rPr>
        <w:t>Additionally, the global economy and financial markets may also be adversely affected by the current or anticipated impact of military conflict, terrorism or other geopolitical events. Sanctions imposed by the United States and other countries in response to such conflicts, may also adversely impact the financial markets and the global economy, and the economic countermeasures by the affected countries or others could exacerbate market and economic instability. On February 24, 2022, Russia initiated significant military action against Ukraine. In response, the United States and certain other countries imposed significant sanctions and trade actions against Russia and could impose further sanctions, trade restrictions, and other retaliatory actions if the conflict continues or worsens. It is not possible to predict the broader consequences of the conflict, including related geo-political tensions, and the measures and retaliatory actions that will be taken by the United States and other countries in respect thereof, as well as any countermeasures or retaliatory actions Russia may take in response, are likely to cause regional instability and geo-political shifts and could materially adversely affect global trade, currency exchange rates, regional economies, and the global economy. While it is difficult to anticipate the impact of any of the foregoing on our company in particular, the conflict and actions taken in response to the conflict could increase our costs, disrupt our supply chain, impair our ability to raise or access additional capital when needed on acceptable terms, if at all, or otherwise adversely affect our business, financial condition, and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72"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4"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84" w:lineRule="exact"/>
        <w:rPr>
          <w:sz w:val="20"/>
          <w:szCs w:val="20"/>
          <w:color w:val="auto"/>
        </w:rPr>
      </w:pPr>
    </w:p>
    <w:p>
      <w:pPr>
        <w:ind w:left="1040" w:hanging="31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integration;</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70"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70" w:lineRule="exact"/>
        <w:rPr>
          <w:rFonts w:ascii="Arial" w:cs="Arial" w:eastAsia="Arial" w:hAnsi="Arial"/>
          <w:sz w:val="18"/>
          <w:szCs w:val="18"/>
          <w:color w:val="auto"/>
        </w:rPr>
      </w:pPr>
    </w:p>
    <w:p>
      <w:pPr>
        <w:ind w:left="1040" w:right="339" w:hanging="315"/>
        <w:spacing w:after="0" w:line="308" w:lineRule="auto"/>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or product candidates and regulatory approvals; and</w:t>
      </w:r>
    </w:p>
    <w:p>
      <w:pPr>
        <w:spacing w:after="0" w:line="146" w:lineRule="exact"/>
        <w:rPr>
          <w:rFonts w:ascii="Arial" w:cs="Arial" w:eastAsia="Arial" w:hAnsi="Arial"/>
          <w:sz w:val="17"/>
          <w:szCs w:val="17"/>
          <w:color w:val="auto"/>
        </w:rPr>
      </w:pPr>
    </w:p>
    <w:p>
      <w:pPr>
        <w:ind w:left="1040" w:right="199" w:hanging="315"/>
        <w:spacing w:after="0" w:line="342" w:lineRule="auto"/>
        <w:tabs>
          <w:tab w:leader="none" w:pos="10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24"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expect our operating results to fluctuate in future periods, which may adversely affect our stock price.</w:t>
      </w:r>
    </w:p>
    <w:p>
      <w:pPr>
        <w:spacing w:after="0" w:line="237"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Our operating results have fluctuated in the past, and we believe they will continue to do so in the future. Our operating results may fluctuate due to the level of success of our commercial efforts, as well as the variable nature of our operating expenses as a result of the timing and magnitude of expenditures. In one or more future periods, our results of operations may fall below the expectations of securities analysts and investors. In that event, the market price of our common stock could decline.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20" w:lineRule="auto"/>
        <w:rPr>
          <w:sz w:val="20"/>
          <w:szCs w:val="20"/>
          <w:color w:val="auto"/>
        </w:rPr>
      </w:pPr>
      <w:r>
        <w:rPr>
          <w:rFonts w:ascii="Arial" w:cs="Arial" w:eastAsia="Arial" w:hAnsi="Arial"/>
          <w:sz w:val="15"/>
          <w:szCs w:val="15"/>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46"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 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66" w:lineRule="exact"/>
        <w:rPr>
          <w:sz w:val="20"/>
          <w:szCs w:val="20"/>
          <w:color w:val="auto"/>
        </w:rPr>
      </w:pPr>
    </w:p>
    <w:p>
      <w:pPr>
        <w:ind w:left="60" w:right="259" w:firstLine="648"/>
        <w:spacing w:after="0" w:line="296" w:lineRule="auto"/>
        <w:rPr>
          <w:sz w:val="20"/>
          <w:szCs w:val="20"/>
          <w:color w:val="auto"/>
        </w:rPr>
      </w:pPr>
      <w:r>
        <w:rPr>
          <w:rFonts w:ascii="Arial" w:cs="Arial" w:eastAsia="Arial" w:hAnsi="Arial"/>
          <w:sz w:val="16"/>
          <w:szCs w:val="16"/>
          <w:color w:val="auto"/>
        </w:rPr>
        <w:t>No assurance can be given that any clinical studies will be conducted as planned or completed on schedule, if at all. In addition, we cannot be sure that we will be able to submit INDs for any of our product candidates in the future and we cannot be sure that submission of an IND will result in the FDA allowing clinical trials to begin. Moreover, even if these clinical studies begin, issues may arise that could suspend or terminate such clinical trials. A failure of one or more clinical studies can occur at any stage of testing, and our future clinical studies may not be successful.</w:t>
      </w:r>
    </w:p>
    <w:p>
      <w:pPr>
        <w:spacing w:after="0" w:line="161"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including through collaboration partners, could materially adversely affect our business.</w:t>
      </w:r>
    </w:p>
    <w:p>
      <w:pPr>
        <w:spacing w:after="0" w:line="170"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We plan to seek regulatory approval of our product candidates outside of the United States, and submitted a MAA for omburtamab to EMA in April 2021 for the treatment of pediatric patients with CNS/leptomeningeal metastasis from neuroblastoma. We also have existing commercialization collaborations in certain territories outside the United States such as with SciClone, Takeda Israel, Swixx Biopharma AG and Adium. Accordingly, we and our existing and potential collaborators in jurisdictions outside the US, are subject to additional risks related to operating in foreign countries, including:</w:t>
      </w:r>
    </w:p>
    <w:p>
      <w:pPr>
        <w:spacing w:after="0" w:line="192" w:lineRule="exact"/>
        <w:rPr>
          <w:sz w:val="20"/>
          <w:szCs w:val="20"/>
          <w:color w:val="auto"/>
        </w:rPr>
      </w:pPr>
    </w:p>
    <w:p>
      <w:pPr>
        <w:ind w:left="1040" w:hanging="315"/>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foreign taxes, including local transfer pricing regulations and withholding of payroll taxes;</w:t>
      </w:r>
    </w:p>
    <w:p>
      <w:pPr>
        <w:spacing w:after="0" w:line="22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potential liability under the FCPA, or OFAC, Anti-Money Laundering Program as required by the Bank Secrecy Act and its implementing regulations, or comparable foreign laws;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308" w:lineRule="auto"/>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These and other risks associated with our current and planned international operations may materially adversely affect our ability to attain or maintain profitable operations.</w:t>
      </w:r>
    </w:p>
    <w:p>
      <w:pPr>
        <w:spacing w:after="0" w:line="170"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0"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Our operations, and those of our third party research institution collaborators, CROs, CMOs, suppliers, other contractors and consultants, could be subject to earthquakes, power shortages, telecommunications failures, water shortages, droughts, floods, hurricanes, typhoons, fires, extreme weather conditions, climate change events, medical epidemics, terrorist activities, wars or other armed conflicts, geopolitical tensions, such as the ongoing conflict between Russia and Ukraine and related sanctions, cyber security attacks and other natural or man made disasters or business interruptions, for which we are predominantly self insured, and other severe hazards or global health crises, such as an outbreak of Ebola or the ongoing global COVID 19 pandemic, or other actual or threatened epidemic, pandemic, outbreak and spread of a communicable disease or virus, in the countries where we operate or plan to sell our products, if approved, could adversely affect our operations and financial performance. In addition, we rely on our third 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 party manufacturers to produce and process our DANYELZA and our product candidates. Our ability to obtain clinical supplies of our product candidates could be disrupted if the operations of these suppliers are affected by a man made or natural disaster or other business interruption. Damage or extended periods of interruption to our third 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 The ultimate extent of the impact of any epidemic, pandemic or other global health crisis, such as COVID-19, on our business, financial condition and results of operations will depend on future developments which are highly uncertain and cannot be predicted, including new information that may emerge concerning the duration and severity of such epidemic, pandemic or other global health crisis, actions taken to contain or prevent their further spread and the pace of global economic recovery following containment of the spread.</w:t>
      </w:r>
    </w:p>
    <w:p>
      <w:pPr>
        <w:spacing w:after="0" w:line="393"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We face an inherent risk of product liability as a result of the sale of DANYELZA and clinical testing of our product candidates and will face an even greater risk if we commercialize more products. For example, we may be sued if our product candidates cause or are perceived to cause injury or are found to be otherwise unsuitable during use,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1" w:lineRule="exact"/>
        <w:rPr>
          <w:sz w:val="20"/>
          <w:szCs w:val="20"/>
          <w:color w:val="auto"/>
        </w:rPr>
      </w:pPr>
    </w:p>
    <w:p>
      <w:pPr>
        <w:ind w:left="1040" w:hanging="315"/>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DANYELZA or any product candidates we develop, alone or with collaborators. The amount of clinical trial and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Brexit may affect our operations.</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On January 31, 2020 the United Kingdom withdrew from and ceased to be part of the European Union, commonly referred to as Brexit. Trade between European Union member states and the United Kingdom is now governed by the EU-UK Trade and Cooperation Agreement, which took effect after the Brexit transition period expired on December 31, 2020. The EU-UK Trade and Cooperation Agreement contains a number of general provisions on regulation and regulatory practice that are intended to facilitate exchange of goods and services between the European Union and the United Kingdom. However, since a significant proportion of the regulatory framework in the United Kingdom is derived from European Union directives and regulations, Brexit could materially impact the regulatory regime with respect to the approval and/or sale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The unavoidable uncertainties and events related to Brexit could cause volatility in currency exchange rates, interest rates, and European, United Kingdom or worldwide political, regulatory, economic or market conditions and contribute to instability in political institutions, regulatory agencies and financial markets. If any of these outcomes occur, we may be forced to restrict or delay efforts to seek regulatory approval in the United Kingdom and/or European Union for our product candidates, which could significantly and materially harm our business. Brexit is likely to lead to legal uncertainty and potentially divergent national laws and regulations as the United Kingdom determines which EU laws to replace or replicate. Any of these effects of Brexit, and others we cannot anticipate, could adversely affect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24"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regulations of the FDA, the EMA and other similar foreign regulatory bodies; provide true, complete and accurate information to the FDA, the EMA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As we have obtained FDA approval of DANYELZA and have begun commercializing DANYELZA in the United States, our exposure under such laws has increased significantly, and our costs associated with compliance with such laws have increased significantly and are likely to continue to increase. These laws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9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70" w:lineRule="exact"/>
        <w:rPr>
          <w:sz w:val="20"/>
          <w:szCs w:val="20"/>
          <w:color w:val="auto"/>
        </w:rPr>
      </w:pPr>
    </w:p>
    <w:p>
      <w:pPr>
        <w:ind w:left="60" w:right="219" w:firstLine="648"/>
        <w:spacing w:after="0" w:line="285"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225"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Social media is increasingly being used to communicate about our drug, clinical development programs, and the diseases our drug and drug candidates are being developed to treat, and we are utilizing what we believe is appropriate social media in connection with our commercialization efforts for DANYELZA and we intend to do the same for our future products, if approved.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91" w:lineRule="auto"/>
        <w:rPr>
          <w:sz w:val="20"/>
          <w:szCs w:val="20"/>
          <w:color w:val="auto"/>
        </w:rPr>
      </w:pPr>
      <w:r>
        <w:rPr>
          <w:rFonts w:ascii="Arial" w:cs="Arial" w:eastAsia="Arial" w:hAnsi="Arial"/>
          <w:sz w:val="16"/>
          <w:szCs w:val="16"/>
          <w:color w:val="auto"/>
        </w:rPr>
        <w:t>media channels to comment on their experience in an ongoing blinded clinical study or to report an alleged adverse event, or AE. When such disclosures occur, there is a risk that we fail to monitor and comply with applicable AE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6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Also, the volatility of our stock price may adversely affect our ability to attract equity funding in the future on reasonable terms or at all.</w:t>
      </w:r>
    </w:p>
    <w:p>
      <w:pPr>
        <w:spacing w:after="0" w:line="184"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22, 2018, our stock has traded at prices as low as $6.50 per share and as high as $55.22 per share through May 4, 2022. As a result of this volatility, you may not be able to sell your common stock at or above the price your paid for it. Further, as a result of this volatility it may be difficult for us to attract new equity investments in the Company, including to carry out public offerings of our common stock, on terms we consider reasonable or at all.</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market price for our common stock may be influenced by many factors, including:</w:t>
      </w:r>
    </w:p>
    <w:p>
      <w:pPr>
        <w:spacing w:after="0" w:line="225" w:lineRule="exact"/>
        <w:rPr>
          <w:sz w:val="20"/>
          <w:szCs w:val="20"/>
          <w:color w:val="auto"/>
        </w:rPr>
      </w:pPr>
    </w:p>
    <w:p>
      <w:pPr>
        <w:ind w:left="1040" w:right="539" w:hanging="315"/>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successfully launch and commercialize DANYELZA and any other product candidates, if approved;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25"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product candidates or our competitors’ products and product candidates;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25" w:lineRule="exact"/>
        <w:rPr>
          <w:rFonts w:ascii="Arial" w:cs="Arial" w:eastAsia="Arial" w:hAnsi="Arial"/>
          <w:sz w:val="18"/>
          <w:szCs w:val="18"/>
          <w:color w:val="auto"/>
        </w:rPr>
      </w:pPr>
    </w:p>
    <w:p>
      <w:pPr>
        <w:ind w:left="1040" w:right="399" w:hanging="315"/>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products and product candidates or development programs;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level of revenues and expenses related to any of our products, product candidates or development programs;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product candidates or products;</w:t>
      </w:r>
    </w:p>
    <w:p>
      <w:pPr>
        <w:spacing w:after="0" w:line="248" w:lineRule="exact"/>
        <w:rPr>
          <w:rFonts w:ascii="Arial" w:cs="Arial" w:eastAsia="Arial" w:hAnsi="Arial"/>
          <w:sz w:val="16"/>
          <w:szCs w:val="16"/>
          <w:color w:val="auto"/>
        </w:rPr>
      </w:pPr>
    </w:p>
    <w:p>
      <w:pPr>
        <w:ind w:left="1040" w:right="579" w:hanging="315"/>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market conditions and investor sentiment in the pharmaceutical and biotechnology sectors;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71"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84"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We were no longer an “emerging growth company” as of December 31, 2020 as the market value of our common stock held by non-affiliates exceeded $700.0 million as of June 30, 2020. Pursuant to Section 404 of the Sarbanes-Oxley Act, or Section 404, our independent registered public accounting firm is required to attest to the effectiveness of our internal control over financial reporting.</w:t>
      </w:r>
    </w:p>
    <w:p>
      <w:pPr>
        <w:spacing w:after="0" w:line="187"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Our inability to operate controls effectively could cause material weaknesses in our internal control over financial reporting in the future. An adverse report on the effectiveness of our internal control over financial reporting pursuant to Section 404(b) of the Sarbanes-Oxley Act in future years, by our independent registered public accounting firm could have a material adverse impact on our company and financial statements and we may not be able to accurately or timely report our financial condition or results of operations, which may adversely affect investor confidence in us and, as a result, the value of our common stock.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The rules governing the standards that must be met for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spacing w:after="0" w:line="192" w:lineRule="exact"/>
        <w:rPr>
          <w:sz w:val="20"/>
          <w:szCs w:val="20"/>
          <w:color w:val="auto"/>
        </w:rPr>
      </w:pPr>
    </w:p>
    <w:p>
      <w:pPr>
        <w:ind w:left="60" w:right="79" w:firstLine="693"/>
        <w:spacing w:after="0" w:line="286" w:lineRule="auto"/>
        <w:rPr>
          <w:sz w:val="20"/>
          <w:szCs w:val="20"/>
          <w:color w:val="auto"/>
        </w:rPr>
      </w:pPr>
      <w:r>
        <w:rPr>
          <w:rFonts w:ascii="Arial" w:cs="Arial" w:eastAsia="Arial" w:hAnsi="Arial"/>
          <w:sz w:val="16"/>
          <w:szCs w:val="16"/>
          <w:color w:val="auto"/>
        </w:rPr>
        <w:t>Any failure to implement required new or improved controls, or difficulties encountered in their implementation, could cause us to fail to meet our reporting obligations. In addition, any testing by us or our independent registered public accounting firm conducted in connection with Section 404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 Further, any delay in compliance with the auditor attestation provisions of Section 404 could subject us to a variety of administrative sanctions, including ineligibility for short-form resale registration, action by the SEC and the suspension or delisting of our common stock, which could reduce the trading price of our common stock and could harm our business.</w:t>
      </w:r>
    </w:p>
    <w:p>
      <w:pPr>
        <w:spacing w:after="0" w:line="174" w:lineRule="exact"/>
        <w:rPr>
          <w:sz w:val="20"/>
          <w:szCs w:val="20"/>
          <w:color w:val="auto"/>
        </w:rPr>
      </w:pPr>
    </w:p>
    <w:p>
      <w:pPr>
        <w:ind w:left="60" w:right="859" w:firstLine="648"/>
        <w:spacing w:after="0" w:line="308" w:lineRule="auto"/>
        <w:rPr>
          <w:sz w:val="20"/>
          <w:szCs w:val="20"/>
          <w:color w:val="auto"/>
        </w:rPr>
      </w:pPr>
      <w:r>
        <w:rPr>
          <w:rFonts w:ascii="Arial" w:cs="Arial" w:eastAsia="Arial" w:hAnsi="Arial"/>
          <w:sz w:val="17"/>
          <w:szCs w:val="17"/>
          <w:b w:val="1"/>
          <w:bCs w:val="1"/>
          <w:i w:val="1"/>
          <w:iCs w:val="1"/>
          <w:color w:val="auto"/>
        </w:rPr>
        <w:t>We will continue to incur costs associated with satisfying our obligations as public company, and our management is required to devote substantial time to new compliance initiatives.</w:t>
      </w:r>
    </w:p>
    <w:p>
      <w:pPr>
        <w:spacing w:after="0" w:line="146"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As a public company, and as a large accelerated filer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We may be adversely affected by global climate change or by legal, regulatory or market responses to such</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w:t>
      </w:r>
    </w:p>
    <w:p>
      <w:pPr>
        <w:spacing w:after="0" w:line="211"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Increasing stakeholder environmental, social and governance, or ESG, expectations, physical and transition risks associated with climate change, and emerging ESG regulation and policy requirements may pose risk to our market outlook, and reputation, financial outlook, cost of capital, supply chain and production continuity, which may impact our ability to achieve our business objectives. Changes in environmental and climate change laws or regulations could lead to additional operational restrictions and compliance requirements upon us or our third party providers or otherwise could negatively impact our business.</w:t>
      </w:r>
    </w:p>
    <w:p>
      <w:pPr>
        <w:spacing w:after="0" w:line="192" w:lineRule="exact"/>
        <w:rPr>
          <w:sz w:val="20"/>
          <w:szCs w:val="20"/>
          <w:color w:val="auto"/>
        </w:rPr>
      </w:pPr>
    </w:p>
    <w:p>
      <w:pPr>
        <w:ind w:left="60" w:right="79" w:firstLine="693"/>
        <w:spacing w:after="0" w:line="270" w:lineRule="auto"/>
        <w:rPr>
          <w:sz w:val="20"/>
          <w:szCs w:val="20"/>
          <w:color w:val="auto"/>
        </w:rPr>
      </w:pPr>
      <w:r>
        <w:rPr>
          <w:rFonts w:ascii="Arial" w:cs="Arial" w:eastAsia="Arial" w:hAnsi="Arial"/>
          <w:sz w:val="17"/>
          <w:szCs w:val="17"/>
          <w:color w:val="auto"/>
        </w:rPr>
        <w:t>Changes in market dynamics, stakeholder expectations, local, national and international climate change policies, and the frequency and intensity of extreme weather events on critical infrastructure in the United States and abroad, all have the potential to disrupt our business and operations. Such events could result in a significant increase in our costs and expenses and harm our future revenue, cash flows and financial performance. Global climate change is resulting in, and may continue to result, in certain natural disasters and adverse weather events, such as droughts, wildfires, storms, sea-level rise and flooding, occurring more frequently or with greater intensity, which could cause business disruptions and impact employees’ abilities to commute or to work from home effectively. Government failure to address climate change in line with the Paris Agreement could result in greater exposure to economic and other risks from climate change and impact our ability to achieve our goals.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firstLine="648"/>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 party research institution collaborators, CROs, CMOs, other contractors or consultants, may fail or suffer security breaches.</w:t>
      </w:r>
    </w:p>
    <w:p>
      <w:pPr>
        <w:spacing w:after="0" w:line="170"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CROs, CMOs, other contractors and consultants are vulnerable to damage from computer viruses, cyber attack, malicious intrusion, breakdown or other significant disruption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 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6"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b w:val="1"/>
          <w:bCs w:val="1"/>
          <w:i w:val="1"/>
          <w:iCs w:val="1"/>
          <w:color w:val="auto"/>
        </w:rPr>
        <w:t>Any significant disruption in or unauthorized access to our computer systems or those of third parties that we utilize in our operations, including those relating to cybersecurity or arising from cyber attacks, could result in a loss or degradation of service, unauthorized disclosure of data, including member and corporate information, or theft of intellectual property which could adversely impact our business.</w:t>
      </w:r>
    </w:p>
    <w:p>
      <w:pPr>
        <w:spacing w:after="0" w:line="171"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Our business is dependent upon the reliable performance and security of our computer systems and those of third parties that we utilize in our operations. These systems may be subject to damage or interruption from, among other things, earthquakes, adverse weather conditions, other natural disasters, terrorist attacks, state sponsored attacks, rogue employees, power loss, telecommunications failures, and cybersecurity risks. Interruptions in these systems, or with the internet in general, could hinder our ability to operate. Service interruptions, errors in our software or the unavailability of computer systems used in our operations could diminish the overall attractiveness of our business.</w:t>
      </w:r>
    </w:p>
    <w:p>
      <w:pPr>
        <w:spacing w:after="0" w:line="164"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Our computer systems and those of third parties we use in our operations are subject to cybersecurity threats, including cyber attacks such as computer viruses, denial of service attacks, physical or electronic break ins and similar disruptions. Additionally, outside parties may attempt to induce or deceive employees or users to disclose sensitive or confidential information in order to gain access to data. Any attempt by hackers to obtain our data (including patient, clinical trial and corporate information) or intellectual property, disrupt our business, or otherwise access our systems, or those of third parties we use, if successful, could harm our business, be expensive to remedy and damage our reputation. We have implemented commercially reasonable systems and processes to thwart hackers and otherwise protect our data and systems, but the techniques used to gain unauthorized access to data and software are constantly evolving, and we may be unable to anticipate or prevent unauthorized access. There is no assurance that hackers may not have a material impact on our business or systems in the future. Efforts to prevent hackers from disrupting our service or otherwise accessing our systems are expensive to develop, implement and maintain. These efforts require ongoing monitoring and updating as technologies change and efforts to overcome security measures become more sophisticated, and such efforts may limit the functionality of or otherwise negatively impact our operations and systems. Any significant disruption to our systems could adversely affect our business and results of operation. Further, a penetration of our systems or a third party’s systems or other misappropriation or misuse of personal information could subject us to business, regulatory, litigation and reputation risk and divert internal resources to respond to such an event, which could have a negative effect on our business, financial condition and results of operations.</w:t>
      </w:r>
    </w:p>
    <w:p>
      <w:pPr>
        <w:spacing w:after="0" w:line="174"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We utilize our own communications and computer hardware systems located either in our facilities or in that of a third party provider. In addition, we utilize third party “cloud” computing services in connection with our business operations. Problems faced by us or our third party “cloud” computing or other network providers, including technological or business related disruptions, as well as natural disasters, cybersecurity threats and regulatory interference, could adversely impact the experience of our members.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648"/>
        <w:spacing w:after="0" w:line="381" w:lineRule="auto"/>
        <w:rPr>
          <w:sz w:val="20"/>
          <w:szCs w:val="20"/>
          <w:color w:val="auto"/>
        </w:rPr>
      </w:pPr>
      <w:r>
        <w:rPr>
          <w:rFonts w:ascii="Arial" w:cs="Arial" w:eastAsia="Arial" w:hAnsi="Arial"/>
          <w:sz w:val="15"/>
          <w:szCs w:val="15"/>
          <w:b w:val="1"/>
          <w:bCs w:val="1"/>
          <w:i w:val="1"/>
          <w:iCs w:val="1"/>
          <w:color w:val="auto"/>
        </w:rPr>
        <w:t>We and others are subject to a variety of laws, regulations, or industry standards, including with respect to cybersecurity, that may have a material adverse effect on our business, results of operations, or financial condition</w:t>
      </w:r>
    </w:p>
    <w:p>
      <w:pPr>
        <w:spacing w:after="0" w:line="100"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On March 9, 2022, the SEC issued a proposed rule intended to enhance and standardize disclosures regarding cybersecurity risk management, strategy, governance, and cybersecurity incident reporting by public companies, such as us, that are subject to the reporting requirements of the Securities Exchange Act of 1934. The proposed rule would require current reporting about material cybersecurity incidents and periodic disclosures about policies and procedures to identify and manage cybersecurity risks, management’s role in implementing cybersecurity policies and procedures, and the board of directors’ cybersecurity expertise and its oversight of cybersecurity risk.</w:t>
      </w:r>
    </w:p>
    <w:p>
      <w:pPr>
        <w:spacing w:after="0" w:line="178"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7"/>
          <w:szCs w:val="17"/>
          <w:color w:val="auto"/>
        </w:rPr>
        <w:t>To date, we have not experienced a significant compromise, significant data loss or any material financial losses related to cybersecurity attacks, but our systems and those of our customers and third-party service providers are under constant threat and it is possible that we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us and our customers.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April 2021, 42,800 shares of our common stock were vested pursuant to a stock grant agreement entered into in connection with the entry into the SADA License Agreement in April 2020. The issuance did not result in proceeds to the Company.</w:t>
      </w:r>
    </w:p>
    <w:p>
      <w:pPr>
        <w:spacing w:after="0" w:line="18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We deemed the issuances in the paragraphs above to be exempt from registration under the Securities Act either in reliance on Rule 701 of the Securities Act as sales and offers under compensatory benefit plans and contracts relating to compensation in compliance with Rule 701, or in reliance on Section 4(a)(2), as transactions by an issuer not involving a public offering. Each of the recipients of securities either received adequate information about our company or had access, through employment or other relationships, to such information. No underwriters were involved in the foregoing issuances of securities.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 of Our Public Offerings</w:t>
      </w:r>
    </w:p>
    <w:p>
      <w:pPr>
        <w:spacing w:after="0" w:line="22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On February 22, 2021, we completed a secondary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our secondary public offering of $115.0 million, or aggregate net proceeds of approximately $107.7 million after deducting underwriting discounts and commissions and offering expenses J.P. Morgan, Morgan Stanley and BofA Securities acted as joint book-running managers for the secondary public offering. Kempen &amp; Co. U.S.A. and H.C. Wainwright &amp; Co. acted as co-managers for the secondary public offering.</w:t>
      </w:r>
    </w:p>
    <w:p>
      <w:pPr>
        <w:spacing w:after="0" w:line="177"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None of the underwriting discounts and commissions or offering expenses were incurred or paid, directly or indirectly, to directors or officers of ours or their associates or to persons owning ten percent (10%) or more of our common stock or to any of our affiliates, and we have not used any of the net proceeds from the public offerings to make payments, directly or indirectly, to any such persons.</w:t>
      </w:r>
    </w:p>
    <w:p>
      <w:pPr>
        <w:spacing w:after="0" w:line="187"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We have invested the net proceeds from the public offerings in cash and cash equivalents. There has been no material change in our planned use of proceeds as described in our final prospectus filed pursuant to Rule 424(b)(5) under the Securities Act with the SEC on February 18, 2021.</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31, 2022, we had cash and cash equivalents of $156.7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Exhibit Index is incorporated herein by reference.</w:t>
      </w:r>
    </w:p>
    <w:p>
      <w:pPr>
        <w:spacing w:after="0" w:line="184" w:lineRule="exact"/>
        <w:rPr>
          <w:sz w:val="20"/>
          <w:szCs w:val="20"/>
          <w:color w:val="auto"/>
        </w:rPr>
      </w:pPr>
    </w:p>
    <w:p>
      <w:pPr>
        <w:ind w:left="1000" w:right="99" w:hanging="479"/>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25">
        <w:r>
          <w:rPr>
            <w:rFonts w:ascii="Arial" w:cs="Arial" w:eastAsia="Arial" w:hAnsi="Arial"/>
            <w:sz w:val="18"/>
            <w:szCs w:val="18"/>
            <w:u w:val="single" w:color="auto"/>
            <w:color w:val="0000EE"/>
          </w:rPr>
          <w:t>Amended and Restated Certificate of Incorporation of the Registrant (incorporated by reference to Exhibit 3.1</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to the Registrant’s Current Report on Form 8-K (File No. 001-38650) filed with the Securities and Exchange</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Commission on September 26, 2018)</w:t>
        </w:r>
      </w:hyperlink>
    </w:p>
    <w:p>
      <w:pPr>
        <w:spacing w:after="0" w:line="184" w:lineRule="exact"/>
        <w:rPr>
          <w:rFonts w:ascii="Arial" w:cs="Arial" w:eastAsia="Arial" w:hAnsi="Arial"/>
          <w:sz w:val="18"/>
          <w:szCs w:val="18"/>
          <w:u w:val="single" w:color="auto"/>
          <w:color w:val="0000EE"/>
        </w:rPr>
      </w:pPr>
    </w:p>
    <w:p>
      <w:pPr>
        <w:ind w:left="1000" w:right="179" w:hanging="479"/>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26">
        <w:r>
          <w:rPr>
            <w:rFonts w:ascii="Arial" w:cs="Arial" w:eastAsia="Arial" w:hAnsi="Arial"/>
            <w:sz w:val="18"/>
            <w:szCs w:val="18"/>
            <w:u w:val="single" w:color="auto"/>
            <w:color w:val="0000EE"/>
          </w:rPr>
          <w:t>Amended and Restated Bylaws of the Registrant (incorporated by reference to Exhibit 3.4 to the Registrant’s</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Current Report on Form 8-K (File No. 001-38650) filed with the Securities and Exchange Commission on</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September 26, 2018)</w:t>
        </w:r>
      </w:hyperlink>
    </w:p>
    <w:p>
      <w:pPr>
        <w:spacing w:after="0" w:line="184" w:lineRule="exact"/>
        <w:rPr>
          <w:rFonts w:ascii="Arial" w:cs="Arial" w:eastAsia="Arial" w:hAnsi="Arial"/>
          <w:sz w:val="18"/>
          <w:szCs w:val="18"/>
          <w:u w:val="single" w:color="auto"/>
          <w:color w:val="0000EE"/>
        </w:rPr>
      </w:pPr>
    </w:p>
    <w:p>
      <w:pPr>
        <w:ind w:left="1000" w:right="119" w:hanging="568"/>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27">
        <w:r>
          <w:rPr>
            <w:rFonts w:ascii="Arial" w:cs="Arial" w:eastAsia="Arial" w:hAnsi="Arial"/>
            <w:sz w:val="18"/>
            <w:szCs w:val="18"/>
            <w:u w:val="single" w:color="auto"/>
            <w:color w:val="0000EE"/>
          </w:rPr>
          <w:t>2018 Equity Incentive Plan (incorporated by reference to Exhibit 10.9 to the Registrant’s Registration</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Statement on Form S-1 (File No. 333-226999) filed with the Securities and Exchange Commission on August</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24, 2018)</w:t>
        </w:r>
      </w:hyperlink>
    </w:p>
    <w:p>
      <w:pPr>
        <w:spacing w:after="0" w:line="184" w:lineRule="exact"/>
        <w:rPr>
          <w:rFonts w:ascii="Arial" w:cs="Arial" w:eastAsia="Arial" w:hAnsi="Arial"/>
          <w:sz w:val="18"/>
          <w:szCs w:val="18"/>
          <w:u w:val="single" w:color="auto"/>
          <w:color w:val="0000EE"/>
        </w:rPr>
      </w:pPr>
    </w:p>
    <w:p>
      <w:pPr>
        <w:ind w:left="1000" w:right="199" w:hanging="568"/>
        <w:spacing w:after="0" w:line="286"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10.2</w:t>
      </w:r>
      <w:r>
        <w:rPr>
          <w:sz w:val="20"/>
          <w:szCs w:val="20"/>
          <w:color w:val="auto"/>
        </w:rPr>
        <w:tab/>
      </w:r>
      <w:hyperlink r:id="rId128">
        <w:r>
          <w:rPr>
            <w:rFonts w:ascii="Arial" w:cs="Arial" w:eastAsia="Arial" w:hAnsi="Arial"/>
            <w:sz w:val="17"/>
            <w:szCs w:val="17"/>
            <w:u w:val="single" w:color="auto"/>
            <w:color w:val="0000EE"/>
          </w:rPr>
          <w:t>Form of Stock Option Grant Notice and Stock Option Agreement under the 2018 Equity Incentive Plan</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(incorporated by reference to Exhibit 10.10 to the Registrant’s Registration Statement on Form S-1 (File No.</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333-226999) filed with the Securities and Exchange Commission on August 24, 2018)</w:t>
        </w:r>
      </w:hyperlink>
    </w:p>
    <w:p>
      <w:pPr>
        <w:spacing w:after="0" w:line="165" w:lineRule="exact"/>
        <w:rPr>
          <w:rFonts w:ascii="Arial" w:cs="Arial" w:eastAsia="Arial" w:hAnsi="Arial"/>
          <w:sz w:val="17"/>
          <w:szCs w:val="17"/>
          <w:u w:val="single" w:color="auto"/>
          <w:color w:val="0000EE"/>
        </w:rPr>
      </w:pPr>
    </w:p>
    <w:p>
      <w:pPr>
        <w:jc w:val="both"/>
        <w:ind w:left="1000" w:right="119" w:hanging="568"/>
        <w:spacing w:after="0" w:line="311"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29">
        <w:r>
          <w:rPr>
            <w:rFonts w:ascii="Arial" w:cs="Arial" w:eastAsia="Arial" w:hAnsi="Arial"/>
            <w:sz w:val="16"/>
            <w:szCs w:val="16"/>
            <w:u w:val="single" w:color="auto"/>
            <w:color w:val="0000EE"/>
          </w:rPr>
          <w:t>Form of Restricted Stock Award Grant Notice and Restricted Stock Award Agreement under the 2018 Equity</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Incentive Plan (incorporated by reference to Exhibit 10.16 to the Registrant’s Registration Statement on Form</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S-1 (File No. 333-226999) filed with the Securities and Exchange Commission on August 24, 2018)</w:t>
        </w:r>
      </w:hyperlink>
    </w:p>
    <w:p>
      <w:pPr>
        <w:spacing w:after="0" w:line="149" w:lineRule="exact"/>
        <w:rPr>
          <w:rFonts w:ascii="Arial" w:cs="Arial" w:eastAsia="Arial" w:hAnsi="Arial"/>
          <w:sz w:val="16"/>
          <w:szCs w:val="16"/>
          <w:u w:val="single" w:color="auto"/>
          <w:color w:val="0000EE"/>
        </w:rPr>
      </w:pPr>
    </w:p>
    <w:p>
      <w:pPr>
        <w:ind w:left="1000" w:right="119" w:hanging="568"/>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30">
        <w:r>
          <w:rPr>
            <w:rFonts w:ascii="Arial" w:cs="Arial" w:eastAsia="Arial" w:hAnsi="Arial"/>
            <w:sz w:val="18"/>
            <w:szCs w:val="18"/>
            <w:u w:val="single" w:color="auto"/>
            <w:color w:val="0000EE"/>
          </w:rPr>
          <w:t>Form of Restricted Stock Unit Award Grant Notice and Restricted Stock Unit Award Agreement under the</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2018 Equity Incentive Plan (incorporated by reference to Exhibit 10.17 to the Registrant’s Registration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Statement on Form S-1 (File No. 333-226999) filed with the Securities and Exchange Commission on August</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24, 2018)</w:t>
        </w:r>
      </w:hyperlink>
    </w:p>
    <w:p>
      <w:pPr>
        <w:spacing w:after="0" w:line="187" w:lineRule="exact"/>
        <w:rPr>
          <w:rFonts w:ascii="Arial" w:cs="Arial" w:eastAsia="Arial" w:hAnsi="Arial"/>
          <w:sz w:val="18"/>
          <w:szCs w:val="18"/>
          <w:u w:val="single" w:color="auto"/>
          <w:color w:val="0000EE"/>
        </w:rPr>
      </w:pPr>
    </w:p>
    <w:p>
      <w:pPr>
        <w:ind w:left="1000" w:right="159" w:hanging="568"/>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31">
        <w:r>
          <w:rPr>
            <w:rFonts w:ascii="Arial" w:cs="Arial" w:eastAsia="Arial" w:hAnsi="Arial"/>
            <w:sz w:val="18"/>
            <w:szCs w:val="18"/>
            <w:u w:val="single" w:color="auto"/>
            <w:color w:val="0000EE"/>
          </w:rPr>
          <w:t>Non-Employee Director Compensation Policy (incorporated by reference to Exhibit 10.18 to the Registrant’s</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Registration Statement on Form S-1 (File No. 333-226999) filed with the Securities and Exchange</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Commission on August 24, 2018) 2018</w:t>
        </w:r>
      </w:hyperlink>
    </w:p>
    <w:p>
      <w:pPr>
        <w:spacing w:after="0" w:line="184" w:lineRule="exact"/>
        <w:rPr>
          <w:rFonts w:ascii="Arial" w:cs="Arial" w:eastAsia="Arial" w:hAnsi="Arial"/>
          <w:sz w:val="18"/>
          <w:szCs w:val="18"/>
          <w:u w:val="single" w:color="auto"/>
          <w:color w:val="0000EE"/>
        </w:rPr>
      </w:pPr>
    </w:p>
    <w:p>
      <w:pPr>
        <w:jc w:val="both"/>
        <w:ind w:left="1000" w:right="859" w:hanging="568"/>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32">
        <w:r>
          <w:rPr>
            <w:rFonts w:ascii="Arial" w:cs="Arial" w:eastAsia="Arial" w:hAnsi="Arial"/>
            <w:sz w:val="18"/>
            <w:szCs w:val="18"/>
            <w:u w:val="single" w:color="auto"/>
            <w:color w:val="0000EE"/>
          </w:rPr>
          <w:t>2018 Employee Stock Purchase Plan (incorporated by reference to Exhibit 10.19 to the Registrant’s</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Registration Statement on Form S-1 (File No. 333-226999) filed with the Securities and Exchange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Commission on August 24, 2018)</w:t>
        </w:r>
      </w:hyperlink>
    </w:p>
    <w:p>
      <w:pPr>
        <w:spacing w:after="0" w:line="184" w:lineRule="exact"/>
        <w:rPr>
          <w:rFonts w:ascii="Arial" w:cs="Arial" w:eastAsia="Arial" w:hAnsi="Arial"/>
          <w:sz w:val="18"/>
          <w:szCs w:val="18"/>
          <w:u w:val="single" w:color="auto"/>
          <w:color w:val="0000EE"/>
        </w:rPr>
      </w:pPr>
    </w:p>
    <w:p>
      <w:pPr>
        <w:ind w:left="34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w:anchor="page112">
        <w:r>
          <w:rPr>
            <w:rFonts w:ascii="Arial" w:cs="Arial" w:eastAsia="Arial" w:hAnsi="Arial"/>
            <w:sz w:val="16"/>
            <w:szCs w:val="16"/>
            <w:u w:val="single" w:color="auto"/>
            <w:color w:val="0000EE"/>
          </w:rPr>
          <w:t>Amendment No. 2, dated March 18, 2021 to License Agreement, dated as of August 20, 2015 between</w:t>
        </w:r>
      </w:hyperlink>
    </w:p>
    <w:p>
      <w:pPr>
        <w:spacing w:after="0" w:line="23" w:lineRule="exact"/>
        <w:rPr>
          <w:rFonts w:ascii="Arial" w:cs="Arial" w:eastAsia="Arial" w:hAnsi="Arial"/>
          <w:sz w:val="18"/>
          <w:szCs w:val="18"/>
          <w:u w:val="single" w:color="auto"/>
          <w:color w:val="0000EE"/>
        </w:rPr>
      </w:pPr>
    </w:p>
    <w:p>
      <w:pPr>
        <w:ind w:left="1000" w:hanging="457"/>
        <w:spacing w:after="0"/>
        <w:tabs>
          <w:tab w:leader="none" w:pos="1000" w:val="left"/>
        </w:tabs>
        <w:numPr>
          <w:ilvl w:val="0"/>
          <w:numId w:val="63"/>
        </w:numPr>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Registrant and Memorial Sloan Kettering Cancer Center.</w:t>
        </w:r>
      </w:hyperlink>
    </w:p>
    <w:p>
      <w:pPr>
        <w:spacing w:after="0" w:line="211" w:lineRule="exact"/>
        <w:rPr>
          <w:rFonts w:ascii="Arial" w:cs="Arial" w:eastAsia="Arial" w:hAnsi="Arial"/>
          <w:sz w:val="18"/>
          <w:szCs w:val="18"/>
          <w:u w:val="single" w:color="auto"/>
          <w:color w:val="0000EE"/>
        </w:rPr>
      </w:pPr>
    </w:p>
    <w:p>
      <w:pPr>
        <w:ind w:left="34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w:anchor="page116">
        <w:r>
          <w:rPr>
            <w:rFonts w:ascii="Arial" w:cs="Arial" w:eastAsia="Arial" w:hAnsi="Arial"/>
            <w:sz w:val="16"/>
            <w:szCs w:val="16"/>
            <w:u w:val="single" w:color="auto"/>
            <w:color w:val="0000EE"/>
          </w:rPr>
          <w:t>Employment Agreement for Dr. Steen Lisby, effective as of August 1, 2017.</w:t>
        </w:r>
      </w:hyperlink>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34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w:anchor="page127">
        <w:r>
          <w:rPr>
            <w:rFonts w:ascii="Arial" w:cs="Arial" w:eastAsia="Arial" w:hAnsi="Arial"/>
            <w:sz w:val="16"/>
            <w:szCs w:val="16"/>
            <w:u w:val="single" w:color="auto"/>
            <w:color w:val="0000EE"/>
          </w:rPr>
          <w:t>Amendment to Employment Agreement for Dr. Steen Lisby, effective as of June 1, 2020.</w:t>
        </w:r>
      </w:hyperlink>
    </w:p>
    <w:p>
      <w:pPr>
        <w:spacing w:after="0" w:line="225" w:lineRule="exact"/>
        <w:rPr>
          <w:rFonts w:ascii="Arial" w:cs="Arial" w:eastAsia="Arial" w:hAnsi="Arial"/>
          <w:sz w:val="18"/>
          <w:szCs w:val="18"/>
          <w:u w:val="single" w:color="auto"/>
          <w:color w:val="0000EE"/>
        </w:rPr>
      </w:pPr>
    </w:p>
    <w:p>
      <w:pPr>
        <w:ind w:left="26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w:anchor="page131">
        <w:r>
          <w:rPr>
            <w:rFonts w:ascii="Arial" w:cs="Arial" w:eastAsia="Arial" w:hAnsi="Arial"/>
            <w:sz w:val="16"/>
            <w:szCs w:val="16"/>
            <w:u w:val="single" w:color="auto"/>
            <w:color w:val="0000EE"/>
          </w:rPr>
          <w:t>Employment Agreement for Dr. Vignesh Rajah, effective as of June 2, 2020.</w:t>
        </w:r>
      </w:hyperlink>
    </w:p>
    <w:p>
      <w:pPr>
        <w:spacing w:after="0" w:line="225" w:lineRule="exact"/>
        <w:rPr>
          <w:rFonts w:ascii="Arial" w:cs="Arial" w:eastAsia="Arial" w:hAnsi="Arial"/>
          <w:sz w:val="18"/>
          <w:szCs w:val="18"/>
          <w:u w:val="single" w:color="auto"/>
          <w:color w:val="0000EE"/>
        </w:rPr>
      </w:pPr>
    </w:p>
    <w:p>
      <w:pPr>
        <w:ind w:left="26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w:anchor="page141">
        <w:r>
          <w:rPr>
            <w:rFonts w:ascii="Arial" w:cs="Arial" w:eastAsia="Arial" w:hAnsi="Arial"/>
            <w:sz w:val="16"/>
            <w:szCs w:val="16"/>
            <w:u w:val="single" w:color="auto"/>
            <w:color w:val="0000EE"/>
          </w:rPr>
          <w:t>Amendment to Employment Agreement for Dr. Vignesh Rajah, effective as of March 10, 2021.</w:t>
        </w:r>
      </w:hyperlink>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1000" w:right="359" w:hanging="658"/>
        <w:spacing w:after="0" w:line="342"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44">
        <w:r>
          <w:rPr>
            <w:rFonts w:ascii="Arial" w:cs="Arial" w:eastAsia="Arial" w:hAnsi="Arial"/>
            <w:sz w:val="16"/>
            <w:szCs w:val="16"/>
            <w:u w:val="single" w:color="auto"/>
            <w:color w:val="0000EE"/>
          </w:rPr>
          <w:t>Certification of Principal Executive Officer pursuant to Rule 13a-14(a) or Rule 15d-14(a) of the Securities</w:t>
        </w:r>
      </w:hyperlink>
      <w:r>
        <w:rPr>
          <w:rFonts w:ascii="Arial" w:cs="Arial" w:eastAsia="Arial" w:hAnsi="Arial"/>
          <w:sz w:val="16"/>
          <w:szCs w:val="16"/>
          <w:u w:val="single" w:color="auto"/>
          <w:color w:val="0000EE"/>
        </w:rPr>
        <w:t xml:space="preserve"> </w:t>
      </w:r>
      <w:hyperlink w:anchor="page144">
        <w:r>
          <w:rPr>
            <w:rFonts w:ascii="Arial" w:cs="Arial" w:eastAsia="Arial" w:hAnsi="Arial"/>
            <w:sz w:val="16"/>
            <w:szCs w:val="16"/>
            <w:u w:val="single" w:color="auto"/>
            <w:color w:val="0000EE"/>
          </w:rPr>
          <w:t>Exchange Act of 1934, as adopted pursuant to Section 302 of the Sarbanes-Oxley Act of 2002</w:t>
        </w:r>
      </w:hyperlink>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31.2*</w:t>
            </w:r>
          </w:p>
        </w:tc>
        <w:tc>
          <w:tcPr>
            <w:tcW w:w="7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45">
              <w:r>
                <w:rPr>
                  <w:rFonts w:ascii="Arial" w:cs="Arial" w:eastAsia="Arial" w:hAnsi="Arial"/>
                  <w:sz w:val="18"/>
                  <w:szCs w:val="18"/>
                  <w:color w:val="0000EE"/>
                  <w:w w:val="91"/>
                </w:rPr>
                <w:t>Certification of Principal Financial Officer pursuant to Rule 13a-14(a) or Rule 15d-14(a) of the Securities</w:t>
              </w:r>
            </w:hyperlink>
          </w:p>
        </w:tc>
      </w:tr>
      <w:tr>
        <w:trPr>
          <w:trHeight w:val="196"/>
        </w:trPr>
        <w:tc>
          <w:tcPr>
            <w:tcW w:w="940" w:type="dxa"/>
            <w:vAlign w:val="bottom"/>
          </w:tcPr>
          <w:p>
            <w:pPr>
              <w:spacing w:after="0"/>
              <w:rPr>
                <w:sz w:val="17"/>
                <w:szCs w:val="17"/>
                <w:color w:val="auto"/>
              </w:rPr>
            </w:pPr>
          </w:p>
        </w:tc>
        <w:tc>
          <w:tcPr>
            <w:tcW w:w="67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45">
              <w:r>
                <w:rPr>
                  <w:rFonts w:ascii="Arial" w:cs="Arial" w:eastAsia="Arial" w:hAnsi="Arial"/>
                  <w:sz w:val="18"/>
                  <w:szCs w:val="18"/>
                  <w:color w:val="0000EE"/>
                  <w:w w:val="90"/>
                </w:rPr>
                <w:t>Exchange Act of 1934, as adopted pursuant to Section 302 of the Sarbanes-Oxley Act of 2002</w:t>
              </w:r>
            </w:hyperlink>
          </w:p>
        </w:tc>
        <w:tc>
          <w:tcPr>
            <w:tcW w:w="820" w:type="dxa"/>
            <w:vAlign w:val="bottom"/>
            <w:gridSpan w:val="3"/>
          </w:tcPr>
          <w:p>
            <w:pPr>
              <w:spacing w:after="0"/>
              <w:rPr>
                <w:sz w:val="17"/>
                <w:szCs w:val="17"/>
                <w:color w:val="auto"/>
              </w:rPr>
            </w:pPr>
          </w:p>
        </w:tc>
      </w:tr>
      <w:tr>
        <w:trPr>
          <w:trHeight w:val="412"/>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32.1+</w:t>
            </w:r>
          </w:p>
        </w:tc>
        <w:tc>
          <w:tcPr>
            <w:tcW w:w="7600" w:type="dxa"/>
            <w:vAlign w:val="bottom"/>
            <w:gridSpan w:val="6"/>
          </w:tcPr>
          <w:p>
            <w:pPr>
              <w:spacing w:after="0"/>
              <w:rPr>
                <w:rFonts w:ascii="Arial" w:cs="Arial" w:eastAsia="Arial" w:hAnsi="Arial"/>
                <w:sz w:val="18"/>
                <w:szCs w:val="18"/>
                <w:color w:val="0000EE"/>
                <w:w w:val="93"/>
              </w:rPr>
            </w:pPr>
            <w:hyperlink w:anchor="page146">
              <w:r>
                <w:rPr>
                  <w:rFonts w:ascii="Arial" w:cs="Arial" w:eastAsia="Arial" w:hAnsi="Arial"/>
                  <w:sz w:val="18"/>
                  <w:szCs w:val="18"/>
                  <w:color w:val="0000EE"/>
                  <w:w w:val="93"/>
                </w:rPr>
                <w:t>Certification of Principal Executive Officer pursuant to 18 U.S.C. Section 1350, as adopted pursuant to</w:t>
              </w:r>
            </w:hyperlink>
          </w:p>
        </w:tc>
      </w:tr>
      <w:tr>
        <w:trPr>
          <w:trHeight w:val="196"/>
        </w:trPr>
        <w:tc>
          <w:tcPr>
            <w:tcW w:w="9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46">
              <w:r>
                <w:rPr>
                  <w:rFonts w:ascii="Arial" w:cs="Arial" w:eastAsia="Arial" w:hAnsi="Arial"/>
                  <w:sz w:val="18"/>
                  <w:szCs w:val="18"/>
                  <w:color w:val="0000EE"/>
                  <w:w w:val="91"/>
                </w:rPr>
                <w:t>Section 906 of the Sarbanes-Oxley Act of 2002</w:t>
              </w:r>
            </w:hyperlink>
          </w:p>
        </w:tc>
        <w:tc>
          <w:tcPr>
            <w:tcW w:w="3980" w:type="dxa"/>
            <w:vAlign w:val="bottom"/>
            <w:tcBorders>
              <w:top w:val="single" w:sz="8" w:color="0000EE"/>
            </w:tcBorders>
            <w:gridSpan w:val="3"/>
          </w:tcPr>
          <w:p>
            <w:pPr>
              <w:spacing w:after="0"/>
              <w:rPr>
                <w:sz w:val="17"/>
                <w:szCs w:val="17"/>
                <w:color w:val="auto"/>
              </w:rPr>
            </w:pPr>
          </w:p>
        </w:tc>
        <w:tc>
          <w:tcPr>
            <w:tcW w:w="180" w:type="dxa"/>
            <w:vAlign w:val="bottom"/>
          </w:tcPr>
          <w:p>
            <w:pPr>
              <w:spacing w:after="0"/>
              <w:rPr>
                <w:sz w:val="17"/>
                <w:szCs w:val="17"/>
                <w:color w:val="auto"/>
              </w:rPr>
            </w:pPr>
          </w:p>
        </w:tc>
      </w:tr>
      <w:tr>
        <w:trPr>
          <w:trHeight w:val="412"/>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32.2+</w:t>
            </w:r>
          </w:p>
        </w:tc>
        <w:tc>
          <w:tcPr>
            <w:tcW w:w="73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7">
              <w:r>
                <w:rPr>
                  <w:rFonts w:ascii="Arial" w:cs="Arial" w:eastAsia="Arial" w:hAnsi="Arial"/>
                  <w:sz w:val="18"/>
                  <w:szCs w:val="18"/>
                  <w:color w:val="0000EE"/>
                  <w:w w:val="91"/>
                </w:rPr>
                <w:t>Certification of Principal Financial Officer pursuant to 18 U.S.C. Section 1350, as adopted pursuant to</w:t>
              </w:r>
            </w:hyperlink>
          </w:p>
        </w:tc>
        <w:tc>
          <w:tcPr>
            <w:tcW w:w="220" w:type="dxa"/>
            <w:vAlign w:val="bottom"/>
            <w:gridSpan w:val="2"/>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34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Section 906 of the Sarbanes-Oxley Act of 2002</w:t>
              </w:r>
            </w:hyperlink>
          </w:p>
        </w:tc>
        <w:tc>
          <w:tcPr>
            <w:tcW w:w="4180" w:type="dxa"/>
            <w:vAlign w:val="bottom"/>
            <w:gridSpan w:val="5"/>
          </w:tcPr>
          <w:p>
            <w:pPr>
              <w:spacing w:after="0"/>
              <w:rPr>
                <w:sz w:val="17"/>
                <w:szCs w:val="17"/>
                <w:color w:val="auto"/>
              </w:rPr>
            </w:pPr>
          </w:p>
        </w:tc>
      </w:tr>
      <w:tr>
        <w:trPr>
          <w:trHeight w:val="453"/>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760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76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76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6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6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6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000" w:right="119" w:hanging="944"/>
        <w:spacing w:after="0" w:line="277" w:lineRule="auto"/>
        <w:tabs>
          <w:tab w:leader="none" w:pos="10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70"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-190500</wp:posOffset>
            </wp:positionV>
            <wp:extent cx="14141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19" w:lineRule="exact"/>
        <w:rPr>
          <w:sz w:val="20"/>
          <w:szCs w:val="20"/>
          <w:color w:val="auto"/>
        </w:rPr>
      </w:pPr>
    </w:p>
    <w:p>
      <w:pPr>
        <w:ind w:left="400" w:hanging="350"/>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ind w:left="400" w:right="799" w:hanging="350"/>
        <w:spacing w:after="0" w:line="277" w:lineRule="auto"/>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Portions of the exhibit have been omitted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40" w:type="dxa"/>
            <w:vAlign w:val="bottom"/>
            <w:gridSpan w:val="2"/>
          </w:tcPr>
          <w:p>
            <w:pPr>
              <w:ind w:left="1500"/>
              <w:spacing w:after="0"/>
              <w:rPr>
                <w:sz w:val="20"/>
                <w:szCs w:val="20"/>
                <w:color w:val="auto"/>
              </w:rPr>
            </w:pPr>
            <w:r>
              <w:rPr>
                <w:rFonts w:ascii="Arial" w:cs="Arial" w:eastAsia="Arial" w:hAnsi="Arial"/>
                <w:sz w:val="18"/>
                <w:szCs w:val="18"/>
                <w:b w:val="1"/>
                <w:bCs w:val="1"/>
                <w:color w:val="auto"/>
              </w:rPr>
              <w:t>Y-MABS THERAPEUTICS, INC.</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Dated: May 9, 2022</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Thomas Gad</w:t>
            </w:r>
          </w:p>
        </w:tc>
      </w:tr>
      <w:tr>
        <w:trPr>
          <w:trHeight w:val="195"/>
        </w:trPr>
        <w:tc>
          <w:tcPr>
            <w:tcW w:w="2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Thomas Gad</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Title:Founder, President, Interim Chief Executive</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380"/>
              <w:spacing w:after="0"/>
              <w:rPr>
                <w:sz w:val="20"/>
                <w:szCs w:val="20"/>
                <w:color w:val="auto"/>
              </w:rPr>
            </w:pPr>
            <w:r>
              <w:rPr>
                <w:rFonts w:ascii="Arial" w:cs="Arial" w:eastAsia="Arial" w:hAnsi="Arial"/>
                <w:sz w:val="18"/>
                <w:szCs w:val="18"/>
                <w:color w:val="auto"/>
                <w:w w:val="99"/>
              </w:rPr>
              <w:t>Officer and Head of Business Development and</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380"/>
              <w:spacing w:after="0"/>
              <w:rPr>
                <w:sz w:val="20"/>
                <w:szCs w:val="20"/>
                <w:color w:val="auto"/>
              </w:rPr>
            </w:pPr>
            <w:r>
              <w:rPr>
                <w:rFonts w:ascii="Arial" w:cs="Arial" w:eastAsia="Arial" w:hAnsi="Arial"/>
                <w:sz w:val="18"/>
                <w:szCs w:val="18"/>
                <w:color w:val="auto"/>
              </w:rPr>
              <w:t>Strategy</w:t>
            </w:r>
          </w:p>
        </w:tc>
      </w:tr>
      <w:tr>
        <w:trPr>
          <w:trHeight w:val="230"/>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380"/>
              <w:spacing w:after="0"/>
              <w:rPr>
                <w:sz w:val="20"/>
                <w:szCs w:val="20"/>
                <w:color w:val="auto"/>
              </w:rPr>
            </w:pPr>
            <w:r>
              <w:rPr>
                <w:rFonts w:ascii="Arial" w:cs="Arial" w:eastAsia="Arial" w:hAnsi="Arial"/>
                <w:sz w:val="18"/>
                <w:szCs w:val="18"/>
                <w:color w:val="auto"/>
              </w:rPr>
              <w:t>(Principal Executive Officer)</w:t>
            </w:r>
          </w:p>
        </w:tc>
      </w:tr>
      <w:tr>
        <w:trPr>
          <w:trHeight w:val="648"/>
        </w:trPr>
        <w:tc>
          <w:tcPr>
            <w:tcW w:w="2960" w:type="dxa"/>
            <w:vAlign w:val="bottom"/>
          </w:tcPr>
          <w:p>
            <w:pPr>
              <w:spacing w:after="0"/>
              <w:rPr>
                <w:sz w:val="20"/>
                <w:szCs w:val="20"/>
                <w:color w:val="auto"/>
              </w:rPr>
            </w:pPr>
            <w:r>
              <w:rPr>
                <w:rFonts w:ascii="Arial" w:cs="Arial" w:eastAsia="Arial" w:hAnsi="Arial"/>
                <w:sz w:val="18"/>
                <w:szCs w:val="18"/>
                <w:color w:val="auto"/>
              </w:rPr>
              <w:t>Dated: May 9, 2022</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Bo Kruse</w:t>
            </w:r>
          </w:p>
        </w:tc>
      </w:tr>
      <w:tr>
        <w:trPr>
          <w:trHeight w:val="195"/>
        </w:trPr>
        <w:tc>
          <w:tcPr>
            <w:tcW w:w="2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46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right="860"/>
        <w:spacing w:after="0" w:line="277" w:lineRule="auto"/>
        <w:rPr>
          <w:sz w:val="20"/>
          <w:szCs w:val="20"/>
          <w:color w:val="auto"/>
        </w:rPr>
      </w:pPr>
      <w:r>
        <w:rPr>
          <w:rFonts w:ascii="Arial" w:cs="Arial" w:eastAsia="Arial" w:hAnsi="Arial"/>
          <w:sz w:val="18"/>
          <w:szCs w:val="18"/>
          <w:color w:val="auto"/>
        </w:rPr>
        <w:t>Certain information (marked as [***]) has been excluded from this exhibit because it is both (i) not material and (ii) would be competitively harmful if publicly disclosed.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911225</wp:posOffset>
            </wp:positionV>
            <wp:extent cx="56146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928370</wp:posOffset>
            </wp:positionV>
            <wp:extent cx="56146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to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LICENSE AGREEMENT DATED AS OF MARCH 18,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MEMORIAL SLOAN-KETTERING CANCER CENTER</w:t>
      </w:r>
    </w:p>
    <w:p>
      <w:pPr>
        <w:spacing w:after="0" w:line="206"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Y-MABS THERAPEUTICS,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DATED: 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1433830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791210</wp:posOffset>
            </wp:positionV>
            <wp:extent cx="56146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808355</wp:posOffset>
            </wp:positionV>
            <wp:extent cx="56146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2" w:name="page113"/>
    <w:bookmarkEnd w:id="112"/>
    <w:p>
      <w:pPr>
        <w:ind w:right="860"/>
        <w:spacing w:after="0" w:line="277" w:lineRule="auto"/>
        <w:rPr>
          <w:sz w:val="20"/>
          <w:szCs w:val="20"/>
          <w:color w:val="auto"/>
        </w:rPr>
      </w:pPr>
      <w:r>
        <w:rPr>
          <w:rFonts w:ascii="Arial" w:cs="Arial" w:eastAsia="Arial" w:hAnsi="Arial"/>
          <w:sz w:val="18"/>
          <w:szCs w:val="18"/>
          <w:color w:val="auto"/>
        </w:rPr>
        <w:t>Certain information (marked as [***]) has been excluded from this exhibit because it is both (i) not material and (ii) would be competitively harmful if publicly disclosed.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LICENSE AGREEMENT</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This Amendment No. 2 dated February </w:t>
      </w:r>
      <w:r>
        <w:rPr>
          <w:rFonts w:ascii="Arial" w:cs="Arial" w:eastAsia="Arial" w:hAnsi="Arial"/>
          <w:sz w:val="19"/>
          <w:szCs w:val="19"/>
          <w:u w:val="single" w:color="auto"/>
          <w:color w:val="auto"/>
        </w:rPr>
        <w:t>11</w:t>
      </w:r>
      <w:r>
        <w:rPr>
          <w:rFonts w:ascii="Arial" w:cs="Arial" w:eastAsia="Arial" w:hAnsi="Arial"/>
          <w:sz w:val="19"/>
          <w:szCs w:val="19"/>
          <w:color w:val="auto"/>
        </w:rPr>
        <w:t>, 2022 (the “Amendment”), is made to that certain License Agreement dated August 20, 2015, as amended on March 18, 2021 (the “License Agreement”), by and between Memorial Sloan Kettering Cancer Center (“MSK”), a New York not-for-profit corporation, with its principal offices at 1275 York Avenue, New York, NY 10065; and Y-mAbs Therapeutics, Inc., a Delaware corporation, with its principal offices located at 230 Park Avenue, Suite 3350, New York, NY 10169 (“LICENSEE”). MSK and LICENSEE are sometimes referred to herein singly as a “Party” and collectively as “Parties”.</w:t>
      </w:r>
    </w:p>
    <w:p>
      <w:pPr>
        <w:spacing w:after="0" w:line="150"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All capitalized terms not otherwise defined herein shall have the meanings assigned to them in the License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8"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1"/>
          <w:szCs w:val="21"/>
          <w:color w:val="auto"/>
        </w:rPr>
        <w:t>WHEREAS, MSK and LICENSEE have previously entered into the License Agreement, pursuant to which, among other things, MSK has granted licenses under certain Licensed Rights to LICENSEE;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WHEREAS, MSK has generated a new invention covering a method for [***] (“[***] Invention”);</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MSK desires to have the [***] Invention utilized in the public interest and is willing to grant licenses to its interests thereunder;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LICENSEE desires to obtain an exclusive license to MSK’s interest in the patents directed to the [***] Invention; and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upon the terms and conditions set forth herein, MSK desires to grant, and LICENSEE desires to accept, a license under certain of its interests in the Modak Invention.</w:t>
      </w:r>
    </w:p>
    <w:p>
      <w:pPr>
        <w:spacing w:after="0" w:line="17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NOW THEREFORE, in consideration of the mutual premises and mutual covenants contained herein and other good and valuable consideration, the receipt and sufficiency of which are hereby acknowledged, the Parties hereto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 AMENDMENT</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Exhibit A to the License Agreement is hereby supplemented by Supplement 1 to Exhibit A, which</w:t>
      </w:r>
      <w:r>
        <w:rPr>
          <w:rFonts w:ascii="Arial" w:cs="Arial" w:eastAsia="Arial" w:hAnsi="Arial"/>
          <w:sz w:val="22"/>
          <w:szCs w:val="22"/>
          <w:b w:val="1"/>
          <w:bCs w:val="1"/>
          <w:color w:val="auto"/>
        </w:rPr>
        <w:t xml:space="preserve"> </w:t>
      </w:r>
      <w:r>
        <w:rPr>
          <w:rFonts w:ascii="Arial" w:cs="Arial" w:eastAsia="Arial" w:hAnsi="Arial"/>
          <w:sz w:val="22"/>
          <w:szCs w:val="22"/>
          <w:color w:val="auto"/>
        </w:rPr>
        <w:t>is annexed to this Amendment as Attachment 1.</w:t>
      </w:r>
    </w:p>
    <w:p>
      <w:pPr>
        <w:spacing w:after="0" w:line="37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color w:val="333333"/>
        </w:rPr>
        <w:t>The following is added as a new last sentence of Article 7.1:</w:t>
      </w:r>
    </w:p>
    <w:p>
      <w:pPr>
        <w:spacing w:after="0" w:line="212" w:lineRule="exact"/>
        <w:rPr>
          <w:sz w:val="20"/>
          <w:szCs w:val="20"/>
          <w:color w:val="auto"/>
        </w:rPr>
      </w:pPr>
    </w:p>
    <w:p>
      <w:pPr>
        <w:ind w:left="1020" w:right="140"/>
        <w:spacing w:after="0" w:line="249" w:lineRule="auto"/>
        <w:rPr>
          <w:sz w:val="20"/>
          <w:szCs w:val="20"/>
          <w:color w:val="auto"/>
        </w:rPr>
      </w:pPr>
      <w:r>
        <w:rPr>
          <w:rFonts w:ascii="Arial" w:cs="Arial" w:eastAsia="Arial" w:hAnsi="Arial"/>
          <w:sz w:val="21"/>
          <w:szCs w:val="21"/>
          <w:color w:val="auto"/>
        </w:rPr>
        <w:t>“LICENSEE shall reimburse MSK in the amount of up to $[***] for all historic patent costs relating to the patents and patent applications added to the License Agreement by Amendment No. 2 thereto, within [***] days of the effective date of Amendment No. 2 or, for patent costs that have been incurred but not billed to MSK prior to the effective date of the Amendment No. 2, LICENSEE shall pay within [***] days of receiving in invoice from MSK. ”</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3" w:name="page114"/>
    <w:bookmarkEnd w:id="113"/>
    <w:p>
      <w:pPr>
        <w:ind w:right="860"/>
        <w:spacing w:after="0" w:line="277" w:lineRule="auto"/>
        <w:rPr>
          <w:sz w:val="20"/>
          <w:szCs w:val="20"/>
          <w:color w:val="auto"/>
        </w:rPr>
      </w:pPr>
      <w:r>
        <w:rPr>
          <w:rFonts w:ascii="Arial" w:cs="Arial" w:eastAsia="Arial" w:hAnsi="Arial"/>
          <w:sz w:val="18"/>
          <w:szCs w:val="18"/>
          <w:color w:val="auto"/>
        </w:rPr>
        <w:t>Certain information (marked as [***]) has been excluded from this exhibit because it is both (i) not material and (ii) would be competitively harmful if publicly disclosed.</w:t>
      </w:r>
    </w:p>
    <w:p>
      <w:pPr>
        <w:spacing w:after="0" w:line="157"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The Parties agree that, apart from the parts specifically amended hereunder, all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of the License Agreement remain and shall remain in full force and effect.</w:t>
      </w:r>
    </w:p>
    <w:p>
      <w:pPr>
        <w:spacing w:after="0" w:line="38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IN WITNESS WHEREOF, each of the Parties hereto has caused this Amendment to be executed by its duly authorized representative, all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MEMORIAL SLOAN KETTERING CANCER CENTER</w:t>
      </w:r>
    </w:p>
    <w:p>
      <w:pPr>
        <w:spacing w:after="0" w:line="200" w:lineRule="exact"/>
        <w:rPr>
          <w:sz w:val="20"/>
          <w:szCs w:val="20"/>
          <w:color w:val="auto"/>
        </w:rPr>
      </w:pPr>
    </w:p>
    <w:p>
      <w:pPr>
        <w:spacing w:after="0" w:line="249" w:lineRule="exact"/>
        <w:rPr>
          <w:sz w:val="20"/>
          <w:szCs w:val="20"/>
          <w:color w:val="auto"/>
        </w:rPr>
      </w:pPr>
    </w:p>
    <w:p>
      <w:pPr>
        <w:ind w:left="2580"/>
        <w:spacing w:after="0"/>
        <w:tabs>
          <w:tab w:leader="none" w:pos="3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s/s Greg Raskin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-17780</wp:posOffset>
            </wp:positionV>
            <wp:extent cx="11430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ind w:left="2580"/>
        <w:spacing w:after="0" w:line="238" w:lineRule="auto"/>
        <w:rPr>
          <w:sz w:val="20"/>
          <w:szCs w:val="20"/>
          <w:color w:val="auto"/>
        </w:rPr>
      </w:pPr>
      <w:r>
        <w:rPr>
          <w:rFonts w:ascii="Arial" w:cs="Arial" w:eastAsia="Arial" w:hAnsi="Arial"/>
          <w:sz w:val="22"/>
          <w:szCs w:val="22"/>
          <w:color w:val="auto"/>
        </w:rPr>
        <w:t>Name: Greg Raskin, M.D.</w:t>
      </w:r>
    </w:p>
    <w:p>
      <w:pPr>
        <w:ind w:left="2580"/>
        <w:spacing w:after="0"/>
        <w:rPr>
          <w:sz w:val="20"/>
          <w:szCs w:val="20"/>
          <w:color w:val="auto"/>
        </w:rPr>
      </w:pPr>
      <w:r>
        <w:rPr>
          <w:rFonts w:ascii="Arial" w:cs="Arial" w:eastAsia="Arial" w:hAnsi="Arial"/>
          <w:sz w:val="22"/>
          <w:szCs w:val="22"/>
          <w:color w:val="auto"/>
        </w:rPr>
        <w:t>Title: Senior Vice President, Technology Development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Y-MABS THERAPEUTICS, INC.</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20" w:type="dxa"/>
            <w:vAlign w:val="bottom"/>
          </w:tcPr>
          <w:p>
            <w:pPr>
              <w:ind w:left="2580"/>
              <w:spacing w:after="0"/>
              <w:rPr>
                <w:sz w:val="20"/>
                <w:szCs w:val="20"/>
                <w:color w:val="auto"/>
              </w:rPr>
            </w:pPr>
            <w:r>
              <w:rPr>
                <w:rFonts w:ascii="Arial" w:cs="Arial" w:eastAsia="Arial" w:hAnsi="Arial"/>
                <w:sz w:val="22"/>
                <w:szCs w:val="22"/>
                <w:color w:val="auto"/>
              </w:rPr>
              <w:t>By</w:t>
            </w:r>
          </w:p>
        </w:tc>
        <w:tc>
          <w:tcPr>
            <w:tcW w:w="460" w:type="dxa"/>
            <w:vAlign w:val="bottom"/>
          </w:tcPr>
          <w:p>
            <w:pPr>
              <w:spacing w:after="0"/>
              <w:rPr>
                <w:sz w:val="21"/>
                <w:szCs w:val="21"/>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/s/ Thomas Gad</w:t>
            </w:r>
          </w:p>
        </w:tc>
        <w:tc>
          <w:tcPr>
            <w:tcW w:w="4960" w:type="dxa"/>
            <w:vAlign w:val="bottom"/>
            <w:gridSpan w:val="2"/>
          </w:tcPr>
          <w:p>
            <w:pPr>
              <w:spacing w:after="0"/>
              <w:rPr>
                <w:sz w:val="21"/>
                <w:szCs w:val="21"/>
                <w:color w:val="auto"/>
              </w:rPr>
            </w:pPr>
          </w:p>
        </w:tc>
      </w:tr>
      <w:tr>
        <w:trPr>
          <w:trHeight w:val="242"/>
        </w:trPr>
        <w:tc>
          <w:tcPr>
            <w:tcW w:w="9920" w:type="dxa"/>
            <w:vAlign w:val="bottom"/>
            <w:gridSpan w:val="5"/>
          </w:tcPr>
          <w:p>
            <w:pPr>
              <w:ind w:left="2580"/>
              <w:spacing w:after="0" w:line="242" w:lineRule="exact"/>
              <w:rPr>
                <w:sz w:val="20"/>
                <w:szCs w:val="20"/>
                <w:color w:val="auto"/>
              </w:rPr>
            </w:pPr>
            <w:r>
              <w:rPr>
                <w:rFonts w:ascii="Arial" w:cs="Arial" w:eastAsia="Arial" w:hAnsi="Arial"/>
                <w:sz w:val="22"/>
                <w:szCs w:val="22"/>
                <w:color w:val="auto"/>
              </w:rPr>
              <w:t>Name: Thomas Gad</w:t>
            </w:r>
          </w:p>
        </w:tc>
      </w:tr>
      <w:tr>
        <w:trPr>
          <w:trHeight w:val="274"/>
        </w:trPr>
        <w:tc>
          <w:tcPr>
            <w:tcW w:w="9920" w:type="dxa"/>
            <w:vAlign w:val="bottom"/>
            <w:gridSpan w:val="5"/>
          </w:tcPr>
          <w:p>
            <w:pPr>
              <w:ind w:left="2580"/>
              <w:spacing w:after="0"/>
              <w:rPr>
                <w:sz w:val="20"/>
                <w:szCs w:val="20"/>
                <w:color w:val="auto"/>
              </w:rPr>
            </w:pPr>
            <w:r>
              <w:rPr>
                <w:rFonts w:ascii="Arial" w:cs="Arial" w:eastAsia="Arial" w:hAnsi="Arial"/>
                <w:sz w:val="22"/>
                <w:szCs w:val="22"/>
                <w:color w:val="auto"/>
              </w:rPr>
              <w:t>Title:  Founder, Chairman and President</w:t>
            </w:r>
          </w:p>
        </w:tc>
      </w:tr>
      <w:tr>
        <w:trPr>
          <w:trHeight w:val="625"/>
        </w:trPr>
        <w:tc>
          <w:tcPr>
            <w:tcW w:w="3120" w:type="dxa"/>
            <w:vAlign w:val="bottom"/>
          </w:tcPr>
          <w:p>
            <w:pPr>
              <w:ind w:left="2580"/>
              <w:spacing w:after="0"/>
              <w:rPr>
                <w:sz w:val="20"/>
                <w:szCs w:val="20"/>
                <w:color w:val="auto"/>
              </w:rPr>
            </w:pPr>
            <w:r>
              <w:rPr>
                <w:rFonts w:ascii="Arial" w:cs="Arial" w:eastAsia="Arial" w:hAnsi="Arial"/>
                <w:sz w:val="22"/>
                <w:szCs w:val="22"/>
                <w:color w:val="auto"/>
              </w:rPr>
              <w:t>By</w:t>
            </w:r>
          </w:p>
        </w:tc>
        <w:tc>
          <w:tcPr>
            <w:tcW w:w="46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/s/ Claus Møller</w:t>
            </w:r>
          </w:p>
        </w:tc>
        <w:tc>
          <w:tcPr>
            <w:tcW w:w="4940" w:type="dxa"/>
            <w:vAlign w:val="bottom"/>
          </w:tcPr>
          <w:p>
            <w:pPr>
              <w:spacing w:after="0"/>
              <w:rPr>
                <w:sz w:val="24"/>
                <w:szCs w:val="24"/>
                <w:color w:val="auto"/>
              </w:rPr>
            </w:pPr>
          </w:p>
        </w:tc>
      </w:tr>
      <w:tr>
        <w:trPr>
          <w:trHeight w:val="242"/>
        </w:trPr>
        <w:tc>
          <w:tcPr>
            <w:tcW w:w="9920" w:type="dxa"/>
            <w:vAlign w:val="bottom"/>
            <w:gridSpan w:val="5"/>
          </w:tcPr>
          <w:p>
            <w:pPr>
              <w:ind w:left="2580"/>
              <w:spacing w:after="0" w:line="242" w:lineRule="exact"/>
              <w:rPr>
                <w:sz w:val="20"/>
                <w:szCs w:val="20"/>
                <w:color w:val="auto"/>
              </w:rPr>
            </w:pPr>
            <w:r>
              <w:rPr>
                <w:rFonts w:ascii="Arial" w:cs="Arial" w:eastAsia="Arial" w:hAnsi="Arial"/>
                <w:sz w:val="22"/>
                <w:szCs w:val="22"/>
                <w:color w:val="auto"/>
              </w:rPr>
              <w:t>Name: Claus Juan Møller San Pedro</w:t>
            </w:r>
          </w:p>
        </w:tc>
      </w:tr>
      <w:tr>
        <w:trPr>
          <w:trHeight w:val="274"/>
        </w:trPr>
        <w:tc>
          <w:tcPr>
            <w:tcW w:w="3120" w:type="dxa"/>
            <w:vAlign w:val="bottom"/>
          </w:tcPr>
          <w:p>
            <w:pPr>
              <w:ind w:left="2580"/>
              <w:spacing w:after="0"/>
              <w:rPr>
                <w:sz w:val="20"/>
                <w:szCs w:val="20"/>
                <w:color w:val="auto"/>
              </w:rPr>
            </w:pPr>
            <w:r>
              <w:rPr>
                <w:rFonts w:ascii="Arial" w:cs="Arial" w:eastAsia="Arial" w:hAnsi="Arial"/>
                <w:sz w:val="22"/>
                <w:szCs w:val="22"/>
                <w:color w:val="auto"/>
              </w:rPr>
              <w:t>Title:</w:t>
            </w:r>
          </w:p>
        </w:tc>
        <w:tc>
          <w:tcPr>
            <w:tcW w:w="6800" w:type="dxa"/>
            <w:vAlign w:val="bottom"/>
            <w:gridSpan w:val="4"/>
          </w:tcPr>
          <w:p>
            <w:pPr>
              <w:ind w:left="100"/>
              <w:spacing w:after="0"/>
              <w:rPr>
                <w:sz w:val="20"/>
                <w:szCs w:val="20"/>
                <w:color w:val="auto"/>
              </w:rPr>
            </w:pPr>
            <w:r>
              <w:rPr>
                <w:rFonts w:ascii="Arial" w:cs="Arial" w:eastAsia="Arial" w:hAnsi="Arial"/>
                <w:sz w:val="22"/>
                <w:szCs w:val="22"/>
                <w:color w:val="auto"/>
              </w:rPr>
              <w:t>Chief Executive Officer</w:t>
            </w:r>
          </w:p>
        </w:tc>
      </w:tr>
      <w:tr>
        <w:trPr>
          <w:trHeight w:val="2062"/>
        </w:trPr>
        <w:tc>
          <w:tcPr>
            <w:tcW w:w="3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14" w:name="page115"/>
    <w:bookmarkEnd w:id="114"/>
    <w:p>
      <w:pPr>
        <w:ind w:right="860"/>
        <w:spacing w:after="0" w:line="277" w:lineRule="auto"/>
        <w:rPr>
          <w:sz w:val="20"/>
          <w:szCs w:val="20"/>
          <w:color w:val="auto"/>
        </w:rPr>
      </w:pPr>
      <w:r>
        <w:rPr>
          <w:rFonts w:ascii="Arial" w:cs="Arial" w:eastAsia="Arial" w:hAnsi="Arial"/>
          <w:sz w:val="18"/>
          <w:szCs w:val="18"/>
          <w:color w:val="auto"/>
        </w:rPr>
        <w:t>Certain information (marked as [***]) has been excluded from this exhibit because it is both (i) not material and (ii) would be competitively harmful if publicly disclosed.</w:t>
      </w:r>
    </w:p>
    <w:p>
      <w:pPr>
        <w:spacing w:after="0" w:line="16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Attachment 1</w:t>
      </w:r>
    </w:p>
    <w:p>
      <w:pPr>
        <w:spacing w:after="0" w:line="206"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Supplement 1 to Exhibit A</w:t>
      </w:r>
    </w:p>
    <w:p>
      <w:pPr>
        <w:spacing w:after="0" w:line="8"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ANTIBODY PATENT RIGHTS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patents and patent applications are hereby included in the definition of Antibody Patent Rights:</w:t>
      </w: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679"/>
        </w:trPr>
        <w:tc>
          <w:tcPr>
            <w:tcW w:w="1140" w:type="dxa"/>
            <w:vAlign w:val="bottom"/>
            <w:tcBorders>
              <w:top w:val="single" w:sz="8" w:color="auto"/>
              <w:left w:val="single" w:sz="8" w:color="auto"/>
              <w:right w:val="single" w:sz="8" w:color="auto"/>
            </w:tcBorders>
            <w:vMerge w:val="restart"/>
            <w:shd w:val="clear" w:color="auto" w:fill="BFBFBF"/>
          </w:tcPr>
          <w:p>
            <w:pPr>
              <w:ind w:left="120"/>
              <w:spacing w:after="0"/>
              <w:rPr>
                <w:sz w:val="20"/>
                <w:szCs w:val="20"/>
                <w:color w:val="auto"/>
              </w:rPr>
            </w:pPr>
            <w:r>
              <w:rPr>
                <w:rFonts w:ascii="Arial" w:cs="Arial" w:eastAsia="Arial" w:hAnsi="Arial"/>
                <w:sz w:val="14"/>
                <w:szCs w:val="14"/>
                <w:b w:val="1"/>
                <w:bCs w:val="1"/>
                <w:color w:val="auto"/>
              </w:rPr>
              <w:t>IP Track Code</w:t>
            </w:r>
          </w:p>
        </w:tc>
        <w:tc>
          <w:tcPr>
            <w:tcW w:w="1980" w:type="dxa"/>
            <w:vAlign w:val="bottom"/>
            <w:tcBorders>
              <w:top w:val="single" w:sz="8" w:color="auto"/>
              <w:right w:val="single" w:sz="8" w:color="auto"/>
            </w:tcBorders>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Intellectual Property Title</w:t>
            </w:r>
          </w:p>
        </w:tc>
        <w:tc>
          <w:tcPr>
            <w:tcW w:w="1020" w:type="dxa"/>
            <w:vAlign w:val="bottom"/>
            <w:tcBorders>
              <w:top w:val="single" w:sz="8" w:color="auto"/>
              <w:right w:val="single" w:sz="8" w:color="auto"/>
            </w:tcBorders>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Attorney Ref</w:t>
            </w:r>
          </w:p>
        </w:tc>
        <w:tc>
          <w:tcPr>
            <w:tcW w:w="1100" w:type="dxa"/>
            <w:vAlign w:val="bottom"/>
            <w:tcBorders>
              <w:top w:val="single" w:sz="8" w:color="auto"/>
              <w:right w:val="single" w:sz="8" w:color="auto"/>
            </w:tcBorders>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Attorney Firm</w:t>
            </w:r>
          </w:p>
        </w:tc>
        <w:tc>
          <w:tcPr>
            <w:tcW w:w="1400" w:type="dxa"/>
            <w:vAlign w:val="bottom"/>
            <w:tcBorders>
              <w:top w:val="single" w:sz="8" w:color="auto"/>
              <w:right w:val="single" w:sz="8" w:color="auto"/>
            </w:tcBorders>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Application No.</w:t>
            </w:r>
          </w:p>
        </w:tc>
        <w:tc>
          <w:tcPr>
            <w:tcW w:w="96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4"/>
                <w:szCs w:val="14"/>
                <w:b w:val="1"/>
                <w:bCs w:val="1"/>
                <w:color w:val="auto"/>
              </w:rPr>
              <w:t>Country of</w:t>
            </w:r>
          </w:p>
        </w:tc>
        <w:tc>
          <w:tcPr>
            <w:tcW w:w="820" w:type="dxa"/>
            <w:vAlign w:val="bottom"/>
            <w:tcBorders>
              <w:top w:val="single" w:sz="8" w:color="auto"/>
              <w:right w:val="single" w:sz="8" w:color="auto"/>
            </w:tcBorders>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Status</w:t>
            </w:r>
          </w:p>
        </w:tc>
        <w:tc>
          <w:tcPr>
            <w:tcW w:w="1200" w:type="dxa"/>
            <w:vAlign w:val="bottom"/>
            <w:tcBorders>
              <w:top w:val="single" w:sz="8" w:color="auto"/>
              <w:right w:val="single" w:sz="8" w:color="auto"/>
            </w:tcBorders>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Inventors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40" w:type="dxa"/>
            <w:vAlign w:val="bottom"/>
            <w:tcBorders>
              <w:left w:val="single" w:sz="8" w:color="auto"/>
              <w:right w:val="single" w:sz="8" w:color="auto"/>
            </w:tcBorders>
            <w:vMerge w:val="continue"/>
            <w:shd w:val="clear" w:color="auto" w:fill="BFBFBF"/>
          </w:tcPr>
          <w:p>
            <w:pPr>
              <w:spacing w:after="0"/>
              <w:rPr>
                <w:sz w:val="9"/>
                <w:szCs w:val="9"/>
                <w:color w:val="auto"/>
              </w:rPr>
            </w:pPr>
          </w:p>
        </w:tc>
        <w:tc>
          <w:tcPr>
            <w:tcW w:w="1980" w:type="dxa"/>
            <w:vAlign w:val="bottom"/>
            <w:tcBorders>
              <w:right w:val="single" w:sz="8" w:color="auto"/>
            </w:tcBorders>
            <w:vMerge w:val="continue"/>
            <w:shd w:val="clear" w:color="auto" w:fill="BFBFBF"/>
          </w:tcPr>
          <w:p>
            <w:pPr>
              <w:spacing w:after="0"/>
              <w:rPr>
                <w:sz w:val="9"/>
                <w:szCs w:val="9"/>
                <w:color w:val="auto"/>
              </w:rPr>
            </w:pPr>
          </w:p>
        </w:tc>
        <w:tc>
          <w:tcPr>
            <w:tcW w:w="1020" w:type="dxa"/>
            <w:vAlign w:val="bottom"/>
            <w:tcBorders>
              <w:right w:val="single" w:sz="8" w:color="auto"/>
            </w:tcBorders>
            <w:vMerge w:val="continue"/>
            <w:shd w:val="clear" w:color="auto" w:fill="BFBFBF"/>
          </w:tcPr>
          <w:p>
            <w:pPr>
              <w:spacing w:after="0"/>
              <w:rPr>
                <w:sz w:val="9"/>
                <w:szCs w:val="9"/>
                <w:color w:val="auto"/>
              </w:rPr>
            </w:pPr>
          </w:p>
        </w:tc>
        <w:tc>
          <w:tcPr>
            <w:tcW w:w="1100" w:type="dxa"/>
            <w:vAlign w:val="bottom"/>
            <w:tcBorders>
              <w:right w:val="single" w:sz="8" w:color="auto"/>
            </w:tcBorders>
            <w:vMerge w:val="continue"/>
            <w:shd w:val="clear" w:color="auto" w:fill="BFBFBF"/>
          </w:tcPr>
          <w:p>
            <w:pPr>
              <w:spacing w:after="0"/>
              <w:rPr>
                <w:sz w:val="9"/>
                <w:szCs w:val="9"/>
                <w:color w:val="auto"/>
              </w:rPr>
            </w:pPr>
          </w:p>
        </w:tc>
        <w:tc>
          <w:tcPr>
            <w:tcW w:w="1400" w:type="dxa"/>
            <w:vAlign w:val="bottom"/>
            <w:tcBorders>
              <w:right w:val="single" w:sz="8" w:color="auto"/>
            </w:tcBorders>
            <w:vMerge w:val="continue"/>
            <w:shd w:val="clear" w:color="auto" w:fill="BFBFBF"/>
          </w:tcPr>
          <w:p>
            <w:pPr>
              <w:spacing w:after="0"/>
              <w:rPr>
                <w:sz w:val="9"/>
                <w:szCs w:val="9"/>
                <w:color w:val="auto"/>
              </w:rPr>
            </w:pPr>
          </w:p>
        </w:tc>
        <w:tc>
          <w:tcPr>
            <w:tcW w:w="960" w:type="dxa"/>
            <w:vAlign w:val="bottom"/>
            <w:tcBorders>
              <w:right w:val="single" w:sz="8" w:color="auto"/>
            </w:tcBorders>
            <w:vMerge w:val="restart"/>
            <w:shd w:val="clear" w:color="auto" w:fill="BFBFBF"/>
          </w:tcPr>
          <w:p>
            <w:pPr>
              <w:ind w:left="80"/>
              <w:spacing w:after="0"/>
              <w:rPr>
                <w:sz w:val="20"/>
                <w:szCs w:val="20"/>
                <w:color w:val="auto"/>
              </w:rPr>
            </w:pPr>
            <w:r>
              <w:rPr>
                <w:rFonts w:ascii="Arial" w:cs="Arial" w:eastAsia="Arial" w:hAnsi="Arial"/>
                <w:sz w:val="14"/>
                <w:szCs w:val="14"/>
                <w:b w:val="1"/>
                <w:bCs w:val="1"/>
                <w:color w:val="auto"/>
              </w:rPr>
              <w:t>Filing</w:t>
            </w:r>
          </w:p>
        </w:tc>
        <w:tc>
          <w:tcPr>
            <w:tcW w:w="820" w:type="dxa"/>
            <w:vAlign w:val="bottom"/>
            <w:tcBorders>
              <w:right w:val="single" w:sz="8" w:color="auto"/>
            </w:tcBorders>
            <w:vMerge w:val="continue"/>
            <w:shd w:val="clear" w:color="auto" w:fill="BFBFBF"/>
          </w:tcPr>
          <w:p>
            <w:pPr>
              <w:spacing w:after="0"/>
              <w:rPr>
                <w:sz w:val="9"/>
                <w:szCs w:val="9"/>
                <w:color w:val="auto"/>
              </w:rPr>
            </w:pPr>
          </w:p>
        </w:tc>
        <w:tc>
          <w:tcPr>
            <w:tcW w:w="1200" w:type="dxa"/>
            <w:vAlign w:val="bottom"/>
            <w:tcBorders>
              <w:right w:val="single" w:sz="8" w:color="auto"/>
            </w:tcBorders>
            <w:vMerge w:val="continue"/>
            <w:shd w:val="clear" w:color="auto" w:fill="BFBFBF"/>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140" w:type="dxa"/>
            <w:vAlign w:val="bottom"/>
            <w:tcBorders>
              <w:left w:val="single" w:sz="8" w:color="auto"/>
              <w:right w:val="single" w:sz="8" w:color="auto"/>
            </w:tcBorders>
            <w:shd w:val="clear" w:color="auto" w:fill="BFBFBF"/>
          </w:tcPr>
          <w:p>
            <w:pPr>
              <w:spacing w:after="0"/>
              <w:rPr>
                <w:sz w:val="7"/>
                <w:szCs w:val="7"/>
                <w:color w:val="auto"/>
              </w:rPr>
            </w:pPr>
          </w:p>
        </w:tc>
        <w:tc>
          <w:tcPr>
            <w:tcW w:w="1980" w:type="dxa"/>
            <w:vAlign w:val="bottom"/>
            <w:tcBorders>
              <w:right w:val="single" w:sz="8" w:color="auto"/>
            </w:tcBorders>
            <w:shd w:val="clear" w:color="auto" w:fill="BFBFBF"/>
          </w:tcPr>
          <w:p>
            <w:pPr>
              <w:spacing w:after="0"/>
              <w:rPr>
                <w:sz w:val="7"/>
                <w:szCs w:val="7"/>
                <w:color w:val="auto"/>
              </w:rPr>
            </w:pPr>
          </w:p>
        </w:tc>
        <w:tc>
          <w:tcPr>
            <w:tcW w:w="1020" w:type="dxa"/>
            <w:vAlign w:val="bottom"/>
            <w:tcBorders>
              <w:right w:val="single" w:sz="8" w:color="auto"/>
            </w:tcBorders>
            <w:shd w:val="clear" w:color="auto" w:fill="BFBFBF"/>
          </w:tcPr>
          <w:p>
            <w:pPr>
              <w:spacing w:after="0"/>
              <w:rPr>
                <w:sz w:val="7"/>
                <w:szCs w:val="7"/>
                <w:color w:val="auto"/>
              </w:rPr>
            </w:pPr>
          </w:p>
        </w:tc>
        <w:tc>
          <w:tcPr>
            <w:tcW w:w="1100" w:type="dxa"/>
            <w:vAlign w:val="bottom"/>
            <w:tcBorders>
              <w:right w:val="single" w:sz="8" w:color="auto"/>
            </w:tcBorders>
            <w:shd w:val="clear" w:color="auto" w:fill="BFBFBF"/>
          </w:tcPr>
          <w:p>
            <w:pPr>
              <w:spacing w:after="0"/>
              <w:rPr>
                <w:sz w:val="7"/>
                <w:szCs w:val="7"/>
                <w:color w:val="auto"/>
              </w:rPr>
            </w:pPr>
          </w:p>
        </w:tc>
        <w:tc>
          <w:tcPr>
            <w:tcW w:w="1400" w:type="dxa"/>
            <w:vAlign w:val="bottom"/>
            <w:tcBorders>
              <w:right w:val="single" w:sz="8" w:color="auto"/>
            </w:tcBorders>
            <w:shd w:val="clear" w:color="auto" w:fill="BFBFBF"/>
          </w:tcPr>
          <w:p>
            <w:pPr>
              <w:spacing w:after="0"/>
              <w:rPr>
                <w:sz w:val="7"/>
                <w:szCs w:val="7"/>
                <w:color w:val="auto"/>
              </w:rPr>
            </w:pPr>
          </w:p>
        </w:tc>
        <w:tc>
          <w:tcPr>
            <w:tcW w:w="960" w:type="dxa"/>
            <w:vAlign w:val="bottom"/>
            <w:tcBorders>
              <w:right w:val="single" w:sz="8" w:color="auto"/>
            </w:tcBorders>
            <w:vMerge w:val="continue"/>
            <w:shd w:val="clear" w:color="auto" w:fill="BFBFBF"/>
          </w:tcPr>
          <w:p>
            <w:pPr>
              <w:spacing w:after="0"/>
              <w:rPr>
                <w:sz w:val="7"/>
                <w:szCs w:val="7"/>
                <w:color w:val="auto"/>
              </w:rPr>
            </w:pPr>
          </w:p>
        </w:tc>
        <w:tc>
          <w:tcPr>
            <w:tcW w:w="820" w:type="dxa"/>
            <w:vAlign w:val="bottom"/>
            <w:tcBorders>
              <w:right w:val="single" w:sz="8" w:color="auto"/>
            </w:tcBorders>
            <w:shd w:val="clear" w:color="auto" w:fill="BFBFBF"/>
          </w:tcPr>
          <w:p>
            <w:pPr>
              <w:spacing w:after="0"/>
              <w:rPr>
                <w:sz w:val="7"/>
                <w:szCs w:val="7"/>
                <w:color w:val="auto"/>
              </w:rPr>
            </w:pPr>
          </w:p>
        </w:tc>
        <w:tc>
          <w:tcPr>
            <w:tcW w:w="1200" w:type="dxa"/>
            <w:vAlign w:val="bottom"/>
            <w:tcBorders>
              <w:right w:val="single" w:sz="8" w:color="auto"/>
            </w:tcBorders>
            <w:shd w:val="clear" w:color="auto" w:fill="BFBFBF"/>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5"/>
        </w:trPr>
        <w:tc>
          <w:tcPr>
            <w:tcW w:w="1140" w:type="dxa"/>
            <w:vAlign w:val="bottom"/>
            <w:tcBorders>
              <w:left w:val="single" w:sz="8" w:color="auto"/>
              <w:bottom w:val="single" w:sz="8" w:color="auto"/>
              <w:right w:val="single" w:sz="8" w:color="auto"/>
            </w:tcBorders>
            <w:shd w:val="clear" w:color="auto" w:fill="BFBFBF"/>
          </w:tcPr>
          <w:p>
            <w:pPr>
              <w:spacing w:after="0"/>
              <w:rPr>
                <w:sz w:val="24"/>
                <w:szCs w:val="24"/>
                <w:color w:val="auto"/>
              </w:rPr>
            </w:pPr>
          </w:p>
        </w:tc>
        <w:tc>
          <w:tcPr>
            <w:tcW w:w="1980" w:type="dxa"/>
            <w:vAlign w:val="bottom"/>
            <w:tcBorders>
              <w:bottom w:val="single" w:sz="8" w:color="auto"/>
              <w:right w:val="single" w:sz="8" w:color="auto"/>
            </w:tcBorders>
            <w:shd w:val="clear" w:color="auto" w:fill="BFBFBF"/>
          </w:tcPr>
          <w:p>
            <w:pPr>
              <w:spacing w:after="0"/>
              <w:rPr>
                <w:sz w:val="24"/>
                <w:szCs w:val="24"/>
                <w:color w:val="auto"/>
              </w:rPr>
            </w:pPr>
          </w:p>
        </w:tc>
        <w:tc>
          <w:tcPr>
            <w:tcW w:w="1020" w:type="dxa"/>
            <w:vAlign w:val="bottom"/>
            <w:tcBorders>
              <w:bottom w:val="single" w:sz="8" w:color="auto"/>
              <w:right w:val="single" w:sz="8" w:color="auto"/>
            </w:tcBorders>
            <w:shd w:val="clear" w:color="auto" w:fill="BFBFBF"/>
          </w:tcPr>
          <w:p>
            <w:pPr>
              <w:spacing w:after="0"/>
              <w:rPr>
                <w:sz w:val="24"/>
                <w:szCs w:val="24"/>
                <w:color w:val="auto"/>
              </w:rPr>
            </w:pPr>
          </w:p>
        </w:tc>
        <w:tc>
          <w:tcPr>
            <w:tcW w:w="1100" w:type="dxa"/>
            <w:vAlign w:val="bottom"/>
            <w:tcBorders>
              <w:bottom w:val="single" w:sz="8" w:color="auto"/>
              <w:right w:val="single" w:sz="8" w:color="auto"/>
            </w:tcBorders>
            <w:shd w:val="clear" w:color="auto" w:fill="BFBFBF"/>
          </w:tcPr>
          <w:p>
            <w:pPr>
              <w:spacing w:after="0"/>
              <w:rPr>
                <w:sz w:val="24"/>
                <w:szCs w:val="24"/>
                <w:color w:val="auto"/>
              </w:rPr>
            </w:pPr>
          </w:p>
        </w:tc>
        <w:tc>
          <w:tcPr>
            <w:tcW w:w="1400" w:type="dxa"/>
            <w:vAlign w:val="bottom"/>
            <w:tcBorders>
              <w:bottom w:val="single" w:sz="8" w:color="auto"/>
              <w:right w:val="single" w:sz="8" w:color="auto"/>
            </w:tcBorders>
            <w:shd w:val="clear" w:color="auto" w:fill="BFBFBF"/>
          </w:tcPr>
          <w:p>
            <w:pPr>
              <w:spacing w:after="0"/>
              <w:rPr>
                <w:sz w:val="24"/>
                <w:szCs w:val="24"/>
                <w:color w:val="auto"/>
              </w:rPr>
            </w:pPr>
          </w:p>
        </w:tc>
        <w:tc>
          <w:tcPr>
            <w:tcW w:w="960" w:type="dxa"/>
            <w:vAlign w:val="bottom"/>
            <w:tcBorders>
              <w:bottom w:val="single" w:sz="8" w:color="auto"/>
              <w:right w:val="single" w:sz="8" w:color="auto"/>
            </w:tcBorders>
            <w:shd w:val="clear" w:color="auto" w:fill="BFBFBF"/>
          </w:tcPr>
          <w:p>
            <w:pPr>
              <w:spacing w:after="0"/>
              <w:rPr>
                <w:sz w:val="24"/>
                <w:szCs w:val="24"/>
                <w:color w:val="auto"/>
              </w:rPr>
            </w:pPr>
          </w:p>
        </w:tc>
        <w:tc>
          <w:tcPr>
            <w:tcW w:w="820" w:type="dxa"/>
            <w:vAlign w:val="bottom"/>
            <w:tcBorders>
              <w:bottom w:val="single" w:sz="8" w:color="auto"/>
              <w:right w:val="single" w:sz="8" w:color="auto"/>
            </w:tcBorders>
            <w:shd w:val="clear" w:color="auto" w:fill="BFBFBF"/>
          </w:tcPr>
          <w:p>
            <w:pPr>
              <w:spacing w:after="0"/>
              <w:rPr>
                <w:sz w:val="24"/>
                <w:szCs w:val="24"/>
                <w:color w:val="auto"/>
              </w:rPr>
            </w:pPr>
          </w:p>
        </w:tc>
        <w:tc>
          <w:tcPr>
            <w:tcW w:w="1200" w:type="dxa"/>
            <w:vAlign w:val="bottom"/>
            <w:tcBorders>
              <w:bottom w:val="single" w:sz="8" w:color="auto"/>
              <w:right w:val="single" w:sz="8" w:color="auto"/>
            </w:tcBorders>
            <w:shd w:val="clear" w:color="auto" w:fill="BFBFBF"/>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19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0"/>
        </w:trPr>
        <w:tc>
          <w:tcPr>
            <w:tcW w:w="1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111111"/>
        </w:rPr>
        <w:t xml:space="preserve">EMPLOYMENT </w:t>
      </w:r>
      <w:r>
        <w:rPr>
          <w:rFonts w:ascii="Arial" w:cs="Arial" w:eastAsia="Arial" w:hAnsi="Arial"/>
          <w:sz w:val="31"/>
          <w:szCs w:val="31"/>
          <w:b w:val="1"/>
          <w:bCs w:val="1"/>
          <w:color w:val="111111"/>
        </w:rPr>
        <w:t>CONTRACT</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111111"/>
        </w:rPr>
        <w:t>Between</w:t>
      </w: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111111"/>
        </w:rPr>
        <w:t>Y-mAbs Therapeutics A/S Rungsted Strandvej 113</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111111"/>
        </w:rPr>
        <w:t>2960 Rungsted Kyst</w:t>
      </w: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111111"/>
        </w:rPr>
        <w:t>(hereinafter referred to as "the Employer ")</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111111"/>
        </w:rPr>
        <w:t>and</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111111"/>
        </w:rPr>
        <w:t>Steen Lisby</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111111"/>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111111"/>
        </w:rPr>
        <w:t>(hereinafter referred to as "the Employee")</w:t>
      </w:r>
    </w:p>
    <w:p>
      <w:pPr>
        <w:spacing w:after="0" w:line="314" w:lineRule="exact"/>
        <w:rPr>
          <w:sz w:val="20"/>
          <w:szCs w:val="20"/>
          <w:color w:val="auto"/>
        </w:rPr>
      </w:pPr>
    </w:p>
    <w:p>
      <w:pPr>
        <w:ind w:left="2620"/>
        <w:spacing w:after="0"/>
        <w:rPr>
          <w:sz w:val="20"/>
          <w:szCs w:val="20"/>
          <w:color w:val="auto"/>
        </w:rPr>
      </w:pPr>
      <w:r>
        <w:rPr>
          <w:rFonts w:ascii="Arial" w:cs="Arial" w:eastAsia="Arial" w:hAnsi="Arial"/>
          <w:sz w:val="22"/>
          <w:szCs w:val="22"/>
          <w:color w:val="111111"/>
        </w:rPr>
        <w:t>(hereinafter collectively referred to as "the Parties")</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22"/>
          <w:szCs w:val="22"/>
          <w:color w:val="111111"/>
        </w:rPr>
        <w:t>have today entered into the following</w:t>
      </w: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32"/>
          <w:szCs w:val="32"/>
          <w:b w:val="1"/>
          <w:bCs w:val="1"/>
          <w:color w:val="111111"/>
        </w:rPr>
        <w:t xml:space="preserve">EMPLOYMENT </w:t>
      </w:r>
      <w:r>
        <w:rPr>
          <w:rFonts w:ascii="Arial" w:cs="Arial" w:eastAsia="Arial" w:hAnsi="Arial"/>
          <w:sz w:val="31"/>
          <w:szCs w:val="31"/>
          <w:b w:val="1"/>
          <w:bCs w:val="1"/>
          <w:color w:val="111111"/>
        </w:rPr>
        <w:t>CONTRACT</w:t>
      </w:r>
    </w:p>
    <w:p>
      <w:pPr>
        <w:spacing w:after="0" w:line="200" w:lineRule="exact"/>
        <w:rPr>
          <w:sz w:val="20"/>
          <w:szCs w:val="20"/>
          <w:color w:val="auto"/>
        </w:rPr>
      </w:pPr>
    </w:p>
    <w:p>
      <w:pPr>
        <w:spacing w:after="0" w:line="242" w:lineRule="exact"/>
        <w:rPr>
          <w:sz w:val="20"/>
          <w:szCs w:val="20"/>
          <w:color w:val="auto"/>
        </w:rPr>
      </w:pPr>
    </w:p>
    <w:p>
      <w:pPr>
        <w:ind w:left="780" w:hanging="750"/>
        <w:spacing w:after="0"/>
        <w:tabs>
          <w:tab w:leader="none" w:pos="780" w:val="left"/>
        </w:tabs>
        <w:numPr>
          <w:ilvl w:val="0"/>
          <w:numId w:val="67"/>
        </w:numPr>
        <w:rPr>
          <w:rFonts w:ascii="Arial" w:cs="Arial" w:eastAsia="Arial" w:hAnsi="Arial"/>
          <w:sz w:val="22"/>
          <w:szCs w:val="22"/>
          <w:b w:val="1"/>
          <w:bCs w:val="1"/>
          <w:color w:val="111111"/>
        </w:rPr>
      </w:pPr>
      <w:r>
        <w:rPr>
          <w:rFonts w:ascii="Arial" w:cs="Arial" w:eastAsia="Arial" w:hAnsi="Arial"/>
          <w:sz w:val="22"/>
          <w:szCs w:val="22"/>
          <w:b w:val="1"/>
          <w:bCs w:val="1"/>
          <w:color w:val="111111"/>
        </w:rPr>
        <w:t>Period of employment</w:t>
      </w:r>
    </w:p>
    <w:p>
      <w:pPr>
        <w:spacing w:after="0" w:line="206" w:lineRule="exact"/>
        <w:rPr>
          <w:sz w:val="20"/>
          <w:szCs w:val="20"/>
          <w:color w:val="auto"/>
        </w:rPr>
      </w:pPr>
    </w:p>
    <w:p>
      <w:pPr>
        <w:jc w:val="both"/>
        <w:ind w:left="780" w:hanging="755"/>
        <w:spacing w:after="0" w:line="297" w:lineRule="auto"/>
        <w:tabs>
          <w:tab w:leader="none" w:pos="760" w:val="left"/>
        </w:tabs>
        <w:rPr>
          <w:sz w:val="20"/>
          <w:szCs w:val="20"/>
          <w:color w:val="auto"/>
        </w:rPr>
      </w:pPr>
      <w:r>
        <w:rPr>
          <w:rFonts w:ascii="Arial" w:cs="Arial" w:eastAsia="Arial" w:hAnsi="Arial"/>
          <w:sz w:val="22"/>
          <w:szCs w:val="22"/>
          <w:b w:val="1"/>
          <w:bCs w:val="1"/>
          <w:color w:val="111111"/>
        </w:rPr>
        <w:t>1.1</w:t>
      </w:r>
      <w:r>
        <w:rPr>
          <w:sz w:val="20"/>
          <w:szCs w:val="20"/>
          <w:color w:val="auto"/>
        </w:rPr>
        <w:tab/>
      </w:r>
      <w:r>
        <w:rPr>
          <w:rFonts w:ascii="Arial" w:cs="Arial" w:eastAsia="Arial" w:hAnsi="Arial"/>
          <w:sz w:val="19"/>
          <w:szCs w:val="19"/>
          <w:color w:val="111111"/>
        </w:rPr>
        <w:t>The Employee is employed as of August 1st 2017 by the Employer, a company engaged in drug development. However, if the Employee due to requirements to obtain "good leaver status" from his existing Employer is prevented from starting until June 1st, 2018, this will be accepted by the Employer.</w:t>
      </w:r>
    </w:p>
    <w:p>
      <w:pPr>
        <w:spacing w:after="0" w:line="134" w:lineRule="exact"/>
        <w:rPr>
          <w:sz w:val="20"/>
          <w:szCs w:val="20"/>
          <w:color w:val="auto"/>
        </w:rPr>
      </w:pPr>
    </w:p>
    <w:p>
      <w:pPr>
        <w:jc w:val="both"/>
        <w:ind w:left="780" w:hanging="741"/>
        <w:spacing w:after="0" w:line="250" w:lineRule="auto"/>
        <w:tabs>
          <w:tab w:leader="none" w:pos="760" w:val="left"/>
        </w:tabs>
        <w:rPr>
          <w:sz w:val="20"/>
          <w:szCs w:val="20"/>
          <w:color w:val="auto"/>
        </w:rPr>
      </w:pPr>
      <w:r>
        <w:rPr>
          <w:rFonts w:ascii="Arial" w:cs="Arial" w:eastAsia="Arial" w:hAnsi="Arial"/>
          <w:sz w:val="22"/>
          <w:szCs w:val="22"/>
          <w:b w:val="1"/>
          <w:bCs w:val="1"/>
          <w:color w:val="111111"/>
        </w:rPr>
        <w:t>1.2</w:t>
      </w:r>
      <w:r>
        <w:rPr>
          <w:sz w:val="20"/>
          <w:szCs w:val="20"/>
          <w:color w:val="auto"/>
        </w:rPr>
        <w:tab/>
      </w:r>
      <w:r>
        <w:rPr>
          <w:rFonts w:ascii="Arial" w:cs="Arial" w:eastAsia="Arial" w:hAnsi="Arial"/>
          <w:sz w:val="22"/>
          <w:szCs w:val="22"/>
          <w:color w:val="111111"/>
        </w:rPr>
        <w:t>The Employee is employed as Sr. Vice President and Chief Medical Officer (CMO) and is reporting to the Company's CEO (hereinafter referred to as the "reporting per 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625475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21" w:right="9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ind w:left="760" w:hanging="752"/>
        <w:spacing w:after="0"/>
        <w:tabs>
          <w:tab w:leader="none" w:pos="760" w:val="left"/>
        </w:tabs>
        <w:numPr>
          <w:ilvl w:val="0"/>
          <w:numId w:val="68"/>
        </w:numPr>
        <w:rPr>
          <w:rFonts w:ascii="Arial" w:cs="Arial" w:eastAsia="Arial" w:hAnsi="Arial"/>
          <w:sz w:val="22"/>
          <w:szCs w:val="22"/>
          <w:b w:val="1"/>
          <w:bCs w:val="1"/>
          <w:color w:val="0F0F0F"/>
        </w:rPr>
      </w:pPr>
      <w:r>
        <w:rPr>
          <w:rFonts w:ascii="Arial" w:cs="Arial" w:eastAsia="Arial" w:hAnsi="Arial"/>
          <w:sz w:val="22"/>
          <w:szCs w:val="22"/>
          <w:b w:val="1"/>
          <w:bCs w:val="1"/>
          <w:color w:val="0F0F0F"/>
        </w:rPr>
        <w:t>Tasks and place of work</w:t>
      </w:r>
    </w:p>
    <w:p>
      <w:pPr>
        <w:spacing w:after="0" w:line="206" w:lineRule="exact"/>
        <w:rPr>
          <w:sz w:val="20"/>
          <w:szCs w:val="20"/>
          <w:color w:val="auto"/>
        </w:rPr>
      </w:pPr>
    </w:p>
    <w:p>
      <w:pPr>
        <w:jc w:val="both"/>
        <w:ind w:left="860" w:hanging="755"/>
        <w:spacing w:after="0" w:line="236" w:lineRule="auto"/>
        <w:tabs>
          <w:tab w:leader="none" w:pos="840" w:val="left"/>
        </w:tabs>
        <w:rPr>
          <w:sz w:val="20"/>
          <w:szCs w:val="20"/>
          <w:color w:val="auto"/>
        </w:rPr>
      </w:pPr>
      <w:r>
        <w:rPr>
          <w:rFonts w:ascii="Arial" w:cs="Arial" w:eastAsia="Arial" w:hAnsi="Arial"/>
          <w:sz w:val="22"/>
          <w:szCs w:val="22"/>
          <w:b w:val="1"/>
          <w:bCs w:val="1"/>
          <w:color w:val="0F0F0F"/>
        </w:rPr>
        <w:t>2.1</w:t>
      </w:r>
      <w:r>
        <w:rPr>
          <w:sz w:val="20"/>
          <w:szCs w:val="20"/>
          <w:color w:val="auto"/>
        </w:rPr>
        <w:tab/>
      </w:r>
      <w:r>
        <w:rPr>
          <w:rFonts w:ascii="Arial" w:cs="Arial" w:eastAsia="Arial" w:hAnsi="Arial"/>
          <w:sz w:val="22"/>
          <w:szCs w:val="22"/>
          <w:color w:val="0F0F0F"/>
        </w:rPr>
        <w:t>The Employee's primary tasks will be overseeing and managing any medically related activities of the company including advising executive management on such topics and participating in clinical development program planning as well as compiling regulatory documents. However, the Employer is entitled to, at any time, to instruct the Employee to carry out additional tasks within the work area of the Employee.</w:t>
      </w:r>
    </w:p>
    <w:p>
      <w:pPr>
        <w:spacing w:after="0" w:line="187" w:lineRule="exact"/>
        <w:rPr>
          <w:sz w:val="20"/>
          <w:szCs w:val="20"/>
          <w:color w:val="auto"/>
        </w:rPr>
      </w:pPr>
    </w:p>
    <w:p>
      <w:pPr>
        <w:jc w:val="both"/>
        <w:ind w:left="860" w:hanging="755"/>
        <w:spacing w:after="0"/>
        <w:tabs>
          <w:tab w:leader="none" w:pos="840" w:val="left"/>
        </w:tabs>
        <w:rPr>
          <w:sz w:val="20"/>
          <w:szCs w:val="20"/>
          <w:color w:val="auto"/>
        </w:rPr>
      </w:pPr>
      <w:r>
        <w:rPr>
          <w:rFonts w:ascii="Arial" w:cs="Arial" w:eastAsia="Arial" w:hAnsi="Arial"/>
          <w:sz w:val="22"/>
          <w:szCs w:val="22"/>
          <w:b w:val="1"/>
          <w:bCs w:val="1"/>
          <w:color w:val="0F0F0F"/>
        </w:rPr>
        <w:t>2.2</w:t>
      </w:r>
      <w:r>
        <w:rPr>
          <w:sz w:val="20"/>
          <w:szCs w:val="20"/>
          <w:color w:val="auto"/>
        </w:rPr>
        <w:tab/>
      </w:r>
      <w:r>
        <w:rPr>
          <w:rFonts w:ascii="Arial" w:cs="Arial" w:eastAsia="Arial" w:hAnsi="Arial"/>
          <w:sz w:val="22"/>
          <w:szCs w:val="22"/>
          <w:color w:val="0F0F0F"/>
        </w:rPr>
        <w:t>The Employee's normal place of work is at the office at Rungsted Kyst. The Employee must expect, though, meeting activities, projects, etc. outside the normal place of work. If agreed with the reporting person, the Employee may work from home.</w:t>
      </w:r>
    </w:p>
    <w:p>
      <w:pPr>
        <w:spacing w:after="0" w:line="186"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2"/>
          <w:szCs w:val="22"/>
          <w:b w:val="1"/>
          <w:bCs w:val="1"/>
          <w:color w:val="0F0F0F"/>
        </w:rPr>
        <w:t>2.3</w:t>
      </w:r>
      <w:r>
        <w:rPr>
          <w:sz w:val="20"/>
          <w:szCs w:val="20"/>
          <w:color w:val="auto"/>
        </w:rPr>
        <w:tab/>
      </w:r>
      <w:r>
        <w:rPr>
          <w:rFonts w:ascii="Arial" w:cs="Arial" w:eastAsia="Arial" w:hAnsi="Arial"/>
          <w:sz w:val="19"/>
          <w:szCs w:val="19"/>
          <w:color w:val="0F0F0F"/>
        </w:rPr>
        <w:t>The Employee is aware of and accepts that the position may incur some travelling activity.</w:t>
      </w:r>
    </w:p>
    <w:p>
      <w:pPr>
        <w:spacing w:after="0" w:line="206" w:lineRule="exact"/>
        <w:rPr>
          <w:sz w:val="20"/>
          <w:szCs w:val="20"/>
          <w:color w:val="auto"/>
        </w:rPr>
      </w:pPr>
    </w:p>
    <w:p>
      <w:pPr>
        <w:ind w:left="880" w:hanging="764"/>
        <w:spacing w:after="0"/>
        <w:tabs>
          <w:tab w:leader="none" w:pos="880" w:val="left"/>
        </w:tabs>
        <w:numPr>
          <w:ilvl w:val="0"/>
          <w:numId w:val="69"/>
        </w:numPr>
        <w:rPr>
          <w:rFonts w:ascii="Arial" w:cs="Arial" w:eastAsia="Arial" w:hAnsi="Arial"/>
          <w:sz w:val="22"/>
          <w:szCs w:val="22"/>
          <w:b w:val="1"/>
          <w:bCs w:val="1"/>
          <w:color w:val="0F0F0F"/>
        </w:rPr>
      </w:pPr>
      <w:r>
        <w:rPr>
          <w:rFonts w:ascii="Arial" w:cs="Arial" w:eastAsia="Arial" w:hAnsi="Arial"/>
          <w:sz w:val="22"/>
          <w:szCs w:val="22"/>
          <w:b w:val="1"/>
          <w:bCs w:val="1"/>
          <w:color w:val="0F0F0F"/>
        </w:rPr>
        <w:t>Working hours</w:t>
      </w:r>
    </w:p>
    <w:p>
      <w:pPr>
        <w:spacing w:after="0" w:line="206"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2"/>
          <w:szCs w:val="22"/>
          <w:b w:val="1"/>
          <w:bCs w:val="1"/>
          <w:color w:val="0F0F0F"/>
        </w:rPr>
        <w:t>3.1</w:t>
      </w:r>
      <w:r>
        <w:rPr>
          <w:sz w:val="20"/>
          <w:szCs w:val="20"/>
          <w:color w:val="auto"/>
        </w:rPr>
        <w:tab/>
      </w:r>
      <w:r>
        <w:rPr>
          <w:rFonts w:ascii="Arial" w:cs="Arial" w:eastAsia="Arial" w:hAnsi="Arial"/>
          <w:sz w:val="19"/>
          <w:szCs w:val="19"/>
          <w:color w:val="0F0F0F"/>
        </w:rPr>
        <w:t>The weekly working hours will be 37 hours, exclusive of lunch distributed on five working days.</w:t>
      </w:r>
    </w:p>
    <w:p>
      <w:pPr>
        <w:spacing w:after="0" w:line="206" w:lineRule="exact"/>
        <w:rPr>
          <w:sz w:val="20"/>
          <w:szCs w:val="20"/>
          <w:color w:val="auto"/>
        </w:rPr>
      </w:pPr>
    </w:p>
    <w:p>
      <w:pPr>
        <w:jc w:val="both"/>
        <w:ind w:left="880" w:right="20" w:hanging="755"/>
        <w:spacing w:after="0"/>
        <w:tabs>
          <w:tab w:leader="none" w:pos="860" w:val="left"/>
        </w:tabs>
        <w:rPr>
          <w:sz w:val="20"/>
          <w:szCs w:val="20"/>
          <w:color w:val="auto"/>
        </w:rPr>
      </w:pPr>
      <w:r>
        <w:rPr>
          <w:rFonts w:ascii="Arial" w:cs="Arial" w:eastAsia="Arial" w:hAnsi="Arial"/>
          <w:sz w:val="22"/>
          <w:szCs w:val="22"/>
          <w:b w:val="1"/>
          <w:bCs w:val="1"/>
          <w:color w:val="0F0F0F"/>
        </w:rPr>
        <w:t>3.2</w:t>
      </w:r>
      <w:r>
        <w:rPr>
          <w:sz w:val="20"/>
          <w:szCs w:val="20"/>
          <w:color w:val="auto"/>
        </w:rPr>
        <w:tab/>
      </w:r>
      <w:r>
        <w:rPr>
          <w:rFonts w:ascii="Arial" w:cs="Arial" w:eastAsia="Arial" w:hAnsi="Arial"/>
          <w:sz w:val="22"/>
          <w:szCs w:val="22"/>
          <w:color w:val="0F0F0F"/>
        </w:rPr>
        <w:t>The Employee may plan the working time to make it fit the normal average working hours, but unless otherwise agreed with the reporting person, the Employee is expected to be in the office between 9:00 am and 5:00 pm.</w:t>
      </w:r>
    </w:p>
    <w:p>
      <w:pPr>
        <w:spacing w:after="0" w:line="186" w:lineRule="exact"/>
        <w:rPr>
          <w:sz w:val="20"/>
          <w:szCs w:val="20"/>
          <w:color w:val="auto"/>
        </w:rPr>
      </w:pPr>
    </w:p>
    <w:p>
      <w:pPr>
        <w:jc w:val="both"/>
        <w:ind w:left="880" w:hanging="755"/>
        <w:spacing w:after="0" w:line="250" w:lineRule="auto"/>
        <w:tabs>
          <w:tab w:leader="none" w:pos="860" w:val="left"/>
        </w:tabs>
        <w:rPr>
          <w:sz w:val="20"/>
          <w:szCs w:val="20"/>
          <w:color w:val="auto"/>
        </w:rPr>
      </w:pPr>
      <w:r>
        <w:rPr>
          <w:rFonts w:ascii="Arial" w:cs="Arial" w:eastAsia="Arial" w:hAnsi="Arial"/>
          <w:sz w:val="22"/>
          <w:szCs w:val="22"/>
          <w:b w:val="1"/>
          <w:bCs w:val="1"/>
          <w:color w:val="0F0F0F"/>
        </w:rPr>
        <w:t>3.3</w:t>
      </w:r>
      <w:r>
        <w:rPr>
          <w:sz w:val="20"/>
          <w:szCs w:val="20"/>
          <w:color w:val="auto"/>
        </w:rPr>
        <w:tab/>
      </w:r>
      <w:r>
        <w:rPr>
          <w:rFonts w:ascii="Arial" w:cs="Arial" w:eastAsia="Arial" w:hAnsi="Arial"/>
          <w:sz w:val="22"/>
          <w:szCs w:val="22"/>
          <w:color w:val="0F0F0F"/>
        </w:rPr>
        <w:t>The Employee is entitled to a lunch break of 30 minutes per working day. The lunch break is to be held with due consideration to the performance of the work tasks.</w:t>
      </w:r>
    </w:p>
    <w:p>
      <w:pPr>
        <w:spacing w:after="0" w:line="175" w:lineRule="exact"/>
        <w:rPr>
          <w:sz w:val="20"/>
          <w:szCs w:val="20"/>
          <w:color w:val="auto"/>
        </w:rPr>
      </w:pPr>
    </w:p>
    <w:p>
      <w:pPr>
        <w:jc w:val="both"/>
        <w:ind w:left="880" w:hanging="755"/>
        <w:spacing w:after="0" w:line="236" w:lineRule="auto"/>
        <w:tabs>
          <w:tab w:leader="none" w:pos="860" w:val="left"/>
        </w:tabs>
        <w:rPr>
          <w:sz w:val="20"/>
          <w:szCs w:val="20"/>
          <w:color w:val="auto"/>
        </w:rPr>
      </w:pPr>
      <w:r>
        <w:rPr>
          <w:rFonts w:ascii="Arial" w:cs="Arial" w:eastAsia="Arial" w:hAnsi="Arial"/>
          <w:sz w:val="22"/>
          <w:szCs w:val="22"/>
          <w:b w:val="1"/>
          <w:bCs w:val="1"/>
          <w:color w:val="0F0F0F"/>
        </w:rPr>
        <w:t>3.4</w:t>
      </w:r>
      <w:r>
        <w:rPr>
          <w:sz w:val="20"/>
          <w:szCs w:val="20"/>
          <w:color w:val="auto"/>
        </w:rPr>
        <w:tab/>
      </w:r>
      <w:r>
        <w:rPr>
          <w:rFonts w:ascii="Arial" w:cs="Arial" w:eastAsia="Arial" w:hAnsi="Arial"/>
          <w:sz w:val="22"/>
          <w:szCs w:val="22"/>
          <w:color w:val="0F0F0F"/>
        </w:rPr>
        <w:t>The Employee is aware of and accepts, that the employment, within the mandatory frames of the Danish Act on Working Time, is not subject to maximum working hours, and that the Employee is obliged to assume working overtime to the extent necessary. Furthermore, the Employee is obliged to participate in meetings with other employees and the management of the Employer, and the Employee must - to the extent necessary</w:t>
      </w:r>
    </w:p>
    <w:p>
      <w:pPr>
        <w:spacing w:after="0" w:line="193" w:lineRule="exact"/>
        <w:rPr>
          <w:sz w:val="20"/>
          <w:szCs w:val="20"/>
          <w:color w:val="auto"/>
        </w:rPr>
      </w:pPr>
    </w:p>
    <w:p>
      <w:pPr>
        <w:jc w:val="both"/>
        <w:ind w:left="900" w:firstLine="8"/>
        <w:spacing w:after="0" w:line="249" w:lineRule="auto"/>
        <w:tabs>
          <w:tab w:leader="none" w:pos="1029" w:val="left"/>
        </w:tabs>
        <w:numPr>
          <w:ilvl w:val="0"/>
          <w:numId w:val="70"/>
        </w:numPr>
        <w:rPr>
          <w:rFonts w:ascii="Arial" w:cs="Arial" w:eastAsia="Arial" w:hAnsi="Arial"/>
          <w:sz w:val="21"/>
          <w:szCs w:val="21"/>
          <w:color w:val="0F0F0F"/>
        </w:rPr>
      </w:pPr>
      <w:r>
        <w:rPr>
          <w:rFonts w:ascii="Arial" w:cs="Arial" w:eastAsia="Arial" w:hAnsi="Arial"/>
          <w:sz w:val="21"/>
          <w:szCs w:val="21"/>
          <w:color w:val="0F0F0F"/>
        </w:rPr>
        <w:t>participate in training courses and other business meetings beyond normal working hours. Overtime in regard to the weekly working hours mentioned in item 3.1 above is not compensated separately, neither through salary nor through time off. The salary mentioned below in item 4.1 thus includes payment for such overtime. Similarly, no compensation is paid for overtime performed on Sundays and public holidays or in connection with travelling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ind w:left="760" w:hanging="757"/>
        <w:spacing w:after="0"/>
        <w:tabs>
          <w:tab w:leader="none" w:pos="760" w:val="left"/>
        </w:tabs>
        <w:numPr>
          <w:ilvl w:val="0"/>
          <w:numId w:val="71"/>
        </w:numPr>
        <w:rPr>
          <w:rFonts w:ascii="Arial" w:cs="Arial" w:eastAsia="Arial" w:hAnsi="Arial"/>
          <w:sz w:val="22"/>
          <w:szCs w:val="22"/>
          <w:b w:val="1"/>
          <w:bCs w:val="1"/>
          <w:color w:val="0F0F0F"/>
        </w:rPr>
      </w:pPr>
      <w:r>
        <w:rPr>
          <w:rFonts w:ascii="Arial" w:cs="Arial" w:eastAsia="Arial" w:hAnsi="Arial"/>
          <w:sz w:val="22"/>
          <w:szCs w:val="22"/>
          <w:b w:val="1"/>
          <w:bCs w:val="1"/>
          <w:color w:val="0F0F0F"/>
        </w:rPr>
        <w:t>Salary and benefits</w:t>
      </w:r>
    </w:p>
    <w:p>
      <w:pPr>
        <w:spacing w:after="0" w:line="206" w:lineRule="exact"/>
        <w:rPr>
          <w:sz w:val="20"/>
          <w:szCs w:val="20"/>
          <w:color w:val="auto"/>
        </w:rPr>
      </w:pPr>
    </w:p>
    <w:p>
      <w:pPr>
        <w:jc w:val="both"/>
        <w:ind w:left="780" w:hanging="755"/>
        <w:spacing w:after="0" w:line="238" w:lineRule="auto"/>
        <w:tabs>
          <w:tab w:leader="none" w:pos="760" w:val="left"/>
        </w:tabs>
        <w:rPr>
          <w:sz w:val="20"/>
          <w:szCs w:val="20"/>
          <w:color w:val="auto"/>
        </w:rPr>
      </w:pPr>
      <w:r>
        <w:rPr>
          <w:rFonts w:ascii="Arial" w:cs="Arial" w:eastAsia="Arial" w:hAnsi="Arial"/>
          <w:sz w:val="22"/>
          <w:szCs w:val="22"/>
          <w:b w:val="1"/>
          <w:bCs w:val="1"/>
          <w:color w:val="0F0F0F"/>
        </w:rPr>
        <w:t>4.1</w:t>
      </w:r>
      <w:r>
        <w:rPr>
          <w:sz w:val="20"/>
          <w:szCs w:val="20"/>
          <w:color w:val="auto"/>
        </w:rPr>
        <w:tab/>
      </w:r>
      <w:r>
        <w:rPr>
          <w:rFonts w:ascii="Arial" w:cs="Arial" w:eastAsia="Arial" w:hAnsi="Arial"/>
          <w:sz w:val="22"/>
          <w:szCs w:val="22"/>
          <w:color w:val="0F0F0F"/>
        </w:rPr>
        <w:t>The base salary is DKK 1.741.000 per year, payable monthly in arrears on or around the last banking day of the month, the first payment to be made at the end of the first month of employment. The employee may choose to participate in the Employer's pension scheme. However, any pension contribution will be paid out of the employee's base salary.</w:t>
      </w:r>
    </w:p>
    <w:p>
      <w:pPr>
        <w:spacing w:after="0" w:line="185" w:lineRule="exact"/>
        <w:rPr>
          <w:sz w:val="20"/>
          <w:szCs w:val="20"/>
          <w:color w:val="auto"/>
        </w:rPr>
      </w:pPr>
    </w:p>
    <w:p>
      <w:pPr>
        <w:jc w:val="both"/>
        <w:ind w:left="780" w:right="20" w:hanging="755"/>
        <w:spacing w:after="0"/>
        <w:tabs>
          <w:tab w:leader="none" w:pos="760" w:val="left"/>
        </w:tabs>
        <w:rPr>
          <w:sz w:val="20"/>
          <w:szCs w:val="20"/>
          <w:color w:val="auto"/>
        </w:rPr>
      </w:pPr>
      <w:r>
        <w:rPr>
          <w:rFonts w:ascii="Arial" w:cs="Arial" w:eastAsia="Arial" w:hAnsi="Arial"/>
          <w:sz w:val="22"/>
          <w:szCs w:val="22"/>
          <w:b w:val="1"/>
          <w:bCs w:val="1"/>
          <w:color w:val="0F0F0F"/>
        </w:rPr>
        <w:t>4.2</w:t>
      </w:r>
      <w:r>
        <w:rPr>
          <w:sz w:val="20"/>
          <w:szCs w:val="20"/>
          <w:color w:val="auto"/>
        </w:rPr>
        <w:tab/>
      </w:r>
      <w:r>
        <w:rPr>
          <w:rFonts w:ascii="Arial" w:cs="Arial" w:eastAsia="Arial" w:hAnsi="Arial"/>
          <w:sz w:val="22"/>
          <w:szCs w:val="22"/>
          <w:color w:val="0F0F0F"/>
        </w:rPr>
        <w:t>Each year in December, the first time in December 2018, a potential adjustment of the salary according to item 4.1 discussed with the reporting person and an adjustment (if any) will become effective as of January 1 in the following year.</w:t>
      </w:r>
    </w:p>
    <w:p>
      <w:pPr>
        <w:spacing w:after="0" w:line="186" w:lineRule="exact"/>
        <w:rPr>
          <w:sz w:val="20"/>
          <w:szCs w:val="20"/>
          <w:color w:val="auto"/>
        </w:rPr>
      </w:pPr>
    </w:p>
    <w:p>
      <w:pPr>
        <w:jc w:val="both"/>
        <w:ind w:left="780" w:hanging="741"/>
        <w:spacing w:after="0" w:line="277" w:lineRule="auto"/>
        <w:tabs>
          <w:tab w:leader="none" w:pos="760" w:val="left"/>
        </w:tabs>
        <w:rPr>
          <w:sz w:val="20"/>
          <w:szCs w:val="20"/>
          <w:color w:val="auto"/>
        </w:rPr>
      </w:pPr>
      <w:r>
        <w:rPr>
          <w:rFonts w:ascii="Arial" w:cs="Arial" w:eastAsia="Arial" w:hAnsi="Arial"/>
          <w:sz w:val="22"/>
          <w:szCs w:val="22"/>
          <w:b w:val="1"/>
          <w:bCs w:val="1"/>
          <w:color w:val="0F0F0F"/>
        </w:rPr>
        <w:t>4.3</w:t>
      </w:r>
      <w:r>
        <w:rPr>
          <w:sz w:val="20"/>
          <w:szCs w:val="20"/>
          <w:color w:val="auto"/>
        </w:rPr>
        <w:tab/>
      </w:r>
      <w:r>
        <w:rPr>
          <w:rFonts w:ascii="Arial" w:cs="Arial" w:eastAsia="Arial" w:hAnsi="Arial"/>
          <w:sz w:val="19"/>
          <w:szCs w:val="19"/>
          <w:color w:val="0F0F0F"/>
        </w:rPr>
        <w:t>The Employer shall provide at the free disposal of the Employee, a mobile phone and a portable computer and shall pay all costs in connection herewith including internet connection at the Employee's home(s). In the event of termination of this Agreement, for whatever reason, and upon the Employer's request, the Employee is obliged to forthwith return the mobile phone and the portable computer to the Employer. The Employee will be entitled to receive a monthly compensation corresponding to the taxable value of benefits no longer available to the Employee. The Employee shall also be entitled to one newspaper subscription paid by the company.</w:t>
      </w:r>
    </w:p>
    <w:p>
      <w:pPr>
        <w:spacing w:after="0" w:line="152" w:lineRule="exact"/>
        <w:rPr>
          <w:sz w:val="20"/>
          <w:szCs w:val="20"/>
          <w:color w:val="auto"/>
        </w:rPr>
      </w:pPr>
    </w:p>
    <w:p>
      <w:pPr>
        <w:jc w:val="both"/>
        <w:ind w:left="780" w:hanging="755"/>
        <w:spacing w:after="0"/>
        <w:tabs>
          <w:tab w:leader="none" w:pos="760" w:val="left"/>
        </w:tabs>
        <w:rPr>
          <w:sz w:val="20"/>
          <w:szCs w:val="20"/>
          <w:color w:val="auto"/>
        </w:rPr>
      </w:pPr>
      <w:r>
        <w:rPr>
          <w:rFonts w:ascii="Arial" w:cs="Arial" w:eastAsia="Arial" w:hAnsi="Arial"/>
          <w:sz w:val="22"/>
          <w:szCs w:val="22"/>
          <w:b w:val="1"/>
          <w:bCs w:val="1"/>
          <w:color w:val="0F0F0F"/>
        </w:rPr>
        <w:t>4.4</w:t>
      </w:r>
      <w:r>
        <w:rPr>
          <w:sz w:val="20"/>
          <w:szCs w:val="20"/>
          <w:color w:val="auto"/>
        </w:rPr>
        <w:tab/>
      </w:r>
      <w:r>
        <w:rPr>
          <w:rFonts w:ascii="Arial" w:cs="Arial" w:eastAsia="Arial" w:hAnsi="Arial"/>
          <w:sz w:val="22"/>
          <w:szCs w:val="22"/>
          <w:color w:val="0F0F0F"/>
        </w:rPr>
        <w:t>The Employee may also receive an annual bonus based on overall company performance and ability to reach individually defined performance goals. Such annual bonus may be up to the equivalent of 3 months' salary.</w:t>
      </w:r>
    </w:p>
    <w:p>
      <w:pPr>
        <w:spacing w:after="0" w:line="186" w:lineRule="exact"/>
        <w:rPr>
          <w:sz w:val="20"/>
          <w:szCs w:val="20"/>
          <w:color w:val="auto"/>
        </w:rPr>
      </w:pPr>
    </w:p>
    <w:p>
      <w:pPr>
        <w:jc w:val="both"/>
        <w:ind w:left="800" w:hanging="755"/>
        <w:spacing w:after="0" w:line="287" w:lineRule="auto"/>
        <w:tabs>
          <w:tab w:leader="none" w:pos="780" w:val="left"/>
        </w:tabs>
        <w:rPr>
          <w:sz w:val="20"/>
          <w:szCs w:val="20"/>
          <w:color w:val="auto"/>
        </w:rPr>
      </w:pPr>
      <w:r>
        <w:rPr>
          <w:rFonts w:ascii="Arial" w:cs="Arial" w:eastAsia="Arial" w:hAnsi="Arial"/>
          <w:sz w:val="22"/>
          <w:szCs w:val="22"/>
          <w:b w:val="1"/>
          <w:bCs w:val="1"/>
          <w:color w:val="0F0F0F"/>
        </w:rPr>
        <w:t>4.5</w:t>
      </w:r>
      <w:r>
        <w:rPr>
          <w:sz w:val="20"/>
          <w:szCs w:val="20"/>
          <w:color w:val="auto"/>
        </w:rPr>
        <w:tab/>
      </w:r>
      <w:r>
        <w:rPr>
          <w:rFonts w:ascii="Arial" w:cs="Arial" w:eastAsia="Arial" w:hAnsi="Arial"/>
          <w:sz w:val="19"/>
          <w:szCs w:val="19"/>
          <w:color w:val="0F0F0F"/>
        </w:rPr>
        <w:t>The Employee shall as Sr. Vice-President and Chief Medical Officer (CMO) be offered to participate in the Company's Warrant program. Such warrants will be granted at the first Board meeting following the Employees first working day. In general, the warrants vest over 4 years and at the end of the first 4 years vesting period the Employee may be offered a continuation package.</w:t>
      </w:r>
    </w:p>
    <w:p>
      <w:pPr>
        <w:spacing w:after="0" w:line="143" w:lineRule="exact"/>
        <w:rPr>
          <w:sz w:val="20"/>
          <w:szCs w:val="20"/>
          <w:color w:val="auto"/>
        </w:rPr>
      </w:pPr>
    </w:p>
    <w:p>
      <w:pPr>
        <w:jc w:val="both"/>
        <w:ind w:left="800" w:hanging="755"/>
        <w:spacing w:after="0" w:line="235" w:lineRule="auto"/>
        <w:tabs>
          <w:tab w:leader="none" w:pos="780" w:val="left"/>
        </w:tabs>
        <w:rPr>
          <w:sz w:val="20"/>
          <w:szCs w:val="20"/>
          <w:color w:val="auto"/>
        </w:rPr>
      </w:pPr>
      <w:r>
        <w:rPr>
          <w:rFonts w:ascii="Arial" w:cs="Arial" w:eastAsia="Arial" w:hAnsi="Arial"/>
          <w:sz w:val="22"/>
          <w:szCs w:val="22"/>
          <w:b w:val="1"/>
          <w:bCs w:val="1"/>
          <w:color w:val="0F0F0F"/>
        </w:rPr>
        <w:t>4.6</w:t>
      </w:r>
      <w:r>
        <w:rPr>
          <w:sz w:val="20"/>
          <w:szCs w:val="20"/>
          <w:color w:val="auto"/>
        </w:rPr>
        <w:tab/>
      </w:r>
      <w:r>
        <w:rPr>
          <w:rFonts w:ascii="Arial" w:cs="Arial" w:eastAsia="Arial" w:hAnsi="Arial"/>
          <w:sz w:val="22"/>
          <w:szCs w:val="22"/>
          <w:color w:val="0F0F0F"/>
        </w:rPr>
        <w:t>In the event that the Company is being taken over by another Company that will not continue the collaboration with the Employee, or impose a change in "normal place of work" to outside Rungsted Kyst or greater Copenhagen area, the Employee has the option to consider this a termination of the contract (employment relation-ship) by the Employer and shall be entitled to an extra 12 months' notification of termination (Take over protection) in addition to the agreed 12 months notification of termination (see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633730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665" w:right="9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4</w:t>
      </w:r>
    </w:p>
    <w:p>
      <w:pPr>
        <w:spacing w:after="0" w:line="212" w:lineRule="exact"/>
        <w:rPr>
          <w:sz w:val="20"/>
          <w:szCs w:val="20"/>
          <w:color w:val="auto"/>
        </w:rPr>
      </w:pPr>
    </w:p>
    <w:p>
      <w:pPr>
        <w:ind w:left="760" w:hanging="757"/>
        <w:spacing w:after="0"/>
        <w:tabs>
          <w:tab w:leader="none" w:pos="760" w:val="left"/>
        </w:tabs>
        <w:numPr>
          <w:ilvl w:val="0"/>
          <w:numId w:val="72"/>
        </w:numPr>
        <w:rPr>
          <w:rFonts w:ascii="Arial" w:cs="Arial" w:eastAsia="Arial" w:hAnsi="Arial"/>
          <w:sz w:val="22"/>
          <w:szCs w:val="22"/>
          <w:b w:val="1"/>
          <w:bCs w:val="1"/>
          <w:color w:val="111111"/>
        </w:rPr>
      </w:pPr>
      <w:r>
        <w:rPr>
          <w:rFonts w:ascii="Arial" w:cs="Arial" w:eastAsia="Arial" w:hAnsi="Arial"/>
          <w:sz w:val="22"/>
          <w:szCs w:val="22"/>
          <w:b w:val="1"/>
          <w:bCs w:val="1"/>
          <w:color w:val="111111"/>
        </w:rPr>
        <w:t>Travelling and entertainment</w:t>
      </w:r>
    </w:p>
    <w:p>
      <w:pPr>
        <w:spacing w:after="0" w:line="206" w:lineRule="exact"/>
        <w:rPr>
          <w:sz w:val="20"/>
          <w:szCs w:val="20"/>
          <w:color w:val="auto"/>
        </w:rPr>
      </w:pPr>
    </w:p>
    <w:p>
      <w:pPr>
        <w:jc w:val="both"/>
        <w:ind w:left="740" w:hanging="741"/>
        <w:spacing w:after="0" w:line="282" w:lineRule="auto"/>
        <w:tabs>
          <w:tab w:leader="none" w:pos="720" w:val="left"/>
        </w:tabs>
        <w:rPr>
          <w:sz w:val="20"/>
          <w:szCs w:val="20"/>
          <w:color w:val="auto"/>
        </w:rPr>
      </w:pPr>
      <w:r>
        <w:rPr>
          <w:rFonts w:ascii="Arial" w:cs="Arial" w:eastAsia="Arial" w:hAnsi="Arial"/>
          <w:sz w:val="22"/>
          <w:szCs w:val="22"/>
          <w:b w:val="1"/>
          <w:bCs w:val="1"/>
          <w:color w:val="111111"/>
        </w:rPr>
        <w:t>5.1</w:t>
      </w:r>
      <w:r>
        <w:rPr>
          <w:sz w:val="20"/>
          <w:szCs w:val="20"/>
          <w:color w:val="auto"/>
        </w:rPr>
        <w:tab/>
      </w:r>
      <w:r>
        <w:rPr>
          <w:rFonts w:ascii="Arial" w:cs="Arial" w:eastAsia="Arial" w:hAnsi="Arial"/>
          <w:sz w:val="19"/>
          <w:szCs w:val="19"/>
          <w:color w:val="111111"/>
        </w:rPr>
        <w:t>The Employer will reimburse the Employee reasonable travelling and entertainment costs, incurred in connection with the Employee's work for the Employer in accord dance with the policies and procedures of the Employer in force at the time. No later than the seventh day of each month the Employee shall settle his/her travelling costs and other expenses for the foregoing month, by submitting the relevant receipts and/or other evidence to the reporting person for approval.</w:t>
      </w:r>
    </w:p>
    <w:p>
      <w:pPr>
        <w:spacing w:after="0" w:line="147" w:lineRule="exact"/>
        <w:rPr>
          <w:sz w:val="20"/>
          <w:szCs w:val="20"/>
          <w:color w:val="auto"/>
        </w:rPr>
      </w:pPr>
    </w:p>
    <w:p>
      <w:pPr>
        <w:ind w:left="780" w:hanging="764"/>
        <w:spacing w:after="0"/>
        <w:tabs>
          <w:tab w:leader="none" w:pos="780" w:val="left"/>
        </w:tabs>
        <w:numPr>
          <w:ilvl w:val="0"/>
          <w:numId w:val="73"/>
        </w:numPr>
        <w:rPr>
          <w:rFonts w:ascii="Arial" w:cs="Arial" w:eastAsia="Arial" w:hAnsi="Arial"/>
          <w:sz w:val="22"/>
          <w:szCs w:val="22"/>
          <w:b w:val="1"/>
          <w:bCs w:val="1"/>
          <w:color w:val="111111"/>
        </w:rPr>
      </w:pPr>
      <w:r>
        <w:rPr>
          <w:rFonts w:ascii="Arial" w:cs="Arial" w:eastAsia="Arial" w:hAnsi="Arial"/>
          <w:sz w:val="22"/>
          <w:szCs w:val="22"/>
          <w:b w:val="1"/>
          <w:bCs w:val="1"/>
          <w:color w:val="111111"/>
        </w:rPr>
        <w:t>Holiday and days off with pay</w:t>
      </w:r>
    </w:p>
    <w:p>
      <w:pPr>
        <w:spacing w:after="0" w:line="206" w:lineRule="exact"/>
        <w:rPr>
          <w:sz w:val="20"/>
          <w:szCs w:val="20"/>
          <w:color w:val="auto"/>
        </w:rPr>
      </w:pPr>
    </w:p>
    <w:p>
      <w:pPr>
        <w:jc w:val="both"/>
        <w:ind w:left="780" w:hanging="755"/>
        <w:spacing w:after="0" w:line="238" w:lineRule="auto"/>
        <w:tabs>
          <w:tab w:leader="none" w:pos="760" w:val="left"/>
        </w:tabs>
        <w:rPr>
          <w:sz w:val="20"/>
          <w:szCs w:val="20"/>
          <w:color w:val="auto"/>
        </w:rPr>
      </w:pPr>
      <w:r>
        <w:rPr>
          <w:rFonts w:ascii="Arial" w:cs="Arial" w:eastAsia="Arial" w:hAnsi="Arial"/>
          <w:sz w:val="22"/>
          <w:szCs w:val="22"/>
          <w:b w:val="1"/>
          <w:bCs w:val="1"/>
          <w:color w:val="111111"/>
        </w:rPr>
        <w:t>6.1</w:t>
      </w:r>
      <w:r>
        <w:rPr>
          <w:sz w:val="20"/>
          <w:szCs w:val="20"/>
          <w:color w:val="auto"/>
        </w:rPr>
        <w:tab/>
      </w:r>
      <w:r>
        <w:rPr>
          <w:rFonts w:ascii="Arial" w:cs="Arial" w:eastAsia="Arial" w:hAnsi="Arial"/>
          <w:sz w:val="22"/>
          <w:szCs w:val="22"/>
          <w:color w:val="111111"/>
        </w:rPr>
        <w:t>The Employee is subject to the provisions of the Danish Holiday Act and is thus entitled to holiday and holiday compensation in accordance with the stipulations of the Danish Holiday Act. The Employee receives salary during his/her vacation and shall decide the periods of the vacation after consultation and approval of the reporting per son</w:t>
      </w:r>
    </w:p>
    <w:p>
      <w:pPr>
        <w:spacing w:after="0" w:line="185" w:lineRule="exact"/>
        <w:rPr>
          <w:sz w:val="20"/>
          <w:szCs w:val="20"/>
          <w:color w:val="auto"/>
        </w:rPr>
      </w:pPr>
    </w:p>
    <w:p>
      <w:pPr>
        <w:jc w:val="both"/>
        <w:ind w:left="780" w:hanging="755"/>
        <w:spacing w:after="0" w:line="236" w:lineRule="auto"/>
        <w:tabs>
          <w:tab w:leader="none" w:pos="760" w:val="left"/>
        </w:tabs>
        <w:rPr>
          <w:sz w:val="20"/>
          <w:szCs w:val="20"/>
          <w:color w:val="auto"/>
        </w:rPr>
      </w:pPr>
      <w:r>
        <w:rPr>
          <w:rFonts w:ascii="Arial" w:cs="Arial" w:eastAsia="Arial" w:hAnsi="Arial"/>
          <w:sz w:val="22"/>
          <w:szCs w:val="22"/>
          <w:b w:val="1"/>
          <w:bCs w:val="1"/>
          <w:color w:val="111111"/>
        </w:rPr>
        <w:t>6.2</w:t>
      </w:r>
      <w:r>
        <w:rPr>
          <w:sz w:val="20"/>
          <w:szCs w:val="20"/>
          <w:color w:val="auto"/>
        </w:rPr>
        <w:tab/>
      </w:r>
      <w:r>
        <w:rPr>
          <w:rFonts w:ascii="Arial" w:cs="Arial" w:eastAsia="Arial" w:hAnsi="Arial"/>
          <w:sz w:val="22"/>
          <w:szCs w:val="22"/>
          <w:color w:val="111111"/>
        </w:rPr>
        <w:t xml:space="preserve">Upon termination, regardless of which Party is terminating the employment, it has been agreed that without prior notice the Employer, irrespective of the length of the termination notice, is entitled to require the Employee to take the maximum amount of holiday as possible during the termination notice period. Article 15 section 2 and Article 16 section </w:t>
      </w:r>
      <w:r>
        <w:rPr>
          <w:rFonts w:ascii="Arial" w:cs="Arial" w:eastAsia="Arial" w:hAnsi="Arial"/>
          <w:sz w:val="22"/>
          <w:szCs w:val="22"/>
          <w:b w:val="1"/>
          <w:bCs w:val="1"/>
          <w:color w:val="111111"/>
        </w:rPr>
        <w:t>1</w:t>
      </w:r>
      <w:r>
        <w:rPr>
          <w:rFonts w:ascii="Arial" w:cs="Arial" w:eastAsia="Arial" w:hAnsi="Arial"/>
          <w:sz w:val="22"/>
          <w:szCs w:val="22"/>
          <w:color w:val="111111"/>
        </w:rPr>
        <w:t xml:space="preserve"> of the Danish Holiday Act is thus deviated from, cf. Article 21 of the Danish Holiday Act.</w:t>
      </w:r>
    </w:p>
    <w:p>
      <w:pPr>
        <w:spacing w:after="0" w:line="187" w:lineRule="exact"/>
        <w:rPr>
          <w:sz w:val="20"/>
          <w:szCs w:val="20"/>
          <w:color w:val="auto"/>
        </w:rPr>
      </w:pPr>
    </w:p>
    <w:p>
      <w:pPr>
        <w:jc w:val="both"/>
        <w:ind w:left="780" w:hanging="741"/>
        <w:spacing w:after="0" w:line="234" w:lineRule="auto"/>
        <w:tabs>
          <w:tab w:leader="none" w:pos="760" w:val="left"/>
        </w:tabs>
        <w:rPr>
          <w:sz w:val="20"/>
          <w:szCs w:val="20"/>
          <w:color w:val="auto"/>
        </w:rPr>
      </w:pPr>
      <w:r>
        <w:rPr>
          <w:rFonts w:ascii="Arial" w:cs="Arial" w:eastAsia="Arial" w:hAnsi="Arial"/>
          <w:sz w:val="22"/>
          <w:szCs w:val="22"/>
          <w:b w:val="1"/>
          <w:bCs w:val="1"/>
          <w:color w:val="111111"/>
        </w:rPr>
        <w:t>6.3</w:t>
      </w:r>
      <w:r>
        <w:rPr>
          <w:sz w:val="20"/>
          <w:szCs w:val="20"/>
          <w:color w:val="auto"/>
        </w:rPr>
        <w:tab/>
      </w:r>
      <w:r>
        <w:rPr>
          <w:rFonts w:ascii="Arial" w:cs="Arial" w:eastAsia="Arial" w:hAnsi="Arial"/>
          <w:sz w:val="22"/>
          <w:szCs w:val="22"/>
          <w:color w:val="111111"/>
        </w:rPr>
        <w:t>The Employee shall additionally be entitled to one full day off with pay (in Danish: "feriefridage") on the first Friday after Ascension Day (in Danish: "Kristi Himmel fartsdag"), Constitution Day (in Danish: "Grundlovsdag"), and 24 December and 31 December. The Danish Holiday Act does not comprise days off with pay. Days off with pay that are not used will not entitle the Employee to any payments, and days off with pay not used may not be carried forward. The employee will be entitled in the commencement year (in Danish: tiltrredelses aret) to take full holiday with full pay (i.e. 5 weeks), despite that the Employee has not accrued entitlement-paid holiday to the company according to the Danish Holiday act</w:t>
      </w:r>
    </w:p>
    <w:p>
      <w:pPr>
        <w:spacing w:after="0" w:line="187" w:lineRule="exact"/>
        <w:rPr>
          <w:sz w:val="20"/>
          <w:szCs w:val="20"/>
          <w:color w:val="auto"/>
        </w:rPr>
      </w:pPr>
    </w:p>
    <w:p>
      <w:pPr>
        <w:ind w:left="800" w:hanging="757"/>
        <w:spacing w:after="0"/>
        <w:tabs>
          <w:tab w:leader="none" w:pos="800" w:val="left"/>
        </w:tabs>
        <w:numPr>
          <w:ilvl w:val="0"/>
          <w:numId w:val="74"/>
        </w:numPr>
        <w:rPr>
          <w:rFonts w:ascii="Arial" w:cs="Arial" w:eastAsia="Arial" w:hAnsi="Arial"/>
          <w:sz w:val="22"/>
          <w:szCs w:val="22"/>
          <w:b w:val="1"/>
          <w:bCs w:val="1"/>
          <w:color w:val="111111"/>
        </w:rPr>
      </w:pPr>
      <w:r>
        <w:rPr>
          <w:rFonts w:ascii="Arial" w:cs="Arial" w:eastAsia="Arial" w:hAnsi="Arial"/>
          <w:sz w:val="22"/>
          <w:szCs w:val="22"/>
          <w:b w:val="1"/>
          <w:bCs w:val="1"/>
          <w:color w:val="111111"/>
        </w:rPr>
        <w:t>Termination notices</w:t>
      </w:r>
    </w:p>
    <w:p>
      <w:pPr>
        <w:spacing w:after="0" w:line="206"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22"/>
          <w:szCs w:val="22"/>
          <w:b w:val="1"/>
          <w:bCs w:val="1"/>
          <w:color w:val="111111"/>
        </w:rPr>
        <w:t>7.1</w:t>
      </w:r>
      <w:r>
        <w:rPr>
          <w:sz w:val="20"/>
          <w:szCs w:val="20"/>
          <w:color w:val="auto"/>
        </w:rPr>
        <w:tab/>
      </w:r>
      <w:r>
        <w:rPr>
          <w:rFonts w:ascii="Arial" w:cs="Arial" w:eastAsia="Arial" w:hAnsi="Arial"/>
          <w:sz w:val="19"/>
          <w:szCs w:val="19"/>
          <w:color w:val="111111"/>
        </w:rPr>
        <w:t>During the employment the following termination notices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636905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665" w:right="999" w:bottom="1440" w:gutter="0" w:footer="0" w:header="0"/>
        </w:sectPr>
      </w:pPr>
    </w:p>
    <w:bookmarkStart w:id="119" w:name="page120"/>
    <w:bookmarkEnd w:id="119"/>
    <w:p>
      <w:pPr>
        <w:ind w:left="9724"/>
        <w:spacing w:after="0"/>
        <w:rPr>
          <w:sz w:val="20"/>
          <w:szCs w:val="20"/>
          <w:color w:val="auto"/>
        </w:rPr>
      </w:pPr>
      <w:r>
        <w:rPr>
          <w:rFonts w:ascii="Arial" w:cs="Arial" w:eastAsia="Arial" w:hAnsi="Arial"/>
          <w:sz w:val="13"/>
          <w:szCs w:val="13"/>
          <w:color w:val="auto"/>
        </w:rPr>
        <w:t>5</w:t>
      </w:r>
    </w:p>
    <w:p>
      <w:pPr>
        <w:spacing w:after="0" w:line="269" w:lineRule="exact"/>
        <w:rPr>
          <w:sz w:val="20"/>
          <w:szCs w:val="20"/>
          <w:color w:val="auto"/>
        </w:rPr>
      </w:pPr>
    </w:p>
    <w:p>
      <w:pPr>
        <w:jc w:val="both"/>
        <w:ind w:left="724" w:hanging="741"/>
        <w:spacing w:after="0" w:line="328" w:lineRule="auto"/>
        <w:tabs>
          <w:tab w:leader="none" w:pos="703" w:val="left"/>
        </w:tabs>
        <w:rPr>
          <w:sz w:val="20"/>
          <w:szCs w:val="20"/>
          <w:color w:val="auto"/>
        </w:rPr>
      </w:pPr>
      <w:r>
        <w:rPr>
          <w:rFonts w:ascii="Arial" w:cs="Arial" w:eastAsia="Arial" w:hAnsi="Arial"/>
          <w:sz w:val="22"/>
          <w:szCs w:val="22"/>
          <w:b w:val="1"/>
          <w:bCs w:val="1"/>
          <w:color w:val="0F0F0F"/>
        </w:rPr>
        <w:t>7.2</w:t>
      </w:r>
      <w:r>
        <w:rPr>
          <w:sz w:val="20"/>
          <w:szCs w:val="20"/>
          <w:color w:val="auto"/>
        </w:rPr>
        <w:tab/>
      </w:r>
      <w:r>
        <w:rPr>
          <w:rFonts w:ascii="Arial" w:cs="Arial" w:eastAsia="Arial" w:hAnsi="Arial"/>
          <w:sz w:val="19"/>
          <w:szCs w:val="19"/>
          <w:color w:val="0F0F0F"/>
        </w:rPr>
        <w:t>The employment may be terminated by the Employee with 3 months' notice to the end of a calendar month. The Employee may not terminate the employment with a notice exceeding 3 month.</w:t>
      </w:r>
    </w:p>
    <w:p>
      <w:pPr>
        <w:spacing w:after="0" w:line="105" w:lineRule="exact"/>
        <w:rPr>
          <w:sz w:val="20"/>
          <w:szCs w:val="20"/>
          <w:color w:val="auto"/>
        </w:rPr>
      </w:pPr>
    </w:p>
    <w:p>
      <w:pPr>
        <w:jc w:val="both"/>
        <w:ind w:left="744" w:right="20" w:hanging="755"/>
        <w:spacing w:after="0" w:line="250" w:lineRule="auto"/>
        <w:tabs>
          <w:tab w:leader="none" w:pos="723" w:val="left"/>
        </w:tabs>
        <w:rPr>
          <w:sz w:val="20"/>
          <w:szCs w:val="20"/>
          <w:color w:val="auto"/>
        </w:rPr>
      </w:pPr>
      <w:r>
        <w:rPr>
          <w:rFonts w:ascii="Arial" w:cs="Arial" w:eastAsia="Arial" w:hAnsi="Arial"/>
          <w:sz w:val="22"/>
          <w:szCs w:val="22"/>
          <w:b w:val="1"/>
          <w:bCs w:val="1"/>
          <w:color w:val="0F0F0F"/>
        </w:rPr>
        <w:t>7.3</w:t>
      </w:r>
      <w:r>
        <w:rPr>
          <w:sz w:val="20"/>
          <w:szCs w:val="20"/>
          <w:color w:val="auto"/>
        </w:rPr>
        <w:tab/>
      </w:r>
      <w:r>
        <w:rPr>
          <w:rFonts w:ascii="Arial" w:cs="Arial" w:eastAsia="Arial" w:hAnsi="Arial"/>
          <w:sz w:val="22"/>
          <w:szCs w:val="22"/>
          <w:color w:val="0F0F0F"/>
        </w:rPr>
        <w:t>The Employer may terminate the employment relationship to the end of a calendar month with a notice of 12 months.</w:t>
      </w:r>
    </w:p>
    <w:p>
      <w:pPr>
        <w:spacing w:after="0" w:line="175" w:lineRule="exact"/>
        <w:rPr>
          <w:sz w:val="20"/>
          <w:szCs w:val="20"/>
          <w:color w:val="auto"/>
        </w:rPr>
      </w:pPr>
    </w:p>
    <w:p>
      <w:pPr>
        <w:jc w:val="both"/>
        <w:ind w:left="744" w:hanging="755"/>
        <w:spacing w:after="0" w:line="250" w:lineRule="auto"/>
        <w:tabs>
          <w:tab w:leader="none" w:pos="723" w:val="left"/>
        </w:tabs>
        <w:rPr>
          <w:sz w:val="20"/>
          <w:szCs w:val="20"/>
          <w:color w:val="auto"/>
        </w:rPr>
      </w:pPr>
      <w:r>
        <w:rPr>
          <w:rFonts w:ascii="Arial" w:cs="Arial" w:eastAsia="Arial" w:hAnsi="Arial"/>
          <w:sz w:val="22"/>
          <w:szCs w:val="22"/>
          <w:b w:val="1"/>
          <w:bCs w:val="1"/>
          <w:color w:val="0F0F0F"/>
        </w:rPr>
        <w:t>7.4</w:t>
      </w:r>
      <w:r>
        <w:rPr>
          <w:sz w:val="20"/>
          <w:szCs w:val="20"/>
          <w:color w:val="auto"/>
        </w:rPr>
        <w:tab/>
      </w:r>
      <w:r>
        <w:rPr>
          <w:rFonts w:ascii="Arial" w:cs="Arial" w:eastAsia="Arial" w:hAnsi="Arial"/>
          <w:sz w:val="22"/>
          <w:szCs w:val="22"/>
          <w:color w:val="0F0F0F"/>
        </w:rPr>
        <w:t>Both Parties must serve the notice in writing and the notice must reach the recipient no later than the last day of the calendar month.</w:t>
      </w:r>
    </w:p>
    <w:p>
      <w:pPr>
        <w:spacing w:after="0" w:line="181" w:lineRule="exact"/>
        <w:rPr>
          <w:sz w:val="20"/>
          <w:szCs w:val="20"/>
          <w:color w:val="auto"/>
        </w:rPr>
      </w:pPr>
    </w:p>
    <w:p>
      <w:pPr>
        <w:ind w:left="764"/>
        <w:spacing w:after="0"/>
        <w:rPr>
          <w:sz w:val="20"/>
          <w:szCs w:val="20"/>
          <w:color w:val="auto"/>
        </w:rPr>
      </w:pPr>
      <w:r>
        <w:rPr>
          <w:rFonts w:ascii="Arial" w:cs="Arial" w:eastAsia="Arial" w:hAnsi="Arial"/>
          <w:sz w:val="22"/>
          <w:szCs w:val="22"/>
          <w:u w:val="single" w:color="auto"/>
          <w:color w:val="0F0F0F"/>
        </w:rPr>
        <w:t>The 120 days rule</w:t>
      </w:r>
    </w:p>
    <w:p>
      <w:pPr>
        <w:spacing w:after="0" w:line="200" w:lineRule="exact"/>
        <w:rPr>
          <w:sz w:val="20"/>
          <w:szCs w:val="20"/>
          <w:color w:val="auto"/>
        </w:rPr>
      </w:pPr>
    </w:p>
    <w:p>
      <w:pPr>
        <w:jc w:val="both"/>
        <w:ind w:left="744" w:right="20" w:hanging="755"/>
        <w:spacing w:after="0"/>
        <w:tabs>
          <w:tab w:leader="none" w:pos="723" w:val="left"/>
        </w:tabs>
        <w:rPr>
          <w:sz w:val="20"/>
          <w:szCs w:val="20"/>
          <w:color w:val="auto"/>
        </w:rPr>
      </w:pPr>
      <w:r>
        <w:rPr>
          <w:rFonts w:ascii="Arial" w:cs="Arial" w:eastAsia="Arial" w:hAnsi="Arial"/>
          <w:sz w:val="22"/>
          <w:szCs w:val="22"/>
          <w:b w:val="1"/>
          <w:bCs w:val="1"/>
          <w:color w:val="0F0F0F"/>
        </w:rPr>
        <w:t>7.5</w:t>
      </w:r>
      <w:r>
        <w:rPr>
          <w:sz w:val="20"/>
          <w:szCs w:val="20"/>
          <w:color w:val="auto"/>
        </w:rPr>
        <w:tab/>
      </w:r>
      <w:r>
        <w:rPr>
          <w:rFonts w:ascii="Arial" w:cs="Arial" w:eastAsia="Arial" w:hAnsi="Arial"/>
          <w:sz w:val="22"/>
          <w:szCs w:val="22"/>
          <w:color w:val="0F0F0F"/>
        </w:rPr>
        <w:t>Notwithstanding the above termination notices, the Parties agree that the Employer may terminate the employment with 1 months' notice to the end of a calendar month, when the following three conditions have been met:</w:t>
      </w:r>
    </w:p>
    <w:p>
      <w:pPr>
        <w:spacing w:after="0" w:line="192" w:lineRule="exact"/>
        <w:rPr>
          <w:sz w:val="20"/>
          <w:szCs w:val="20"/>
          <w:color w:val="auto"/>
        </w:rPr>
      </w:pPr>
    </w:p>
    <w:p>
      <w:pPr>
        <w:ind w:left="964" w:right="600" w:hanging="318"/>
        <w:spacing w:after="0" w:line="250" w:lineRule="auto"/>
        <w:tabs>
          <w:tab w:leader="none" w:pos="959" w:val="left"/>
        </w:tabs>
        <w:numPr>
          <w:ilvl w:val="1"/>
          <w:numId w:val="75"/>
        </w:numPr>
        <w:rPr>
          <w:rFonts w:ascii="Arial" w:cs="Arial" w:eastAsia="Arial" w:hAnsi="Arial"/>
          <w:sz w:val="22"/>
          <w:szCs w:val="22"/>
          <w:color w:val="auto"/>
        </w:rPr>
      </w:pPr>
      <w:r>
        <w:rPr>
          <w:rFonts w:ascii="Arial" w:cs="Arial" w:eastAsia="Arial" w:hAnsi="Arial"/>
          <w:sz w:val="22"/>
          <w:szCs w:val="22"/>
          <w:color w:val="0F0F0F"/>
        </w:rPr>
        <w:t>if the Employee, within the latest 12 months, has received salary during sick leave for 120 days inclusive of Sundays and holidays,</w:t>
      </w:r>
    </w:p>
    <w:p>
      <w:pPr>
        <w:spacing w:after="0" w:line="174" w:lineRule="exact"/>
        <w:rPr>
          <w:rFonts w:ascii="Arial" w:cs="Arial" w:eastAsia="Arial" w:hAnsi="Arial"/>
          <w:sz w:val="22"/>
          <w:szCs w:val="22"/>
          <w:color w:val="auto"/>
        </w:rPr>
      </w:pPr>
    </w:p>
    <w:p>
      <w:pPr>
        <w:ind w:left="964" w:hanging="318"/>
        <w:spacing w:after="0"/>
        <w:tabs>
          <w:tab w:leader="none" w:pos="964" w:val="left"/>
        </w:tabs>
        <w:numPr>
          <w:ilvl w:val="1"/>
          <w:numId w:val="75"/>
        </w:numPr>
        <w:rPr>
          <w:rFonts w:ascii="Arial" w:cs="Arial" w:eastAsia="Arial" w:hAnsi="Arial"/>
          <w:sz w:val="21"/>
          <w:szCs w:val="21"/>
          <w:color w:val="auto"/>
        </w:rPr>
      </w:pPr>
      <w:r>
        <w:rPr>
          <w:rFonts w:ascii="Arial" w:cs="Arial" w:eastAsia="Arial" w:hAnsi="Arial"/>
          <w:sz w:val="21"/>
          <w:szCs w:val="21"/>
          <w:color w:val="0F0F0F"/>
        </w:rPr>
        <w:t>the termination notice is served in connection with the expiry of the 120 sick leave days, and</w:t>
      </w:r>
    </w:p>
    <w:p>
      <w:pPr>
        <w:spacing w:after="0" w:line="217" w:lineRule="exact"/>
        <w:rPr>
          <w:rFonts w:ascii="Arial" w:cs="Arial" w:eastAsia="Arial" w:hAnsi="Arial"/>
          <w:sz w:val="21"/>
          <w:szCs w:val="21"/>
          <w:color w:val="auto"/>
        </w:rPr>
      </w:pPr>
    </w:p>
    <w:p>
      <w:pPr>
        <w:ind w:left="964" w:hanging="318"/>
        <w:spacing w:after="0"/>
        <w:tabs>
          <w:tab w:leader="none" w:pos="964" w:val="left"/>
        </w:tabs>
        <w:numPr>
          <w:ilvl w:val="1"/>
          <w:numId w:val="75"/>
        </w:numPr>
        <w:rPr>
          <w:rFonts w:ascii="Arial" w:cs="Arial" w:eastAsia="Arial" w:hAnsi="Arial"/>
          <w:sz w:val="22"/>
          <w:szCs w:val="22"/>
          <w:color w:val="auto"/>
        </w:rPr>
      </w:pPr>
      <w:r>
        <w:rPr>
          <w:rFonts w:ascii="Arial" w:cs="Arial" w:eastAsia="Arial" w:hAnsi="Arial"/>
          <w:sz w:val="22"/>
          <w:szCs w:val="22"/>
          <w:color w:val="0F0F0F"/>
        </w:rPr>
        <w:t>the termination notice is served while the Employee is still sick.</w:t>
      </w:r>
    </w:p>
    <w:p>
      <w:pPr>
        <w:spacing w:after="0" w:line="200" w:lineRule="exact"/>
        <w:rPr>
          <w:rFonts w:ascii="Arial" w:cs="Arial" w:eastAsia="Arial" w:hAnsi="Arial"/>
          <w:sz w:val="22"/>
          <w:szCs w:val="22"/>
          <w:color w:val="auto"/>
        </w:rPr>
      </w:pPr>
    </w:p>
    <w:p>
      <w:pPr>
        <w:ind w:left="764" w:hanging="764"/>
        <w:spacing w:after="0"/>
        <w:tabs>
          <w:tab w:leader="none" w:pos="764" w:val="left"/>
        </w:tabs>
        <w:numPr>
          <w:ilvl w:val="0"/>
          <w:numId w:val="75"/>
        </w:numPr>
        <w:rPr>
          <w:rFonts w:ascii="Arial" w:cs="Arial" w:eastAsia="Arial" w:hAnsi="Arial"/>
          <w:sz w:val="22"/>
          <w:szCs w:val="22"/>
          <w:b w:val="1"/>
          <w:bCs w:val="1"/>
          <w:color w:val="0F0F0F"/>
        </w:rPr>
      </w:pPr>
      <w:r>
        <w:rPr>
          <w:rFonts w:ascii="Arial" w:cs="Arial" w:eastAsia="Arial" w:hAnsi="Arial"/>
          <w:sz w:val="22"/>
          <w:szCs w:val="22"/>
          <w:b w:val="1"/>
          <w:bCs w:val="1"/>
          <w:color w:val="0F0F0F"/>
        </w:rPr>
        <w:t>Other stipulations</w:t>
      </w:r>
    </w:p>
    <w:p>
      <w:pPr>
        <w:spacing w:after="0" w:line="206" w:lineRule="exact"/>
        <w:rPr>
          <w:sz w:val="20"/>
          <w:szCs w:val="20"/>
          <w:color w:val="auto"/>
        </w:rPr>
      </w:pPr>
    </w:p>
    <w:p>
      <w:pPr>
        <w:jc w:val="both"/>
        <w:ind w:left="764" w:hanging="755"/>
        <w:spacing w:after="0" w:line="249" w:lineRule="auto"/>
        <w:tabs>
          <w:tab w:leader="none" w:pos="743" w:val="left"/>
        </w:tabs>
        <w:rPr>
          <w:sz w:val="20"/>
          <w:szCs w:val="20"/>
          <w:color w:val="auto"/>
        </w:rPr>
      </w:pPr>
      <w:r>
        <w:rPr>
          <w:rFonts w:ascii="Arial" w:cs="Arial" w:eastAsia="Arial" w:hAnsi="Arial"/>
          <w:sz w:val="22"/>
          <w:szCs w:val="22"/>
          <w:b w:val="1"/>
          <w:bCs w:val="1"/>
          <w:color w:val="0F0F0F"/>
        </w:rPr>
        <w:t>8.1</w:t>
      </w:r>
      <w:r>
        <w:rPr>
          <w:sz w:val="20"/>
          <w:szCs w:val="20"/>
          <w:color w:val="auto"/>
        </w:rPr>
        <w:tab/>
      </w:r>
      <w:r>
        <w:rPr>
          <w:rFonts w:ascii="Arial" w:cs="Arial" w:eastAsia="Arial" w:hAnsi="Arial"/>
          <w:sz w:val="21"/>
          <w:szCs w:val="21"/>
          <w:color w:val="0F0F0F"/>
        </w:rPr>
        <w:t>The Employee agrees to be bound by and accepts the terms and provisions contained in this contract, and agrees to adhere to the instructions given by the Employer during the employment, which the Employer considers to be of importance to the employment. Such instructions include, but are not limited to, the Employee's personal be haviour within the workplace and outside the workplace when dealing with customers and Employer's business partners.</w:t>
      </w:r>
    </w:p>
    <w:p>
      <w:pPr>
        <w:spacing w:after="0" w:line="178" w:lineRule="exact"/>
        <w:rPr>
          <w:sz w:val="20"/>
          <w:szCs w:val="20"/>
          <w:color w:val="auto"/>
        </w:rPr>
      </w:pPr>
    </w:p>
    <w:p>
      <w:pPr>
        <w:ind w:left="4"/>
        <w:spacing w:after="0"/>
        <w:tabs>
          <w:tab w:leader="none" w:pos="743" w:val="left"/>
        </w:tabs>
        <w:rPr>
          <w:sz w:val="20"/>
          <w:szCs w:val="20"/>
          <w:color w:val="auto"/>
        </w:rPr>
      </w:pPr>
      <w:r>
        <w:rPr>
          <w:rFonts w:ascii="Arial" w:cs="Arial" w:eastAsia="Arial" w:hAnsi="Arial"/>
          <w:sz w:val="22"/>
          <w:szCs w:val="22"/>
          <w:b w:val="1"/>
          <w:bCs w:val="1"/>
          <w:color w:val="0F0F0F"/>
        </w:rPr>
        <w:t>8.2</w:t>
      </w:r>
      <w:r>
        <w:rPr>
          <w:sz w:val="20"/>
          <w:szCs w:val="20"/>
          <w:color w:val="auto"/>
        </w:rPr>
        <w:tab/>
      </w:r>
      <w:r>
        <w:rPr>
          <w:rFonts w:ascii="Arial" w:cs="Arial" w:eastAsia="Arial" w:hAnsi="Arial"/>
          <w:sz w:val="19"/>
          <w:szCs w:val="19"/>
          <w:color w:val="0F0F0F"/>
        </w:rPr>
        <w:t>The Employee is thus obliged to:</w:t>
      </w:r>
    </w:p>
    <w:p>
      <w:pPr>
        <w:spacing w:after="0" w:line="212" w:lineRule="exact"/>
        <w:rPr>
          <w:sz w:val="20"/>
          <w:szCs w:val="20"/>
          <w:color w:val="auto"/>
        </w:rPr>
      </w:pPr>
    </w:p>
    <w:p>
      <w:pPr>
        <w:ind w:left="984" w:hanging="216"/>
        <w:spacing w:after="0"/>
        <w:tabs>
          <w:tab w:leader="none" w:pos="984" w:val="left"/>
        </w:tabs>
        <w:numPr>
          <w:ilvl w:val="0"/>
          <w:numId w:val="76"/>
        </w:numPr>
        <w:rPr>
          <w:rFonts w:ascii="Arial" w:cs="Arial" w:eastAsia="Arial" w:hAnsi="Arial"/>
          <w:sz w:val="22"/>
          <w:szCs w:val="22"/>
          <w:color w:val="auto"/>
        </w:rPr>
      </w:pPr>
      <w:r>
        <w:rPr>
          <w:rFonts w:ascii="Arial" w:cs="Arial" w:eastAsia="Arial" w:hAnsi="Arial"/>
          <w:sz w:val="22"/>
          <w:szCs w:val="22"/>
          <w:color w:val="0F0F0F"/>
        </w:rPr>
        <w:t>perform all necessary overtime, cf. item 3.4,</w:t>
      </w:r>
    </w:p>
    <w:p>
      <w:pPr>
        <w:spacing w:after="0" w:line="206" w:lineRule="exact"/>
        <w:rPr>
          <w:rFonts w:ascii="Arial" w:cs="Arial" w:eastAsia="Arial" w:hAnsi="Arial"/>
          <w:sz w:val="22"/>
          <w:szCs w:val="22"/>
          <w:color w:val="auto"/>
        </w:rPr>
      </w:pPr>
    </w:p>
    <w:p>
      <w:pPr>
        <w:ind w:left="984" w:hanging="216"/>
        <w:spacing w:after="0"/>
        <w:tabs>
          <w:tab w:leader="none" w:pos="984" w:val="left"/>
        </w:tabs>
        <w:numPr>
          <w:ilvl w:val="0"/>
          <w:numId w:val="76"/>
        </w:numPr>
        <w:rPr>
          <w:rFonts w:ascii="Arial" w:cs="Arial" w:eastAsia="Arial" w:hAnsi="Arial"/>
          <w:sz w:val="22"/>
          <w:szCs w:val="22"/>
          <w:color w:val="auto"/>
        </w:rPr>
      </w:pPr>
      <w:r>
        <w:rPr>
          <w:rFonts w:ascii="Arial" w:cs="Arial" w:eastAsia="Arial" w:hAnsi="Arial"/>
          <w:sz w:val="22"/>
          <w:szCs w:val="22"/>
          <w:color w:val="0F0F0F"/>
        </w:rPr>
        <w:t>adhere to instructions in respect of personal behaviour and appearance,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624205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665" w:right="9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6</w:t>
      </w:r>
    </w:p>
    <w:p>
      <w:pPr>
        <w:spacing w:after="0" w:line="218" w:lineRule="exact"/>
        <w:rPr>
          <w:sz w:val="20"/>
          <w:szCs w:val="20"/>
          <w:color w:val="auto"/>
        </w:rPr>
      </w:pPr>
    </w:p>
    <w:p>
      <w:pPr>
        <w:ind w:left="1100" w:right="200" w:hanging="316"/>
        <w:spacing w:after="0" w:line="250" w:lineRule="auto"/>
        <w:tabs>
          <w:tab w:leader="none" w:pos="959" w:val="left"/>
        </w:tabs>
        <w:numPr>
          <w:ilvl w:val="0"/>
          <w:numId w:val="77"/>
        </w:numPr>
        <w:rPr>
          <w:rFonts w:ascii="Arial" w:cs="Arial" w:eastAsia="Arial" w:hAnsi="Arial"/>
          <w:sz w:val="22"/>
          <w:szCs w:val="22"/>
          <w:color w:val="auto"/>
        </w:rPr>
      </w:pPr>
      <w:r>
        <w:rPr>
          <w:rFonts w:ascii="Arial" w:cs="Arial" w:eastAsia="Arial" w:hAnsi="Arial"/>
          <w:sz w:val="22"/>
          <w:szCs w:val="22"/>
          <w:color w:val="0F0F0F"/>
        </w:rPr>
        <w:t>adhere to instructions regarding work and security, including rules and regulations in regard to work and working environment,</w:t>
      </w:r>
    </w:p>
    <w:p>
      <w:pPr>
        <w:spacing w:after="0" w:line="174" w:lineRule="exact"/>
        <w:rPr>
          <w:rFonts w:ascii="Arial" w:cs="Arial" w:eastAsia="Arial" w:hAnsi="Arial"/>
          <w:sz w:val="22"/>
          <w:szCs w:val="22"/>
          <w:color w:val="auto"/>
        </w:rPr>
      </w:pPr>
    </w:p>
    <w:p>
      <w:pPr>
        <w:ind w:left="1100" w:right="920" w:hanging="316"/>
        <w:spacing w:after="0" w:line="250" w:lineRule="auto"/>
        <w:tabs>
          <w:tab w:leader="none" w:pos="961" w:val="left"/>
        </w:tabs>
        <w:numPr>
          <w:ilvl w:val="0"/>
          <w:numId w:val="77"/>
        </w:numPr>
        <w:rPr>
          <w:rFonts w:ascii="Arial" w:cs="Arial" w:eastAsia="Arial" w:hAnsi="Arial"/>
          <w:sz w:val="22"/>
          <w:szCs w:val="22"/>
          <w:color w:val="auto"/>
        </w:rPr>
      </w:pPr>
      <w:r>
        <w:rPr>
          <w:rFonts w:ascii="Arial" w:cs="Arial" w:eastAsia="Arial" w:hAnsi="Arial"/>
          <w:sz w:val="22"/>
          <w:szCs w:val="22"/>
          <w:color w:val="0F0F0F"/>
        </w:rPr>
        <w:t>adhere to any standards of work and conduct and any policies and procedures is sued by the Employer.</w:t>
      </w:r>
    </w:p>
    <w:p>
      <w:pPr>
        <w:spacing w:after="0" w:line="169" w:lineRule="exact"/>
        <w:rPr>
          <w:sz w:val="20"/>
          <w:szCs w:val="20"/>
          <w:color w:val="auto"/>
        </w:rPr>
      </w:pPr>
    </w:p>
    <w:p>
      <w:pPr>
        <w:jc w:val="both"/>
        <w:ind w:left="760" w:hanging="755"/>
        <w:spacing w:after="0" w:line="250" w:lineRule="auto"/>
        <w:tabs>
          <w:tab w:leader="none" w:pos="740" w:val="left"/>
        </w:tabs>
        <w:rPr>
          <w:sz w:val="20"/>
          <w:szCs w:val="20"/>
          <w:color w:val="auto"/>
        </w:rPr>
      </w:pPr>
      <w:r>
        <w:rPr>
          <w:rFonts w:ascii="Arial" w:cs="Arial" w:eastAsia="Arial" w:hAnsi="Arial"/>
          <w:sz w:val="22"/>
          <w:szCs w:val="22"/>
          <w:b w:val="1"/>
          <w:bCs w:val="1"/>
          <w:color w:val="0F0F0F"/>
        </w:rPr>
        <w:t>8.3</w:t>
      </w:r>
      <w:r>
        <w:rPr>
          <w:sz w:val="20"/>
          <w:szCs w:val="20"/>
          <w:color w:val="auto"/>
        </w:rPr>
        <w:tab/>
      </w:r>
      <w:r>
        <w:rPr>
          <w:rFonts w:ascii="Arial" w:cs="Arial" w:eastAsia="Arial" w:hAnsi="Arial"/>
          <w:sz w:val="22"/>
          <w:szCs w:val="22"/>
          <w:color w:val="0F0F0F"/>
        </w:rPr>
        <w:t>The Employee may not receive loans, gifts or other benefits from the Employer's customers or partners, except for normal gifts at Christmas or similar.</w:t>
      </w:r>
    </w:p>
    <w:p>
      <w:pPr>
        <w:spacing w:after="0" w:line="175"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22"/>
          <w:szCs w:val="22"/>
          <w:b w:val="1"/>
          <w:bCs w:val="1"/>
          <w:color w:val="0F0F0F"/>
        </w:rPr>
        <w:t>8.4</w:t>
      </w:r>
      <w:r>
        <w:rPr>
          <w:sz w:val="20"/>
          <w:szCs w:val="20"/>
          <w:color w:val="auto"/>
        </w:rPr>
        <w:tab/>
      </w:r>
      <w:r>
        <w:rPr>
          <w:rFonts w:ascii="Arial" w:cs="Arial" w:eastAsia="Arial" w:hAnsi="Arial"/>
          <w:sz w:val="22"/>
          <w:szCs w:val="22"/>
          <w:color w:val="0F0F0F"/>
        </w:rPr>
        <w:t>The Employee is obliged to inform the Employer of his change of home address to the effect that any notices (including termination notice) forwarded by the Employer to the address last stated by the Employee is considered as having reached the Employee as at the date on which the notice (including termination notice) reached this address.</w:t>
      </w:r>
    </w:p>
    <w:p>
      <w:pPr>
        <w:spacing w:after="0" w:line="185" w:lineRule="exact"/>
        <w:rPr>
          <w:sz w:val="20"/>
          <w:szCs w:val="20"/>
          <w:color w:val="auto"/>
        </w:rPr>
      </w:pPr>
    </w:p>
    <w:p>
      <w:pPr>
        <w:jc w:val="both"/>
        <w:ind w:left="780" w:right="20" w:hanging="755"/>
        <w:spacing w:after="0" w:line="252" w:lineRule="auto"/>
        <w:tabs>
          <w:tab w:leader="none" w:pos="760" w:val="left"/>
        </w:tabs>
        <w:rPr>
          <w:sz w:val="20"/>
          <w:szCs w:val="20"/>
          <w:color w:val="auto"/>
        </w:rPr>
      </w:pPr>
      <w:r>
        <w:rPr>
          <w:rFonts w:ascii="Arial" w:cs="Arial" w:eastAsia="Arial" w:hAnsi="Arial"/>
          <w:sz w:val="22"/>
          <w:szCs w:val="22"/>
          <w:b w:val="1"/>
          <w:bCs w:val="1"/>
          <w:color w:val="0F0F0F"/>
        </w:rPr>
        <w:t>8.5</w:t>
      </w:r>
      <w:r>
        <w:rPr>
          <w:sz w:val="20"/>
          <w:szCs w:val="20"/>
          <w:color w:val="auto"/>
        </w:rPr>
        <w:tab/>
      </w:r>
      <w:r>
        <w:rPr>
          <w:rFonts w:ascii="Arial" w:cs="Arial" w:eastAsia="Arial" w:hAnsi="Arial"/>
          <w:sz w:val="21"/>
          <w:szCs w:val="21"/>
          <w:color w:val="0F0F0F"/>
        </w:rPr>
        <w:t>During the employment, the Employee is obliged to devote his full working day to the Employer. The Employee may not, directly or indirectly, engage in any other non competing employment or business activities, whether paid or unpaid, unless such work/activities can be performed without any interference in the Employee's work obligations towards the Employer.</w:t>
      </w:r>
    </w:p>
    <w:p>
      <w:pPr>
        <w:spacing w:after="0" w:line="174" w:lineRule="exact"/>
        <w:rPr>
          <w:sz w:val="20"/>
          <w:szCs w:val="20"/>
          <w:color w:val="auto"/>
        </w:rPr>
      </w:pPr>
    </w:p>
    <w:p>
      <w:pPr>
        <w:jc w:val="both"/>
        <w:ind w:left="780" w:hanging="755"/>
        <w:spacing w:after="0" w:line="279" w:lineRule="auto"/>
        <w:tabs>
          <w:tab w:leader="none" w:pos="760" w:val="left"/>
        </w:tabs>
        <w:rPr>
          <w:sz w:val="20"/>
          <w:szCs w:val="20"/>
          <w:color w:val="auto"/>
        </w:rPr>
      </w:pPr>
      <w:r>
        <w:rPr>
          <w:rFonts w:ascii="Arial" w:cs="Arial" w:eastAsia="Arial" w:hAnsi="Arial"/>
          <w:sz w:val="22"/>
          <w:szCs w:val="22"/>
          <w:b w:val="1"/>
          <w:bCs w:val="1"/>
          <w:color w:val="0F0F0F"/>
        </w:rPr>
        <w:t>8.6</w:t>
      </w:r>
      <w:r>
        <w:rPr>
          <w:sz w:val="20"/>
          <w:szCs w:val="20"/>
          <w:color w:val="auto"/>
        </w:rPr>
        <w:tab/>
      </w:r>
      <w:r>
        <w:rPr>
          <w:rFonts w:ascii="Arial" w:cs="Arial" w:eastAsia="Arial" w:hAnsi="Arial"/>
          <w:sz w:val="19"/>
          <w:szCs w:val="19"/>
          <w:color w:val="0F0F0F"/>
        </w:rPr>
        <w:t>The Employee is subject to complete confidentiality regarding everything he/she learns regarding business relationships and confidential information regarding the Employer, its customers or other third parties to which the Employer is connected. This confidentiality obligation also applies after the expiry of the employment. Any breach of the confidentiality obligation is considered a gross violation of the employment contract, entitling the Employer to terminate the contract immediately. In that case the Employee is only entitled to salary up to and including the day of termination.</w:t>
      </w:r>
    </w:p>
    <w:p>
      <w:pPr>
        <w:spacing w:after="0" w:line="150" w:lineRule="exact"/>
        <w:rPr>
          <w:sz w:val="20"/>
          <w:szCs w:val="20"/>
          <w:color w:val="auto"/>
        </w:rPr>
      </w:pPr>
    </w:p>
    <w:p>
      <w:pPr>
        <w:jc w:val="both"/>
        <w:ind w:left="800" w:hanging="755"/>
        <w:spacing w:after="0" w:line="235" w:lineRule="auto"/>
        <w:tabs>
          <w:tab w:leader="none" w:pos="780" w:val="left"/>
        </w:tabs>
        <w:rPr>
          <w:sz w:val="20"/>
          <w:szCs w:val="20"/>
          <w:color w:val="auto"/>
        </w:rPr>
      </w:pPr>
      <w:r>
        <w:rPr>
          <w:rFonts w:ascii="Arial" w:cs="Arial" w:eastAsia="Arial" w:hAnsi="Arial"/>
          <w:sz w:val="22"/>
          <w:szCs w:val="22"/>
          <w:b w:val="1"/>
          <w:bCs w:val="1"/>
          <w:color w:val="0F0F0F"/>
        </w:rPr>
        <w:t>8.7</w:t>
      </w:r>
      <w:r>
        <w:rPr>
          <w:sz w:val="20"/>
          <w:szCs w:val="20"/>
          <w:color w:val="auto"/>
        </w:rPr>
        <w:tab/>
      </w:r>
      <w:r>
        <w:rPr>
          <w:rFonts w:ascii="Arial" w:cs="Arial" w:eastAsia="Arial" w:hAnsi="Arial"/>
          <w:sz w:val="22"/>
          <w:szCs w:val="22"/>
          <w:color w:val="0F0F0F"/>
        </w:rPr>
        <w:t>If the Employee's employment with the Employer is terminated for whatever reason, the Employee is obliged to return to the Employer all property that he has received or worked with during the employment including but not limited to manuals, reports, correspondence, case files, customer lists, price lists, catalogues, computer programs, etc. which are in the Employee's possession, and which relate to the business of the Employer. Lien cannot be exercised in any kind of property belonging to the Employer.</w:t>
      </w:r>
    </w:p>
    <w:p>
      <w:pPr>
        <w:spacing w:after="0" w:line="188" w:lineRule="exact"/>
        <w:rPr>
          <w:sz w:val="20"/>
          <w:szCs w:val="20"/>
          <w:color w:val="auto"/>
        </w:rPr>
      </w:pPr>
    </w:p>
    <w:p>
      <w:pPr>
        <w:jc w:val="both"/>
        <w:ind w:left="780" w:hanging="742"/>
        <w:spacing w:after="0" w:line="252" w:lineRule="auto"/>
        <w:tabs>
          <w:tab w:leader="none" w:pos="760" w:val="left"/>
        </w:tabs>
        <w:rPr>
          <w:sz w:val="20"/>
          <w:szCs w:val="20"/>
          <w:color w:val="auto"/>
        </w:rPr>
      </w:pPr>
      <w:r>
        <w:rPr>
          <w:rFonts w:ascii="Arial" w:cs="Arial" w:eastAsia="Arial" w:hAnsi="Arial"/>
          <w:sz w:val="22"/>
          <w:szCs w:val="22"/>
          <w:b w:val="1"/>
          <w:bCs w:val="1"/>
          <w:color w:val="0F0F0F"/>
        </w:rPr>
        <w:t>8.8</w:t>
      </w:r>
      <w:r>
        <w:rPr>
          <w:sz w:val="20"/>
          <w:szCs w:val="20"/>
          <w:color w:val="auto"/>
        </w:rPr>
        <w:tab/>
      </w:r>
      <w:r>
        <w:rPr>
          <w:rFonts w:ascii="Arial" w:cs="Arial" w:eastAsia="Arial" w:hAnsi="Arial"/>
          <w:sz w:val="21"/>
          <w:szCs w:val="21"/>
          <w:color w:val="0F0F0F"/>
        </w:rPr>
        <w:t>During the employment the Employee is prohibited from being directly, or indirectly engaged with or interested in any company or business activity, which is competing with the Employer. If the cohabiting spouse of the Employee or a person with whom the Employee is living in a relationship participates in such activities, the Employer shall be informed hereof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616585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665" w:right="9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7</w:t>
      </w:r>
    </w:p>
    <w:p>
      <w:pPr>
        <w:spacing w:after="0" w:line="212" w:lineRule="exact"/>
        <w:rPr>
          <w:sz w:val="20"/>
          <w:szCs w:val="20"/>
          <w:color w:val="auto"/>
        </w:rPr>
      </w:pPr>
    </w:p>
    <w:p>
      <w:pPr>
        <w:jc w:val="both"/>
        <w:ind w:left="760" w:right="640" w:hanging="755"/>
        <w:spacing w:after="0" w:line="257" w:lineRule="auto"/>
        <w:tabs>
          <w:tab w:leader="none" w:pos="740" w:val="left"/>
        </w:tabs>
        <w:rPr>
          <w:sz w:val="20"/>
          <w:szCs w:val="20"/>
          <w:color w:val="auto"/>
        </w:rPr>
      </w:pPr>
      <w:r>
        <w:rPr>
          <w:rFonts w:ascii="Arial" w:cs="Arial" w:eastAsia="Arial" w:hAnsi="Arial"/>
          <w:sz w:val="22"/>
          <w:szCs w:val="22"/>
          <w:b w:val="1"/>
          <w:bCs w:val="1"/>
          <w:color w:val="0F0F0F"/>
        </w:rPr>
        <w:t>8.9</w:t>
      </w:r>
      <w:r>
        <w:rPr>
          <w:sz w:val="20"/>
          <w:szCs w:val="20"/>
          <w:color w:val="auto"/>
        </w:rPr>
        <w:tab/>
      </w:r>
      <w:r>
        <w:rPr>
          <w:rFonts w:ascii="Arial" w:cs="Arial" w:eastAsia="Arial" w:hAnsi="Arial"/>
          <w:sz w:val="21"/>
          <w:szCs w:val="21"/>
          <w:color w:val="0F0F0F"/>
        </w:rPr>
        <w:t>If the Employee is absent, due to illness or for other reasons, his absence must be reported to the Employer immediately at the start of the first working day of his/her illness. At the same time the Employee must report the expected duration of his/her absence.</w:t>
      </w:r>
    </w:p>
    <w:p>
      <w:pPr>
        <w:spacing w:after="0" w:line="169" w:lineRule="exact"/>
        <w:rPr>
          <w:sz w:val="20"/>
          <w:szCs w:val="20"/>
          <w:color w:val="auto"/>
        </w:rPr>
      </w:pPr>
    </w:p>
    <w:p>
      <w:pPr>
        <w:jc w:val="both"/>
        <w:ind w:left="780" w:hanging="755"/>
        <w:spacing w:after="0" w:line="245" w:lineRule="auto"/>
        <w:tabs>
          <w:tab w:leader="none" w:pos="760" w:val="left"/>
        </w:tabs>
        <w:rPr>
          <w:sz w:val="20"/>
          <w:szCs w:val="20"/>
          <w:color w:val="auto"/>
        </w:rPr>
      </w:pPr>
      <w:r>
        <w:rPr>
          <w:rFonts w:ascii="Arial" w:cs="Arial" w:eastAsia="Arial" w:hAnsi="Arial"/>
          <w:sz w:val="22"/>
          <w:szCs w:val="22"/>
          <w:b w:val="1"/>
          <w:bCs w:val="1"/>
          <w:color w:val="0F0F0F"/>
        </w:rPr>
        <w:t>8.10</w:t>
      </w:r>
      <w:r>
        <w:rPr>
          <w:sz w:val="20"/>
          <w:szCs w:val="20"/>
          <w:color w:val="auto"/>
        </w:rPr>
        <w:tab/>
      </w:r>
      <w:r>
        <w:rPr>
          <w:rFonts w:ascii="Arial" w:cs="Arial" w:eastAsia="Arial" w:hAnsi="Arial"/>
          <w:sz w:val="21"/>
          <w:szCs w:val="21"/>
          <w:color w:val="0F0F0F"/>
        </w:rPr>
        <w:t xml:space="preserve">For the substantiation of the illness, the Employer may require the Employee to pro vide a self-certification form or a fit for work certificate, and the Employer shall pay any costs related hereto. The Employee has an obligation to participate in a mandatory sickness absence interview, unless the Employee, via a medical statement, is able to substantiate his incapacity to participate, in person or on the telephone, in such mandatory sickness absence interview. Any failure by the Employee to meet the request for substantiation of the illness, or the participation in the mandatory sickness absence interview or the preparation of a fit for work certificate, etc., is to be considered as a substantial breach of the Employee's obligation to cooperate loyally with the Employer and may, depending on the circumstances, entitle the Employer to terminate the </w:t>
      </w:r>
      <w:r>
        <w:rPr>
          <w:rFonts w:ascii="Arial" w:cs="Arial" w:eastAsia="Arial" w:hAnsi="Arial"/>
          <w:sz w:val="21"/>
          <w:szCs w:val="21"/>
          <w:color w:val="AFAFAF"/>
        </w:rPr>
        <w:t>.</w:t>
      </w:r>
      <w:r>
        <w:rPr>
          <w:rFonts w:ascii="Arial" w:cs="Arial" w:eastAsia="Arial" w:hAnsi="Arial"/>
          <w:sz w:val="21"/>
          <w:szCs w:val="21"/>
          <w:color w:val="0F0F0F"/>
        </w:rPr>
        <w:t xml:space="preserve"> employment contract with or without notice (in Danish: opsigelse/ophrevelse).</w:t>
      </w:r>
    </w:p>
    <w:p>
      <w:pPr>
        <w:spacing w:after="0" w:line="181" w:lineRule="exact"/>
        <w:rPr>
          <w:sz w:val="20"/>
          <w:szCs w:val="20"/>
          <w:color w:val="auto"/>
        </w:rPr>
      </w:pPr>
    </w:p>
    <w:p>
      <w:pPr>
        <w:jc w:val="both"/>
        <w:ind w:left="780" w:hanging="755"/>
        <w:spacing w:after="0" w:line="277" w:lineRule="auto"/>
        <w:tabs>
          <w:tab w:leader="none" w:pos="760" w:val="left"/>
        </w:tabs>
        <w:rPr>
          <w:sz w:val="20"/>
          <w:szCs w:val="20"/>
          <w:color w:val="auto"/>
        </w:rPr>
      </w:pPr>
      <w:r>
        <w:rPr>
          <w:rFonts w:ascii="Arial" w:cs="Arial" w:eastAsia="Arial" w:hAnsi="Arial"/>
          <w:sz w:val="22"/>
          <w:szCs w:val="22"/>
          <w:b w:val="1"/>
          <w:bCs w:val="1"/>
          <w:color w:val="0F0F0F"/>
        </w:rPr>
        <w:t>8.11</w:t>
      </w:r>
      <w:r>
        <w:rPr>
          <w:sz w:val="20"/>
          <w:szCs w:val="20"/>
          <w:color w:val="auto"/>
        </w:rPr>
        <w:tab/>
      </w:r>
      <w:r>
        <w:rPr>
          <w:rFonts w:ascii="Arial" w:cs="Arial" w:eastAsia="Arial" w:hAnsi="Arial"/>
          <w:sz w:val="19"/>
          <w:szCs w:val="19"/>
          <w:color w:val="0F0F0F"/>
        </w:rPr>
        <w:t>In connection with his illness, the Employee is obligated to meet all information and substantiation requirements of the council in order to facilitate the Employer's possibility to receive sick pay reimbursement from the council. Any failure to complete and forward reimbursement request forms, and any failure to participate in the follow-up work of the council may, depending on the circumstances, entail a reduction in the Employee's salary by an amount equalling the amount, which the Employer is precluded from receiving reimbursement for, due to the conduct of the Employee. The Employer may furthermore terminate the employment contract due to the Employee's disloyal conduct.</w:t>
      </w:r>
    </w:p>
    <w:p>
      <w:pPr>
        <w:spacing w:after="0" w:line="152" w:lineRule="exact"/>
        <w:rPr>
          <w:sz w:val="20"/>
          <w:szCs w:val="20"/>
          <w:color w:val="auto"/>
        </w:rPr>
      </w:pPr>
    </w:p>
    <w:p>
      <w:pPr>
        <w:ind w:left="800" w:hanging="757"/>
        <w:spacing w:after="0"/>
        <w:tabs>
          <w:tab w:leader="none" w:pos="800" w:val="left"/>
        </w:tabs>
        <w:numPr>
          <w:ilvl w:val="0"/>
          <w:numId w:val="78"/>
        </w:numPr>
        <w:rPr>
          <w:rFonts w:ascii="Arial" w:cs="Arial" w:eastAsia="Arial" w:hAnsi="Arial"/>
          <w:sz w:val="22"/>
          <w:szCs w:val="22"/>
          <w:b w:val="1"/>
          <w:bCs w:val="1"/>
          <w:color w:val="0F0F0F"/>
        </w:rPr>
      </w:pPr>
      <w:r>
        <w:rPr>
          <w:rFonts w:ascii="Arial" w:cs="Arial" w:eastAsia="Arial" w:hAnsi="Arial"/>
          <w:sz w:val="22"/>
          <w:szCs w:val="22"/>
          <w:b w:val="1"/>
          <w:bCs w:val="1"/>
          <w:color w:val="0F0F0F"/>
        </w:rPr>
        <w:t>Intellectual rights</w:t>
      </w:r>
    </w:p>
    <w:p>
      <w:pPr>
        <w:spacing w:after="0" w:line="206" w:lineRule="exact"/>
        <w:rPr>
          <w:sz w:val="20"/>
          <w:szCs w:val="20"/>
          <w:color w:val="auto"/>
        </w:rPr>
      </w:pPr>
    </w:p>
    <w:p>
      <w:pPr>
        <w:jc w:val="both"/>
        <w:ind w:left="800" w:hanging="755"/>
        <w:spacing w:after="0" w:line="238" w:lineRule="auto"/>
        <w:tabs>
          <w:tab w:leader="none" w:pos="780" w:val="left"/>
        </w:tabs>
        <w:rPr>
          <w:sz w:val="20"/>
          <w:szCs w:val="20"/>
          <w:color w:val="auto"/>
        </w:rPr>
      </w:pPr>
      <w:r>
        <w:rPr>
          <w:rFonts w:ascii="Arial" w:cs="Arial" w:eastAsia="Arial" w:hAnsi="Arial"/>
          <w:sz w:val="22"/>
          <w:szCs w:val="22"/>
          <w:b w:val="1"/>
          <w:bCs w:val="1"/>
          <w:color w:val="0F0F0F"/>
        </w:rPr>
        <w:t>9.1</w:t>
      </w:r>
      <w:r>
        <w:rPr>
          <w:sz w:val="20"/>
          <w:szCs w:val="20"/>
          <w:color w:val="auto"/>
        </w:rPr>
        <w:tab/>
      </w:r>
      <w:r>
        <w:rPr>
          <w:rFonts w:ascii="Arial" w:cs="Arial" w:eastAsia="Arial" w:hAnsi="Arial"/>
          <w:sz w:val="22"/>
          <w:szCs w:val="22"/>
          <w:color w:val="0F0F0F"/>
        </w:rPr>
        <w:t>All rights to any kind of texts, graphic material, concepts and computer programmes, which are developed/manufactured partly or wholly by the Employee during the employment and as a part of the Employee's work, belong to the Employer. The Employer thus has the right to any commercial use of the work results, subject, however, to mandatory legislation.</w:t>
      </w:r>
    </w:p>
    <w:p>
      <w:pPr>
        <w:spacing w:after="0" w:line="185" w:lineRule="exact"/>
        <w:rPr>
          <w:sz w:val="20"/>
          <w:szCs w:val="20"/>
          <w:color w:val="auto"/>
        </w:rPr>
      </w:pPr>
    </w:p>
    <w:p>
      <w:pPr>
        <w:jc w:val="both"/>
        <w:ind w:left="820" w:hanging="755"/>
        <w:spacing w:after="0" w:line="236" w:lineRule="auto"/>
        <w:tabs>
          <w:tab w:leader="none" w:pos="800" w:val="left"/>
        </w:tabs>
        <w:rPr>
          <w:sz w:val="20"/>
          <w:szCs w:val="20"/>
          <w:color w:val="auto"/>
        </w:rPr>
      </w:pPr>
      <w:r>
        <w:rPr>
          <w:rFonts w:ascii="Arial" w:cs="Arial" w:eastAsia="Arial" w:hAnsi="Arial"/>
          <w:sz w:val="22"/>
          <w:szCs w:val="22"/>
          <w:b w:val="1"/>
          <w:bCs w:val="1"/>
          <w:color w:val="0F0F0F"/>
        </w:rPr>
        <w:t>9.2</w:t>
      </w:r>
      <w:r>
        <w:rPr>
          <w:sz w:val="20"/>
          <w:szCs w:val="20"/>
          <w:color w:val="auto"/>
        </w:rPr>
        <w:tab/>
      </w:r>
      <w:r>
        <w:rPr>
          <w:rFonts w:ascii="Arial" w:cs="Arial" w:eastAsia="Arial" w:hAnsi="Arial"/>
          <w:sz w:val="22"/>
          <w:szCs w:val="22"/>
          <w:color w:val="0F0F0F"/>
        </w:rPr>
        <w:t>The Employee accepts that the Employee will not be able to claim any special fee or payment for inventions or other creations relating to industrial property rights since the possible discovery of such have been taken into consideration when agreeing on the remuneration and all other terms of the employment. The Parties agree that any discoveries, etc. will normally not require the Employer to compensate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633730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665" w:right="999" w:bottom="1440" w:gutter="0" w:footer="0" w:header="0"/>
        </w:sectPr>
      </w:pPr>
    </w:p>
    <w:bookmarkStart w:id="122" w:name="page123"/>
    <w:bookmarkEnd w:id="122"/>
    <w:p>
      <w:pPr>
        <w:ind w:left="9737"/>
        <w:spacing w:after="0"/>
        <w:rPr>
          <w:sz w:val="20"/>
          <w:szCs w:val="20"/>
          <w:color w:val="auto"/>
        </w:rPr>
      </w:pPr>
      <w:r>
        <w:rPr>
          <w:rFonts w:ascii="Arial" w:cs="Arial" w:eastAsia="Arial" w:hAnsi="Arial"/>
          <w:sz w:val="13"/>
          <w:szCs w:val="13"/>
          <w:color w:val="auto"/>
        </w:rPr>
        <w:t>8</w:t>
      </w:r>
    </w:p>
    <w:p>
      <w:pPr>
        <w:spacing w:after="0" w:line="275" w:lineRule="exact"/>
        <w:rPr>
          <w:sz w:val="20"/>
          <w:szCs w:val="20"/>
          <w:color w:val="auto"/>
        </w:rPr>
      </w:pPr>
    </w:p>
    <w:p>
      <w:pPr>
        <w:jc w:val="both"/>
        <w:ind w:left="737" w:firstLine="7"/>
        <w:spacing w:after="0" w:line="277" w:lineRule="auto"/>
        <w:rPr>
          <w:sz w:val="20"/>
          <w:szCs w:val="20"/>
          <w:color w:val="auto"/>
        </w:rPr>
      </w:pPr>
      <w:r>
        <w:rPr>
          <w:rFonts w:ascii="Arial" w:cs="Arial" w:eastAsia="Arial" w:hAnsi="Arial"/>
          <w:sz w:val="19"/>
          <w:szCs w:val="19"/>
          <w:color w:val="0F0F0F"/>
        </w:rPr>
        <w:t>in accordance with the Danish Act on Inventions made by Employees, (in Danish: "Lovom Arbejdstageres opfindelser") since inventions and discoveries in general are the result of a teamwork being part of the Employer's research- and development strategy. Thus, the results will normally be a combination of the Employee's work and the Employer's collective sum of experiences and know-how, and as set out above the possibilities for any such discoveries, etc. have been take into consideration, when agreeing on the remuneration and all other terms of the employment, any such discoveries will fall under what may reasonably be expected from the Employee.</w:t>
      </w:r>
    </w:p>
    <w:p>
      <w:pPr>
        <w:spacing w:after="0" w:line="146" w:lineRule="exact"/>
        <w:rPr>
          <w:sz w:val="20"/>
          <w:szCs w:val="20"/>
          <w:color w:val="auto"/>
        </w:rPr>
      </w:pPr>
    </w:p>
    <w:p>
      <w:pPr>
        <w:ind w:left="757" w:hanging="757"/>
        <w:spacing w:after="0"/>
        <w:tabs>
          <w:tab w:leader="none" w:pos="757" w:val="left"/>
        </w:tabs>
        <w:numPr>
          <w:ilvl w:val="0"/>
          <w:numId w:val="79"/>
        </w:numPr>
        <w:rPr>
          <w:rFonts w:ascii="Arial" w:cs="Arial" w:eastAsia="Arial" w:hAnsi="Arial"/>
          <w:sz w:val="22"/>
          <w:szCs w:val="22"/>
          <w:b w:val="1"/>
          <w:bCs w:val="1"/>
          <w:color w:val="0F0F0F"/>
        </w:rPr>
      </w:pPr>
      <w:r>
        <w:rPr>
          <w:rFonts w:ascii="Arial" w:cs="Arial" w:eastAsia="Arial" w:hAnsi="Arial"/>
          <w:sz w:val="22"/>
          <w:szCs w:val="22"/>
          <w:b w:val="1"/>
          <w:bCs w:val="1"/>
          <w:color w:val="0F0F0F"/>
        </w:rPr>
        <w:t>IT policies</w:t>
      </w:r>
    </w:p>
    <w:p>
      <w:pPr>
        <w:spacing w:after="0" w:line="206" w:lineRule="exact"/>
        <w:rPr>
          <w:sz w:val="20"/>
          <w:szCs w:val="20"/>
          <w:color w:val="auto"/>
        </w:rPr>
      </w:pPr>
    </w:p>
    <w:p>
      <w:pPr>
        <w:jc w:val="both"/>
        <w:ind w:left="757" w:hanging="755"/>
        <w:spacing w:after="0" w:line="245" w:lineRule="auto"/>
        <w:tabs>
          <w:tab w:leader="none" w:pos="737" w:val="left"/>
        </w:tabs>
        <w:rPr>
          <w:sz w:val="20"/>
          <w:szCs w:val="20"/>
          <w:color w:val="auto"/>
        </w:rPr>
      </w:pPr>
      <w:r>
        <w:rPr>
          <w:rFonts w:ascii="Arial" w:cs="Arial" w:eastAsia="Arial" w:hAnsi="Arial"/>
          <w:sz w:val="22"/>
          <w:szCs w:val="22"/>
          <w:b w:val="1"/>
          <w:bCs w:val="1"/>
          <w:color w:val="0F0F0F"/>
        </w:rPr>
        <w:t>10.1</w:t>
      </w:r>
      <w:r>
        <w:rPr>
          <w:sz w:val="20"/>
          <w:szCs w:val="20"/>
          <w:color w:val="auto"/>
        </w:rPr>
        <w:tab/>
      </w:r>
      <w:r>
        <w:rPr>
          <w:rFonts w:ascii="Arial" w:cs="Arial" w:eastAsia="Arial" w:hAnsi="Arial"/>
          <w:sz w:val="21"/>
          <w:szCs w:val="21"/>
          <w:color w:val="0F0F0F"/>
        </w:rPr>
        <w:t>The Employer provides the Employee the use of internet and the use of e-mail, in order to facilitate information search and increase the possibilities of communication in the performance of his duties for the Employer. For the purposes of the performance of his duties, the Employee will be provided with a specific email account. The Employer considers the Employee's emails and attached files (except for emails specifically marked "personal" or "private", cf. item 10.6 below), as the property of the Employer, and the Employee accepts that the Employer has access to the said email account in connection with illness, holidays, training courses, termination, etc. The Employee is obligated to use the "out of office assistant" or to arrange that the email account be temporarily moved to a colleague during holidays or absence.</w:t>
      </w:r>
    </w:p>
    <w:p>
      <w:pPr>
        <w:spacing w:after="0" w:line="184" w:lineRule="exact"/>
        <w:rPr>
          <w:sz w:val="20"/>
          <w:szCs w:val="20"/>
          <w:color w:val="auto"/>
        </w:rPr>
      </w:pPr>
    </w:p>
    <w:p>
      <w:pPr>
        <w:jc w:val="both"/>
        <w:ind w:left="777" w:hanging="755"/>
        <w:spacing w:after="0" w:line="277" w:lineRule="auto"/>
        <w:tabs>
          <w:tab w:leader="none" w:pos="757" w:val="left"/>
        </w:tabs>
        <w:rPr>
          <w:sz w:val="20"/>
          <w:szCs w:val="20"/>
          <w:color w:val="auto"/>
        </w:rPr>
      </w:pPr>
      <w:r>
        <w:rPr>
          <w:rFonts w:ascii="Arial" w:cs="Arial" w:eastAsia="Arial" w:hAnsi="Arial"/>
          <w:sz w:val="22"/>
          <w:szCs w:val="22"/>
          <w:b w:val="1"/>
          <w:bCs w:val="1"/>
          <w:color w:val="0F0F0F"/>
        </w:rPr>
        <w:t>10.2</w:t>
      </w:r>
      <w:r>
        <w:rPr>
          <w:sz w:val="20"/>
          <w:szCs w:val="20"/>
          <w:color w:val="auto"/>
        </w:rPr>
        <w:tab/>
      </w:r>
      <w:r>
        <w:rPr>
          <w:rFonts w:ascii="Arial" w:cs="Arial" w:eastAsia="Arial" w:hAnsi="Arial"/>
          <w:sz w:val="19"/>
          <w:szCs w:val="19"/>
          <w:color w:val="0F0F0F"/>
        </w:rPr>
        <w:t>The internet access as conducted through by Employer provided computer and/or phone shall only be used for searches that do not violate ethical standards or any of the Employer's policies and procedures in force at the time. The internet must not be used for searching or downloading homepages containing contents of pornographic, extreme political or discriminatory nature regarding race, sex, ethnic or social origin or religion. The Employee is not entitled to send emails containing material of the above nature. Furthermore, the Employee may not send or receive "junk mail", jokes or similar material unrelated to work which may interfere with the Employee's duties.</w:t>
      </w:r>
    </w:p>
    <w:p>
      <w:pPr>
        <w:spacing w:after="0" w:line="152" w:lineRule="exact"/>
        <w:rPr>
          <w:sz w:val="20"/>
          <w:szCs w:val="20"/>
          <w:color w:val="auto"/>
        </w:rPr>
      </w:pPr>
    </w:p>
    <w:p>
      <w:pPr>
        <w:jc w:val="both"/>
        <w:ind w:left="777" w:hanging="755"/>
        <w:spacing w:after="0" w:line="250" w:lineRule="auto"/>
        <w:tabs>
          <w:tab w:leader="none" w:pos="757" w:val="left"/>
        </w:tabs>
        <w:rPr>
          <w:sz w:val="20"/>
          <w:szCs w:val="20"/>
          <w:color w:val="auto"/>
        </w:rPr>
      </w:pPr>
      <w:r>
        <w:rPr>
          <w:rFonts w:ascii="Arial" w:cs="Arial" w:eastAsia="Arial" w:hAnsi="Arial"/>
          <w:sz w:val="22"/>
          <w:szCs w:val="22"/>
          <w:b w:val="1"/>
          <w:bCs w:val="1"/>
          <w:color w:val="0F0F0F"/>
        </w:rPr>
        <w:t>10.3</w:t>
      </w:r>
      <w:r>
        <w:rPr>
          <w:sz w:val="20"/>
          <w:szCs w:val="20"/>
          <w:color w:val="auto"/>
        </w:rPr>
        <w:tab/>
      </w:r>
      <w:r>
        <w:rPr>
          <w:rFonts w:ascii="Arial" w:cs="Arial" w:eastAsia="Arial" w:hAnsi="Arial"/>
          <w:sz w:val="22"/>
          <w:szCs w:val="22"/>
          <w:color w:val="0F0F0F"/>
        </w:rPr>
        <w:t>Access to specific internet facilities such as subscription services, etc., may only be permitted upon agreement with the Employer's IT Administrator.</w:t>
      </w:r>
    </w:p>
    <w:p>
      <w:pPr>
        <w:spacing w:after="0" w:line="175" w:lineRule="exact"/>
        <w:rPr>
          <w:sz w:val="20"/>
          <w:szCs w:val="20"/>
          <w:color w:val="auto"/>
        </w:rPr>
      </w:pPr>
    </w:p>
    <w:p>
      <w:pPr>
        <w:jc w:val="both"/>
        <w:ind w:left="777" w:right="20" w:hanging="755"/>
        <w:spacing w:after="0" w:line="257" w:lineRule="auto"/>
        <w:tabs>
          <w:tab w:leader="none" w:pos="757" w:val="left"/>
        </w:tabs>
        <w:rPr>
          <w:sz w:val="20"/>
          <w:szCs w:val="20"/>
          <w:color w:val="auto"/>
        </w:rPr>
      </w:pPr>
      <w:r>
        <w:rPr>
          <w:rFonts w:ascii="Arial" w:cs="Arial" w:eastAsia="Arial" w:hAnsi="Arial"/>
          <w:sz w:val="22"/>
          <w:szCs w:val="22"/>
          <w:b w:val="1"/>
          <w:bCs w:val="1"/>
          <w:color w:val="0F0F0F"/>
        </w:rPr>
        <w:t>10.4</w:t>
      </w:r>
      <w:r>
        <w:rPr>
          <w:sz w:val="20"/>
          <w:szCs w:val="20"/>
          <w:color w:val="auto"/>
        </w:rPr>
        <w:tab/>
      </w:r>
      <w:r>
        <w:rPr>
          <w:rFonts w:ascii="Arial" w:cs="Arial" w:eastAsia="Arial" w:hAnsi="Arial"/>
          <w:sz w:val="21"/>
          <w:szCs w:val="21"/>
          <w:color w:val="0F0F0F"/>
        </w:rPr>
        <w:t>Files comprised by third parties' copyright may not be downloaded contrary to the copyright rules or be copied, installed or placed on the Employee's computer. Similarly, no material may be sent via email contrary to the copyright rules. Music, videos and pictures may not be downloaded</w:t>
      </w:r>
      <w:r>
        <w:rPr>
          <w:rFonts w:ascii="Arial" w:cs="Arial" w:eastAsia="Arial" w:hAnsi="Arial"/>
          <w:sz w:val="21"/>
          <w:szCs w:val="21"/>
          <w:color w:val="363636"/>
        </w:rPr>
        <w:t>.</w:t>
      </w:r>
    </w:p>
    <w:p>
      <w:pPr>
        <w:spacing w:after="0" w:line="169" w:lineRule="exact"/>
        <w:rPr>
          <w:sz w:val="20"/>
          <w:szCs w:val="20"/>
          <w:color w:val="auto"/>
        </w:rPr>
      </w:pPr>
    </w:p>
    <w:p>
      <w:pPr>
        <w:jc w:val="both"/>
        <w:ind w:left="777" w:hanging="755"/>
        <w:spacing w:after="0" w:line="250" w:lineRule="auto"/>
        <w:tabs>
          <w:tab w:leader="none" w:pos="757" w:val="left"/>
        </w:tabs>
        <w:rPr>
          <w:sz w:val="20"/>
          <w:szCs w:val="20"/>
          <w:color w:val="auto"/>
        </w:rPr>
      </w:pPr>
      <w:r>
        <w:rPr>
          <w:rFonts w:ascii="Arial" w:cs="Arial" w:eastAsia="Arial" w:hAnsi="Arial"/>
          <w:sz w:val="22"/>
          <w:szCs w:val="22"/>
          <w:b w:val="1"/>
          <w:bCs w:val="1"/>
          <w:color w:val="0F0F0F"/>
        </w:rPr>
        <w:t>10.5</w:t>
      </w:r>
      <w:r>
        <w:rPr>
          <w:sz w:val="20"/>
          <w:szCs w:val="20"/>
          <w:color w:val="auto"/>
        </w:rPr>
        <w:tab/>
      </w:r>
      <w:r>
        <w:rPr>
          <w:rFonts w:ascii="Arial" w:cs="Arial" w:eastAsia="Arial" w:hAnsi="Arial"/>
          <w:sz w:val="22"/>
          <w:szCs w:val="22"/>
          <w:color w:val="0F0F0F"/>
        </w:rPr>
        <w:t>Use of the internet access and use of emails shall take place in accordance with the Employer's rules for IT security. In order to ensure observance of the rules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625475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17"/>
          </w:cols>
          <w:pgMar w:left="1083" w:top="665" w:right="9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9</w:t>
      </w:r>
    </w:p>
    <w:p>
      <w:pPr>
        <w:spacing w:after="0" w:line="218" w:lineRule="exact"/>
        <w:rPr>
          <w:sz w:val="20"/>
          <w:szCs w:val="20"/>
          <w:color w:val="auto"/>
        </w:rPr>
      </w:pPr>
    </w:p>
    <w:p>
      <w:pPr>
        <w:ind w:left="780" w:right="160"/>
        <w:spacing w:after="0" w:line="250" w:lineRule="auto"/>
        <w:rPr>
          <w:sz w:val="20"/>
          <w:szCs w:val="20"/>
          <w:color w:val="auto"/>
        </w:rPr>
      </w:pPr>
      <w:r>
        <w:rPr>
          <w:rFonts w:ascii="Arial" w:cs="Arial" w:eastAsia="Arial" w:hAnsi="Arial"/>
          <w:sz w:val="22"/>
          <w:szCs w:val="22"/>
          <w:color w:val="0F0F0F"/>
        </w:rPr>
        <w:t>security and in order to avoid or remedy system failures, the IT Administrator may open all emails and any attachments thereto.</w:t>
      </w:r>
    </w:p>
    <w:p>
      <w:pPr>
        <w:spacing w:after="0" w:line="169" w:lineRule="exact"/>
        <w:rPr>
          <w:sz w:val="20"/>
          <w:szCs w:val="20"/>
          <w:color w:val="auto"/>
        </w:rPr>
      </w:pPr>
    </w:p>
    <w:p>
      <w:pPr>
        <w:jc w:val="both"/>
        <w:ind w:left="760" w:hanging="755"/>
        <w:spacing w:after="0" w:line="257" w:lineRule="auto"/>
        <w:tabs>
          <w:tab w:leader="none" w:pos="740" w:val="left"/>
        </w:tabs>
        <w:rPr>
          <w:sz w:val="20"/>
          <w:szCs w:val="20"/>
          <w:color w:val="auto"/>
        </w:rPr>
      </w:pPr>
      <w:r>
        <w:rPr>
          <w:rFonts w:ascii="Arial" w:cs="Arial" w:eastAsia="Arial" w:hAnsi="Arial"/>
          <w:sz w:val="22"/>
          <w:szCs w:val="22"/>
          <w:b w:val="1"/>
          <w:bCs w:val="1"/>
          <w:color w:val="0F0F0F"/>
        </w:rPr>
        <w:t>10.6</w:t>
      </w:r>
      <w:r>
        <w:rPr>
          <w:sz w:val="20"/>
          <w:szCs w:val="20"/>
          <w:color w:val="auto"/>
        </w:rPr>
        <w:tab/>
      </w:r>
      <w:r>
        <w:rPr>
          <w:rFonts w:ascii="Arial" w:cs="Arial" w:eastAsia="Arial" w:hAnsi="Arial"/>
          <w:sz w:val="21"/>
          <w:szCs w:val="21"/>
          <w:color w:val="0F0F0F"/>
        </w:rPr>
        <w:t>Use of the internet access and use of emails for private purposes may only take place to the extent it is consistent with the Employee's performance of his/her work for the Employer and in compliance with the above mentioned rules. Private use may only take place to a limited extent.</w:t>
      </w:r>
    </w:p>
    <w:p>
      <w:pPr>
        <w:spacing w:after="0" w:line="169" w:lineRule="exact"/>
        <w:rPr>
          <w:sz w:val="20"/>
          <w:szCs w:val="20"/>
          <w:color w:val="auto"/>
        </w:rPr>
      </w:pPr>
    </w:p>
    <w:p>
      <w:pPr>
        <w:jc w:val="both"/>
        <w:ind w:left="780" w:right="20" w:hanging="755"/>
        <w:spacing w:after="0" w:line="252" w:lineRule="auto"/>
        <w:tabs>
          <w:tab w:leader="none" w:pos="760" w:val="left"/>
        </w:tabs>
        <w:rPr>
          <w:sz w:val="20"/>
          <w:szCs w:val="20"/>
          <w:color w:val="auto"/>
        </w:rPr>
      </w:pPr>
      <w:r>
        <w:rPr>
          <w:rFonts w:ascii="Arial" w:cs="Arial" w:eastAsia="Arial" w:hAnsi="Arial"/>
          <w:sz w:val="22"/>
          <w:szCs w:val="22"/>
          <w:b w:val="1"/>
          <w:bCs w:val="1"/>
          <w:color w:val="0F0F0F"/>
        </w:rPr>
        <w:t>10.7</w:t>
      </w:r>
      <w:r>
        <w:rPr>
          <w:sz w:val="20"/>
          <w:szCs w:val="20"/>
          <w:color w:val="auto"/>
        </w:rPr>
        <w:tab/>
      </w:r>
      <w:r>
        <w:rPr>
          <w:rFonts w:ascii="Arial" w:cs="Arial" w:eastAsia="Arial" w:hAnsi="Arial"/>
          <w:sz w:val="21"/>
          <w:szCs w:val="21"/>
          <w:color w:val="0F0F0F"/>
        </w:rPr>
        <w:t>Emails sent to and/or from the Employee are considered the property of the Employer, unless the email is marked "personal" or "private" in the subject field (hereinafter referred to as "Private Emails"). The latter emails are considered the property of the Employee. The Employee should note, however, that any emails may be opened and read by the IT Administrator, cf. clause 10.9.</w:t>
      </w:r>
    </w:p>
    <w:p>
      <w:pPr>
        <w:spacing w:after="0" w:line="174" w:lineRule="exact"/>
        <w:rPr>
          <w:sz w:val="20"/>
          <w:szCs w:val="20"/>
          <w:color w:val="auto"/>
        </w:rPr>
      </w:pPr>
    </w:p>
    <w:p>
      <w:pPr>
        <w:jc w:val="both"/>
        <w:ind w:left="780" w:hanging="755"/>
        <w:spacing w:after="0" w:line="235" w:lineRule="auto"/>
        <w:tabs>
          <w:tab w:leader="none" w:pos="760" w:val="left"/>
        </w:tabs>
        <w:rPr>
          <w:sz w:val="20"/>
          <w:szCs w:val="20"/>
          <w:color w:val="auto"/>
        </w:rPr>
      </w:pPr>
      <w:r>
        <w:rPr>
          <w:rFonts w:ascii="Arial" w:cs="Arial" w:eastAsia="Arial" w:hAnsi="Arial"/>
          <w:sz w:val="22"/>
          <w:szCs w:val="22"/>
          <w:b w:val="1"/>
          <w:bCs w:val="1"/>
          <w:color w:val="0F0F0F"/>
        </w:rPr>
        <w:t>10.8</w:t>
      </w:r>
      <w:r>
        <w:rPr>
          <w:sz w:val="20"/>
          <w:szCs w:val="20"/>
          <w:color w:val="auto"/>
        </w:rPr>
        <w:tab/>
      </w:r>
      <w:r>
        <w:rPr>
          <w:rFonts w:ascii="Arial" w:cs="Arial" w:eastAsia="Arial" w:hAnsi="Arial"/>
          <w:sz w:val="22"/>
          <w:szCs w:val="22"/>
          <w:color w:val="0F0F0F"/>
        </w:rPr>
        <w:t>It is the responsibility of the Employee that Private Emails are deleted from the Employee's email account upon termination of the employment. Private Emails not deleted at the end of the employment, shall be deleted by the Employer. The Employer will decide the time for the closing of the Employee's email account. Emails received between termination of the employment and the closing of the email account, shall be opened by the Employer. However, this will not apply to Private Emails, unless circumstances so prescribe.</w:t>
      </w:r>
    </w:p>
    <w:p>
      <w:pPr>
        <w:spacing w:after="0" w:line="188" w:lineRule="exact"/>
        <w:rPr>
          <w:sz w:val="20"/>
          <w:szCs w:val="20"/>
          <w:color w:val="auto"/>
        </w:rPr>
      </w:pPr>
    </w:p>
    <w:p>
      <w:pPr>
        <w:jc w:val="both"/>
        <w:ind w:left="800" w:hanging="755"/>
        <w:spacing w:after="0" w:line="248" w:lineRule="auto"/>
        <w:tabs>
          <w:tab w:leader="none" w:pos="780" w:val="left"/>
        </w:tabs>
        <w:rPr>
          <w:sz w:val="20"/>
          <w:szCs w:val="20"/>
          <w:color w:val="auto"/>
        </w:rPr>
      </w:pPr>
      <w:r>
        <w:rPr>
          <w:rFonts w:ascii="Arial" w:cs="Arial" w:eastAsia="Arial" w:hAnsi="Arial"/>
          <w:sz w:val="22"/>
          <w:szCs w:val="22"/>
          <w:b w:val="1"/>
          <w:bCs w:val="1"/>
          <w:color w:val="0F0F0F"/>
        </w:rPr>
        <w:t>10.9</w:t>
      </w:r>
      <w:r>
        <w:rPr>
          <w:sz w:val="20"/>
          <w:szCs w:val="20"/>
          <w:color w:val="auto"/>
        </w:rPr>
        <w:tab/>
      </w:r>
      <w:r>
        <w:rPr>
          <w:rFonts w:ascii="Arial" w:cs="Arial" w:eastAsia="Arial" w:hAnsi="Arial"/>
          <w:sz w:val="21"/>
          <w:szCs w:val="21"/>
          <w:color w:val="0F0F0F"/>
        </w:rPr>
        <w:t>The Employee's movements on the internet will be registered in a central log file, while another central log file shall contain copies of all emails sent to and from the Employee's email account. The Employer has the right at all times, to control that the above rules are observed. The IT administrator may open all emails and at-attachments and obtain knowledge of any movements on the internet, if and to the extent this is necessary in connection with such control. The said control will be performed with random compliance checks.</w:t>
      </w:r>
    </w:p>
    <w:p>
      <w:pPr>
        <w:spacing w:after="0" w:line="177"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22"/>
          <w:szCs w:val="22"/>
          <w:b w:val="1"/>
          <w:bCs w:val="1"/>
          <w:color w:val="0F0F0F"/>
        </w:rPr>
        <w:t>10.10</w:t>
      </w:r>
      <w:r>
        <w:rPr>
          <w:sz w:val="20"/>
          <w:szCs w:val="20"/>
          <w:color w:val="auto"/>
        </w:rPr>
        <w:tab/>
      </w:r>
      <w:r>
        <w:rPr>
          <w:rFonts w:ascii="Arial" w:cs="Arial" w:eastAsia="Arial" w:hAnsi="Arial"/>
          <w:sz w:val="19"/>
          <w:szCs w:val="19"/>
          <w:color w:val="0F0F0F"/>
        </w:rPr>
        <w:t>Gross and repeated violation of the above rules may result in dismissal of the Employee.</w:t>
      </w:r>
    </w:p>
    <w:p>
      <w:pPr>
        <w:spacing w:after="0" w:line="206" w:lineRule="exact"/>
        <w:rPr>
          <w:sz w:val="20"/>
          <w:szCs w:val="20"/>
          <w:color w:val="auto"/>
        </w:rPr>
      </w:pPr>
    </w:p>
    <w:p>
      <w:pPr>
        <w:jc w:val="both"/>
        <w:ind w:left="800" w:hanging="755"/>
        <w:spacing w:after="0"/>
        <w:tabs>
          <w:tab w:leader="none" w:pos="780" w:val="left"/>
        </w:tabs>
        <w:rPr>
          <w:sz w:val="20"/>
          <w:szCs w:val="20"/>
          <w:color w:val="auto"/>
        </w:rPr>
      </w:pPr>
      <w:r>
        <w:rPr>
          <w:rFonts w:ascii="Arial" w:cs="Arial" w:eastAsia="Arial" w:hAnsi="Arial"/>
          <w:sz w:val="22"/>
          <w:szCs w:val="22"/>
          <w:b w:val="1"/>
          <w:bCs w:val="1"/>
          <w:color w:val="0F0F0F"/>
        </w:rPr>
        <w:t>10.11</w:t>
      </w:r>
      <w:r>
        <w:rPr>
          <w:sz w:val="20"/>
          <w:szCs w:val="20"/>
          <w:color w:val="auto"/>
        </w:rPr>
        <w:tab/>
      </w:r>
      <w:r>
        <w:rPr>
          <w:rFonts w:ascii="Arial" w:cs="Arial" w:eastAsia="Arial" w:hAnsi="Arial"/>
          <w:sz w:val="22"/>
          <w:szCs w:val="22"/>
          <w:color w:val="0F0F0F"/>
        </w:rPr>
        <w:t>The rules for internet access and use of email will be discussed with regular intervals in order to ensure the best possible use of the internet and emails. Amended rules will become effective when the Employee has been made aware of the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633095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665" w:right="99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336" w:lineRule="exact"/>
        <w:rPr>
          <w:sz w:val="20"/>
          <w:szCs w:val="20"/>
          <w:color w:val="auto"/>
        </w:rPr>
      </w:pPr>
    </w:p>
    <w:p>
      <w:pPr>
        <w:ind w:left="760" w:hanging="757"/>
        <w:spacing w:after="0"/>
        <w:tabs>
          <w:tab w:leader="none" w:pos="760" w:val="left"/>
        </w:tabs>
        <w:numPr>
          <w:ilvl w:val="0"/>
          <w:numId w:val="80"/>
        </w:numPr>
        <w:rPr>
          <w:rFonts w:ascii="Arial" w:cs="Arial" w:eastAsia="Arial" w:hAnsi="Arial"/>
          <w:sz w:val="22"/>
          <w:szCs w:val="22"/>
          <w:b w:val="1"/>
          <w:bCs w:val="1"/>
          <w:color w:val="111111"/>
        </w:rPr>
      </w:pPr>
      <w:r>
        <w:rPr>
          <w:rFonts w:ascii="Arial" w:cs="Arial" w:eastAsia="Arial" w:hAnsi="Arial"/>
          <w:sz w:val="22"/>
          <w:szCs w:val="22"/>
          <w:b w:val="1"/>
          <w:bCs w:val="1"/>
          <w:color w:val="111111"/>
        </w:rPr>
        <w:t>Maternity/paternity leave</w:t>
      </w:r>
    </w:p>
    <w:p>
      <w:pPr>
        <w:spacing w:after="0" w:line="20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22"/>
          <w:szCs w:val="22"/>
          <w:b w:val="1"/>
          <w:bCs w:val="1"/>
          <w:color w:val="111111"/>
        </w:rPr>
        <w:t>11.1</w:t>
      </w:r>
      <w:r>
        <w:rPr>
          <w:sz w:val="20"/>
          <w:szCs w:val="20"/>
          <w:color w:val="auto"/>
        </w:rPr>
        <w:tab/>
      </w:r>
      <w:r>
        <w:rPr>
          <w:rFonts w:ascii="Arial" w:cs="Arial" w:eastAsia="Arial" w:hAnsi="Arial"/>
          <w:sz w:val="22"/>
          <w:szCs w:val="22"/>
          <w:color w:val="111111"/>
        </w:rPr>
        <w:t>The Employee is entitled to leave in accordance with the Act on Maternity Leave in force at all times, upon due notice of the relevant date of birth/placement for adoption subject to the rules of said Act and the Salaried Employees Act.</w:t>
      </w:r>
    </w:p>
    <w:p>
      <w:pPr>
        <w:spacing w:after="0" w:line="186" w:lineRule="exact"/>
        <w:rPr>
          <w:sz w:val="20"/>
          <w:szCs w:val="20"/>
          <w:color w:val="auto"/>
        </w:rPr>
      </w:pPr>
    </w:p>
    <w:p>
      <w:pPr>
        <w:ind w:left="760" w:hanging="757"/>
        <w:spacing w:after="0"/>
        <w:tabs>
          <w:tab w:leader="none" w:pos="760" w:val="left"/>
        </w:tabs>
        <w:numPr>
          <w:ilvl w:val="0"/>
          <w:numId w:val="81"/>
        </w:numPr>
        <w:rPr>
          <w:rFonts w:ascii="Arial" w:cs="Arial" w:eastAsia="Arial" w:hAnsi="Arial"/>
          <w:sz w:val="22"/>
          <w:szCs w:val="22"/>
          <w:b w:val="1"/>
          <w:bCs w:val="1"/>
          <w:color w:val="111111"/>
        </w:rPr>
      </w:pPr>
      <w:r>
        <w:rPr>
          <w:rFonts w:ascii="Arial" w:cs="Arial" w:eastAsia="Arial" w:hAnsi="Arial"/>
          <w:sz w:val="22"/>
          <w:szCs w:val="22"/>
          <w:b w:val="1"/>
          <w:bCs w:val="1"/>
          <w:color w:val="111111"/>
        </w:rPr>
        <w:t>Personal data</w:t>
      </w:r>
    </w:p>
    <w:p>
      <w:pPr>
        <w:spacing w:after="0" w:line="20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22"/>
          <w:szCs w:val="22"/>
          <w:b w:val="1"/>
          <w:bCs w:val="1"/>
          <w:color w:val="111111"/>
        </w:rPr>
        <w:t>12.1</w:t>
      </w:r>
      <w:r>
        <w:rPr>
          <w:sz w:val="20"/>
          <w:szCs w:val="20"/>
          <w:color w:val="auto"/>
        </w:rPr>
        <w:tab/>
      </w:r>
      <w:r>
        <w:rPr>
          <w:rFonts w:ascii="Arial" w:cs="Arial" w:eastAsia="Arial" w:hAnsi="Arial"/>
          <w:sz w:val="22"/>
          <w:szCs w:val="22"/>
          <w:color w:val="111111"/>
        </w:rPr>
        <w:t>By his signature below the Employee agrees that personal data such as name, social security number, address, nationality, bank accounts and similar are available to the Employer for the use of salary and personnel administration.</w:t>
      </w:r>
    </w:p>
    <w:p>
      <w:pPr>
        <w:spacing w:after="0" w:line="186" w:lineRule="exact"/>
        <w:rPr>
          <w:sz w:val="20"/>
          <w:szCs w:val="20"/>
          <w:color w:val="auto"/>
        </w:rPr>
      </w:pPr>
    </w:p>
    <w:p>
      <w:pPr>
        <w:jc w:val="both"/>
        <w:ind w:left="760" w:hanging="755"/>
        <w:spacing w:after="0" w:line="252" w:lineRule="auto"/>
        <w:tabs>
          <w:tab w:leader="none" w:pos="740" w:val="left"/>
        </w:tabs>
        <w:rPr>
          <w:sz w:val="20"/>
          <w:szCs w:val="20"/>
          <w:color w:val="auto"/>
        </w:rPr>
      </w:pPr>
      <w:r>
        <w:rPr>
          <w:rFonts w:ascii="Arial" w:cs="Arial" w:eastAsia="Arial" w:hAnsi="Arial"/>
          <w:sz w:val="22"/>
          <w:szCs w:val="22"/>
          <w:b w:val="1"/>
          <w:bCs w:val="1"/>
          <w:color w:val="111111"/>
        </w:rPr>
        <w:t>12.2</w:t>
      </w:r>
      <w:r>
        <w:rPr>
          <w:sz w:val="20"/>
          <w:szCs w:val="20"/>
          <w:color w:val="auto"/>
        </w:rPr>
        <w:tab/>
      </w:r>
      <w:r>
        <w:rPr>
          <w:rFonts w:ascii="Arial" w:cs="Arial" w:eastAsia="Arial" w:hAnsi="Arial"/>
          <w:sz w:val="21"/>
          <w:szCs w:val="21"/>
          <w:color w:val="111111"/>
        </w:rPr>
        <w:t>By his signature below the Employee agrees that the Employer may pass on information regarding the employment, including personal information regarding the Employee, to a third party pursuant to any such a third party's potential investment in or takeover of the Employer. The third party will in such case be subject to duty of confidentiality with regard to such information.</w:t>
      </w:r>
    </w:p>
    <w:p>
      <w:pPr>
        <w:spacing w:after="0" w:line="174" w:lineRule="exact"/>
        <w:rPr>
          <w:sz w:val="20"/>
          <w:szCs w:val="20"/>
          <w:color w:val="auto"/>
        </w:rPr>
      </w:pPr>
    </w:p>
    <w:p>
      <w:pPr>
        <w:ind w:left="780" w:hanging="764"/>
        <w:spacing w:after="0"/>
        <w:tabs>
          <w:tab w:leader="none" w:pos="780" w:val="left"/>
        </w:tabs>
        <w:numPr>
          <w:ilvl w:val="0"/>
          <w:numId w:val="82"/>
        </w:numPr>
        <w:rPr>
          <w:rFonts w:ascii="Arial" w:cs="Arial" w:eastAsia="Arial" w:hAnsi="Arial"/>
          <w:sz w:val="22"/>
          <w:szCs w:val="22"/>
          <w:b w:val="1"/>
          <w:bCs w:val="1"/>
          <w:color w:val="111111"/>
        </w:rPr>
      </w:pPr>
      <w:r>
        <w:rPr>
          <w:rFonts w:ascii="Arial" w:cs="Arial" w:eastAsia="Arial" w:hAnsi="Arial"/>
          <w:sz w:val="22"/>
          <w:szCs w:val="22"/>
          <w:b w:val="1"/>
          <w:bCs w:val="1"/>
          <w:color w:val="111111"/>
        </w:rPr>
        <w:t>Collective agreements and company handbook</w:t>
      </w:r>
    </w:p>
    <w:p>
      <w:pPr>
        <w:spacing w:after="0" w:line="206"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22"/>
          <w:szCs w:val="22"/>
          <w:b w:val="1"/>
          <w:bCs w:val="1"/>
          <w:color w:val="111111"/>
        </w:rPr>
        <w:t>13.1</w:t>
      </w:r>
      <w:r>
        <w:rPr>
          <w:sz w:val="20"/>
          <w:szCs w:val="20"/>
          <w:color w:val="auto"/>
        </w:rPr>
        <w:tab/>
      </w:r>
      <w:r>
        <w:rPr>
          <w:rFonts w:ascii="Arial" w:cs="Arial" w:eastAsia="Arial" w:hAnsi="Arial"/>
          <w:sz w:val="19"/>
          <w:szCs w:val="19"/>
          <w:color w:val="111111"/>
        </w:rPr>
        <w:t>This employment is not regulated by a collective agreement.</w:t>
      </w:r>
    </w:p>
    <w:p>
      <w:pPr>
        <w:spacing w:after="0" w:line="206" w:lineRule="exact"/>
        <w:rPr>
          <w:sz w:val="20"/>
          <w:szCs w:val="20"/>
          <w:color w:val="auto"/>
        </w:rPr>
      </w:pPr>
    </w:p>
    <w:p>
      <w:pPr>
        <w:jc w:val="both"/>
        <w:ind w:left="780" w:hanging="755"/>
        <w:spacing w:after="0" w:line="246" w:lineRule="auto"/>
        <w:tabs>
          <w:tab w:leader="none" w:pos="760" w:val="left"/>
        </w:tabs>
        <w:rPr>
          <w:sz w:val="20"/>
          <w:szCs w:val="20"/>
          <w:color w:val="auto"/>
        </w:rPr>
      </w:pPr>
      <w:r>
        <w:rPr>
          <w:rFonts w:ascii="Arial" w:cs="Arial" w:eastAsia="Arial" w:hAnsi="Arial"/>
          <w:sz w:val="22"/>
          <w:szCs w:val="22"/>
          <w:b w:val="1"/>
          <w:bCs w:val="1"/>
          <w:color w:val="111111"/>
        </w:rPr>
        <w:t>13.2</w:t>
      </w:r>
      <w:r>
        <w:rPr>
          <w:sz w:val="20"/>
          <w:szCs w:val="20"/>
          <w:color w:val="auto"/>
        </w:rPr>
        <w:tab/>
      </w:r>
      <w:r>
        <w:rPr>
          <w:rFonts w:ascii="Arial" w:cs="Arial" w:eastAsia="Arial" w:hAnsi="Arial"/>
          <w:sz w:val="21"/>
          <w:szCs w:val="21"/>
          <w:color w:val="111111"/>
        </w:rPr>
        <w:t>In connection with the employment, a company handbook will be provided once it becomes available. The rules in the said staff handbook, which also regulates the employment, are applicable to the Employee. If the company handbook will contain rules for regulation of conditions that are considered significant by the Employer or by the Employee, such as smoking policy, alcohol policy, rights in connection with children's illness, rules regarding full pay during maternity leave, etc., it is important that such items are mentioned specifically in the contract, referring to the company handbook - in order to comply with the Act on Employment Contracts.</w:t>
      </w:r>
    </w:p>
    <w:p>
      <w:pPr>
        <w:spacing w:after="0" w:line="184" w:lineRule="exact"/>
        <w:rPr>
          <w:sz w:val="20"/>
          <w:szCs w:val="20"/>
          <w:color w:val="auto"/>
        </w:rPr>
      </w:pPr>
    </w:p>
    <w:p>
      <w:pPr>
        <w:ind w:left="780" w:hanging="750"/>
        <w:spacing w:after="0"/>
        <w:tabs>
          <w:tab w:leader="none" w:pos="780" w:val="left"/>
        </w:tabs>
        <w:numPr>
          <w:ilvl w:val="0"/>
          <w:numId w:val="83"/>
        </w:numPr>
        <w:rPr>
          <w:rFonts w:ascii="Arial" w:cs="Arial" w:eastAsia="Arial" w:hAnsi="Arial"/>
          <w:sz w:val="22"/>
          <w:szCs w:val="22"/>
          <w:b w:val="1"/>
          <w:bCs w:val="1"/>
          <w:color w:val="111111"/>
        </w:rPr>
      </w:pPr>
      <w:r>
        <w:rPr>
          <w:rFonts w:ascii="Arial" w:cs="Arial" w:eastAsia="Arial" w:hAnsi="Arial"/>
          <w:sz w:val="22"/>
          <w:szCs w:val="22"/>
          <w:b w:val="1"/>
          <w:bCs w:val="1"/>
          <w:color w:val="111111"/>
        </w:rPr>
        <w:t>Governing law and jurisdiction</w:t>
      </w:r>
    </w:p>
    <w:p>
      <w:pPr>
        <w:spacing w:after="0" w:line="206"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2"/>
          <w:szCs w:val="22"/>
          <w:b w:val="1"/>
          <w:bCs w:val="1"/>
          <w:color w:val="111111"/>
        </w:rPr>
        <w:t>14.1</w:t>
      </w:r>
      <w:r>
        <w:rPr>
          <w:sz w:val="20"/>
          <w:szCs w:val="20"/>
          <w:color w:val="auto"/>
        </w:rPr>
        <w:tab/>
      </w:r>
      <w:r>
        <w:rPr>
          <w:rFonts w:ascii="Arial" w:cs="Arial" w:eastAsia="Arial" w:hAnsi="Arial"/>
          <w:sz w:val="19"/>
          <w:szCs w:val="19"/>
          <w:color w:val="111111"/>
        </w:rPr>
        <w:t>This contract shall be governed by and construed in accordance with Danish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645160</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665" w:right="999" w:bottom="1440" w:gutter="0" w:footer="0" w:header="0"/>
        </w:sectPr>
      </w:pPr>
    </w:p>
    <w:bookmarkStart w:id="125" w:name="page126"/>
    <w:bookmarkEnd w:id="125"/>
    <w:p>
      <w:pPr>
        <w:ind w:left="9740"/>
        <w:spacing w:after="0"/>
        <w:rPr>
          <w:sz w:val="20"/>
          <w:szCs w:val="20"/>
          <w:color w:val="auto"/>
        </w:rPr>
      </w:pPr>
      <w:r>
        <w:rPr>
          <w:rFonts w:ascii="Arial" w:cs="Arial" w:eastAsia="Arial" w:hAnsi="Arial"/>
          <w:sz w:val="16"/>
          <w:szCs w:val="16"/>
          <w:color w:val="auto"/>
        </w:rPr>
        <w:t>11</w:t>
      </w:r>
    </w:p>
    <w:p>
      <w:pPr>
        <w:spacing w:after="0" w:line="235" w:lineRule="exact"/>
        <w:rPr>
          <w:sz w:val="20"/>
          <w:szCs w:val="20"/>
          <w:color w:val="auto"/>
        </w:rPr>
      </w:pPr>
    </w:p>
    <w:p>
      <w:pPr>
        <w:jc w:val="both"/>
        <w:ind w:left="840" w:hanging="741"/>
        <w:spacing w:after="0"/>
        <w:tabs>
          <w:tab w:leader="none" w:pos="820" w:val="left"/>
        </w:tabs>
        <w:rPr>
          <w:sz w:val="20"/>
          <w:szCs w:val="20"/>
          <w:color w:val="auto"/>
        </w:rPr>
      </w:pPr>
      <w:r>
        <w:rPr>
          <w:rFonts w:ascii="Arial" w:cs="Arial" w:eastAsia="Arial" w:hAnsi="Arial"/>
          <w:sz w:val="22"/>
          <w:szCs w:val="22"/>
          <w:b w:val="1"/>
          <w:bCs w:val="1"/>
          <w:color w:val="0F0F0F"/>
        </w:rPr>
        <w:t>14.2</w:t>
      </w:r>
      <w:r>
        <w:rPr>
          <w:sz w:val="20"/>
          <w:szCs w:val="20"/>
          <w:color w:val="auto"/>
        </w:rPr>
        <w:tab/>
      </w:r>
      <w:r>
        <w:rPr>
          <w:rFonts w:ascii="Arial" w:cs="Arial" w:eastAsia="Arial" w:hAnsi="Arial"/>
          <w:sz w:val="22"/>
          <w:szCs w:val="22"/>
          <w:color w:val="0F0F0F"/>
        </w:rPr>
        <w:t>Any dispute between the Parties concerning the employment established by this contract shall be attempted solved by negotiation. In case the Parties are not able to negotiate an amicable solution, the dispute shall be solved by the ordinary courts in Denmark.</w:t>
      </w:r>
    </w:p>
    <w:p>
      <w:pPr>
        <w:spacing w:after="0" w:line="186" w:lineRule="exact"/>
        <w:rPr>
          <w:sz w:val="20"/>
          <w:szCs w:val="20"/>
          <w:color w:val="auto"/>
        </w:rPr>
      </w:pPr>
    </w:p>
    <w:p>
      <w:pPr>
        <w:ind w:left="860" w:hanging="744"/>
        <w:spacing w:after="0"/>
        <w:tabs>
          <w:tab w:leader="none" w:pos="860" w:val="left"/>
        </w:tabs>
        <w:numPr>
          <w:ilvl w:val="0"/>
          <w:numId w:val="84"/>
        </w:numPr>
        <w:rPr>
          <w:rFonts w:ascii="Arial" w:cs="Arial" w:eastAsia="Arial" w:hAnsi="Arial"/>
          <w:sz w:val="22"/>
          <w:szCs w:val="22"/>
          <w:b w:val="1"/>
          <w:bCs w:val="1"/>
          <w:color w:val="0F0F0F"/>
        </w:rPr>
      </w:pPr>
      <w:r>
        <w:rPr>
          <w:rFonts w:ascii="Arial" w:cs="Arial" w:eastAsia="Arial" w:hAnsi="Arial"/>
          <w:sz w:val="22"/>
          <w:szCs w:val="22"/>
          <w:b w:val="1"/>
          <w:bCs w:val="1"/>
          <w:color w:val="0F0F0F"/>
        </w:rPr>
        <w:t>Signatures</w:t>
      </w:r>
    </w:p>
    <w:p>
      <w:pPr>
        <w:spacing w:after="0" w:line="206" w:lineRule="exact"/>
        <w:rPr>
          <w:sz w:val="20"/>
          <w:szCs w:val="20"/>
          <w:color w:val="auto"/>
        </w:rPr>
      </w:pPr>
    </w:p>
    <w:p>
      <w:pPr>
        <w:ind w:left="880" w:hanging="755"/>
        <w:spacing w:after="0" w:line="250" w:lineRule="auto"/>
        <w:tabs>
          <w:tab w:leader="none" w:pos="860" w:val="left"/>
        </w:tabs>
        <w:rPr>
          <w:sz w:val="20"/>
          <w:szCs w:val="20"/>
          <w:color w:val="auto"/>
        </w:rPr>
      </w:pPr>
      <w:r>
        <w:rPr>
          <w:rFonts w:ascii="Arial" w:cs="Arial" w:eastAsia="Arial" w:hAnsi="Arial"/>
          <w:sz w:val="22"/>
          <w:szCs w:val="22"/>
          <w:b w:val="1"/>
          <w:bCs w:val="1"/>
          <w:color w:val="0F0F0F"/>
        </w:rPr>
        <w:t>15.1</w:t>
      </w:r>
      <w:r>
        <w:rPr>
          <w:sz w:val="20"/>
          <w:szCs w:val="20"/>
          <w:color w:val="auto"/>
        </w:rPr>
        <w:tab/>
      </w:r>
      <w:r>
        <w:rPr>
          <w:rFonts w:ascii="Arial" w:cs="Arial" w:eastAsia="Arial" w:hAnsi="Arial"/>
          <w:sz w:val="22"/>
          <w:szCs w:val="22"/>
          <w:color w:val="0F0F0F"/>
        </w:rPr>
        <w:t>This employment contract shall be signed by both Parties, and the original shall be kept by the Employer. The Employee shall receive a duplicate copy of the signed contract.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00" w:type="dxa"/>
            <w:vAlign w:val="bottom"/>
            <w:gridSpan w:val="2"/>
          </w:tcPr>
          <w:p>
            <w:pPr>
              <w:ind w:left="880"/>
              <w:spacing w:after="0"/>
              <w:rPr>
                <w:sz w:val="20"/>
                <w:szCs w:val="20"/>
                <w:color w:val="auto"/>
              </w:rPr>
            </w:pPr>
            <w:r>
              <w:rPr>
                <w:rFonts w:ascii="Arial" w:cs="Arial" w:eastAsia="Arial" w:hAnsi="Arial"/>
                <w:sz w:val="22"/>
                <w:szCs w:val="22"/>
                <w:color w:val="0F0F0F"/>
              </w:rPr>
              <w:t>Date: May 1st, 2017</w:t>
            </w:r>
          </w:p>
        </w:tc>
        <w:tc>
          <w:tcPr>
            <w:tcW w:w="6020" w:type="dxa"/>
            <w:vAlign w:val="bottom"/>
          </w:tcPr>
          <w:p>
            <w:pPr>
              <w:ind w:left="640"/>
              <w:spacing w:after="0"/>
              <w:rPr>
                <w:sz w:val="20"/>
                <w:szCs w:val="20"/>
                <w:color w:val="auto"/>
              </w:rPr>
            </w:pPr>
            <w:r>
              <w:rPr>
                <w:rFonts w:ascii="Arial" w:cs="Arial" w:eastAsia="Arial" w:hAnsi="Arial"/>
                <w:sz w:val="22"/>
                <w:szCs w:val="22"/>
                <w:color w:val="0F0F0F"/>
              </w:rPr>
              <w:t>Date: May 1st, 2017</w:t>
            </w:r>
          </w:p>
        </w:tc>
      </w:tr>
      <w:tr>
        <w:trPr>
          <w:trHeight w:val="274"/>
        </w:trPr>
        <w:tc>
          <w:tcPr>
            <w:tcW w:w="3900" w:type="dxa"/>
            <w:vAlign w:val="bottom"/>
            <w:gridSpan w:val="2"/>
          </w:tcPr>
          <w:p>
            <w:pPr>
              <w:ind w:left="860"/>
              <w:spacing w:after="0"/>
              <w:rPr>
                <w:sz w:val="20"/>
                <w:szCs w:val="20"/>
                <w:color w:val="auto"/>
              </w:rPr>
            </w:pPr>
            <w:r>
              <w:rPr>
                <w:rFonts w:ascii="Arial" w:cs="Arial" w:eastAsia="Arial" w:hAnsi="Arial"/>
                <w:sz w:val="22"/>
                <w:szCs w:val="22"/>
                <w:color w:val="0F0F0F"/>
              </w:rPr>
              <w:t>Y-mAbs Therapeutics A/S</w:t>
            </w:r>
          </w:p>
        </w:tc>
        <w:tc>
          <w:tcPr>
            <w:tcW w:w="6020" w:type="dxa"/>
            <w:vAlign w:val="bottom"/>
          </w:tcPr>
          <w:p>
            <w:pPr>
              <w:ind w:left="620"/>
              <w:spacing w:after="0"/>
              <w:rPr>
                <w:sz w:val="20"/>
                <w:szCs w:val="20"/>
                <w:color w:val="auto"/>
              </w:rPr>
            </w:pPr>
            <w:r>
              <w:rPr>
                <w:rFonts w:ascii="Arial" w:cs="Arial" w:eastAsia="Arial" w:hAnsi="Arial"/>
                <w:sz w:val="22"/>
                <w:szCs w:val="22"/>
                <w:color w:val="0F0F0F"/>
              </w:rPr>
              <w:t>The Employee:</w:t>
            </w:r>
          </w:p>
        </w:tc>
      </w:tr>
      <w:tr>
        <w:trPr>
          <w:trHeight w:val="408"/>
        </w:trPr>
        <w:tc>
          <w:tcPr>
            <w:tcW w:w="2800" w:type="dxa"/>
            <w:vAlign w:val="bottom"/>
          </w:tcPr>
          <w:p>
            <w:pPr>
              <w:ind w:left="880"/>
              <w:spacing w:after="0"/>
              <w:rPr>
                <w:sz w:val="20"/>
                <w:szCs w:val="20"/>
                <w:color w:val="auto"/>
              </w:rPr>
            </w:pPr>
            <w:r>
              <w:rPr>
                <w:rFonts w:ascii="Arial" w:cs="Arial" w:eastAsia="Arial" w:hAnsi="Arial"/>
                <w:sz w:val="22"/>
                <w:szCs w:val="22"/>
                <w:color w:val="0F0F0F"/>
                <w:w w:val="95"/>
              </w:rPr>
              <w:t>/s/ CLAUS MØLLER</w:t>
            </w:r>
          </w:p>
        </w:tc>
        <w:tc>
          <w:tcPr>
            <w:tcW w:w="1100" w:type="dxa"/>
            <w:vAlign w:val="bottom"/>
            <w:tcBorders>
              <w:bottom w:val="single" w:sz="8" w:color="0F0F0F"/>
            </w:tcBorders>
          </w:tcPr>
          <w:p>
            <w:pPr>
              <w:spacing w:after="0"/>
              <w:rPr>
                <w:sz w:val="24"/>
                <w:szCs w:val="24"/>
                <w:color w:val="auto"/>
              </w:rPr>
            </w:pPr>
          </w:p>
        </w:tc>
        <w:tc>
          <w:tcPr>
            <w:tcW w:w="6020" w:type="dxa"/>
            <w:vAlign w:val="bottom"/>
          </w:tcPr>
          <w:p>
            <w:pPr>
              <w:ind w:left="640"/>
              <w:spacing w:after="0"/>
              <w:rPr>
                <w:sz w:val="20"/>
                <w:szCs w:val="20"/>
                <w:color w:val="auto"/>
              </w:rPr>
            </w:pPr>
            <w:r>
              <w:rPr>
                <w:rFonts w:ascii="Arial" w:cs="Arial" w:eastAsia="Arial" w:hAnsi="Arial"/>
                <w:sz w:val="22"/>
                <w:szCs w:val="22"/>
                <w:color w:val="0F0F0F"/>
              </w:rPr>
              <w:t>/s/ STEEN LISBY</w:t>
            </w:r>
          </w:p>
        </w:tc>
      </w:tr>
      <w:tr>
        <w:trPr>
          <w:trHeight w:val="328"/>
        </w:trPr>
        <w:tc>
          <w:tcPr>
            <w:tcW w:w="3900" w:type="dxa"/>
            <w:vAlign w:val="bottom"/>
            <w:gridSpan w:val="2"/>
          </w:tcPr>
          <w:p>
            <w:pPr>
              <w:ind w:left="880"/>
              <w:spacing w:after="0"/>
              <w:rPr>
                <w:sz w:val="20"/>
                <w:szCs w:val="20"/>
                <w:color w:val="auto"/>
              </w:rPr>
            </w:pPr>
            <w:r>
              <w:rPr>
                <w:rFonts w:ascii="Arial" w:cs="Arial" w:eastAsia="Arial" w:hAnsi="Arial"/>
                <w:sz w:val="22"/>
                <w:szCs w:val="22"/>
                <w:color w:val="0F0F0F"/>
              </w:rPr>
              <w:t>Claus J. Møller CEO</w:t>
            </w:r>
          </w:p>
        </w:tc>
        <w:tc>
          <w:tcPr>
            <w:tcW w:w="6020" w:type="dxa"/>
            <w:vAlign w:val="bottom"/>
          </w:tcPr>
          <w:p>
            <w:pPr>
              <w:ind w:left="640"/>
              <w:spacing w:after="0"/>
              <w:rPr>
                <w:sz w:val="20"/>
                <w:szCs w:val="20"/>
                <w:color w:val="auto"/>
              </w:rPr>
            </w:pPr>
            <w:r>
              <w:rPr>
                <w:rFonts w:ascii="Arial" w:cs="Arial" w:eastAsia="Arial" w:hAnsi="Arial"/>
                <w:sz w:val="22"/>
                <w:szCs w:val="22"/>
                <w:color w:val="0F0F0F"/>
              </w:rPr>
              <w:t>Steen Lisby</w:t>
            </w:r>
          </w:p>
        </w:tc>
      </w:tr>
      <w:tr>
        <w:trPr>
          <w:trHeight w:val="551"/>
        </w:trPr>
        <w:tc>
          <w:tcPr>
            <w:tcW w:w="2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-589280</wp:posOffset>
            </wp:positionV>
            <wp:extent cx="8890"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-589280</wp:posOffset>
            </wp:positionV>
            <wp:extent cx="8890" cy="13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-589280</wp:posOffset>
            </wp:positionV>
            <wp:extent cx="8255" cy="13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-589280</wp:posOffset>
            </wp:positionV>
            <wp:extent cx="8255"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-589280</wp:posOffset>
            </wp:positionV>
            <wp:extent cx="8890"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-589280</wp:posOffset>
            </wp:positionV>
            <wp:extent cx="8890" cy="13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-589280</wp:posOffset>
            </wp:positionV>
            <wp:extent cx="8890" cy="13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-589280</wp:posOffset>
            </wp:positionV>
            <wp:extent cx="8255" cy="13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691515</wp:posOffset>
            </wp:positionH>
            <wp:positionV relativeFrom="paragraph">
              <wp:posOffset>-589280</wp:posOffset>
            </wp:positionV>
            <wp:extent cx="8255" cy="139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-589280</wp:posOffset>
            </wp:positionV>
            <wp:extent cx="8890" cy="139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-589280</wp:posOffset>
            </wp:positionV>
            <wp:extent cx="8890"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-589280</wp:posOffset>
            </wp:positionV>
            <wp:extent cx="8890" cy="13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-589280</wp:posOffset>
            </wp:positionV>
            <wp:extent cx="8890" cy="139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-589280</wp:posOffset>
            </wp:positionV>
            <wp:extent cx="8255"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-589280</wp:posOffset>
            </wp:positionV>
            <wp:extent cx="8255"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-589280</wp:posOffset>
            </wp:positionV>
            <wp:extent cx="8890" cy="13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-589280</wp:posOffset>
            </wp:positionV>
            <wp:extent cx="8890"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-589280</wp:posOffset>
            </wp:positionV>
            <wp:extent cx="8890" cy="139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-589280</wp:posOffset>
            </wp:positionV>
            <wp:extent cx="8255" cy="13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-589280</wp:posOffset>
            </wp:positionV>
            <wp:extent cx="8255" cy="13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-589280</wp:posOffset>
            </wp:positionV>
            <wp:extent cx="8255"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-589280</wp:posOffset>
            </wp:positionV>
            <wp:extent cx="8890" cy="13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-589280</wp:posOffset>
            </wp:positionV>
            <wp:extent cx="8890"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-589280</wp:posOffset>
            </wp:positionV>
            <wp:extent cx="8890" cy="13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-589280</wp:posOffset>
            </wp:positionV>
            <wp:extent cx="8255" cy="13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-589280</wp:posOffset>
            </wp:positionV>
            <wp:extent cx="8255" cy="13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-589280</wp:posOffset>
            </wp:positionV>
            <wp:extent cx="8255"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-589280</wp:posOffset>
            </wp:positionV>
            <wp:extent cx="8890" cy="13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-589280</wp:posOffset>
            </wp:positionV>
            <wp:extent cx="8255" cy="13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-589280</wp:posOffset>
            </wp:positionV>
            <wp:extent cx="8890"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-589280</wp:posOffset>
            </wp:positionV>
            <wp:extent cx="8890" cy="13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-589280</wp:posOffset>
            </wp:positionV>
            <wp:extent cx="8890" cy="13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-589280</wp:posOffset>
            </wp:positionV>
            <wp:extent cx="8890"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-589280</wp:posOffset>
            </wp:positionV>
            <wp:extent cx="8255" cy="13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-589280</wp:posOffset>
            </wp:positionV>
            <wp:extent cx="8890" cy="13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-589280</wp:posOffset>
            </wp:positionV>
            <wp:extent cx="8890" cy="139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-589280</wp:posOffset>
            </wp:positionV>
            <wp:extent cx="8890" cy="139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-589280</wp:posOffset>
            </wp:positionV>
            <wp:extent cx="8890" cy="139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-589280</wp:posOffset>
            </wp:positionV>
            <wp:extent cx="8255" cy="139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-589280</wp:posOffset>
            </wp:positionV>
            <wp:extent cx="8890" cy="139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-589280</wp:posOffset>
            </wp:positionV>
            <wp:extent cx="8890" cy="139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-589280</wp:posOffset>
            </wp:positionV>
            <wp:extent cx="8890" cy="13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-589280</wp:posOffset>
            </wp:positionV>
            <wp:extent cx="8890" cy="13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-589280</wp:posOffset>
            </wp:positionV>
            <wp:extent cx="8255" cy="13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-589280</wp:posOffset>
            </wp:positionV>
            <wp:extent cx="8890" cy="139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-589280</wp:posOffset>
            </wp:positionV>
            <wp:extent cx="8255" cy="13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-589280</wp:posOffset>
            </wp:positionV>
            <wp:extent cx="8890" cy="13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-589280</wp:posOffset>
            </wp:positionV>
            <wp:extent cx="8890" cy="1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-589280</wp:posOffset>
            </wp:positionV>
            <wp:extent cx="8890" cy="13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-589280</wp:posOffset>
            </wp:positionV>
            <wp:extent cx="8890" cy="13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-589280</wp:posOffset>
            </wp:positionV>
            <wp:extent cx="8255"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-589280</wp:posOffset>
            </wp:positionV>
            <wp:extent cx="8890" cy="13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-589280</wp:posOffset>
            </wp:positionV>
            <wp:extent cx="8890" cy="13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-589280</wp:posOffset>
            </wp:positionV>
            <wp:extent cx="8890"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-589280</wp:posOffset>
            </wp:positionV>
            <wp:extent cx="8890" cy="139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-589280</wp:posOffset>
            </wp:positionV>
            <wp:extent cx="8255" cy="1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-589280</wp:posOffset>
            </wp:positionV>
            <wp:extent cx="8890" cy="139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-589280</wp:posOffset>
            </wp:positionV>
            <wp:extent cx="8890" cy="13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-589280</wp:posOffset>
            </wp:positionV>
            <wp:extent cx="8890" cy="139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-589280</wp:posOffset>
            </wp:positionV>
            <wp:extent cx="8890" cy="13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-589280</wp:posOffset>
            </wp:positionV>
            <wp:extent cx="8255"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-589280</wp:posOffset>
            </wp:positionV>
            <wp:extent cx="8890" cy="13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-589280</wp:posOffset>
            </wp:positionV>
            <wp:extent cx="8890" cy="13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-589280</wp:posOffset>
            </wp:positionV>
            <wp:extent cx="8890" cy="13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-589280</wp:posOffset>
            </wp:positionV>
            <wp:extent cx="8890" cy="139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-589280</wp:posOffset>
            </wp:positionV>
            <wp:extent cx="8890" cy="139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-589280</wp:posOffset>
            </wp:positionV>
            <wp:extent cx="8890" cy="139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-589280</wp:posOffset>
            </wp:positionV>
            <wp:extent cx="8255" cy="139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8255" cy="1397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-589280</wp:posOffset>
            </wp:positionV>
            <wp:extent cx="8890" cy="139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-589280</wp:posOffset>
            </wp:positionV>
            <wp:extent cx="8890" cy="13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-589280</wp:posOffset>
            </wp:positionV>
            <wp:extent cx="8890" cy="139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8890" cy="1397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-591185</wp:posOffset>
            </wp:positionV>
            <wp:extent cx="102870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1028700"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6" w:name="page127"/>
    <w:bookmarkEnd w:id="126"/>
    <w:p>
      <w:pPr>
        <w:jc w:val="right"/>
        <w:spacing w:after="0"/>
        <w:rPr>
          <w:sz w:val="20"/>
          <w:szCs w:val="20"/>
          <w:color w:val="auto"/>
        </w:rPr>
      </w:pPr>
      <w:r>
        <w:rPr>
          <w:rFonts w:ascii="Arial" w:cs="Arial" w:eastAsia="Arial" w:hAnsi="Arial"/>
          <w:sz w:val="25"/>
          <w:szCs w:val="25"/>
          <w:b w:val="1"/>
          <w:bCs w:val="1"/>
          <w:color w:val="auto"/>
        </w:rPr>
        <w:t>Exhibit 10.9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181616"/>
        </w:rPr>
        <w:t>ADDENDUM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181616"/>
        </w:rPr>
        <w:t>EMPLOYMENT CONTRACT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050505"/>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050505"/>
        </w:rPr>
        <w:t>Y-mAbs Therapeutics A/S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050505"/>
        </w:rPr>
        <w:t>Agern Alle 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050505"/>
        </w:rPr>
        <w:t>2970 Hørsholm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050505"/>
        </w:rPr>
        <w:t xml:space="preserve">(the </w:t>
      </w:r>
      <w:r>
        <w:rPr>
          <w:rFonts w:ascii="Arial" w:cs="Arial" w:eastAsia="Arial" w:hAnsi="Arial"/>
          <w:sz w:val="18"/>
          <w:szCs w:val="18"/>
          <w:b w:val="1"/>
          <w:bCs w:val="1"/>
          <w:color w:val="050505"/>
        </w:rPr>
        <w:t>"Employer")</w:t>
      </w:r>
    </w:p>
    <w:p>
      <w:pPr>
        <w:spacing w:after="0" w:line="23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050505"/>
        </w:rPr>
        <w:t>and</w:t>
      </w:r>
    </w:p>
    <w:p>
      <w:pPr>
        <w:jc w:val="center"/>
        <w:ind w:right="-359"/>
        <w:spacing w:after="0" w:line="234" w:lineRule="auto"/>
        <w:rPr>
          <w:sz w:val="20"/>
          <w:szCs w:val="20"/>
          <w:color w:val="auto"/>
        </w:rPr>
      </w:pPr>
      <w:r>
        <w:rPr>
          <w:rFonts w:ascii="Arial" w:cs="Arial" w:eastAsia="Arial" w:hAnsi="Arial"/>
          <w:sz w:val="18"/>
          <w:szCs w:val="18"/>
          <w:color w:val="050505"/>
        </w:rPr>
        <w:t>Steen Lisby</w:t>
      </w:r>
    </w:p>
    <w:p>
      <w:pPr>
        <w:spacing w:after="0" w:line="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050505"/>
        </w:rPr>
        <w: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050505"/>
        </w:rPr>
        <w:t xml:space="preserve">(the </w:t>
      </w:r>
      <w:r>
        <w:rPr>
          <w:rFonts w:ascii="Arial" w:cs="Arial" w:eastAsia="Arial" w:hAnsi="Arial"/>
          <w:sz w:val="18"/>
          <w:szCs w:val="18"/>
          <w:b w:val="1"/>
          <w:bCs w:val="1"/>
          <w:color w:val="181616"/>
        </w:rPr>
        <w:t>"Employee")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050505"/>
        </w:rPr>
        <w:t xml:space="preserve">(collectively the </w:t>
      </w:r>
      <w:r>
        <w:rPr>
          <w:rFonts w:ascii="Arial" w:cs="Arial" w:eastAsia="Arial" w:hAnsi="Arial"/>
          <w:sz w:val="18"/>
          <w:szCs w:val="18"/>
          <w:b w:val="1"/>
          <w:bCs w:val="1"/>
          <w:color w:val="050505"/>
        </w:rPr>
        <w:t>"Parties")</w:t>
      </w:r>
    </w:p>
    <w:p>
      <w:pPr>
        <w:spacing w:after="0" w:line="244" w:lineRule="exact"/>
        <w:rPr>
          <w:sz w:val="20"/>
          <w:szCs w:val="20"/>
          <w:color w:val="auto"/>
        </w:rPr>
      </w:pPr>
    </w:p>
    <w:p>
      <w:pPr>
        <w:ind w:left="220" w:right="280" w:firstLine="4"/>
        <w:spacing w:after="0" w:line="246" w:lineRule="auto"/>
        <w:rPr>
          <w:sz w:val="20"/>
          <w:szCs w:val="20"/>
          <w:color w:val="auto"/>
        </w:rPr>
      </w:pPr>
      <w:r>
        <w:rPr>
          <w:rFonts w:ascii="Arial" w:cs="Arial" w:eastAsia="Arial" w:hAnsi="Arial"/>
          <w:sz w:val="18"/>
          <w:szCs w:val="18"/>
          <w:color w:val="050505"/>
        </w:rPr>
        <w:t>With effect from June 1, 2020, the Employment Contract entered into between the Parties (with previous amendments, the "Employment Contract") shall be amended as follows:</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181616"/>
        </w:rPr>
        <w:t>1. New Position/Work Responsibilities/Salary</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color w:val="050505"/>
        </w:rPr>
        <w:t>The existing clauses 1, 2 and 4.1, first sentence of the Employment Contract are deleted and replaced by the following: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181616"/>
        </w:rPr>
        <w:t>"1. Title, period of employment</w:t>
      </w:r>
    </w:p>
    <w:p>
      <w:pPr>
        <w:spacing w:after="0" w:line="212" w:lineRule="exact"/>
        <w:rPr>
          <w:sz w:val="20"/>
          <w:szCs w:val="20"/>
          <w:color w:val="auto"/>
        </w:rPr>
      </w:pPr>
    </w:p>
    <w:p>
      <w:pPr>
        <w:jc w:val="both"/>
        <w:ind w:left="960" w:hanging="769"/>
        <w:spacing w:after="0" w:line="250" w:lineRule="auto"/>
        <w:tabs>
          <w:tab w:leader="none" w:pos="940" w:val="left"/>
        </w:tabs>
        <w:rPr>
          <w:sz w:val="20"/>
          <w:szCs w:val="20"/>
          <w:color w:val="auto"/>
        </w:rPr>
      </w:pPr>
      <w:r>
        <w:rPr>
          <w:rFonts w:ascii="Arial" w:cs="Arial" w:eastAsia="Arial" w:hAnsi="Arial"/>
          <w:sz w:val="18"/>
          <w:szCs w:val="18"/>
          <w:i w:val="1"/>
          <w:iCs w:val="1"/>
          <w:color w:val="050505"/>
        </w:rPr>
        <w:t>1.1.</w:t>
      </w:r>
      <w:r>
        <w:rPr>
          <w:sz w:val="20"/>
          <w:szCs w:val="20"/>
          <w:color w:val="auto"/>
        </w:rPr>
        <w:tab/>
      </w:r>
      <w:r>
        <w:rPr>
          <w:rFonts w:ascii="Arial" w:cs="Arial" w:eastAsia="Arial" w:hAnsi="Arial"/>
          <w:sz w:val="18"/>
          <w:szCs w:val="18"/>
          <w:i w:val="1"/>
          <w:iCs w:val="1"/>
          <w:color w:val="050505"/>
        </w:rPr>
        <w:t xml:space="preserve">As of 1 June 2020, the Employee shall be appointed as Senior Vice President </w:t>
      </w:r>
      <w:r>
        <w:rPr>
          <w:rFonts w:ascii="Arial" w:cs="Arial" w:eastAsia="Arial" w:hAnsi="Arial"/>
          <w:sz w:val="18"/>
          <w:szCs w:val="18"/>
          <w:color w:val="050505"/>
        </w:rPr>
        <w:t>&amp;</w:t>
      </w:r>
      <w:r>
        <w:rPr>
          <w:rFonts w:ascii="Arial" w:cs="Arial" w:eastAsia="Arial" w:hAnsi="Arial"/>
          <w:sz w:val="18"/>
          <w:szCs w:val="18"/>
          <w:i w:val="1"/>
          <w:iCs w:val="1"/>
          <w:color w:val="050505"/>
        </w:rPr>
        <w:t xml:space="preserve"> Chief Scientific Officer of the Employer. The Employee shall retain seniority from the original commencement of his employment as Chief Medical Officer.</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181616"/>
        </w:rPr>
        <w:t>2. Tasks and place of work</w:t>
      </w:r>
    </w:p>
    <w:p>
      <w:pPr>
        <w:spacing w:after="0" w:line="212" w:lineRule="exact"/>
        <w:rPr>
          <w:sz w:val="20"/>
          <w:szCs w:val="20"/>
          <w:color w:val="auto"/>
        </w:rPr>
      </w:pPr>
    </w:p>
    <w:p>
      <w:pPr>
        <w:jc w:val="both"/>
        <w:ind w:left="960" w:hanging="755"/>
        <w:spacing w:after="0" w:line="250" w:lineRule="auto"/>
        <w:tabs>
          <w:tab w:leader="none" w:pos="940" w:val="left"/>
        </w:tabs>
        <w:rPr>
          <w:sz w:val="20"/>
          <w:szCs w:val="20"/>
          <w:color w:val="auto"/>
        </w:rPr>
      </w:pPr>
      <w:r>
        <w:rPr>
          <w:rFonts w:ascii="Arial" w:cs="Arial" w:eastAsia="Arial" w:hAnsi="Arial"/>
          <w:sz w:val="18"/>
          <w:szCs w:val="18"/>
          <w:i w:val="1"/>
          <w:iCs w:val="1"/>
          <w:color w:val="050505"/>
        </w:rPr>
        <w:t>2.1</w:t>
      </w:r>
      <w:r>
        <w:rPr>
          <w:sz w:val="20"/>
          <w:szCs w:val="20"/>
          <w:color w:val="auto"/>
        </w:rPr>
        <w:tab/>
      </w:r>
      <w:r>
        <w:rPr>
          <w:rFonts w:ascii="Arial" w:cs="Arial" w:eastAsia="Arial" w:hAnsi="Arial"/>
          <w:sz w:val="18"/>
          <w:szCs w:val="18"/>
          <w:i w:val="1"/>
          <w:iCs w:val="1"/>
          <w:color w:val="050505"/>
        </w:rPr>
        <w:t xml:space="preserve">The Employee shall perform such duties as are normally associated with the position as Senior Vice President </w:t>
      </w:r>
      <w:r>
        <w:rPr>
          <w:rFonts w:ascii="Arial" w:cs="Arial" w:eastAsia="Arial" w:hAnsi="Arial"/>
          <w:sz w:val="17"/>
          <w:szCs w:val="17"/>
          <w:color w:val="050505"/>
        </w:rPr>
        <w:t>&amp;</w:t>
      </w:r>
      <w:r>
        <w:rPr>
          <w:rFonts w:ascii="Arial" w:cs="Arial" w:eastAsia="Arial" w:hAnsi="Arial"/>
          <w:sz w:val="18"/>
          <w:szCs w:val="18"/>
          <w:i w:val="1"/>
          <w:iCs w:val="1"/>
          <w:color w:val="050505"/>
        </w:rPr>
        <w:t xml:space="preserve"> Chief Scientific Officer and as the Employer may reasonably require, and shall use his best efforts to carry into effect the directions of the Employer's Chief Executive Officer (to whom he reports).</w:t>
      </w:r>
    </w:p>
    <w:p>
      <w:pPr>
        <w:spacing w:after="0" w:line="177" w:lineRule="exact"/>
        <w:rPr>
          <w:sz w:val="20"/>
          <w:szCs w:val="20"/>
          <w:color w:val="auto"/>
        </w:rPr>
      </w:pPr>
    </w:p>
    <w:p>
      <w:pPr>
        <w:jc w:val="both"/>
        <w:ind w:left="960" w:hanging="769"/>
        <w:spacing w:after="0" w:line="267" w:lineRule="auto"/>
        <w:tabs>
          <w:tab w:leader="none" w:pos="940" w:val="left"/>
        </w:tabs>
        <w:rPr>
          <w:sz w:val="20"/>
          <w:szCs w:val="20"/>
          <w:color w:val="auto"/>
        </w:rPr>
      </w:pPr>
      <w:r>
        <w:rPr>
          <w:rFonts w:ascii="Arial" w:cs="Arial" w:eastAsia="Arial" w:hAnsi="Arial"/>
          <w:sz w:val="18"/>
          <w:szCs w:val="18"/>
          <w:i w:val="1"/>
          <w:iCs w:val="1"/>
          <w:color w:val="050505"/>
        </w:rPr>
        <w:t>2.2</w:t>
      </w:r>
      <w:r>
        <w:rPr>
          <w:sz w:val="20"/>
          <w:szCs w:val="20"/>
          <w:color w:val="auto"/>
        </w:rPr>
        <w:tab/>
      </w:r>
      <w:r>
        <w:rPr>
          <w:rFonts w:ascii="Arial" w:cs="Arial" w:eastAsia="Arial" w:hAnsi="Arial"/>
          <w:sz w:val="18"/>
          <w:szCs w:val="18"/>
          <w:i w:val="1"/>
          <w:iCs w:val="1"/>
          <w:color w:val="050505"/>
        </w:rPr>
        <w:t xml:space="preserve">As Senior Vice President </w:t>
      </w:r>
      <w:r>
        <w:rPr>
          <w:rFonts w:ascii="Arial" w:cs="Arial" w:eastAsia="Arial" w:hAnsi="Arial"/>
          <w:sz w:val="17"/>
          <w:szCs w:val="17"/>
          <w:color w:val="050505"/>
        </w:rPr>
        <w:t>&amp;</w:t>
      </w:r>
      <w:r>
        <w:rPr>
          <w:rFonts w:ascii="Arial" w:cs="Arial" w:eastAsia="Arial" w:hAnsi="Arial"/>
          <w:sz w:val="18"/>
          <w:szCs w:val="18"/>
          <w:i w:val="1"/>
          <w:iCs w:val="1"/>
          <w:color w:val="050505"/>
        </w:rPr>
        <w:t xml:space="preserve"> Chief Scientific Officer, the Employee shall be responsible for overseeing the scientific functions of the </w:t>
      </w:r>
      <w:r>
        <w:rPr>
          <w:rFonts w:ascii="Arial" w:cs="Arial" w:eastAsia="Arial" w:hAnsi="Arial"/>
          <w:sz w:val="18"/>
          <w:szCs w:val="18"/>
          <w:i w:val="1"/>
          <w:iCs w:val="1"/>
          <w:color w:val="181616"/>
        </w:rPr>
        <w:t>Employer</w:t>
      </w:r>
      <w:r>
        <w:rPr>
          <w:rFonts w:ascii="Arial" w:cs="Arial" w:eastAsia="Arial" w:hAnsi="Arial"/>
          <w:sz w:val="18"/>
          <w:szCs w:val="18"/>
          <w:i w:val="1"/>
          <w:iCs w:val="1"/>
          <w:color w:val="050505"/>
        </w:rPr>
        <w:t xml:space="preserve"> (including its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448310</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9" w:right="9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2</w:t>
      </w:r>
    </w:p>
    <w:p>
      <w:pPr>
        <w:spacing w:after="0" w:line="345" w:lineRule="exact"/>
        <w:rPr>
          <w:sz w:val="20"/>
          <w:szCs w:val="20"/>
          <w:color w:val="auto"/>
        </w:rPr>
      </w:pPr>
    </w:p>
    <w:p>
      <w:pPr>
        <w:jc w:val="both"/>
        <w:ind w:left="820" w:firstLine="2"/>
        <w:spacing w:after="0" w:line="252" w:lineRule="auto"/>
        <w:rPr>
          <w:sz w:val="20"/>
          <w:szCs w:val="20"/>
          <w:color w:val="auto"/>
        </w:rPr>
      </w:pPr>
      <w:r>
        <w:rPr>
          <w:rFonts w:ascii="Arial" w:cs="Arial" w:eastAsia="Arial" w:hAnsi="Arial"/>
          <w:sz w:val="19"/>
          <w:szCs w:val="19"/>
          <w:i w:val="1"/>
          <w:iCs w:val="1"/>
          <w:color w:val="auto"/>
        </w:rPr>
        <w:t>company), including but not limited to basic and applied research projects as well as the development of new processes, technologies or products and belonging translational and pre-clinical research and early medical strategy up to and including IND filings.</w:t>
      </w:r>
    </w:p>
    <w:p>
      <w:pPr>
        <w:spacing w:after="0" w:line="162" w:lineRule="exact"/>
        <w:rPr>
          <w:sz w:val="20"/>
          <w:szCs w:val="20"/>
          <w:color w:val="auto"/>
        </w:rPr>
      </w:pPr>
    </w:p>
    <w:p>
      <w:pPr>
        <w:ind w:left="780" w:hanging="755"/>
        <w:spacing w:after="0" w:line="268" w:lineRule="auto"/>
        <w:tabs>
          <w:tab w:leader="none" w:pos="760" w:val="left"/>
        </w:tabs>
        <w:rPr>
          <w:sz w:val="20"/>
          <w:szCs w:val="20"/>
          <w:color w:val="auto"/>
        </w:rPr>
      </w:pPr>
      <w:r>
        <w:rPr>
          <w:rFonts w:ascii="Arial" w:cs="Arial" w:eastAsia="Arial" w:hAnsi="Arial"/>
          <w:sz w:val="19"/>
          <w:szCs w:val="19"/>
          <w:i w:val="1"/>
          <w:iCs w:val="1"/>
          <w:color w:val="auto"/>
        </w:rPr>
        <w:t>2.3</w:t>
      </w:r>
      <w:r>
        <w:rPr>
          <w:sz w:val="20"/>
          <w:szCs w:val="20"/>
          <w:color w:val="auto"/>
        </w:rPr>
        <w:tab/>
      </w:r>
      <w:r>
        <w:rPr>
          <w:rFonts w:ascii="Arial" w:cs="Arial" w:eastAsia="Arial" w:hAnsi="Arial"/>
          <w:sz w:val="19"/>
          <w:szCs w:val="19"/>
          <w:i w:val="1"/>
          <w:iCs w:val="1"/>
          <w:color w:val="auto"/>
        </w:rPr>
        <w:t xml:space="preserve">The place of work shall continue to be in Hørsholm Denmark, but the Employee agrees to travel to and from the Company's parent's laboratories on a regular schedule to be agreed. </w:t>
      </w:r>
      <w:r>
        <w:rPr>
          <w:rFonts w:ascii="Arial" w:cs="Arial" w:eastAsia="Arial" w:hAnsi="Arial"/>
          <w:sz w:val="8"/>
          <w:szCs w:val="8"/>
          <w:i w:val="1"/>
          <w:iCs w:val="1"/>
          <w:color w:val="auto"/>
        </w:rPr>
        <w:t>11</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Salary and Benefits</w:t>
      </w:r>
    </w:p>
    <w:p>
      <w:pPr>
        <w:spacing w:after="0" w:line="232" w:lineRule="exact"/>
        <w:rPr>
          <w:sz w:val="20"/>
          <w:szCs w:val="20"/>
          <w:color w:val="auto"/>
        </w:rPr>
      </w:pPr>
    </w:p>
    <w:p>
      <w:pPr>
        <w:ind w:left="820" w:hanging="777"/>
        <w:spacing w:after="0" w:line="268" w:lineRule="auto"/>
        <w:rPr>
          <w:sz w:val="20"/>
          <w:szCs w:val="20"/>
          <w:color w:val="auto"/>
        </w:rPr>
      </w:pPr>
      <w:r>
        <w:rPr>
          <w:rFonts w:ascii="Arial" w:cs="Arial" w:eastAsia="Arial" w:hAnsi="Arial"/>
          <w:sz w:val="19"/>
          <w:szCs w:val="19"/>
          <w:i w:val="1"/>
          <w:iCs w:val="1"/>
          <w:color w:val="auto"/>
        </w:rPr>
        <w:t>4.1 As of June 1, 2020, the gross salary shall be DKK 2,003,066 per year, payable monthly in arrears less tax deductions on or around the last banking day of the month."</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2. Additional Clause (take-over protection)</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 following shall be added as a new Clause 17 to the Contract:</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"17. Termination Upon Change in Control.</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17.1 Definitions</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i w:val="1"/>
          <w:iCs w:val="1"/>
          <w:color w:val="auto"/>
        </w:rPr>
        <w:t>means Y-mAbs Therapeutics, Inc., a Delaware corporation, or any successor.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i w:val="1"/>
          <w:iCs w:val="1"/>
          <w:color w:val="auto"/>
        </w:rPr>
        <w:t>shall mean any of the following events: -</w:t>
      </w:r>
    </w:p>
    <w:p>
      <w:pPr>
        <w:spacing w:after="0" w:line="212" w:lineRule="exact"/>
        <w:rPr>
          <w:sz w:val="20"/>
          <w:szCs w:val="20"/>
          <w:color w:val="auto"/>
        </w:rPr>
      </w:pPr>
    </w:p>
    <w:p>
      <w:pPr>
        <w:jc w:val="both"/>
        <w:ind w:left="1060" w:hanging="1002"/>
        <w:spacing w:after="0" w:line="238" w:lineRule="auto"/>
        <w:tabs>
          <w:tab w:leader="none" w:pos="1060" w:val="left"/>
        </w:tabs>
        <w:numPr>
          <w:ilvl w:val="1"/>
          <w:numId w:val="85"/>
        </w:numPr>
        <w:rPr>
          <w:rFonts w:ascii="Arial" w:cs="Arial" w:eastAsia="Arial" w:hAnsi="Arial"/>
          <w:sz w:val="21"/>
          <w:szCs w:val="21"/>
          <w:i w:val="1"/>
          <w:iCs w:val="1"/>
          <w:color w:val="auto"/>
        </w:rPr>
      </w:pPr>
      <w:r>
        <w:rPr>
          <w:rFonts w:ascii="Arial" w:cs="Arial" w:eastAsia="Arial" w:hAnsi="Arial"/>
          <w:sz w:val="19"/>
          <w:szCs w:val="19"/>
          <w:i w:val="1"/>
          <w:iCs w:val="1"/>
          <w:color w:val="auto"/>
        </w:rPr>
        <w:t>An acquisition (other than directly from the Company) of any voting securities of the Company (the "Voting Securities") other than in a "Non-Control Acquisition" (as defined below) by any "Person" (as the term "person" is used for purposes of Section 13(d) or 14(d) of the US Securities Exchange Act of 1934, as amended, (the "1934 Act")) which results in such Person first attaining "Beneficial Ownership" (within the meaning of Rule 13d-3 promulgated under the 1934 Act) of fifty-one percent (51%) or more of the combined voting power of the Company's then outstanding Voting Securities. For purposes of the foregoing, a "Non-Control Acquisition"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"Subsidiary"), or (ii) the Company or any Subsidiary.</w:t>
      </w:r>
    </w:p>
    <w:p>
      <w:pPr>
        <w:spacing w:after="0" w:line="200" w:lineRule="exact"/>
        <w:rPr>
          <w:rFonts w:ascii="Arial" w:cs="Arial" w:eastAsia="Arial" w:hAnsi="Arial"/>
          <w:sz w:val="21"/>
          <w:szCs w:val="21"/>
          <w:i w:val="1"/>
          <w:iCs w:val="1"/>
          <w:color w:val="auto"/>
        </w:rPr>
      </w:pPr>
    </w:p>
    <w:p>
      <w:pPr>
        <w:jc w:val="both"/>
        <w:ind w:left="1040" w:hanging="1036"/>
        <w:spacing w:after="0" w:line="241" w:lineRule="auto"/>
        <w:tabs>
          <w:tab w:leader="none" w:pos="1040" w:val="left"/>
        </w:tabs>
        <w:numPr>
          <w:ilvl w:val="0"/>
          <w:numId w:val="8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The individuals who, as of January 1, 2020, were members of the Board (the "Incumbent Board") cease for any reason to constitute at least </w:t>
      </w:r>
      <w:r>
        <w:rPr>
          <w:rFonts w:ascii="Arial" w:cs="Arial" w:eastAsia="Arial" w:hAnsi="Arial"/>
          <w:sz w:val="19"/>
          <w:szCs w:val="19"/>
          <w:color w:val="auto"/>
        </w:rPr>
        <w:t>66</w:t>
      </w:r>
      <w:r>
        <w:rPr>
          <w:rFonts w:ascii="Arial" w:cs="Arial" w:eastAsia="Arial" w:hAnsi="Arial"/>
          <w:sz w:val="19"/>
          <w:szCs w:val="19"/>
          <w:i w:val="1"/>
          <w:iCs w:val="1"/>
          <w:color w:val="auto"/>
        </w:rPr>
        <w:t xml:space="preserve"> 2/3% of the Board; provided, however, that if the election, or a nomination for election by the Company's shareholders, of any new director was approved by a vote of at least </w:t>
      </w:r>
      <w:r>
        <w:rPr>
          <w:rFonts w:ascii="Arial" w:cs="Arial" w:eastAsia="Arial" w:hAnsi="Arial"/>
          <w:sz w:val="19"/>
          <w:szCs w:val="19"/>
          <w:color w:val="auto"/>
        </w:rPr>
        <w:t>66</w:t>
      </w:r>
      <w:r>
        <w:rPr>
          <w:rFonts w:ascii="Arial" w:cs="Arial" w:eastAsia="Arial" w:hAnsi="Arial"/>
          <w:sz w:val="19"/>
          <w:szCs w:val="19"/>
          <w:i w:val="1"/>
          <w:iCs w:val="1"/>
          <w:color w:val="auto"/>
        </w:rPr>
        <w:t xml:space="preserve"> 2/3% of the Incumbent Board, such new director shall be considered as a member of the Incumbent Board; provided further, however,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472440</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60" w:top="679" w:right="9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3</w:t>
      </w:r>
    </w:p>
    <w:p>
      <w:pPr>
        <w:spacing w:after="0" w:line="345" w:lineRule="exact"/>
        <w:rPr>
          <w:sz w:val="20"/>
          <w:szCs w:val="20"/>
          <w:color w:val="auto"/>
        </w:rPr>
      </w:pPr>
    </w:p>
    <w:p>
      <w:pPr>
        <w:ind w:left="1120" w:right="20"/>
        <w:spacing w:after="0" w:line="257" w:lineRule="auto"/>
        <w:rPr>
          <w:sz w:val="20"/>
          <w:szCs w:val="20"/>
          <w:color w:val="auto"/>
        </w:rPr>
      </w:pPr>
      <w:r>
        <w:rPr>
          <w:rFonts w:ascii="Arial" w:cs="Arial" w:eastAsia="Arial" w:hAnsi="Arial"/>
          <w:sz w:val="19"/>
          <w:szCs w:val="19"/>
          <w:i w:val="1"/>
          <w:iCs w:val="1"/>
          <w:color w:val="auto"/>
        </w:rPr>
        <w:t>of a Person other than the Board (a "Proxy Contest") including by reason of any agreement intended to avoid or settle any Election Contest or Proxy Contest; or</w:t>
      </w:r>
    </w:p>
    <w:p>
      <w:pPr>
        <w:spacing w:after="0" w:line="383" w:lineRule="exact"/>
        <w:rPr>
          <w:sz w:val="20"/>
          <w:szCs w:val="20"/>
          <w:color w:val="auto"/>
        </w:rPr>
      </w:pPr>
    </w:p>
    <w:p>
      <w:pPr>
        <w:jc w:val="both"/>
        <w:ind w:left="1100" w:hanging="1084"/>
        <w:spacing w:after="0" w:line="239" w:lineRule="auto"/>
        <w:tabs>
          <w:tab w:leader="none" w:pos="1100" w:val="left"/>
        </w:tabs>
        <w:numPr>
          <w:ilvl w:val="1"/>
          <w:numId w:val="8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sixty-six and two-thirds percent (66-2/3%) of the combined voting power of the outstanding voting securities of the corporation resulting from such merger, consolidation or reorganization (the "Surviving Corporation") in substantially the same proportion as their ownership of the voting securities immediately before such merger, consolidation or reorganization, (ii) theindividuals who were members of the Incumbent Board immediately prior to the execution of the agreement providing for such merger, consolidation or reorganization constitute at least </w:t>
      </w:r>
      <w:r>
        <w:rPr>
          <w:rFonts w:ascii="Arial" w:cs="Arial" w:eastAsia="Arial" w:hAnsi="Arial"/>
          <w:sz w:val="17"/>
          <w:szCs w:val="17"/>
          <w:i w:val="1"/>
          <w:iCs w:val="1"/>
          <w:color w:val="auto"/>
        </w:rPr>
        <w:t>66</w:t>
      </w:r>
      <w:r>
        <w:rPr>
          <w:rFonts w:ascii="Arial" w:cs="Arial" w:eastAsia="Arial" w:hAnsi="Arial"/>
          <w:sz w:val="19"/>
          <w:szCs w:val="19"/>
          <w:i w:val="1"/>
          <w:iCs w:val="1"/>
          <w:color w:val="auto"/>
        </w:rPr>
        <w:t xml:space="preserve"> 2/3%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 reorganization had Beneficial Ownership of fifty-one percent (51 %) or more of the then outstanding Voting Securities, has Beneficial Ownership of fifty-one percent (51%) or more of the combined voting power of the Surviving Corporation's then outstanding voting securities (a transaction described in clauses (i) and (ii) shall herein be referred to as a "Non-Control Transaction"); (2) a complete liquidation or dissolution of the Company; or (3) an agreement for the sale or other disposition of all or substantially all of the assets of the Company to any Person (other than a transfer to a Subsidiary).</w:t>
      </w:r>
    </w:p>
    <w:p>
      <w:pPr>
        <w:spacing w:after="0" w:line="186" w:lineRule="exact"/>
        <w:rPr>
          <w:rFonts w:ascii="Arial" w:cs="Arial" w:eastAsia="Arial" w:hAnsi="Arial"/>
          <w:sz w:val="19"/>
          <w:szCs w:val="19"/>
          <w:i w:val="1"/>
          <w:iCs w:val="1"/>
          <w:color w:val="auto"/>
        </w:rPr>
      </w:pPr>
    </w:p>
    <w:p>
      <w:pPr>
        <w:jc w:val="both"/>
        <w:ind w:left="1100" w:hanging="1097"/>
        <w:spacing w:after="0"/>
        <w:tabs>
          <w:tab w:leader="none" w:pos="1100" w:val="left"/>
        </w:tabs>
        <w:numPr>
          <w:ilvl w:val="0"/>
          <w:numId w:val="88"/>
        </w:numPr>
        <w:rPr>
          <w:rFonts w:ascii="Arial" w:cs="Arial" w:eastAsia="Arial" w:hAnsi="Arial"/>
          <w:sz w:val="19"/>
          <w:szCs w:val="19"/>
          <w:i w:val="1"/>
          <w:iCs w:val="1"/>
          <w:color w:val="auto"/>
        </w:rPr>
      </w:pPr>
      <w:r>
        <w:rPr>
          <w:rFonts w:ascii="Arial" w:cs="Arial" w:eastAsia="Arial" w:hAnsi="Arial"/>
          <w:sz w:val="19"/>
          <w:szCs w:val="19"/>
          <w:i w:val="1"/>
          <w:iCs w:val="1"/>
          <w:color w:val="auto"/>
        </w:rPr>
        <w:t>Notwithstanding the foregoing, a Change in Control shall not be deemed to occur solely because the level of Beneficial Ownership held by any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spacing w:after="0" w:line="184"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8"/>
          <w:szCs w:val="18"/>
          <w:b w:val="1"/>
          <w:bCs w:val="1"/>
          <w:i w:val="1"/>
          <w:iCs w:val="1"/>
          <w:color w:val="auto"/>
        </w:rPr>
        <w:t>17.2.</w:t>
      </w:r>
      <w:r>
        <w:rPr>
          <w:sz w:val="20"/>
          <w:szCs w:val="20"/>
          <w:color w:val="auto"/>
        </w:rPr>
        <w:tab/>
      </w:r>
      <w:r>
        <w:rPr>
          <w:rFonts w:ascii="Arial" w:cs="Arial" w:eastAsia="Arial" w:hAnsi="Arial"/>
          <w:sz w:val="17"/>
          <w:szCs w:val="17"/>
          <w:b w:val="1"/>
          <w:bCs w:val="1"/>
          <w:i w:val="1"/>
          <w:iCs w:val="1"/>
          <w:color w:val="auto"/>
        </w:rPr>
        <w:t>Right to terminate.</w:t>
      </w:r>
    </w:p>
    <w:p>
      <w:pPr>
        <w:spacing w:after="0" w:line="219" w:lineRule="exact"/>
        <w:rPr>
          <w:sz w:val="20"/>
          <w:szCs w:val="20"/>
          <w:color w:val="auto"/>
        </w:rPr>
      </w:pPr>
    </w:p>
    <w:p>
      <w:pPr>
        <w:jc w:val="both"/>
        <w:ind w:left="100" w:hanging="6"/>
        <w:spacing w:after="0" w:line="273" w:lineRule="auto"/>
        <w:rPr>
          <w:sz w:val="20"/>
          <w:szCs w:val="20"/>
          <w:color w:val="auto"/>
        </w:rPr>
      </w:pPr>
      <w:r>
        <w:rPr>
          <w:rFonts w:ascii="Arial" w:cs="Arial" w:eastAsia="Arial" w:hAnsi="Arial"/>
          <w:sz w:val="18"/>
          <w:szCs w:val="18"/>
          <w:i w:val="1"/>
          <w:iCs w:val="1"/>
          <w:color w:val="auto"/>
        </w:rPr>
        <w:t>The Employee shall have the right to terminate this Employment Contract, for any reason, on one (1) month's written notice to the end of a month to the Employer in the event of a Change in Control; provided, however, that such termination right must be exercised by the Employee within twelve (12) months following such Change in Control.</w:t>
      </w:r>
    </w:p>
    <w:p>
      <w:pPr>
        <w:spacing w:after="0" w:line="164"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8"/>
          <w:szCs w:val="18"/>
          <w:b w:val="1"/>
          <w:bCs w:val="1"/>
          <w:i w:val="1"/>
          <w:iCs w:val="1"/>
          <w:color w:val="auto"/>
        </w:rPr>
        <w:t>17.3.</w:t>
      </w:r>
      <w:r>
        <w:rPr>
          <w:sz w:val="20"/>
          <w:szCs w:val="20"/>
          <w:color w:val="auto"/>
        </w:rPr>
        <w:tab/>
      </w:r>
      <w:r>
        <w:rPr>
          <w:rFonts w:ascii="Arial" w:cs="Arial" w:eastAsia="Arial" w:hAnsi="Arial"/>
          <w:sz w:val="17"/>
          <w:szCs w:val="17"/>
          <w:b w:val="1"/>
          <w:bCs w:val="1"/>
          <w:i w:val="1"/>
          <w:i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483235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679" w:right="9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4</w:t>
      </w:r>
    </w:p>
    <w:p>
      <w:pPr>
        <w:spacing w:after="0" w:line="342" w:lineRule="exact"/>
        <w:rPr>
          <w:sz w:val="20"/>
          <w:szCs w:val="20"/>
          <w:color w:val="auto"/>
        </w:rPr>
      </w:pPr>
    </w:p>
    <w:p>
      <w:pPr>
        <w:jc w:val="both"/>
        <w:ind w:left="200" w:hanging="6"/>
        <w:spacing w:after="0" w:line="245" w:lineRule="auto"/>
        <w:rPr>
          <w:sz w:val="20"/>
          <w:szCs w:val="20"/>
          <w:color w:val="auto"/>
        </w:rPr>
      </w:pPr>
      <w:r>
        <w:rPr>
          <w:rFonts w:ascii="Arial" w:cs="Arial" w:eastAsia="Arial" w:hAnsi="Arial"/>
          <w:sz w:val="18"/>
          <w:szCs w:val="18"/>
          <w:i w:val="1"/>
          <w:iCs w:val="1"/>
          <w:color w:val="050505"/>
        </w:rPr>
        <w:t xml:space="preserve">In the event this Employment Contract is terminated (a) by the Employee pursuant to Clause 17.2 for any reason, </w:t>
      </w:r>
      <w:r>
        <w:rPr>
          <w:rFonts w:ascii="Arial" w:cs="Arial" w:eastAsia="Arial" w:hAnsi="Arial"/>
          <w:sz w:val="18"/>
          <w:szCs w:val="18"/>
          <w:i w:val="1"/>
          <w:iCs w:val="1"/>
          <w:u w:val="single" w:color="auto"/>
          <w:color w:val="050505"/>
        </w:rPr>
        <w:t>or</w:t>
      </w:r>
      <w:r>
        <w:rPr>
          <w:rFonts w:ascii="Arial" w:cs="Arial" w:eastAsia="Arial" w:hAnsi="Arial"/>
          <w:sz w:val="18"/>
          <w:szCs w:val="18"/>
          <w:i w:val="1"/>
          <w:iCs w:val="1"/>
          <w:color w:val="050505"/>
        </w:rPr>
        <w:t xml:space="preserve"> (b) by the Employer within twelve (12) months following a Change in Control unless such termination is caused by a material breach by the Employee of the terms of employment, then (for both (a) and (b)) the Employer shall provide the Employee the following benefits:</w:t>
      </w:r>
    </w:p>
    <w:p>
      <w:pPr>
        <w:spacing w:after="0" w:line="169" w:lineRule="exact"/>
        <w:rPr>
          <w:sz w:val="20"/>
          <w:szCs w:val="20"/>
          <w:color w:val="auto"/>
        </w:rPr>
      </w:pPr>
    </w:p>
    <w:p>
      <w:pPr>
        <w:jc w:val="both"/>
        <w:ind w:left="840" w:hanging="440"/>
        <w:spacing w:after="0" w:line="256" w:lineRule="auto"/>
        <w:tabs>
          <w:tab w:leader="none" w:pos="840" w:val="left"/>
        </w:tabs>
        <w:numPr>
          <w:ilvl w:val="0"/>
          <w:numId w:val="89"/>
        </w:numPr>
        <w:rPr>
          <w:rFonts w:ascii="Arial" w:cs="Arial" w:eastAsia="Arial" w:hAnsi="Arial"/>
          <w:sz w:val="18"/>
          <w:szCs w:val="18"/>
          <w:i w:val="1"/>
          <w:iCs w:val="1"/>
          <w:color w:val="050505"/>
        </w:rPr>
      </w:pPr>
      <w:r>
        <w:rPr>
          <w:rFonts w:ascii="Arial" w:cs="Arial" w:eastAsia="Arial" w:hAnsi="Arial"/>
          <w:sz w:val="19"/>
          <w:szCs w:val="19"/>
          <w:b w:val="1"/>
          <w:bCs w:val="1"/>
          <w:i w:val="1"/>
          <w:iCs w:val="1"/>
          <w:color w:val="151515"/>
        </w:rPr>
        <w:t xml:space="preserve">Amount: </w:t>
      </w:r>
      <w:r>
        <w:rPr>
          <w:rFonts w:ascii="Arial" w:cs="Arial" w:eastAsia="Arial" w:hAnsi="Arial"/>
          <w:sz w:val="17"/>
          <w:szCs w:val="17"/>
          <w:i w:val="1"/>
          <w:iCs w:val="1"/>
          <w:color w:val="050505"/>
        </w:rPr>
        <w:t>In addition to all compensation for services rendered by Employee to the Employer up to the effective</w:t>
      </w:r>
      <w:r>
        <w:rPr>
          <w:rFonts w:ascii="Arial" w:cs="Arial" w:eastAsia="Arial" w:hAnsi="Arial"/>
          <w:sz w:val="19"/>
          <w:szCs w:val="19"/>
          <w:b w:val="1"/>
          <w:bCs w:val="1"/>
          <w:i w:val="1"/>
          <w:iCs w:val="1"/>
          <w:color w:val="151515"/>
        </w:rPr>
        <w:t xml:space="preserve"> </w:t>
      </w:r>
      <w:r>
        <w:rPr>
          <w:rFonts w:ascii="Arial" w:cs="Arial" w:eastAsia="Arial" w:hAnsi="Arial"/>
          <w:sz w:val="17"/>
          <w:szCs w:val="17"/>
          <w:i w:val="1"/>
          <w:iCs w:val="1"/>
          <w:color w:val="050505"/>
        </w:rPr>
        <w:t>date of termination and any other claims for compensation that may exist, the Employer shall pay to Employee, no later than the effective date of termination, a single lump-sum payment in an amount equal to (i) six (6) times Employee's highest monthly base compensation paid hereunder during the preceding twelve (12) month period, plus (ii) the Employee's annual bonus received by the Employee during the preceding year.</w:t>
      </w:r>
    </w:p>
    <w:p>
      <w:pPr>
        <w:spacing w:after="0" w:line="147" w:lineRule="exact"/>
        <w:rPr>
          <w:rFonts w:ascii="Arial" w:cs="Arial" w:eastAsia="Arial" w:hAnsi="Arial"/>
          <w:sz w:val="18"/>
          <w:szCs w:val="18"/>
          <w:i w:val="1"/>
          <w:iCs w:val="1"/>
          <w:color w:val="050505"/>
        </w:rPr>
      </w:pPr>
    </w:p>
    <w:p>
      <w:pPr>
        <w:ind w:left="840" w:hanging="481"/>
        <w:spacing w:after="0" w:line="253" w:lineRule="auto"/>
        <w:tabs>
          <w:tab w:leader="none" w:pos="840" w:val="left"/>
        </w:tabs>
        <w:numPr>
          <w:ilvl w:val="0"/>
          <w:numId w:val="89"/>
        </w:numPr>
        <w:rPr>
          <w:rFonts w:ascii="Arial" w:cs="Arial" w:eastAsia="Arial" w:hAnsi="Arial"/>
          <w:sz w:val="18"/>
          <w:szCs w:val="18"/>
          <w:i w:val="1"/>
          <w:iCs w:val="1"/>
          <w:color w:val="050505"/>
        </w:rPr>
      </w:pPr>
      <w:r>
        <w:rPr>
          <w:rFonts w:ascii="Arial" w:cs="Arial" w:eastAsia="Arial" w:hAnsi="Arial"/>
          <w:sz w:val="19"/>
          <w:szCs w:val="19"/>
          <w:b w:val="1"/>
          <w:bCs w:val="1"/>
          <w:i w:val="1"/>
          <w:iCs w:val="1"/>
          <w:color w:val="151515"/>
        </w:rPr>
        <w:t xml:space="preserve">Acceleration of Options: </w:t>
      </w:r>
      <w:r>
        <w:rPr>
          <w:rFonts w:ascii="Arial" w:cs="Arial" w:eastAsia="Arial" w:hAnsi="Arial"/>
          <w:sz w:val="17"/>
          <w:szCs w:val="17"/>
          <w:i w:val="1"/>
          <w:iCs w:val="1"/>
          <w:color w:val="050505"/>
        </w:rPr>
        <w:t>All of the Employee's outstanding options and/or equity awards shall become fully and</w:t>
      </w:r>
      <w:r>
        <w:rPr>
          <w:rFonts w:ascii="Arial" w:cs="Arial" w:eastAsia="Arial" w:hAnsi="Arial"/>
          <w:sz w:val="19"/>
          <w:szCs w:val="19"/>
          <w:b w:val="1"/>
          <w:bCs w:val="1"/>
          <w:i w:val="1"/>
          <w:iCs w:val="1"/>
          <w:color w:val="151515"/>
        </w:rPr>
        <w:t xml:space="preserve"> </w:t>
      </w:r>
      <w:r>
        <w:rPr>
          <w:rFonts w:ascii="Arial" w:cs="Arial" w:eastAsia="Arial" w:hAnsi="Arial"/>
          <w:sz w:val="17"/>
          <w:szCs w:val="17"/>
          <w:i w:val="1"/>
          <w:iCs w:val="1"/>
          <w:color w:val="050505"/>
        </w:rPr>
        <w:t>immediately vested to the extent not already so provided under the terms of such options and equity awards."</w:t>
      </w:r>
    </w:p>
    <w:p>
      <w:pPr>
        <w:spacing w:after="0" w:line="191" w:lineRule="exact"/>
        <w:rPr>
          <w:sz w:val="20"/>
          <w:szCs w:val="20"/>
          <w:color w:val="auto"/>
        </w:rPr>
      </w:pPr>
    </w:p>
    <w:p>
      <w:pPr>
        <w:ind w:left="200" w:right="20" w:firstLine="2"/>
        <w:spacing w:after="0" w:line="246" w:lineRule="auto"/>
        <w:rPr>
          <w:sz w:val="20"/>
          <w:szCs w:val="20"/>
          <w:color w:val="auto"/>
        </w:rPr>
      </w:pPr>
      <w:r>
        <w:rPr>
          <w:rFonts w:ascii="Arial" w:cs="Arial" w:eastAsia="Arial" w:hAnsi="Arial"/>
          <w:sz w:val="18"/>
          <w:szCs w:val="18"/>
          <w:color w:val="050505"/>
        </w:rPr>
        <w:t xml:space="preserve">(For clarity it is noted that the Employer's notice period remains 12 months as specified </w:t>
      </w:r>
      <w:r>
        <w:rPr>
          <w:rFonts w:ascii="Arial" w:cs="Arial" w:eastAsia="Arial" w:hAnsi="Arial"/>
          <w:sz w:val="18"/>
          <w:szCs w:val="18"/>
          <w:color w:val="151515"/>
        </w:rPr>
        <w:t>in</w:t>
      </w:r>
      <w:r>
        <w:rPr>
          <w:rFonts w:ascii="Arial" w:cs="Arial" w:eastAsia="Arial" w:hAnsi="Arial"/>
          <w:sz w:val="18"/>
          <w:szCs w:val="18"/>
          <w:color w:val="050505"/>
        </w:rPr>
        <w:t xml:space="preserve"> Clause 7</w:t>
      </w:r>
      <w:r>
        <w:rPr>
          <w:rFonts w:ascii="Arial" w:cs="Arial" w:eastAsia="Arial" w:hAnsi="Arial"/>
          <w:sz w:val="18"/>
          <w:szCs w:val="18"/>
          <w:color w:val="151515"/>
        </w:rPr>
        <w:t>.3</w:t>
      </w:r>
      <w:r>
        <w:rPr>
          <w:rFonts w:ascii="Arial" w:cs="Arial" w:eastAsia="Arial" w:hAnsi="Arial"/>
          <w:sz w:val="18"/>
          <w:szCs w:val="18"/>
          <w:color w:val="050505"/>
        </w:rPr>
        <w:t xml:space="preserve"> of the Employment Contract).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51515"/>
        </w:rPr>
        <w:t>3. Misc.</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18"/>
          <w:szCs w:val="18"/>
          <w:color w:val="050505"/>
        </w:rPr>
        <w:t>3.1 Clause 4.6 of the Employment Contract is no longer in force and shall be deleted.</w:t>
      </w:r>
    </w:p>
    <w:p>
      <w:pPr>
        <w:spacing w:after="0" w:line="212" w:lineRule="exact"/>
        <w:rPr>
          <w:sz w:val="20"/>
          <w:szCs w:val="20"/>
          <w:color w:val="auto"/>
        </w:rPr>
      </w:pPr>
    </w:p>
    <w:p>
      <w:pPr>
        <w:ind w:left="220" w:right="720" w:firstLine="2"/>
        <w:spacing w:after="0" w:line="246" w:lineRule="auto"/>
        <w:rPr>
          <w:sz w:val="20"/>
          <w:szCs w:val="20"/>
          <w:color w:val="auto"/>
        </w:rPr>
      </w:pPr>
      <w:r>
        <w:rPr>
          <w:rFonts w:ascii="Arial" w:cs="Arial" w:eastAsia="Arial" w:hAnsi="Arial"/>
          <w:sz w:val="18"/>
          <w:szCs w:val="18"/>
          <w:color w:val="050505"/>
        </w:rPr>
        <w:t>3.2 Apart from the changes specifically set forth above, all terms and conditions of the Employment Contract (as previously amended) remain in full force and effect.</w:t>
      </w:r>
    </w:p>
    <w:p>
      <w:pPr>
        <w:spacing w:after="0" w:line="183" w:lineRule="exact"/>
        <w:rPr>
          <w:sz w:val="20"/>
          <w:szCs w:val="20"/>
          <w:color w:val="auto"/>
        </w:rPr>
      </w:pPr>
    </w:p>
    <w:p>
      <w:pPr>
        <w:ind w:left="200" w:right="400" w:firstLine="6"/>
        <w:spacing w:after="0" w:line="246" w:lineRule="auto"/>
        <w:rPr>
          <w:sz w:val="20"/>
          <w:szCs w:val="20"/>
          <w:color w:val="auto"/>
        </w:rPr>
      </w:pPr>
      <w:r>
        <w:rPr>
          <w:rFonts w:ascii="Arial" w:cs="Arial" w:eastAsia="Arial" w:hAnsi="Arial"/>
          <w:sz w:val="18"/>
          <w:szCs w:val="18"/>
          <w:color w:val="050505"/>
        </w:rPr>
        <w:t xml:space="preserve">3.3 This addendum to the Employment Contract shall be signed by both Parties, and the original shall be kept by the Employer. </w:t>
      </w:r>
      <w:r>
        <w:rPr>
          <w:rFonts w:ascii="Arial" w:cs="Arial" w:eastAsia="Arial" w:hAnsi="Arial"/>
          <w:sz w:val="18"/>
          <w:szCs w:val="18"/>
          <w:color w:val="151515"/>
        </w:rPr>
        <w:t>The</w:t>
      </w:r>
      <w:r>
        <w:rPr>
          <w:rFonts w:ascii="Arial" w:cs="Arial" w:eastAsia="Arial" w:hAnsi="Arial"/>
          <w:sz w:val="18"/>
          <w:szCs w:val="18"/>
          <w:color w:val="050505"/>
        </w:rPr>
        <w:t xml:space="preserve"> Employee shall receive a duplicate copy hereof.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gridSpan w:val="3"/>
          </w:tcPr>
          <w:p>
            <w:pPr>
              <w:ind w:left="660"/>
              <w:spacing w:after="0"/>
              <w:rPr>
                <w:sz w:val="20"/>
                <w:szCs w:val="20"/>
                <w:color w:val="auto"/>
              </w:rPr>
            </w:pPr>
            <w:r>
              <w:rPr>
                <w:rFonts w:ascii="Arial" w:cs="Arial" w:eastAsia="Arial" w:hAnsi="Arial"/>
                <w:sz w:val="18"/>
                <w:szCs w:val="18"/>
                <w:color w:val="050505"/>
              </w:rPr>
              <w:t>Date: 15 May 2020</w:t>
            </w:r>
          </w:p>
        </w:tc>
        <w:tc>
          <w:tcPr>
            <w:tcW w:w="6620" w:type="dxa"/>
            <w:vAlign w:val="bottom"/>
            <w:gridSpan w:val="2"/>
          </w:tcPr>
          <w:p>
            <w:pPr>
              <w:spacing w:after="0"/>
              <w:rPr>
                <w:sz w:val="20"/>
                <w:szCs w:val="20"/>
                <w:color w:val="auto"/>
              </w:rPr>
            </w:pPr>
            <w:r>
              <w:rPr>
                <w:rFonts w:ascii="Arial" w:cs="Arial" w:eastAsia="Arial" w:hAnsi="Arial"/>
                <w:sz w:val="18"/>
                <w:szCs w:val="18"/>
                <w:color w:val="050505"/>
              </w:rPr>
              <w:t>Date: 15 May 2020</w:t>
            </w:r>
          </w:p>
        </w:tc>
      </w:tr>
      <w:tr>
        <w:trPr>
          <w:trHeight w:val="405"/>
        </w:trPr>
        <w:tc>
          <w:tcPr>
            <w:tcW w:w="3300" w:type="dxa"/>
            <w:vAlign w:val="bottom"/>
            <w:gridSpan w:val="3"/>
          </w:tcPr>
          <w:p>
            <w:pPr>
              <w:ind w:left="660"/>
              <w:spacing w:after="0"/>
              <w:rPr>
                <w:sz w:val="20"/>
                <w:szCs w:val="20"/>
                <w:color w:val="auto"/>
              </w:rPr>
            </w:pPr>
            <w:r>
              <w:rPr>
                <w:rFonts w:ascii="Arial" w:cs="Arial" w:eastAsia="Arial" w:hAnsi="Arial"/>
                <w:sz w:val="18"/>
                <w:szCs w:val="18"/>
                <w:color w:val="050505"/>
              </w:rPr>
              <w:t>Y-mAbs Therapeutics A/S</w:t>
            </w:r>
          </w:p>
        </w:tc>
        <w:tc>
          <w:tcPr>
            <w:tcW w:w="6620" w:type="dxa"/>
            <w:vAlign w:val="bottom"/>
            <w:gridSpan w:val="2"/>
          </w:tcPr>
          <w:p>
            <w:pPr>
              <w:spacing w:after="0"/>
              <w:rPr>
                <w:sz w:val="20"/>
                <w:szCs w:val="20"/>
                <w:color w:val="auto"/>
              </w:rPr>
            </w:pPr>
            <w:r>
              <w:rPr>
                <w:rFonts w:ascii="Arial" w:cs="Arial" w:eastAsia="Arial" w:hAnsi="Arial"/>
                <w:sz w:val="18"/>
                <w:szCs w:val="18"/>
                <w:color w:val="050505"/>
              </w:rPr>
              <w:t>The Employee</w:t>
            </w:r>
          </w:p>
        </w:tc>
      </w:tr>
      <w:tr>
        <w:trPr>
          <w:trHeight w:val="405"/>
        </w:trPr>
        <w:tc>
          <w:tcPr>
            <w:tcW w:w="3300" w:type="dxa"/>
            <w:vAlign w:val="bottom"/>
            <w:gridSpan w:val="3"/>
          </w:tcPr>
          <w:p>
            <w:pPr>
              <w:ind w:left="660"/>
              <w:spacing w:after="0"/>
              <w:rPr>
                <w:sz w:val="20"/>
                <w:szCs w:val="20"/>
                <w:color w:val="auto"/>
              </w:rPr>
            </w:pPr>
            <w:r>
              <w:rPr>
                <w:rFonts w:ascii="Arial" w:cs="Arial" w:eastAsia="Arial" w:hAnsi="Arial"/>
                <w:sz w:val="19"/>
                <w:szCs w:val="19"/>
                <w:color w:val="auto"/>
              </w:rPr>
              <w:t>/s/ CLAUS MØLLER</w:t>
            </w:r>
          </w:p>
        </w:tc>
        <w:tc>
          <w:tcPr>
            <w:tcW w:w="6620" w:type="dxa"/>
            <w:vAlign w:val="bottom"/>
            <w:gridSpan w:val="2"/>
          </w:tcPr>
          <w:p>
            <w:pPr>
              <w:spacing w:after="0"/>
              <w:rPr>
                <w:sz w:val="20"/>
                <w:szCs w:val="20"/>
                <w:color w:val="auto"/>
              </w:rPr>
            </w:pPr>
            <w:r>
              <w:rPr>
                <w:rFonts w:ascii="Arial" w:cs="Arial" w:eastAsia="Arial" w:hAnsi="Arial"/>
                <w:sz w:val="19"/>
                <w:szCs w:val="19"/>
                <w:color w:val="auto"/>
              </w:rPr>
              <w:t>/s/ STEEN LISBY</w:t>
            </w:r>
          </w:p>
        </w:tc>
      </w:tr>
      <w:tr>
        <w:trPr>
          <w:trHeight w:val="210"/>
        </w:trPr>
        <w:tc>
          <w:tcPr>
            <w:tcW w:w="660" w:type="dxa"/>
            <w:vAlign w:val="bottom"/>
          </w:tcPr>
          <w:p>
            <w:pPr>
              <w:spacing w:after="0"/>
              <w:rPr>
                <w:sz w:val="18"/>
                <w:szCs w:val="18"/>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color w:val="050505"/>
              </w:rPr>
              <w:t>Claus Møller, CEO</w:t>
            </w:r>
          </w:p>
        </w:tc>
        <w:tc>
          <w:tcPr>
            <w:tcW w:w="52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050505"/>
              </w:rPr>
              <w:t>Steen Lisby</w:t>
            </w:r>
          </w:p>
        </w:tc>
        <w:tc>
          <w:tcPr>
            <w:tcW w:w="4840" w:type="dxa"/>
            <w:vAlign w:val="bottom"/>
          </w:tcPr>
          <w:p>
            <w:pPr>
              <w:spacing w:after="0"/>
              <w:rPr>
                <w:sz w:val="18"/>
                <w:szCs w:val="18"/>
                <w:color w:val="auto"/>
              </w:rPr>
            </w:pPr>
          </w:p>
        </w:tc>
      </w:tr>
      <w:tr>
        <w:trPr>
          <w:trHeight w:val="749"/>
        </w:trPr>
        <w:tc>
          <w:tcPr>
            <w:tcW w:w="6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79" w:right="9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1"/>
        <w:spacing w:after="0"/>
        <w:rPr>
          <w:sz w:val="20"/>
          <w:szCs w:val="20"/>
          <w:color w:val="auto"/>
        </w:rPr>
      </w:pPr>
      <w:r>
        <w:rPr>
          <w:rFonts w:ascii="Arial" w:cs="Arial" w:eastAsia="Arial" w:hAnsi="Arial"/>
          <w:sz w:val="36"/>
          <w:szCs w:val="36"/>
          <w:b w:val="1"/>
          <w:bCs w:val="1"/>
          <w:color w:val="auto"/>
        </w:rPr>
        <w:t xml:space="preserve">EMPLOYMENT </w:t>
      </w:r>
      <w:r>
        <w:rPr>
          <w:rFonts w:ascii="Arial" w:cs="Arial" w:eastAsia="Arial" w:hAnsi="Arial"/>
          <w:sz w:val="34"/>
          <w:szCs w:val="34"/>
          <w:b w:val="1"/>
          <w:bCs w:val="1"/>
          <w:color w:val="auto"/>
        </w:rPr>
        <w:t>CONTRACT</w:t>
      </w:r>
    </w:p>
    <w:p>
      <w:pPr>
        <w:spacing w:after="0" w:line="200" w:lineRule="exact"/>
        <w:rPr>
          <w:sz w:val="20"/>
          <w:szCs w:val="20"/>
          <w:color w:val="auto"/>
        </w:rPr>
      </w:pPr>
    </w:p>
    <w:p>
      <w:pPr>
        <w:spacing w:after="0" w:line="261"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0A0C0C"/>
        </w:rPr>
        <w:t>Between</w:t>
      </w:r>
    </w:p>
    <w:p>
      <w:pPr>
        <w:spacing w:after="0" w:line="333"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0A0C0C"/>
        </w:rPr>
        <w:t>Y-mAbs Therapeutics A/5 Agern Alle 11</w:t>
      </w:r>
    </w:p>
    <w:p>
      <w:pPr>
        <w:spacing w:after="0" w:line="23"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0A0C0C"/>
        </w:rPr>
        <w:t xml:space="preserve">2970 Hørsholm (the </w:t>
      </w:r>
      <w:r>
        <w:rPr>
          <w:rFonts w:ascii="Arial" w:cs="Arial" w:eastAsia="Arial" w:hAnsi="Arial"/>
          <w:sz w:val="18"/>
          <w:szCs w:val="18"/>
          <w:b w:val="1"/>
          <w:bCs w:val="1"/>
          <w:color w:val="0A0C0C"/>
        </w:rPr>
        <w:t>"</w:t>
      </w:r>
      <w:r>
        <w:rPr>
          <w:rFonts w:ascii="Arial" w:cs="Arial" w:eastAsia="Arial" w:hAnsi="Arial"/>
          <w:sz w:val="18"/>
          <w:szCs w:val="18"/>
          <w:b w:val="1"/>
          <w:bCs w:val="1"/>
          <w:color w:val="2A2F2F"/>
        </w:rPr>
        <w:t>Emp</w:t>
      </w:r>
      <w:r>
        <w:rPr>
          <w:rFonts w:ascii="Arial" w:cs="Arial" w:eastAsia="Arial" w:hAnsi="Arial"/>
          <w:sz w:val="18"/>
          <w:szCs w:val="18"/>
          <w:b w:val="1"/>
          <w:bCs w:val="1"/>
          <w:color w:val="0A0C0C"/>
        </w:rPr>
        <w:t>l</w:t>
      </w:r>
      <w:r>
        <w:rPr>
          <w:rFonts w:ascii="Arial" w:cs="Arial" w:eastAsia="Arial" w:hAnsi="Arial"/>
          <w:sz w:val="18"/>
          <w:szCs w:val="18"/>
          <w:b w:val="1"/>
          <w:bCs w:val="1"/>
          <w:color w:val="2A2F2F"/>
        </w:rPr>
        <w:t>o</w:t>
      </w:r>
      <w:r>
        <w:rPr>
          <w:rFonts w:ascii="Arial" w:cs="Arial" w:eastAsia="Arial" w:hAnsi="Arial"/>
          <w:sz w:val="18"/>
          <w:szCs w:val="18"/>
          <w:b w:val="1"/>
          <w:bCs w:val="1"/>
          <w:color w:val="0A0C0C"/>
        </w:rPr>
        <w:t>y</w:t>
      </w:r>
      <w:r>
        <w:rPr>
          <w:rFonts w:ascii="Arial" w:cs="Arial" w:eastAsia="Arial" w:hAnsi="Arial"/>
          <w:sz w:val="18"/>
          <w:szCs w:val="18"/>
          <w:b w:val="1"/>
          <w:bCs w:val="1"/>
          <w:color w:val="2A2F2F"/>
        </w:rPr>
        <w:t>e</w:t>
      </w:r>
      <w:r>
        <w:rPr>
          <w:rFonts w:ascii="Arial" w:cs="Arial" w:eastAsia="Arial" w:hAnsi="Arial"/>
          <w:sz w:val="18"/>
          <w:szCs w:val="18"/>
          <w:b w:val="1"/>
          <w:bCs w:val="1"/>
          <w:color w:val="0A0C0C"/>
        </w:rPr>
        <w:t>r")</w:t>
      </w:r>
    </w:p>
    <w:p>
      <w:pPr>
        <w:spacing w:after="0" w:line="319"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0A0C0C"/>
        </w:rPr>
        <w:t>and</w:t>
      </w:r>
    </w:p>
    <w:p>
      <w:pPr>
        <w:spacing w:after="0" w:line="225"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0A0C0C"/>
        </w:rPr>
        <w:t>Dr. Vignesh Rajah’</w:t>
      </w:r>
    </w:p>
    <w:p>
      <w:pPr>
        <w:spacing w:after="0" w:line="225"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0A0C0C"/>
        </w:rPr>
        <w:t>[***]</w:t>
      </w:r>
    </w:p>
    <w:p>
      <w:pPr>
        <w:spacing w:after="0" w:line="221"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0A0C0C"/>
        </w:rPr>
        <w:t xml:space="preserve">(the </w:t>
      </w:r>
      <w:r>
        <w:rPr>
          <w:rFonts w:ascii="Arial" w:cs="Arial" w:eastAsia="Arial" w:hAnsi="Arial"/>
          <w:sz w:val="18"/>
          <w:szCs w:val="18"/>
          <w:b w:val="1"/>
          <w:bCs w:val="1"/>
          <w:color w:val="0A0C0C"/>
        </w:rPr>
        <w:t>"Employee")</w:t>
      </w:r>
    </w:p>
    <w:p>
      <w:pPr>
        <w:spacing w:after="0" w:line="117"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0A0C0C"/>
        </w:rPr>
        <w:t xml:space="preserve">(collectively the </w:t>
      </w:r>
      <w:r>
        <w:rPr>
          <w:rFonts w:ascii="Arial" w:cs="Arial" w:eastAsia="Arial" w:hAnsi="Arial"/>
          <w:sz w:val="18"/>
          <w:szCs w:val="18"/>
          <w:b w:val="1"/>
          <w:bCs w:val="1"/>
          <w:color w:val="0A0C0C"/>
        </w:rPr>
        <w:t>"Parties")</w:t>
      </w:r>
    </w:p>
    <w:p>
      <w:pPr>
        <w:spacing w:after="0" w:line="200" w:lineRule="exact"/>
        <w:rPr>
          <w:sz w:val="20"/>
          <w:szCs w:val="20"/>
          <w:color w:val="auto"/>
        </w:rPr>
      </w:pPr>
    </w:p>
    <w:p>
      <w:pPr>
        <w:spacing w:after="0" w:line="241" w:lineRule="exact"/>
        <w:rPr>
          <w:sz w:val="20"/>
          <w:szCs w:val="20"/>
          <w:color w:val="auto"/>
        </w:rPr>
      </w:pPr>
    </w:p>
    <w:p>
      <w:pPr>
        <w:ind w:left="9"/>
        <w:spacing w:after="0"/>
        <w:tabs>
          <w:tab w:leader="none" w:pos="649" w:val="left"/>
        </w:tabs>
        <w:rPr>
          <w:sz w:val="20"/>
          <w:szCs w:val="20"/>
          <w:color w:val="auto"/>
        </w:rPr>
      </w:pPr>
      <w:r>
        <w:rPr>
          <w:rFonts w:ascii="Arial" w:cs="Arial" w:eastAsia="Arial" w:hAnsi="Arial"/>
          <w:sz w:val="18"/>
          <w:szCs w:val="18"/>
          <w:b w:val="1"/>
          <w:bCs w:val="1"/>
          <w:color w:val="0A0C0C"/>
        </w:rPr>
        <w:t>1</w:t>
      </w:r>
      <w:r>
        <w:rPr>
          <w:rFonts w:ascii="Arial" w:cs="Arial" w:eastAsia="Arial" w:hAnsi="Arial"/>
          <w:sz w:val="18"/>
          <w:szCs w:val="18"/>
          <w:b w:val="1"/>
          <w:bCs w:val="1"/>
          <w:i w:val="1"/>
          <w:iCs w:val="1"/>
          <w:color w:val="0A0C0C"/>
        </w:rPr>
        <w:t>.</w:t>
      </w:r>
      <w:r>
        <w:rPr>
          <w:sz w:val="20"/>
          <w:szCs w:val="20"/>
          <w:color w:val="auto"/>
        </w:rPr>
        <w:tab/>
      </w:r>
      <w:r>
        <w:rPr>
          <w:rFonts w:ascii="Arial" w:cs="Arial" w:eastAsia="Arial" w:hAnsi="Arial"/>
          <w:sz w:val="16"/>
          <w:szCs w:val="16"/>
          <w:b w:val="1"/>
          <w:bCs w:val="1"/>
          <w:color w:val="0A0C0C"/>
        </w:rPr>
        <w:t>Period of employment, Title, Reporting Person</w:t>
      </w:r>
    </w:p>
    <w:p>
      <w:pPr>
        <w:spacing w:after="0" w:line="225" w:lineRule="exact"/>
        <w:rPr>
          <w:sz w:val="20"/>
          <w:szCs w:val="20"/>
          <w:color w:val="auto"/>
        </w:rPr>
      </w:pPr>
    </w:p>
    <w:p>
      <w:pPr>
        <w:ind w:left="9"/>
        <w:spacing w:after="0"/>
        <w:tabs>
          <w:tab w:leader="none" w:pos="649" w:val="left"/>
        </w:tabs>
        <w:rPr>
          <w:sz w:val="20"/>
          <w:szCs w:val="20"/>
          <w:color w:val="auto"/>
        </w:rPr>
      </w:pPr>
      <w:r>
        <w:rPr>
          <w:rFonts w:ascii="Arial" w:cs="Arial" w:eastAsia="Arial" w:hAnsi="Arial"/>
          <w:sz w:val="18"/>
          <w:szCs w:val="18"/>
          <w:b w:val="1"/>
          <w:bCs w:val="1"/>
          <w:color w:val="0A0C0C"/>
        </w:rPr>
        <w:t>1.1</w:t>
      </w:r>
      <w:r>
        <w:rPr>
          <w:sz w:val="20"/>
          <w:szCs w:val="20"/>
          <w:color w:val="auto"/>
        </w:rPr>
        <w:tab/>
      </w:r>
      <w:r>
        <w:rPr>
          <w:rFonts w:ascii="Arial" w:cs="Arial" w:eastAsia="Arial" w:hAnsi="Arial"/>
          <w:sz w:val="16"/>
          <w:szCs w:val="16"/>
          <w:color w:val="0A0C0C"/>
        </w:rPr>
        <w:t>The Employee is employed as of June 2nd, 2020 by the Employer, a company engaged in drug development.</w:t>
      </w:r>
    </w:p>
    <w:p>
      <w:pPr>
        <w:spacing w:after="0" w:line="225" w:lineRule="exact"/>
        <w:rPr>
          <w:sz w:val="20"/>
          <w:szCs w:val="20"/>
          <w:color w:val="auto"/>
        </w:rPr>
      </w:pPr>
    </w:p>
    <w:p>
      <w:pPr>
        <w:ind w:left="669" w:right="280" w:hanging="674"/>
        <w:spacing w:after="0" w:line="277" w:lineRule="auto"/>
        <w:tabs>
          <w:tab w:leader="none" w:pos="649" w:val="left"/>
        </w:tabs>
        <w:rPr>
          <w:sz w:val="20"/>
          <w:szCs w:val="20"/>
          <w:color w:val="auto"/>
        </w:rPr>
      </w:pPr>
      <w:r>
        <w:rPr>
          <w:rFonts w:ascii="Arial" w:cs="Arial" w:eastAsia="Arial" w:hAnsi="Arial"/>
          <w:sz w:val="18"/>
          <w:szCs w:val="18"/>
          <w:b w:val="1"/>
          <w:bCs w:val="1"/>
          <w:color w:val="0A0C0C"/>
        </w:rPr>
        <w:t>1.2</w:t>
      </w:r>
      <w:r>
        <w:rPr>
          <w:sz w:val="20"/>
          <w:szCs w:val="20"/>
          <w:color w:val="auto"/>
        </w:rPr>
        <w:tab/>
      </w:r>
      <w:r>
        <w:rPr>
          <w:rFonts w:ascii="Arial" w:cs="Arial" w:eastAsia="Arial" w:hAnsi="Arial"/>
          <w:sz w:val="18"/>
          <w:szCs w:val="18"/>
          <w:color w:val="0A0C0C"/>
        </w:rPr>
        <w:t>The Employee is employed as Senior Vice President and Chief Medical Officer (CMO) and is reporting to the Company's CEO (here</w:t>
      </w:r>
      <w:r>
        <w:rPr>
          <w:rFonts w:ascii="Arial" w:cs="Arial" w:eastAsia="Arial" w:hAnsi="Arial"/>
          <w:sz w:val="18"/>
          <w:szCs w:val="18"/>
          <w:color w:val="3D3D3D"/>
        </w:rPr>
        <w:t>i</w:t>
      </w:r>
      <w:r>
        <w:rPr>
          <w:rFonts w:ascii="Arial" w:cs="Arial" w:eastAsia="Arial" w:hAnsi="Arial"/>
          <w:sz w:val="18"/>
          <w:szCs w:val="18"/>
          <w:color w:val="0A0C0C"/>
        </w:rPr>
        <w:t xml:space="preserve">nafter referred to as the </w:t>
      </w:r>
      <w:r>
        <w:rPr>
          <w:rFonts w:ascii="Arial" w:cs="Arial" w:eastAsia="Arial" w:hAnsi="Arial"/>
          <w:sz w:val="18"/>
          <w:szCs w:val="18"/>
          <w:b w:val="1"/>
          <w:bCs w:val="1"/>
          <w:color w:val="0A0C0C"/>
        </w:rPr>
        <w:t>"Reporting Person").</w:t>
      </w:r>
    </w:p>
    <w:p>
      <w:pPr>
        <w:spacing w:after="0" w:line="170" w:lineRule="exact"/>
        <w:rPr>
          <w:sz w:val="20"/>
          <w:szCs w:val="20"/>
          <w:color w:val="auto"/>
        </w:rPr>
      </w:pPr>
    </w:p>
    <w:p>
      <w:pPr>
        <w:ind w:left="669" w:right="640" w:hanging="674"/>
        <w:spacing w:after="0" w:line="308" w:lineRule="auto"/>
        <w:tabs>
          <w:tab w:leader="none" w:pos="649" w:val="left"/>
        </w:tabs>
        <w:rPr>
          <w:sz w:val="20"/>
          <w:szCs w:val="20"/>
          <w:color w:val="auto"/>
        </w:rPr>
      </w:pPr>
      <w:r>
        <w:rPr>
          <w:rFonts w:ascii="Arial" w:cs="Arial" w:eastAsia="Arial" w:hAnsi="Arial"/>
          <w:sz w:val="18"/>
          <w:szCs w:val="18"/>
          <w:b w:val="1"/>
          <w:bCs w:val="1"/>
          <w:color w:val="0A0C0C"/>
        </w:rPr>
        <w:t>1.3</w:t>
      </w:r>
      <w:r>
        <w:rPr>
          <w:sz w:val="20"/>
          <w:szCs w:val="20"/>
          <w:color w:val="auto"/>
        </w:rPr>
        <w:tab/>
      </w:r>
      <w:r>
        <w:rPr>
          <w:rFonts w:ascii="Arial" w:cs="Arial" w:eastAsia="Arial" w:hAnsi="Arial"/>
          <w:sz w:val="17"/>
          <w:szCs w:val="17"/>
          <w:color w:val="0A0C0C"/>
        </w:rPr>
        <w:t>The Employee accepts to be qualified and publicly named as an insider of Y-mAbs Therapeutics Inc. ("Parent") with reporting and other obligations under section 16 of the US Securities Exchange Act of 1934, as amended.</w:t>
      </w:r>
    </w:p>
    <w:p>
      <w:pPr>
        <w:spacing w:after="0" w:line="146" w:lineRule="exact"/>
        <w:rPr>
          <w:sz w:val="20"/>
          <w:szCs w:val="20"/>
          <w:color w:val="auto"/>
        </w:rPr>
      </w:pPr>
    </w:p>
    <w:p>
      <w:pPr>
        <w:ind w:left="669" w:hanging="669"/>
        <w:spacing w:after="0"/>
        <w:tabs>
          <w:tab w:leader="none" w:pos="669" w:val="left"/>
        </w:tabs>
        <w:numPr>
          <w:ilvl w:val="0"/>
          <w:numId w:val="90"/>
        </w:numPr>
        <w:rPr>
          <w:rFonts w:ascii="Arial" w:cs="Arial" w:eastAsia="Arial" w:hAnsi="Arial"/>
          <w:sz w:val="18"/>
          <w:szCs w:val="18"/>
          <w:b w:val="1"/>
          <w:bCs w:val="1"/>
          <w:color w:val="0A0C0C"/>
        </w:rPr>
      </w:pPr>
      <w:r>
        <w:rPr>
          <w:rFonts w:ascii="Arial" w:cs="Arial" w:eastAsia="Arial" w:hAnsi="Arial"/>
          <w:sz w:val="18"/>
          <w:szCs w:val="18"/>
          <w:b w:val="1"/>
          <w:bCs w:val="1"/>
          <w:color w:val="0A0C0C"/>
        </w:rPr>
        <w:t>Tasks and place of work</w:t>
      </w:r>
    </w:p>
    <w:p>
      <w:pPr>
        <w:spacing w:after="0" w:line="225" w:lineRule="exact"/>
        <w:rPr>
          <w:sz w:val="20"/>
          <w:szCs w:val="20"/>
          <w:color w:val="auto"/>
        </w:rPr>
      </w:pPr>
    </w:p>
    <w:p>
      <w:pPr>
        <w:ind w:left="669" w:right="320" w:hanging="674"/>
        <w:spacing w:after="0" w:line="286" w:lineRule="auto"/>
        <w:tabs>
          <w:tab w:leader="none" w:pos="649" w:val="left"/>
        </w:tabs>
        <w:rPr>
          <w:sz w:val="20"/>
          <w:szCs w:val="20"/>
          <w:color w:val="auto"/>
        </w:rPr>
      </w:pPr>
      <w:r>
        <w:rPr>
          <w:rFonts w:ascii="Arial" w:cs="Arial" w:eastAsia="Arial" w:hAnsi="Arial"/>
          <w:sz w:val="18"/>
          <w:szCs w:val="18"/>
          <w:b w:val="1"/>
          <w:bCs w:val="1"/>
          <w:color w:val="0A0C0C"/>
        </w:rPr>
        <w:t>2.1</w:t>
      </w:r>
      <w:r>
        <w:rPr>
          <w:sz w:val="20"/>
          <w:szCs w:val="20"/>
          <w:color w:val="auto"/>
        </w:rPr>
        <w:tab/>
      </w:r>
      <w:r>
        <w:rPr>
          <w:rFonts w:ascii="Arial" w:cs="Arial" w:eastAsia="Arial" w:hAnsi="Arial"/>
          <w:sz w:val="17"/>
          <w:szCs w:val="17"/>
          <w:color w:val="0A0C0C"/>
        </w:rPr>
        <w:t>The Employee's primary tasks will be overseeing and managing any medically related activities of the Company, both on development related activities and commercial programs as well as advising executive management on such topics and participating in clinical development program planning. However, the Employer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588010</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09"/>
          </w:cols>
          <w:pgMar w:left="1191" w:top="121" w:right="9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070707"/>
        </w:rPr>
        <w:t xml:space="preserve">entitled to, </w:t>
      </w:r>
      <w:r>
        <w:rPr>
          <w:rFonts w:ascii="Arial" w:cs="Arial" w:eastAsia="Arial" w:hAnsi="Arial"/>
          <w:sz w:val="16"/>
          <w:szCs w:val="16"/>
          <w:color w:val="151616"/>
        </w:rPr>
        <w:t>at</w:t>
      </w:r>
      <w:r>
        <w:rPr>
          <w:rFonts w:ascii="Arial" w:cs="Arial" w:eastAsia="Arial" w:hAnsi="Arial"/>
          <w:sz w:val="16"/>
          <w:szCs w:val="16"/>
          <w:color w:val="070707"/>
        </w:rPr>
        <w:t xml:space="preserve"> any </w:t>
      </w:r>
      <w:r>
        <w:rPr>
          <w:rFonts w:ascii="Arial" w:cs="Arial" w:eastAsia="Arial" w:hAnsi="Arial"/>
          <w:sz w:val="16"/>
          <w:szCs w:val="16"/>
          <w:color w:val="242828"/>
        </w:rPr>
        <w:t>ti</w:t>
      </w:r>
      <w:r>
        <w:rPr>
          <w:rFonts w:ascii="Arial" w:cs="Arial" w:eastAsia="Arial" w:hAnsi="Arial"/>
          <w:sz w:val="16"/>
          <w:szCs w:val="16"/>
          <w:color w:val="070707"/>
        </w:rPr>
        <w:t>me, to inst</w:t>
      </w:r>
      <w:r>
        <w:rPr>
          <w:rFonts w:ascii="Arial" w:cs="Arial" w:eastAsia="Arial" w:hAnsi="Arial"/>
          <w:sz w:val="16"/>
          <w:szCs w:val="16"/>
          <w:color w:val="242828"/>
        </w:rPr>
        <w:t>ru</w:t>
      </w:r>
      <w:r>
        <w:rPr>
          <w:rFonts w:ascii="Arial" w:cs="Arial" w:eastAsia="Arial" w:hAnsi="Arial"/>
          <w:sz w:val="16"/>
          <w:szCs w:val="16"/>
          <w:color w:val="070707"/>
        </w:rPr>
        <w:t xml:space="preserve">ct the Employee </w:t>
      </w:r>
      <w:r>
        <w:rPr>
          <w:rFonts w:ascii="Arial" w:cs="Arial" w:eastAsia="Arial" w:hAnsi="Arial"/>
          <w:sz w:val="16"/>
          <w:szCs w:val="16"/>
          <w:color w:val="151616"/>
        </w:rPr>
        <w:t>to</w:t>
      </w:r>
      <w:r>
        <w:rPr>
          <w:rFonts w:ascii="Arial" w:cs="Arial" w:eastAsia="Arial" w:hAnsi="Arial"/>
          <w:sz w:val="16"/>
          <w:szCs w:val="16"/>
          <w:color w:val="070707"/>
        </w:rPr>
        <w:t xml:space="preserve"> c</w:t>
      </w:r>
      <w:r>
        <w:rPr>
          <w:rFonts w:ascii="Arial" w:cs="Arial" w:eastAsia="Arial" w:hAnsi="Arial"/>
          <w:sz w:val="16"/>
          <w:szCs w:val="16"/>
          <w:color w:val="242828"/>
        </w:rPr>
        <w:t>arr</w:t>
      </w:r>
      <w:r>
        <w:rPr>
          <w:rFonts w:ascii="Arial" w:cs="Arial" w:eastAsia="Arial" w:hAnsi="Arial"/>
          <w:sz w:val="16"/>
          <w:szCs w:val="16"/>
          <w:color w:val="070707"/>
        </w:rPr>
        <w:t xml:space="preserve">y </w:t>
      </w:r>
      <w:r>
        <w:rPr>
          <w:rFonts w:ascii="Arial" w:cs="Arial" w:eastAsia="Arial" w:hAnsi="Arial"/>
          <w:sz w:val="16"/>
          <w:szCs w:val="16"/>
          <w:color w:val="242828"/>
        </w:rPr>
        <w:t>out additiona</w:t>
      </w:r>
      <w:r>
        <w:rPr>
          <w:rFonts w:ascii="Arial" w:cs="Arial" w:eastAsia="Arial" w:hAnsi="Arial"/>
          <w:sz w:val="16"/>
          <w:szCs w:val="16"/>
          <w:color w:val="070707"/>
        </w:rPr>
        <w:t xml:space="preserve">l </w:t>
      </w:r>
      <w:r>
        <w:rPr>
          <w:rFonts w:ascii="Arial" w:cs="Arial" w:eastAsia="Arial" w:hAnsi="Arial"/>
          <w:sz w:val="16"/>
          <w:szCs w:val="16"/>
          <w:color w:val="242828"/>
        </w:rPr>
        <w:t>t</w:t>
      </w:r>
      <w:r>
        <w:rPr>
          <w:rFonts w:ascii="Arial" w:cs="Arial" w:eastAsia="Arial" w:hAnsi="Arial"/>
          <w:sz w:val="16"/>
          <w:szCs w:val="16"/>
          <w:color w:val="070707"/>
        </w:rPr>
        <w:t>a</w:t>
      </w:r>
      <w:r>
        <w:rPr>
          <w:rFonts w:ascii="Arial" w:cs="Arial" w:eastAsia="Arial" w:hAnsi="Arial"/>
          <w:sz w:val="16"/>
          <w:szCs w:val="16"/>
          <w:color w:val="242828"/>
        </w:rPr>
        <w:t>sk</w:t>
      </w:r>
      <w:r>
        <w:rPr>
          <w:rFonts w:ascii="Arial" w:cs="Arial" w:eastAsia="Arial" w:hAnsi="Arial"/>
          <w:sz w:val="16"/>
          <w:szCs w:val="16"/>
          <w:color w:val="070707"/>
        </w:rPr>
        <w:t xml:space="preserve">s </w:t>
      </w:r>
      <w:r>
        <w:rPr>
          <w:rFonts w:ascii="Arial" w:cs="Arial" w:eastAsia="Arial" w:hAnsi="Arial"/>
          <w:sz w:val="16"/>
          <w:szCs w:val="16"/>
          <w:color w:val="151616"/>
        </w:rPr>
        <w:t>within</w:t>
      </w:r>
      <w:r>
        <w:rPr>
          <w:rFonts w:ascii="Arial" w:cs="Arial" w:eastAsia="Arial" w:hAnsi="Arial"/>
          <w:sz w:val="16"/>
          <w:szCs w:val="16"/>
          <w:color w:val="070707"/>
        </w:rPr>
        <w:t xml:space="preserve"> the general </w:t>
      </w:r>
      <w:r>
        <w:rPr>
          <w:rFonts w:ascii="Arial" w:cs="Arial" w:eastAsia="Arial" w:hAnsi="Arial"/>
          <w:sz w:val="16"/>
          <w:szCs w:val="16"/>
          <w:color w:val="151616"/>
        </w:rPr>
        <w:t>work</w:t>
      </w:r>
      <w:r>
        <w:rPr>
          <w:rFonts w:ascii="Arial" w:cs="Arial" w:eastAsia="Arial" w:hAnsi="Arial"/>
          <w:sz w:val="16"/>
          <w:szCs w:val="16"/>
          <w:color w:val="070707"/>
        </w:rPr>
        <w:t xml:space="preserve"> area o</w:t>
      </w:r>
      <w:r>
        <w:rPr>
          <w:rFonts w:ascii="Arial" w:cs="Arial" w:eastAsia="Arial" w:hAnsi="Arial"/>
          <w:sz w:val="16"/>
          <w:szCs w:val="16"/>
          <w:color w:val="242828"/>
        </w:rPr>
        <w:t>f</w:t>
      </w:r>
      <w:r>
        <w:rPr>
          <w:rFonts w:ascii="Arial" w:cs="Arial" w:eastAsia="Arial" w:hAnsi="Arial"/>
          <w:sz w:val="16"/>
          <w:szCs w:val="16"/>
          <w:color w:val="070707"/>
        </w:rPr>
        <w:t xml:space="preserve"> the Employee.</w:t>
      </w:r>
    </w:p>
    <w:p>
      <w:pPr>
        <w:spacing w:after="0" w:line="244" w:lineRule="exact"/>
        <w:rPr>
          <w:sz w:val="20"/>
          <w:szCs w:val="20"/>
          <w:color w:val="auto"/>
        </w:rPr>
      </w:pPr>
    </w:p>
    <w:p>
      <w:pPr>
        <w:ind w:left="700" w:right="260" w:hanging="680"/>
        <w:spacing w:after="0" w:line="342" w:lineRule="auto"/>
        <w:tabs>
          <w:tab w:leader="none" w:pos="680" w:val="left"/>
        </w:tabs>
        <w:rPr>
          <w:sz w:val="20"/>
          <w:szCs w:val="20"/>
          <w:color w:val="auto"/>
        </w:rPr>
      </w:pPr>
      <w:r>
        <w:rPr>
          <w:rFonts w:ascii="Arial" w:cs="Arial" w:eastAsia="Arial" w:hAnsi="Arial"/>
          <w:sz w:val="18"/>
          <w:szCs w:val="18"/>
          <w:b w:val="1"/>
          <w:bCs w:val="1"/>
          <w:color w:val="444949"/>
        </w:rPr>
        <w:t xml:space="preserve">2 </w:t>
      </w:r>
      <w:r>
        <w:rPr>
          <w:rFonts w:ascii="Arial" w:cs="Arial" w:eastAsia="Arial" w:hAnsi="Arial"/>
          <w:sz w:val="18"/>
          <w:szCs w:val="18"/>
          <w:b w:val="1"/>
          <w:bCs w:val="1"/>
          <w:color w:val="242828"/>
        </w:rPr>
        <w:t>.</w:t>
      </w:r>
      <w:r>
        <w:rPr>
          <w:rFonts w:ascii="Arial" w:cs="Arial" w:eastAsia="Arial" w:hAnsi="Arial"/>
          <w:sz w:val="18"/>
          <w:szCs w:val="18"/>
          <w:b w:val="1"/>
          <w:bCs w:val="1"/>
          <w:color w:val="444949"/>
        </w:rPr>
        <w:t>2</w:t>
      </w:r>
      <w:r>
        <w:rPr>
          <w:sz w:val="20"/>
          <w:szCs w:val="20"/>
          <w:color w:val="auto"/>
        </w:rPr>
        <w:tab/>
      </w:r>
      <w:r>
        <w:rPr>
          <w:rFonts w:ascii="Arial" w:cs="Arial" w:eastAsia="Arial" w:hAnsi="Arial"/>
          <w:sz w:val="16"/>
          <w:szCs w:val="16"/>
          <w:color w:val="070707"/>
        </w:rPr>
        <w:t xml:space="preserve">The </w:t>
      </w:r>
      <w:r>
        <w:rPr>
          <w:rFonts w:ascii="Arial" w:cs="Arial" w:eastAsia="Arial" w:hAnsi="Arial"/>
          <w:sz w:val="16"/>
          <w:szCs w:val="16"/>
          <w:color w:val="151616"/>
        </w:rPr>
        <w:t>Employee's</w:t>
      </w:r>
      <w:r>
        <w:rPr>
          <w:rFonts w:ascii="Arial" w:cs="Arial" w:eastAsia="Arial" w:hAnsi="Arial"/>
          <w:sz w:val="16"/>
          <w:szCs w:val="16"/>
          <w:color w:val="070707"/>
        </w:rPr>
        <w:t xml:space="preserve"> normal place of work is at the office at Hørsholm. </w:t>
      </w:r>
      <w:r>
        <w:rPr>
          <w:rFonts w:ascii="Arial" w:cs="Arial" w:eastAsia="Arial" w:hAnsi="Arial"/>
          <w:sz w:val="16"/>
          <w:szCs w:val="16"/>
          <w:color w:val="242828"/>
        </w:rPr>
        <w:t>T</w:t>
      </w:r>
      <w:r>
        <w:rPr>
          <w:rFonts w:ascii="Arial" w:cs="Arial" w:eastAsia="Arial" w:hAnsi="Arial"/>
          <w:sz w:val="16"/>
          <w:szCs w:val="16"/>
          <w:color w:val="070707"/>
        </w:rPr>
        <w:t>he Employee must expec</w:t>
      </w:r>
      <w:r>
        <w:rPr>
          <w:rFonts w:ascii="Arial" w:cs="Arial" w:eastAsia="Arial" w:hAnsi="Arial"/>
          <w:sz w:val="16"/>
          <w:szCs w:val="16"/>
          <w:color w:val="242828"/>
        </w:rPr>
        <w:t>t</w:t>
      </w:r>
      <w:r>
        <w:rPr>
          <w:rFonts w:ascii="Arial" w:cs="Arial" w:eastAsia="Arial" w:hAnsi="Arial"/>
          <w:sz w:val="16"/>
          <w:szCs w:val="16"/>
          <w:color w:val="070707"/>
        </w:rPr>
        <w:t xml:space="preserve">, though, meeting </w:t>
      </w:r>
      <w:r>
        <w:rPr>
          <w:rFonts w:ascii="Arial" w:cs="Arial" w:eastAsia="Arial" w:hAnsi="Arial"/>
          <w:sz w:val="16"/>
          <w:szCs w:val="16"/>
          <w:color w:val="151616"/>
        </w:rPr>
        <w:t>activities,</w:t>
      </w:r>
      <w:r>
        <w:rPr>
          <w:rFonts w:ascii="Arial" w:cs="Arial" w:eastAsia="Arial" w:hAnsi="Arial"/>
          <w:sz w:val="16"/>
          <w:szCs w:val="16"/>
          <w:color w:val="070707"/>
        </w:rPr>
        <w:t xml:space="preserve"> projects, etc. outside the normal place of work. If agreed with the reporting person, the Employee </w:t>
      </w:r>
      <w:r>
        <w:rPr>
          <w:rFonts w:ascii="Arial" w:cs="Arial" w:eastAsia="Arial" w:hAnsi="Arial"/>
          <w:sz w:val="16"/>
          <w:szCs w:val="16"/>
          <w:color w:val="151616"/>
        </w:rPr>
        <w:t>may work from home.</w:t>
      </w:r>
    </w:p>
    <w:p>
      <w:pPr>
        <w:spacing w:after="0" w:line="124"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b w:val="1"/>
          <w:bCs w:val="1"/>
          <w:color w:val="313836"/>
        </w:rPr>
        <w:t>2.3</w:t>
      </w:r>
      <w:r>
        <w:rPr>
          <w:sz w:val="20"/>
          <w:szCs w:val="20"/>
          <w:color w:val="auto"/>
        </w:rPr>
        <w:tab/>
      </w:r>
      <w:r>
        <w:rPr>
          <w:rFonts w:ascii="Arial" w:cs="Arial" w:eastAsia="Arial" w:hAnsi="Arial"/>
          <w:sz w:val="16"/>
          <w:szCs w:val="16"/>
          <w:color w:val="242828"/>
        </w:rPr>
        <w:t>T</w:t>
      </w:r>
      <w:r>
        <w:rPr>
          <w:rFonts w:ascii="Arial" w:cs="Arial" w:eastAsia="Arial" w:hAnsi="Arial"/>
          <w:sz w:val="16"/>
          <w:szCs w:val="16"/>
          <w:color w:val="070707"/>
        </w:rPr>
        <w:t>he Employee</w:t>
      </w:r>
      <w:r>
        <w:rPr>
          <w:rFonts w:ascii="Arial" w:cs="Arial" w:eastAsia="Arial" w:hAnsi="Arial"/>
          <w:sz w:val="16"/>
          <w:szCs w:val="16"/>
          <w:color w:val="242828"/>
        </w:rPr>
        <w:t xml:space="preserve"> </w:t>
      </w:r>
      <w:r>
        <w:rPr>
          <w:rFonts w:ascii="Arial" w:cs="Arial" w:eastAsia="Arial" w:hAnsi="Arial"/>
          <w:sz w:val="16"/>
          <w:szCs w:val="16"/>
          <w:color w:val="151616"/>
        </w:rPr>
        <w:t>is</w:t>
      </w:r>
      <w:r>
        <w:rPr>
          <w:rFonts w:ascii="Arial" w:cs="Arial" w:eastAsia="Arial" w:hAnsi="Arial"/>
          <w:sz w:val="16"/>
          <w:szCs w:val="16"/>
          <w:color w:val="242828"/>
        </w:rPr>
        <w:t xml:space="preserve"> </w:t>
      </w:r>
      <w:r>
        <w:rPr>
          <w:rFonts w:ascii="Arial" w:cs="Arial" w:eastAsia="Arial" w:hAnsi="Arial"/>
          <w:sz w:val="16"/>
          <w:szCs w:val="16"/>
          <w:color w:val="070707"/>
        </w:rPr>
        <w:t>aware of and</w:t>
      </w:r>
      <w:r>
        <w:rPr>
          <w:rFonts w:ascii="Arial" w:cs="Arial" w:eastAsia="Arial" w:hAnsi="Arial"/>
          <w:sz w:val="16"/>
          <w:szCs w:val="16"/>
          <w:color w:val="242828"/>
        </w:rPr>
        <w:t xml:space="preserve"> </w:t>
      </w:r>
      <w:r>
        <w:rPr>
          <w:rFonts w:ascii="Arial" w:cs="Arial" w:eastAsia="Arial" w:hAnsi="Arial"/>
          <w:sz w:val="16"/>
          <w:szCs w:val="16"/>
          <w:color w:val="151616"/>
        </w:rPr>
        <w:t>accepts that</w:t>
      </w:r>
      <w:r>
        <w:rPr>
          <w:rFonts w:ascii="Arial" w:cs="Arial" w:eastAsia="Arial" w:hAnsi="Arial"/>
          <w:sz w:val="16"/>
          <w:szCs w:val="16"/>
          <w:color w:val="242828"/>
        </w:rPr>
        <w:t xml:space="preserve"> </w:t>
      </w:r>
      <w:r>
        <w:rPr>
          <w:rFonts w:ascii="Arial" w:cs="Arial" w:eastAsia="Arial" w:hAnsi="Arial"/>
          <w:sz w:val="16"/>
          <w:szCs w:val="16"/>
          <w:color w:val="070707"/>
        </w:rPr>
        <w:t>the position may incur some</w:t>
      </w:r>
      <w:r>
        <w:rPr>
          <w:rFonts w:ascii="Arial" w:cs="Arial" w:eastAsia="Arial" w:hAnsi="Arial"/>
          <w:sz w:val="16"/>
          <w:szCs w:val="16"/>
          <w:color w:val="242828"/>
        </w:rPr>
        <w:t xml:space="preserve"> </w:t>
      </w:r>
      <w:r>
        <w:rPr>
          <w:rFonts w:ascii="Arial" w:cs="Arial" w:eastAsia="Arial" w:hAnsi="Arial"/>
          <w:sz w:val="16"/>
          <w:szCs w:val="16"/>
          <w:color w:val="151616"/>
        </w:rPr>
        <w:t>travelling activity.</w:t>
      </w:r>
    </w:p>
    <w:p>
      <w:pPr>
        <w:spacing w:after="0" w:line="225" w:lineRule="exact"/>
        <w:rPr>
          <w:sz w:val="20"/>
          <w:szCs w:val="20"/>
          <w:color w:val="auto"/>
        </w:rPr>
      </w:pPr>
    </w:p>
    <w:p>
      <w:pPr>
        <w:ind w:left="700" w:hanging="697"/>
        <w:spacing w:after="0"/>
        <w:tabs>
          <w:tab w:leader="none" w:pos="700" w:val="left"/>
        </w:tabs>
        <w:numPr>
          <w:ilvl w:val="0"/>
          <w:numId w:val="91"/>
        </w:numPr>
        <w:rPr>
          <w:rFonts w:ascii="Arial" w:cs="Arial" w:eastAsia="Arial" w:hAnsi="Arial"/>
          <w:sz w:val="18"/>
          <w:szCs w:val="18"/>
          <w:b w:val="1"/>
          <w:bCs w:val="1"/>
          <w:color w:val="242828"/>
        </w:rPr>
      </w:pPr>
      <w:r>
        <w:rPr>
          <w:rFonts w:ascii="Arial" w:cs="Arial" w:eastAsia="Arial" w:hAnsi="Arial"/>
          <w:sz w:val="18"/>
          <w:szCs w:val="18"/>
          <w:b w:val="1"/>
          <w:bCs w:val="1"/>
          <w:color w:val="242828"/>
        </w:rPr>
        <w:t>Working hours</w:t>
      </w:r>
    </w:p>
    <w:p>
      <w:pPr>
        <w:spacing w:after="0" w:line="225"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b w:val="1"/>
          <w:bCs w:val="1"/>
          <w:color w:val="242828"/>
        </w:rPr>
        <w:t xml:space="preserve">3 </w:t>
      </w:r>
      <w:r>
        <w:rPr>
          <w:rFonts w:ascii="Arial" w:cs="Arial" w:eastAsia="Arial" w:hAnsi="Arial"/>
          <w:sz w:val="18"/>
          <w:szCs w:val="18"/>
          <w:b w:val="1"/>
          <w:bCs w:val="1"/>
          <w:color w:val="070707"/>
        </w:rPr>
        <w:t>.</w:t>
      </w:r>
      <w:r>
        <w:rPr>
          <w:rFonts w:ascii="Arial" w:cs="Arial" w:eastAsia="Arial" w:hAnsi="Arial"/>
          <w:sz w:val="18"/>
          <w:szCs w:val="18"/>
          <w:b w:val="1"/>
          <w:bCs w:val="1"/>
          <w:color w:val="242828"/>
        </w:rPr>
        <w:t>1</w:t>
      </w:r>
      <w:r>
        <w:rPr>
          <w:sz w:val="20"/>
          <w:szCs w:val="20"/>
          <w:color w:val="auto"/>
        </w:rPr>
        <w:tab/>
      </w:r>
      <w:r>
        <w:rPr>
          <w:rFonts w:ascii="Arial" w:cs="Arial" w:eastAsia="Arial" w:hAnsi="Arial"/>
          <w:sz w:val="16"/>
          <w:szCs w:val="16"/>
          <w:color w:val="070707"/>
        </w:rPr>
        <w:t xml:space="preserve">The weekly working </w:t>
      </w:r>
      <w:r>
        <w:rPr>
          <w:rFonts w:ascii="Arial" w:cs="Arial" w:eastAsia="Arial" w:hAnsi="Arial"/>
          <w:sz w:val="16"/>
          <w:szCs w:val="16"/>
          <w:color w:val="151616"/>
        </w:rPr>
        <w:t>hours</w:t>
      </w:r>
      <w:r>
        <w:rPr>
          <w:rFonts w:ascii="Arial" w:cs="Arial" w:eastAsia="Arial" w:hAnsi="Arial"/>
          <w:sz w:val="16"/>
          <w:szCs w:val="16"/>
          <w:color w:val="070707"/>
        </w:rPr>
        <w:t xml:space="preserve"> will be </w:t>
      </w:r>
      <w:r>
        <w:rPr>
          <w:rFonts w:ascii="Arial" w:cs="Arial" w:eastAsia="Arial" w:hAnsi="Arial"/>
          <w:sz w:val="16"/>
          <w:szCs w:val="16"/>
          <w:color w:val="151616"/>
        </w:rPr>
        <w:t>37 hours,</w:t>
      </w:r>
      <w:r>
        <w:rPr>
          <w:rFonts w:ascii="Arial" w:cs="Arial" w:eastAsia="Arial" w:hAnsi="Arial"/>
          <w:sz w:val="16"/>
          <w:szCs w:val="16"/>
          <w:color w:val="070707"/>
        </w:rPr>
        <w:t xml:space="preserve"> exclusive of lunch distributed on </w:t>
      </w:r>
      <w:r>
        <w:rPr>
          <w:rFonts w:ascii="Arial" w:cs="Arial" w:eastAsia="Arial" w:hAnsi="Arial"/>
          <w:sz w:val="16"/>
          <w:szCs w:val="16"/>
          <w:color w:val="151616"/>
        </w:rPr>
        <w:t>five</w:t>
      </w:r>
      <w:r>
        <w:rPr>
          <w:rFonts w:ascii="Arial" w:cs="Arial" w:eastAsia="Arial" w:hAnsi="Arial"/>
          <w:sz w:val="16"/>
          <w:szCs w:val="16"/>
          <w:color w:val="070707"/>
        </w:rPr>
        <w:t xml:space="preserve"> working days.</w:t>
      </w:r>
    </w:p>
    <w:p>
      <w:pPr>
        <w:spacing w:after="0" w:line="225"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b w:val="1"/>
          <w:bCs w:val="1"/>
          <w:color w:val="242828"/>
        </w:rPr>
        <w:t xml:space="preserve">3 </w:t>
      </w:r>
      <w:r>
        <w:rPr>
          <w:rFonts w:ascii="Arial" w:cs="Arial" w:eastAsia="Arial" w:hAnsi="Arial"/>
          <w:sz w:val="18"/>
          <w:szCs w:val="18"/>
          <w:b w:val="1"/>
          <w:bCs w:val="1"/>
          <w:color w:val="070707"/>
        </w:rPr>
        <w:t>.</w:t>
      </w:r>
      <w:r>
        <w:rPr>
          <w:rFonts w:ascii="Arial" w:cs="Arial" w:eastAsia="Arial" w:hAnsi="Arial"/>
          <w:sz w:val="18"/>
          <w:szCs w:val="18"/>
          <w:b w:val="1"/>
          <w:bCs w:val="1"/>
          <w:color w:val="242828"/>
        </w:rPr>
        <w:t>2</w:t>
      </w:r>
      <w:r>
        <w:rPr>
          <w:sz w:val="20"/>
          <w:szCs w:val="20"/>
          <w:color w:val="auto"/>
        </w:rPr>
        <w:tab/>
      </w:r>
      <w:r>
        <w:rPr>
          <w:rFonts w:ascii="Arial" w:cs="Arial" w:eastAsia="Arial" w:hAnsi="Arial"/>
          <w:sz w:val="18"/>
          <w:szCs w:val="18"/>
          <w:color w:val="070707"/>
        </w:rPr>
        <w:t xml:space="preserve">The Employee may plan the working time to make it fit the normal </w:t>
      </w:r>
      <w:r>
        <w:rPr>
          <w:rFonts w:ascii="Arial" w:cs="Arial" w:eastAsia="Arial" w:hAnsi="Arial"/>
          <w:sz w:val="18"/>
          <w:szCs w:val="18"/>
          <w:color w:val="151616"/>
        </w:rPr>
        <w:t>average</w:t>
      </w:r>
      <w:r>
        <w:rPr>
          <w:rFonts w:ascii="Arial" w:cs="Arial" w:eastAsia="Arial" w:hAnsi="Arial"/>
          <w:sz w:val="18"/>
          <w:szCs w:val="18"/>
          <w:color w:val="070707"/>
        </w:rPr>
        <w:t xml:space="preserve"> work</w:t>
      </w:r>
      <w:r>
        <w:rPr>
          <w:rFonts w:ascii="Arial" w:cs="Arial" w:eastAsia="Arial" w:hAnsi="Arial"/>
          <w:sz w:val="18"/>
          <w:szCs w:val="18"/>
          <w:color w:val="151616"/>
        </w:rPr>
        <w:t>ing</w:t>
      </w:r>
      <w:r>
        <w:rPr>
          <w:rFonts w:ascii="Arial" w:cs="Arial" w:eastAsia="Arial" w:hAnsi="Arial"/>
          <w:sz w:val="18"/>
          <w:szCs w:val="18"/>
          <w:color w:val="070707"/>
        </w:rPr>
        <w:t xml:space="preserve"> hours, but unless otherwise agreed with the reporting person, the Employee </w:t>
      </w:r>
      <w:r>
        <w:rPr>
          <w:rFonts w:ascii="Arial" w:cs="Arial" w:eastAsia="Arial" w:hAnsi="Arial"/>
          <w:sz w:val="18"/>
          <w:szCs w:val="18"/>
          <w:color w:val="151616"/>
        </w:rPr>
        <w:t>is</w:t>
      </w:r>
      <w:r>
        <w:rPr>
          <w:rFonts w:ascii="Arial" w:cs="Arial" w:eastAsia="Arial" w:hAnsi="Arial"/>
          <w:sz w:val="18"/>
          <w:szCs w:val="18"/>
          <w:color w:val="070707"/>
        </w:rPr>
        <w:t xml:space="preserve"> expected to be in the office between 9: 00 am and 5: 00 pm.</w:t>
      </w:r>
    </w:p>
    <w:p>
      <w:pPr>
        <w:spacing w:after="0" w:line="170" w:lineRule="exact"/>
        <w:rPr>
          <w:sz w:val="20"/>
          <w:szCs w:val="20"/>
          <w:color w:val="auto"/>
        </w:rPr>
      </w:pPr>
    </w:p>
    <w:p>
      <w:pPr>
        <w:jc w:val="both"/>
        <w:ind w:left="680" w:hanging="674"/>
        <w:spacing w:after="0" w:line="291" w:lineRule="auto"/>
        <w:tabs>
          <w:tab w:leader="none" w:pos="660" w:val="left"/>
        </w:tabs>
        <w:rPr>
          <w:sz w:val="20"/>
          <w:szCs w:val="20"/>
          <w:color w:val="auto"/>
        </w:rPr>
      </w:pPr>
      <w:r>
        <w:rPr>
          <w:rFonts w:ascii="Arial" w:cs="Arial" w:eastAsia="Arial" w:hAnsi="Arial"/>
          <w:sz w:val="18"/>
          <w:szCs w:val="18"/>
          <w:b w:val="1"/>
          <w:bCs w:val="1"/>
          <w:color w:val="242828"/>
        </w:rPr>
        <w:t xml:space="preserve">3 </w:t>
      </w:r>
      <w:r>
        <w:rPr>
          <w:rFonts w:ascii="Arial" w:cs="Arial" w:eastAsia="Arial" w:hAnsi="Arial"/>
          <w:sz w:val="18"/>
          <w:szCs w:val="18"/>
          <w:b w:val="1"/>
          <w:bCs w:val="1"/>
          <w:color w:val="070707"/>
        </w:rPr>
        <w:t>.3</w:t>
      </w:r>
      <w:r>
        <w:rPr>
          <w:sz w:val="20"/>
          <w:szCs w:val="20"/>
          <w:color w:val="auto"/>
        </w:rPr>
        <w:tab/>
      </w:r>
      <w:r>
        <w:rPr>
          <w:rFonts w:ascii="Arial" w:cs="Arial" w:eastAsia="Arial" w:hAnsi="Arial"/>
          <w:sz w:val="16"/>
          <w:szCs w:val="16"/>
          <w:color w:val="070707"/>
        </w:rPr>
        <w:t xml:space="preserve">The Employee is entitled to a lunch break of 30 minutes per working day. The lunch break is to be held with due consideration to the performance of the work tasks. It is a material assumption for Employer's hiring of the Employee </w:t>
      </w:r>
      <w:r>
        <w:rPr>
          <w:rFonts w:ascii="Arial" w:cs="Arial" w:eastAsia="Arial" w:hAnsi="Arial"/>
          <w:sz w:val="16"/>
          <w:szCs w:val="16"/>
          <w:color w:val="242828"/>
        </w:rPr>
        <w:t>a</w:t>
      </w:r>
      <w:r>
        <w:rPr>
          <w:rFonts w:ascii="Arial" w:cs="Arial" w:eastAsia="Arial" w:hAnsi="Arial"/>
          <w:sz w:val="16"/>
          <w:szCs w:val="16"/>
          <w:color w:val="070707"/>
        </w:rPr>
        <w:t xml:space="preserve">nd his/her continued employment, that </w:t>
      </w:r>
      <w:r>
        <w:rPr>
          <w:rFonts w:ascii="Arial" w:cs="Arial" w:eastAsia="Arial" w:hAnsi="Arial"/>
          <w:sz w:val="16"/>
          <w:szCs w:val="16"/>
          <w:color w:val="151616"/>
        </w:rPr>
        <w:t>the</w:t>
      </w:r>
      <w:r>
        <w:rPr>
          <w:rFonts w:ascii="Arial" w:cs="Arial" w:eastAsia="Arial" w:hAnsi="Arial"/>
          <w:sz w:val="16"/>
          <w:szCs w:val="16"/>
          <w:color w:val="070707"/>
        </w:rPr>
        <w:t xml:space="preserve"> Employee is legally entitled to travel to the US for business purposes. The Employee </w:t>
      </w:r>
      <w:r>
        <w:rPr>
          <w:rFonts w:ascii="Arial" w:cs="Arial" w:eastAsia="Arial" w:hAnsi="Arial"/>
          <w:sz w:val="16"/>
          <w:szCs w:val="16"/>
          <w:color w:val="151616"/>
        </w:rPr>
        <w:t xml:space="preserve">represents that </w:t>
      </w:r>
      <w:r>
        <w:rPr>
          <w:rFonts w:ascii="Arial" w:cs="Arial" w:eastAsia="Arial" w:hAnsi="Arial"/>
          <w:sz w:val="16"/>
          <w:szCs w:val="16"/>
          <w:color w:val="070707"/>
        </w:rPr>
        <w:t>he/she is (i) participating in or is eligible for and</w:t>
      </w:r>
      <w:r>
        <w:rPr>
          <w:rFonts w:ascii="Arial" w:cs="Arial" w:eastAsia="Arial" w:hAnsi="Arial"/>
          <w:sz w:val="16"/>
          <w:szCs w:val="16"/>
          <w:color w:val="151616"/>
        </w:rPr>
        <w:t xml:space="preserve"> intends </w:t>
      </w:r>
      <w:r>
        <w:rPr>
          <w:rFonts w:ascii="Arial" w:cs="Arial" w:eastAsia="Arial" w:hAnsi="Arial"/>
          <w:sz w:val="16"/>
          <w:szCs w:val="16"/>
          <w:color w:val="070707"/>
        </w:rPr>
        <w:t>(no later than at the</w:t>
      </w:r>
      <w:r>
        <w:rPr>
          <w:rFonts w:ascii="Arial" w:cs="Arial" w:eastAsia="Arial" w:hAnsi="Arial"/>
          <w:sz w:val="16"/>
          <w:szCs w:val="16"/>
          <w:color w:val="151616"/>
        </w:rPr>
        <w:t xml:space="preserve"> first </w:t>
      </w:r>
      <w:r>
        <w:rPr>
          <w:rFonts w:ascii="Arial" w:cs="Arial" w:eastAsia="Arial" w:hAnsi="Arial"/>
          <w:sz w:val="16"/>
          <w:szCs w:val="16"/>
          <w:color w:val="070707"/>
        </w:rPr>
        <w:t>day of employment) to</w:t>
      </w:r>
      <w:r>
        <w:rPr>
          <w:rFonts w:ascii="Arial" w:cs="Arial" w:eastAsia="Arial" w:hAnsi="Arial"/>
          <w:sz w:val="16"/>
          <w:szCs w:val="16"/>
          <w:color w:val="151616"/>
        </w:rPr>
        <w:t xml:space="preserve"> </w:t>
      </w:r>
      <w:r>
        <w:rPr>
          <w:rFonts w:ascii="Arial" w:cs="Arial" w:eastAsia="Arial" w:hAnsi="Arial"/>
          <w:sz w:val="16"/>
          <w:szCs w:val="16"/>
          <w:color w:val="070707"/>
        </w:rPr>
        <w:t xml:space="preserve">participate in the US Visa Waiver Program or (ii) otherwise legally entitled to travel to the US for business purposes. </w:t>
      </w:r>
      <w:r>
        <w:rPr>
          <w:rFonts w:ascii="Arial" w:cs="Arial" w:eastAsia="Arial" w:hAnsi="Arial"/>
          <w:sz w:val="16"/>
          <w:szCs w:val="16"/>
          <w:color w:val="151616"/>
        </w:rPr>
        <w:t>The</w:t>
      </w:r>
      <w:r>
        <w:rPr>
          <w:rFonts w:ascii="Arial" w:cs="Arial" w:eastAsia="Arial" w:hAnsi="Arial"/>
          <w:sz w:val="16"/>
          <w:szCs w:val="16"/>
          <w:color w:val="070707"/>
        </w:rPr>
        <w:t xml:space="preserve"> Employee agrees to maintain his/her right to travel to the US for business purposes for the duration of the employment and to inform the Employer should he/she no longer be legally entitled to travel to the US for business purposes</w:t>
      </w:r>
    </w:p>
    <w:p>
      <w:pPr>
        <w:spacing w:after="0" w:line="166" w:lineRule="exact"/>
        <w:rPr>
          <w:sz w:val="20"/>
          <w:szCs w:val="20"/>
          <w:color w:val="auto"/>
        </w:rPr>
      </w:pPr>
    </w:p>
    <w:p>
      <w:pPr>
        <w:jc w:val="both"/>
        <w:ind w:left="680" w:hanging="674"/>
        <w:spacing w:after="0" w:line="293" w:lineRule="auto"/>
        <w:tabs>
          <w:tab w:leader="none" w:pos="660" w:val="left"/>
        </w:tabs>
        <w:rPr>
          <w:sz w:val="20"/>
          <w:szCs w:val="20"/>
          <w:color w:val="auto"/>
        </w:rPr>
      </w:pPr>
      <w:r>
        <w:rPr>
          <w:rFonts w:ascii="Arial" w:cs="Arial" w:eastAsia="Arial" w:hAnsi="Arial"/>
          <w:sz w:val="18"/>
          <w:szCs w:val="18"/>
          <w:b w:val="1"/>
          <w:bCs w:val="1"/>
          <w:color w:val="151616"/>
        </w:rPr>
        <w:t>3.4</w:t>
      </w:r>
      <w:r>
        <w:rPr>
          <w:sz w:val="20"/>
          <w:szCs w:val="20"/>
          <w:color w:val="auto"/>
        </w:rPr>
        <w:tab/>
      </w:r>
      <w:r>
        <w:rPr>
          <w:rFonts w:ascii="Arial" w:cs="Arial" w:eastAsia="Arial" w:hAnsi="Arial"/>
          <w:sz w:val="16"/>
          <w:szCs w:val="16"/>
          <w:color w:val="070707"/>
        </w:rPr>
        <w:t xml:space="preserve">The Employee is aware of and </w:t>
      </w:r>
      <w:r>
        <w:rPr>
          <w:rFonts w:ascii="Arial" w:cs="Arial" w:eastAsia="Arial" w:hAnsi="Arial"/>
          <w:sz w:val="16"/>
          <w:szCs w:val="16"/>
          <w:color w:val="242828"/>
        </w:rPr>
        <w:t>ac</w:t>
      </w:r>
      <w:r>
        <w:rPr>
          <w:rFonts w:ascii="Arial" w:cs="Arial" w:eastAsia="Arial" w:hAnsi="Arial"/>
          <w:sz w:val="16"/>
          <w:szCs w:val="16"/>
          <w:color w:val="070707"/>
        </w:rPr>
        <w:t>cepts, that the employment (within the mandatory limitations of Danish law), is not subject to maximum working hours, and that the Employee is obliged to assume working overtime to the extent necessary. Furthermore, the Employee is obl</w:t>
      </w:r>
      <w:r>
        <w:rPr>
          <w:rFonts w:ascii="Arial" w:cs="Arial" w:eastAsia="Arial" w:hAnsi="Arial"/>
          <w:sz w:val="16"/>
          <w:szCs w:val="16"/>
          <w:color w:val="242828"/>
        </w:rPr>
        <w:t>i</w:t>
      </w:r>
      <w:r>
        <w:rPr>
          <w:rFonts w:ascii="Arial" w:cs="Arial" w:eastAsia="Arial" w:hAnsi="Arial"/>
          <w:sz w:val="16"/>
          <w:szCs w:val="16"/>
          <w:color w:val="070707"/>
        </w:rPr>
        <w:t xml:space="preserve">ged to participate in meetings with other employees and the management of the Employer, and the Employee must - to the extent necessary - participate in training courses and other business meetings beyond normal working hours. Overtime </w:t>
      </w:r>
      <w:r>
        <w:rPr>
          <w:rFonts w:ascii="Arial" w:cs="Arial" w:eastAsia="Arial" w:hAnsi="Arial"/>
          <w:sz w:val="16"/>
          <w:szCs w:val="16"/>
          <w:color w:val="151616"/>
        </w:rPr>
        <w:t>in</w:t>
      </w:r>
      <w:r>
        <w:rPr>
          <w:rFonts w:ascii="Arial" w:cs="Arial" w:eastAsia="Arial" w:hAnsi="Arial"/>
          <w:sz w:val="16"/>
          <w:szCs w:val="16"/>
          <w:color w:val="070707"/>
        </w:rPr>
        <w:t xml:space="preserve"> regard to the weekly working hours mentioned In clause 3.1 above </w:t>
      </w:r>
      <w:r>
        <w:rPr>
          <w:rFonts w:ascii="Arial" w:cs="Arial" w:eastAsia="Arial" w:hAnsi="Arial"/>
          <w:sz w:val="16"/>
          <w:szCs w:val="16"/>
          <w:color w:val="151616"/>
        </w:rPr>
        <w:t>Is</w:t>
      </w:r>
      <w:r>
        <w:rPr>
          <w:rFonts w:ascii="Arial" w:cs="Arial" w:eastAsia="Arial" w:hAnsi="Arial"/>
          <w:sz w:val="16"/>
          <w:szCs w:val="16"/>
          <w:color w:val="070707"/>
        </w:rPr>
        <w:t xml:space="preserve"> not compensated separately, neither through salary nor through time off. The salary mentioned below in clause 4.1 thus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596265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120" w:top="665" w:right="9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left="740" w:right="220" w:hanging="5"/>
        <w:spacing w:after="0" w:line="277" w:lineRule="auto"/>
        <w:rPr>
          <w:sz w:val="20"/>
          <w:szCs w:val="20"/>
          <w:color w:val="auto"/>
        </w:rPr>
      </w:pPr>
      <w:r>
        <w:rPr>
          <w:rFonts w:ascii="Arial" w:cs="Arial" w:eastAsia="Arial" w:hAnsi="Arial"/>
          <w:sz w:val="18"/>
          <w:szCs w:val="18"/>
          <w:color w:val="auto"/>
        </w:rPr>
        <w:t>payment for such overtime. Similarly, no compensation is paid for overtime performed on Sundays or public holidays or in connection with travelling activities.</w:t>
      </w:r>
    </w:p>
    <w:p>
      <w:pPr>
        <w:spacing w:after="0" w:line="166" w:lineRule="exact"/>
        <w:rPr>
          <w:sz w:val="20"/>
          <w:szCs w:val="20"/>
          <w:color w:val="auto"/>
        </w:rPr>
      </w:pPr>
    </w:p>
    <w:p>
      <w:pPr>
        <w:ind w:left="720" w:hanging="697"/>
        <w:spacing w:after="0"/>
        <w:tabs>
          <w:tab w:leader="none" w:pos="7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Salary and benefits</w:t>
      </w:r>
    </w:p>
    <w:p>
      <w:pPr>
        <w:spacing w:after="0" w:line="225" w:lineRule="exact"/>
        <w:rPr>
          <w:sz w:val="20"/>
          <w:szCs w:val="20"/>
          <w:color w:val="auto"/>
        </w:rPr>
      </w:pPr>
    </w:p>
    <w:p>
      <w:pPr>
        <w:jc w:val="both"/>
        <w:ind w:left="720" w:right="620" w:hanging="688"/>
        <w:spacing w:after="0" w:line="286" w:lineRule="auto"/>
        <w:tabs>
          <w:tab w:leader="none" w:pos="7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color w:val="auto"/>
        </w:rPr>
        <w:t>The gross base salary is DKK 1.920.000 per year, payable monthly in arrears less tax deductions on or around the last banking day of the month, the first payment to be made at the end of the first month of employment. Furthermore the company will reimburse housing costs In Denmark for up to DKK 15.000 per month.</w:t>
      </w:r>
    </w:p>
    <w:p>
      <w:pPr>
        <w:spacing w:after="0" w:line="165" w:lineRule="exact"/>
        <w:rPr>
          <w:sz w:val="20"/>
          <w:szCs w:val="20"/>
          <w:color w:val="auto"/>
        </w:rPr>
      </w:pPr>
    </w:p>
    <w:p>
      <w:pPr>
        <w:ind w:left="700" w:hanging="687"/>
        <w:spacing w:after="0" w:line="277" w:lineRule="auto"/>
        <w:tabs>
          <w:tab w:leader="none" w:pos="6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Employees participate in the Employer's pension scheme with Danica Pension with a minimum contribution of 5%. The entire pension contribution will be paid out of the Employee's base salary which has been set accordingly.</w:t>
      </w:r>
    </w:p>
    <w:p>
      <w:pPr>
        <w:spacing w:after="0" w:line="170" w:lineRule="exact"/>
        <w:rPr>
          <w:sz w:val="20"/>
          <w:szCs w:val="20"/>
          <w:color w:val="auto"/>
        </w:rPr>
      </w:pPr>
    </w:p>
    <w:p>
      <w:pPr>
        <w:ind w:left="700" w:right="280" w:hanging="687"/>
        <w:spacing w:after="0" w:line="342" w:lineRule="auto"/>
        <w:tabs>
          <w:tab w:leader="none" w:pos="6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color w:val="auto"/>
        </w:rPr>
        <w:t>Each year in December, the first time in December 2021, a potential adjustment of the salary according to clause 4.1 is discussed with the reporting person and an adjustment {if any) will become effective as of January 1 in the following year.</w:t>
      </w:r>
    </w:p>
    <w:p>
      <w:pPr>
        <w:spacing w:after="0" w:line="124" w:lineRule="exact"/>
        <w:rPr>
          <w:sz w:val="20"/>
          <w:szCs w:val="20"/>
          <w:color w:val="auto"/>
        </w:rPr>
      </w:pPr>
    </w:p>
    <w:p>
      <w:pPr>
        <w:ind w:left="700" w:right="240" w:hanging="687"/>
        <w:spacing w:after="0" w:line="257" w:lineRule="auto"/>
        <w:tabs>
          <w:tab w:leader="none" w:pos="6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The Employer shall provide at the free disposal of the Employee, a mobile phone and a portable computer and shall pay all costs in connection herewith. In the event of termination of this Agreement, for whatever reason, and upon the Employer's request, the Employee is obliged to forthwith return the mobile phone and the portable computer to the Employer. The Employee will be entitled to receive a monthly compensation corresponding to the taxable value of benefits no longer available to the Employee.</w:t>
      </w:r>
    </w:p>
    <w:p>
      <w:pPr>
        <w:spacing w:after="0" w:line="188" w:lineRule="exact"/>
        <w:rPr>
          <w:sz w:val="20"/>
          <w:szCs w:val="20"/>
          <w:color w:val="auto"/>
        </w:rPr>
      </w:pPr>
    </w:p>
    <w:p>
      <w:pPr>
        <w:ind w:left="700" w:right="200" w:hanging="687"/>
        <w:spacing w:after="0" w:line="277" w:lineRule="auto"/>
        <w:tabs>
          <w:tab w:leader="none" w:pos="6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color w:val="auto"/>
        </w:rPr>
        <w:t>The Employee may also receive an annual cash bonus which may be up to three (3) months' base salary. Such bonus will be entirely discretionary and will be decided by the Board of Directors of the Parent.</w:t>
      </w:r>
    </w:p>
    <w:p>
      <w:pPr>
        <w:spacing w:after="0" w:line="170" w:lineRule="exact"/>
        <w:rPr>
          <w:sz w:val="20"/>
          <w:szCs w:val="20"/>
          <w:color w:val="auto"/>
        </w:rPr>
      </w:pPr>
    </w:p>
    <w:p>
      <w:pPr>
        <w:ind w:left="700" w:right="220" w:hanging="687"/>
        <w:spacing w:after="0" w:line="271" w:lineRule="auto"/>
        <w:tabs>
          <w:tab w:leader="none" w:pos="6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7"/>
          <w:szCs w:val="17"/>
          <w:color w:val="auto"/>
        </w:rPr>
        <w:t>The Employee will be entitled to participate in Parent's 2018 Equity Incentive Plan (the "Plan") related to the issuance of Options (as defined in the Plan) to subscribe to newly issued shares of the Parent's common stock, par value of $0.0001 per share (the "Common Stock"), upon the exercise of the Options (the "Shares"). Subject to the approval of the Compensation Committee of the Board of Directors of the Parent, the Employee will be entitled to receive Options to purchase [40,000] shares of the Company's Common Stock. Options are typically granted at the first coming regular board meeting following the commencement date of employment set forth in clause 1.1. If granted, the Options shall have an initial exercise price equal to the fair market value of the Shares on the date of the grant. All Options, including their vesting schedule, shall be governed by the terms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605155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665" w:right="999" w:bottom="1440" w:gutter="0" w:footer="0" w:header="0"/>
        </w:sectPr>
      </w:pPr>
    </w:p>
    <w:bookmarkStart w:id="133" w:name="page134"/>
    <w:bookmarkEnd w:id="133"/>
    <w:p>
      <w:pPr>
        <w:ind w:left="9683"/>
        <w:spacing w:after="0"/>
        <w:rPr>
          <w:sz w:val="20"/>
          <w:szCs w:val="20"/>
          <w:color w:val="auto"/>
        </w:rPr>
      </w:pPr>
      <w:r>
        <w:rPr>
          <w:rFonts w:ascii="Arial" w:cs="Arial" w:eastAsia="Arial" w:hAnsi="Arial"/>
          <w:sz w:val="13"/>
          <w:szCs w:val="13"/>
          <w:color w:val="auto"/>
        </w:rPr>
        <w:t>4</w:t>
      </w:r>
    </w:p>
    <w:p>
      <w:pPr>
        <w:spacing w:after="0" w:line="283" w:lineRule="exact"/>
        <w:rPr>
          <w:sz w:val="20"/>
          <w:szCs w:val="20"/>
          <w:color w:val="auto"/>
        </w:rPr>
      </w:pPr>
    </w:p>
    <w:p>
      <w:pPr>
        <w:jc w:val="both"/>
        <w:ind w:left="703" w:firstLine="20"/>
        <w:spacing w:after="0" w:line="285" w:lineRule="auto"/>
        <w:rPr>
          <w:sz w:val="20"/>
          <w:szCs w:val="20"/>
          <w:color w:val="auto"/>
        </w:rPr>
      </w:pPr>
      <w:r>
        <w:rPr>
          <w:rFonts w:ascii="Arial" w:cs="Arial" w:eastAsia="Arial" w:hAnsi="Arial"/>
          <w:sz w:val="16"/>
          <w:szCs w:val="16"/>
          <w:color w:val="auto"/>
        </w:rPr>
        <w:t>Plan in force at the time of the grant and as determined in connection with the grant. The Employee shall execute appropriate subscription agreements with the Parent evidencing such grants, if any. In addition, the Employee will be eligible for future grants at the sole discretion of the Compensation Committee. On date of grant of any Options, the Employee will receive a copy of the Company's Plan and a description of the main terms of the Plan. The Employee agrees to be bound by the restrictions embodied in the US Securities Act of 1933, as amended (the "Act") and the securities ("Blue Sky") laws of the State of New York ("New York Law"), concerning the Options and the Shares, and agrees to be bound by the rules and regulations promulgated thereunder. The Employee hereby represent and warrant that he/she is receiving the Options or the Shares, for investment and not with a view to the distribution or public offering of the Options or the Shares, or any interest in the Options or the Shares, and no other person has a direct or indirect beneficial interest in the Options or the Shares. Unless the Shares have been registered for resale in accordance with a currently effective registration statement under the Act, the Parent may require, as a condition to the delivery of any certificates for Shares, that the Parent receive appropriate evidence that the Employee is acquiring the Shares for investment and not with a view to the distribution or public offering of the Shares, or any interest in the Shares, and a representation to the effect that the Employee shall make no sale or other disposition of the Shares unless (i) the Parent shall have received an opinion of counsel satisfactory in form and substance to it that the sale or other disposition may be made without registration under the then applicable provisions of the Act and New York Law and the rules and regulations promulgated there under, or (ii) the Shares shall be included in a currently effective registration statement under the Act.</w:t>
      </w:r>
    </w:p>
    <w:p>
      <w:pPr>
        <w:spacing w:after="0" w:line="388" w:lineRule="exact"/>
        <w:rPr>
          <w:sz w:val="20"/>
          <w:szCs w:val="20"/>
          <w:color w:val="auto"/>
        </w:rPr>
      </w:pPr>
    </w:p>
    <w:p>
      <w:pPr>
        <w:ind w:left="683" w:hanging="683"/>
        <w:spacing w:after="0"/>
        <w:tabs>
          <w:tab w:leader="none" w:pos="683"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Travelling and entertainment</w:t>
      </w:r>
    </w:p>
    <w:p>
      <w:pPr>
        <w:spacing w:after="0" w:line="229" w:lineRule="exact"/>
        <w:rPr>
          <w:rFonts w:ascii="Arial" w:cs="Arial" w:eastAsia="Arial" w:hAnsi="Arial"/>
          <w:sz w:val="18"/>
          <w:szCs w:val="18"/>
          <w:b w:val="1"/>
          <w:bCs w:val="1"/>
          <w:color w:val="auto"/>
        </w:rPr>
      </w:pPr>
    </w:p>
    <w:p>
      <w:pPr>
        <w:jc w:val="both"/>
        <w:ind w:left="703" w:hanging="7"/>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Employer will reimburse the Employee reasonable travelling and entertainment costs, incurred in connection with the Employee's work for the Employer in accordance with the policies and procedures of the Employer in force at the time. Reference is made to the Travel Policy which is part of the Employment Handbook.</w:t>
      </w:r>
    </w:p>
    <w:p>
      <w:pPr>
        <w:spacing w:after="0" w:line="179" w:lineRule="exact"/>
        <w:rPr>
          <w:rFonts w:ascii="Arial" w:cs="Arial" w:eastAsia="Arial" w:hAnsi="Arial"/>
          <w:sz w:val="18"/>
          <w:szCs w:val="18"/>
          <w:b w:val="1"/>
          <w:bCs w:val="1"/>
          <w:color w:val="auto"/>
        </w:rPr>
      </w:pPr>
    </w:p>
    <w:p>
      <w:pPr>
        <w:ind w:left="683" w:hanging="683"/>
        <w:spacing w:after="0"/>
        <w:tabs>
          <w:tab w:leader="none" w:pos="683"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Holiday and days off with pay</w:t>
      </w:r>
    </w:p>
    <w:p>
      <w:pPr>
        <w:spacing w:after="0" w:line="225" w:lineRule="exact"/>
        <w:rPr>
          <w:sz w:val="20"/>
          <w:szCs w:val="20"/>
          <w:color w:val="auto"/>
        </w:rPr>
      </w:pPr>
    </w:p>
    <w:p>
      <w:pPr>
        <w:ind w:left="703" w:hanging="696"/>
        <w:spacing w:after="0" w:line="263" w:lineRule="auto"/>
        <w:tabs>
          <w:tab w:leader="none" w:pos="683"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The Employee is subject to the provisions of the Danish Holiday Act and is thus entitled to holiday and holiday compensation in accordance with the stipulations of the Danish Holiday Act. The Employee shall decide the periods of the vacation after consultation and approval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608330</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3"/>
          </w:cols>
          <w:pgMar w:left="1137" w:top="665" w:right="9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5</w:t>
      </w:r>
    </w:p>
    <w:p>
      <w:pPr>
        <w:spacing w:after="0" w:line="221" w:lineRule="exact"/>
        <w:rPr>
          <w:sz w:val="20"/>
          <w:szCs w:val="20"/>
          <w:color w:val="auto"/>
        </w:rPr>
      </w:pPr>
    </w:p>
    <w:p>
      <w:pPr>
        <w:ind w:left="690" w:right="20" w:hanging="661"/>
        <w:spacing w:after="0" w:line="279" w:lineRule="auto"/>
        <w:tabs>
          <w:tab w:leader="none" w:pos="669"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color w:val="auto"/>
        </w:rPr>
        <w:t xml:space="preserve">The Employee shall additionally be entitled to one full day off with pay (in Danish: </w:t>
      </w:r>
      <w:r>
        <w:rPr>
          <w:rFonts w:ascii="Arial" w:cs="Arial" w:eastAsia="Arial" w:hAnsi="Arial"/>
          <w:sz w:val="17"/>
          <w:szCs w:val="17"/>
          <w:i w:val="1"/>
          <w:iCs w:val="1"/>
          <w:color w:val="auto"/>
        </w:rPr>
        <w:t>"feriefridage")</w:t>
      </w:r>
      <w:r>
        <w:rPr>
          <w:rFonts w:ascii="Arial" w:cs="Arial" w:eastAsia="Arial" w:hAnsi="Arial"/>
          <w:sz w:val="17"/>
          <w:szCs w:val="17"/>
          <w:color w:val="auto"/>
        </w:rPr>
        <w:t xml:space="preserve"> on the first Friday after Ascension Day (in Danish: </w:t>
      </w:r>
      <w:r>
        <w:rPr>
          <w:rFonts w:ascii="Arial" w:cs="Arial" w:eastAsia="Arial" w:hAnsi="Arial"/>
          <w:sz w:val="17"/>
          <w:szCs w:val="17"/>
          <w:i w:val="1"/>
          <w:iCs w:val="1"/>
          <w:color w:val="auto"/>
        </w:rPr>
        <w:t>"Kristi Himmel fartsdag"),</w:t>
      </w:r>
      <w:r>
        <w:rPr>
          <w:rFonts w:ascii="Arial" w:cs="Arial" w:eastAsia="Arial" w:hAnsi="Arial"/>
          <w:sz w:val="17"/>
          <w:szCs w:val="17"/>
          <w:color w:val="auto"/>
        </w:rPr>
        <w:t xml:space="preserve"> Constitution Day (in Danish: </w:t>
      </w:r>
      <w:r>
        <w:rPr>
          <w:rFonts w:ascii="Arial" w:cs="Arial" w:eastAsia="Arial" w:hAnsi="Arial"/>
          <w:sz w:val="17"/>
          <w:szCs w:val="17"/>
          <w:i w:val="1"/>
          <w:iCs w:val="1"/>
          <w:color w:val="auto"/>
        </w:rPr>
        <w:t>"Grundlovsdag"),</w:t>
      </w:r>
      <w:r>
        <w:rPr>
          <w:rFonts w:ascii="Arial" w:cs="Arial" w:eastAsia="Arial" w:hAnsi="Arial"/>
          <w:sz w:val="17"/>
          <w:szCs w:val="17"/>
          <w:color w:val="auto"/>
        </w:rPr>
        <w:t xml:space="preserve"> and 24 December and 31 December. The Danish Holiday Act does not comprise days off with pay. Days off with pay that are not used will not entitle the Employee to any payments, and days off with pay not used may not be carried forward.</w:t>
      </w:r>
    </w:p>
    <w:p>
      <w:pPr>
        <w:spacing w:after="0" w:line="171" w:lineRule="exact"/>
        <w:rPr>
          <w:sz w:val="20"/>
          <w:szCs w:val="20"/>
          <w:color w:val="auto"/>
        </w:rPr>
      </w:pPr>
    </w:p>
    <w:p>
      <w:pPr>
        <w:ind w:left="710" w:hanging="696"/>
        <w:spacing w:after="0"/>
        <w:tabs>
          <w:tab w:leader="none" w:pos="71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notices</w:t>
      </w:r>
    </w:p>
    <w:p>
      <w:pPr>
        <w:spacing w:after="0" w:line="225" w:lineRule="exact"/>
        <w:rPr>
          <w:sz w:val="20"/>
          <w:szCs w:val="20"/>
          <w:color w:val="auto"/>
        </w:rPr>
      </w:pPr>
    </w:p>
    <w:p>
      <w:pPr>
        <w:ind w:left="690" w:right="340" w:hanging="674"/>
        <w:spacing w:after="0" w:line="277" w:lineRule="auto"/>
        <w:tabs>
          <w:tab w:leader="none" w:pos="669"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color w:val="auto"/>
        </w:rPr>
        <w:t>The employment may be terminated by the Employee with three (3) months' notice to the end of a month. The Employee may not terminate the employment with a notice exceeding 3 months.</w:t>
      </w:r>
    </w:p>
    <w:p>
      <w:pPr>
        <w:spacing w:after="0" w:line="174" w:lineRule="exact"/>
        <w:rPr>
          <w:sz w:val="20"/>
          <w:szCs w:val="20"/>
          <w:color w:val="auto"/>
        </w:rPr>
      </w:pPr>
    </w:p>
    <w:p>
      <w:pPr>
        <w:ind w:left="710"/>
        <w:spacing w:after="0"/>
        <w:rPr>
          <w:sz w:val="20"/>
          <w:szCs w:val="20"/>
          <w:color w:val="auto"/>
        </w:rPr>
      </w:pPr>
      <w:r>
        <w:rPr>
          <w:rFonts w:ascii="Arial" w:cs="Arial" w:eastAsia="Arial" w:hAnsi="Arial"/>
          <w:sz w:val="18"/>
          <w:szCs w:val="18"/>
          <w:color w:val="auto"/>
        </w:rPr>
        <w:t>The employment may be terminated by the Employer with twelve (12) months' notice to the end of a month.</w:t>
      </w:r>
    </w:p>
    <w:p>
      <w:pPr>
        <w:spacing w:after="0" w:line="221" w:lineRule="exact"/>
        <w:rPr>
          <w:sz w:val="20"/>
          <w:szCs w:val="20"/>
          <w:color w:val="auto"/>
        </w:rPr>
      </w:pPr>
    </w:p>
    <w:p>
      <w:pPr>
        <w:ind w:left="690" w:right="120" w:hanging="688"/>
        <w:spacing w:after="0" w:line="277" w:lineRule="auto"/>
        <w:tabs>
          <w:tab w:leader="none" w:pos="669"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Both Parties must serve the notice in writing and the notice must reach the recipient no later than the last day of the calendar month.</w:t>
      </w:r>
    </w:p>
    <w:p>
      <w:pPr>
        <w:spacing w:after="0" w:line="174" w:lineRule="exact"/>
        <w:rPr>
          <w:sz w:val="20"/>
          <w:szCs w:val="20"/>
          <w:color w:val="auto"/>
        </w:rPr>
      </w:pPr>
    </w:p>
    <w:p>
      <w:pPr>
        <w:ind w:left="690"/>
        <w:spacing w:after="0"/>
        <w:rPr>
          <w:sz w:val="20"/>
          <w:szCs w:val="20"/>
          <w:color w:val="auto"/>
        </w:rPr>
      </w:pPr>
      <w:r>
        <w:rPr>
          <w:rFonts w:ascii="Arial" w:cs="Arial" w:eastAsia="Arial" w:hAnsi="Arial"/>
          <w:sz w:val="18"/>
          <w:szCs w:val="18"/>
          <w:u w:val="single" w:color="auto"/>
          <w:color w:val="auto"/>
        </w:rPr>
        <w:t>The 120 days rule</w:t>
      </w:r>
    </w:p>
    <w:p>
      <w:pPr>
        <w:spacing w:after="0" w:line="221" w:lineRule="exact"/>
        <w:rPr>
          <w:sz w:val="20"/>
          <w:szCs w:val="20"/>
          <w:color w:val="auto"/>
        </w:rPr>
      </w:pPr>
    </w:p>
    <w:p>
      <w:pPr>
        <w:jc w:val="both"/>
        <w:ind w:left="670" w:hanging="674"/>
        <w:spacing w:after="0" w:line="257" w:lineRule="auto"/>
        <w:tabs>
          <w:tab w:leader="none" w:pos="649"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color w:val="auto"/>
        </w:rPr>
        <w:t>Notwithstanding the above termination notices, the Parties agree that the Employer may terminate the employment with 1 months' notice to the end of a calendar month, when the following three conditions have been met: (a) if the Employee, within the latest 12 months, has received salary during sick leave for 120 days inclusive of Sundays and holidays, (b) the termination notice is served in connection with the expiry of the 120 sick leave days, and (c) the termination notice is served while the Employee is still sick.</w:t>
      </w:r>
    </w:p>
    <w:p>
      <w:pPr>
        <w:spacing w:after="0" w:line="188" w:lineRule="exact"/>
        <w:rPr>
          <w:sz w:val="20"/>
          <w:szCs w:val="20"/>
          <w:color w:val="auto"/>
        </w:rPr>
      </w:pPr>
    </w:p>
    <w:p>
      <w:pPr>
        <w:ind w:left="670" w:hanging="670"/>
        <w:spacing w:after="0"/>
        <w:tabs>
          <w:tab w:leader="none" w:pos="67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225" w:lineRule="exact"/>
        <w:rPr>
          <w:sz w:val="20"/>
          <w:szCs w:val="20"/>
          <w:color w:val="auto"/>
        </w:rPr>
      </w:pPr>
    </w:p>
    <w:p>
      <w:pPr>
        <w:ind w:left="690" w:right="400" w:hanging="688"/>
        <w:spacing w:after="0" w:line="259" w:lineRule="auto"/>
        <w:tabs>
          <w:tab w:leader="none" w:pos="669"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All rights to any kind of texts, graphic material, concepts, computer programmes or other creations or results, which are developed partly or wholly by the Employee during the employment and as a part of the Employee's work, belong to the Employer. The Employer thus has the exclusive right to any commercial use of the work results, subject, however, to mandatory legislation.</w:t>
      </w:r>
    </w:p>
    <w:p>
      <w:pPr>
        <w:spacing w:after="0" w:line="187" w:lineRule="exact"/>
        <w:rPr>
          <w:sz w:val="20"/>
          <w:szCs w:val="20"/>
          <w:color w:val="auto"/>
        </w:rPr>
      </w:pPr>
    </w:p>
    <w:p>
      <w:pPr>
        <w:ind w:left="690" w:right="180" w:hanging="696"/>
        <w:spacing w:after="0" w:line="263" w:lineRule="auto"/>
        <w:tabs>
          <w:tab w:leader="none" w:pos="669"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color w:val="auto"/>
        </w:rPr>
        <w:t>The Employee accepts that the Employee will not be able to claim any special fee or payment for inventions or other creations relating to Industrial property rights since the possible discovery of such have been taken into consideration when agreeing on the remuneration and all other terms of the employment.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599440</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50"/>
          </w:cols>
          <w:pgMar w:left="1150" w:top="665" w:right="999" w:bottom="1440" w:gutter="0" w:footer="0" w:header="0"/>
        </w:sectPr>
      </w:pPr>
    </w:p>
    <w:bookmarkStart w:id="135" w:name="page136"/>
    <w:bookmarkEnd w:id="135"/>
    <w:p>
      <w:pPr>
        <w:ind w:left="9710"/>
        <w:spacing w:after="0"/>
        <w:rPr>
          <w:sz w:val="20"/>
          <w:szCs w:val="20"/>
          <w:color w:val="auto"/>
        </w:rPr>
      </w:pPr>
      <w:r>
        <w:rPr>
          <w:rFonts w:ascii="Arial" w:cs="Arial" w:eastAsia="Arial" w:hAnsi="Arial"/>
          <w:sz w:val="13"/>
          <w:szCs w:val="13"/>
          <w:color w:val="auto"/>
        </w:rPr>
        <w:t>6</w:t>
      </w:r>
    </w:p>
    <w:p>
      <w:pPr>
        <w:spacing w:after="0" w:line="283" w:lineRule="exact"/>
        <w:rPr>
          <w:sz w:val="20"/>
          <w:szCs w:val="20"/>
          <w:color w:val="auto"/>
        </w:rPr>
      </w:pPr>
    </w:p>
    <w:p>
      <w:pPr>
        <w:jc w:val="both"/>
        <w:ind w:left="690" w:firstLine="9"/>
        <w:spacing w:after="0" w:line="254" w:lineRule="auto"/>
        <w:rPr>
          <w:sz w:val="20"/>
          <w:szCs w:val="20"/>
          <w:color w:val="auto"/>
        </w:rPr>
      </w:pPr>
      <w:r>
        <w:rPr>
          <w:rFonts w:ascii="Arial" w:cs="Arial" w:eastAsia="Arial" w:hAnsi="Arial"/>
          <w:sz w:val="18"/>
          <w:szCs w:val="18"/>
          <w:color w:val="auto"/>
        </w:rPr>
        <w:t xml:space="preserve">agree that any discoveries, etc. will normally not require the Employer to compensate the Employee in accordance with the Danish Act on Inventions made by Employees, (in Danish: </w:t>
      </w:r>
      <w:r>
        <w:rPr>
          <w:rFonts w:ascii="Arial" w:cs="Arial" w:eastAsia="Arial" w:hAnsi="Arial"/>
          <w:sz w:val="18"/>
          <w:szCs w:val="18"/>
          <w:i w:val="1"/>
          <w:iCs w:val="1"/>
          <w:color w:val="auto"/>
        </w:rPr>
        <w:t>"Lov om Arbejdstageres opfinde/ser")</w:t>
      </w:r>
      <w:r>
        <w:rPr>
          <w:rFonts w:ascii="Arial" w:cs="Arial" w:eastAsia="Arial" w:hAnsi="Arial"/>
          <w:sz w:val="18"/>
          <w:szCs w:val="18"/>
          <w:color w:val="auto"/>
        </w:rPr>
        <w:t xml:space="preserve"> since inventions and discoveries in general are the result of a teamwork being part of the Employer's research- and development strategy. Thus, the results will normally be a combination of the Employee's work and the Employer's collective sum of experiences and know-how, and as set out above the possibilities for any such discoveries, etc. have been take into consideration, when agreeing on the remuneration and all other terms of the employment, any such discoveries will fall under what may reasonably be expected from the Employee.</w:t>
      </w:r>
    </w:p>
    <w:p>
      <w:pPr>
        <w:spacing w:after="0" w:line="191" w:lineRule="exact"/>
        <w:rPr>
          <w:sz w:val="20"/>
          <w:szCs w:val="20"/>
          <w:color w:val="auto"/>
        </w:rPr>
      </w:pPr>
    </w:p>
    <w:p>
      <w:pPr>
        <w:ind w:left="690" w:hanging="690"/>
        <w:spacing w:after="0"/>
        <w:tabs>
          <w:tab w:leader="none" w:pos="69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Other stipulations</w:t>
      </w:r>
    </w:p>
    <w:p>
      <w:pPr>
        <w:spacing w:after="0" w:line="225" w:lineRule="exact"/>
        <w:rPr>
          <w:sz w:val="20"/>
          <w:szCs w:val="20"/>
          <w:color w:val="auto"/>
        </w:rPr>
      </w:pPr>
    </w:p>
    <w:p>
      <w:pPr>
        <w:ind w:left="670" w:right="140" w:hanging="674"/>
        <w:spacing w:after="0" w:line="279" w:lineRule="auto"/>
        <w:tabs>
          <w:tab w:leader="none" w:pos="65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color w:val="auto"/>
        </w:rPr>
        <w:t>The Employee agrees to be bound by and accepts the terms and provisions contained in this contract, and agrees to adhere to the instructions given by the Employer during the employment, which the Employer considers to be of importance to the employment. Such instructions include, but are not limited to, the Employee's personal behaviour within the workplace and outside the workplace when dealing with customers and Employer's business partners.</w:t>
      </w:r>
    </w:p>
    <w:p>
      <w:pPr>
        <w:spacing w:after="0" w:line="171" w:lineRule="exact"/>
        <w:rPr>
          <w:sz w:val="20"/>
          <w:szCs w:val="20"/>
          <w:color w:val="auto"/>
        </w:rPr>
      </w:pPr>
    </w:p>
    <w:p>
      <w:pPr>
        <w:ind w:left="690" w:right="120" w:hanging="694"/>
        <w:spacing w:after="0" w:line="259" w:lineRule="auto"/>
        <w:tabs>
          <w:tab w:leader="none" w:pos="67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color w:val="auto"/>
        </w:rPr>
        <w:t>The Employee is thus obliged to: (a) perform all necessary overtime, cf. clause 3.4, (b) adhere to instructions in respect of personal behaviour and appearance, (c) adhere to instructions regarding work and security, including rules and regulations in regard to work and working environment, (d) adhere to any standards of work and conduct and any policies and procedures issued by the Employer.</w:t>
      </w:r>
    </w:p>
    <w:p>
      <w:pPr>
        <w:spacing w:after="0" w:line="187" w:lineRule="exact"/>
        <w:rPr>
          <w:sz w:val="20"/>
          <w:szCs w:val="20"/>
          <w:color w:val="auto"/>
        </w:rPr>
      </w:pPr>
    </w:p>
    <w:p>
      <w:pPr>
        <w:jc w:val="both"/>
        <w:ind w:left="670" w:right="200" w:hanging="674"/>
        <w:spacing w:after="0" w:line="263" w:lineRule="auto"/>
        <w:tabs>
          <w:tab w:leader="none" w:pos="65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color w:val="auto"/>
        </w:rPr>
        <w:t>The Employee is obliged to inform the Employer of his/her change of home address to the effect that any notices forwarded by the Employer to the address last stated by the Employee is considered as having reached the Employee as at the date on which the notice reached this address.</w:t>
      </w:r>
    </w:p>
    <w:p>
      <w:pPr>
        <w:spacing w:after="0" w:line="184" w:lineRule="exact"/>
        <w:rPr>
          <w:sz w:val="20"/>
          <w:szCs w:val="20"/>
          <w:color w:val="auto"/>
        </w:rPr>
      </w:pPr>
    </w:p>
    <w:p>
      <w:pPr>
        <w:ind w:left="690" w:right="40" w:hanging="687"/>
        <w:spacing w:after="0" w:line="311" w:lineRule="auto"/>
        <w:tabs>
          <w:tab w:leader="none" w:pos="67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color w:val="auto"/>
        </w:rPr>
        <w:t>During the employment, the Employee is obliged to devote his/her full working day to the Employer. The Employee may not, directly or indirectly, engage in any other non-competing employment or business activities, whether paid or unpaid, unless such work/activities can be performed without any interference in the Employee's work obligations towards the Employer.</w:t>
      </w:r>
    </w:p>
    <w:p>
      <w:pPr>
        <w:spacing w:after="0" w:line="149" w:lineRule="exact"/>
        <w:rPr>
          <w:sz w:val="20"/>
          <w:szCs w:val="20"/>
          <w:color w:val="auto"/>
        </w:rPr>
      </w:pPr>
    </w:p>
    <w:p>
      <w:pPr>
        <w:ind w:left="670" w:right="20" w:hanging="674"/>
        <w:spacing w:after="0" w:line="263" w:lineRule="auto"/>
        <w:tabs>
          <w:tab w:leader="none" w:pos="65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color w:val="auto"/>
        </w:rPr>
        <w:t>The Employee is subject to complete confidentiality regarding everything he/she learns regarding business relationships and confidential information regarding the Employer, its customers or other third parties to which the Employer is connected. This confidentiality obligation also applies after the expiry of the employment.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608330</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90"/>
          </w:cols>
          <w:pgMar w:left="1110" w:top="665" w:right="999" w:bottom="1440" w:gutter="0" w:footer="0" w:header="0"/>
        </w:sectPr>
      </w:pPr>
    </w:p>
    <w:bookmarkStart w:id="136" w:name="page137"/>
    <w:bookmarkEnd w:id="136"/>
    <w:p>
      <w:pPr>
        <w:ind w:left="9702"/>
        <w:spacing w:after="0"/>
        <w:rPr>
          <w:sz w:val="20"/>
          <w:szCs w:val="20"/>
          <w:color w:val="auto"/>
        </w:rPr>
      </w:pPr>
      <w:r>
        <w:rPr>
          <w:rFonts w:ascii="Arial" w:cs="Arial" w:eastAsia="Arial" w:hAnsi="Arial"/>
          <w:sz w:val="13"/>
          <w:szCs w:val="13"/>
          <w:color w:val="auto"/>
        </w:rPr>
        <w:t>7</w:t>
      </w:r>
    </w:p>
    <w:p>
      <w:pPr>
        <w:spacing w:after="0" w:line="283" w:lineRule="exact"/>
        <w:rPr>
          <w:sz w:val="20"/>
          <w:szCs w:val="20"/>
          <w:color w:val="auto"/>
        </w:rPr>
      </w:pPr>
    </w:p>
    <w:p>
      <w:pPr>
        <w:jc w:val="both"/>
        <w:ind w:left="662" w:firstLine="9"/>
        <w:spacing w:after="0" w:line="263" w:lineRule="auto"/>
        <w:rPr>
          <w:sz w:val="20"/>
          <w:szCs w:val="20"/>
          <w:color w:val="auto"/>
        </w:rPr>
      </w:pPr>
      <w:r>
        <w:rPr>
          <w:rFonts w:ascii="Arial" w:cs="Arial" w:eastAsia="Arial" w:hAnsi="Arial"/>
          <w:sz w:val="18"/>
          <w:szCs w:val="18"/>
          <w:color w:val="070808"/>
        </w:rPr>
        <w:t>breach of t</w:t>
      </w:r>
      <w:r>
        <w:rPr>
          <w:rFonts w:ascii="Arial" w:cs="Arial" w:eastAsia="Arial" w:hAnsi="Arial"/>
          <w:sz w:val="18"/>
          <w:szCs w:val="18"/>
          <w:color w:val="232826"/>
        </w:rPr>
        <w:t>he</w:t>
      </w:r>
      <w:r>
        <w:rPr>
          <w:rFonts w:ascii="Arial" w:cs="Arial" w:eastAsia="Arial" w:hAnsi="Arial"/>
          <w:sz w:val="18"/>
          <w:szCs w:val="18"/>
          <w:color w:val="070808"/>
        </w:rPr>
        <w:t xml:space="preserve"> confidentiality </w:t>
      </w:r>
      <w:r>
        <w:rPr>
          <w:rFonts w:ascii="Arial" w:cs="Arial" w:eastAsia="Arial" w:hAnsi="Arial"/>
          <w:sz w:val="18"/>
          <w:szCs w:val="18"/>
          <w:color w:val="161818"/>
        </w:rPr>
        <w:t>obligation</w:t>
      </w:r>
      <w:r>
        <w:rPr>
          <w:rFonts w:ascii="Arial" w:cs="Arial" w:eastAsia="Arial" w:hAnsi="Arial"/>
          <w:sz w:val="18"/>
          <w:szCs w:val="18"/>
          <w:color w:val="070808"/>
        </w:rPr>
        <w:t xml:space="preserve"> i</w:t>
      </w:r>
      <w:r>
        <w:rPr>
          <w:rFonts w:ascii="Arial" w:cs="Arial" w:eastAsia="Arial" w:hAnsi="Arial"/>
          <w:sz w:val="18"/>
          <w:szCs w:val="18"/>
          <w:color w:val="383F3D"/>
        </w:rPr>
        <w:t>s</w:t>
      </w:r>
      <w:r>
        <w:rPr>
          <w:rFonts w:ascii="Arial" w:cs="Arial" w:eastAsia="Arial" w:hAnsi="Arial"/>
          <w:sz w:val="18"/>
          <w:szCs w:val="18"/>
          <w:color w:val="070808"/>
        </w:rPr>
        <w:t xml:space="preserve"> con</w:t>
      </w:r>
      <w:r>
        <w:rPr>
          <w:rFonts w:ascii="Arial" w:cs="Arial" w:eastAsia="Arial" w:hAnsi="Arial"/>
          <w:sz w:val="18"/>
          <w:szCs w:val="18"/>
          <w:color w:val="232826"/>
        </w:rPr>
        <w:t>side</w:t>
      </w:r>
      <w:r>
        <w:rPr>
          <w:rFonts w:ascii="Arial" w:cs="Arial" w:eastAsia="Arial" w:hAnsi="Arial"/>
          <w:sz w:val="18"/>
          <w:szCs w:val="18"/>
          <w:color w:val="070808"/>
        </w:rPr>
        <w:t xml:space="preserve">red </w:t>
      </w:r>
      <w:r>
        <w:rPr>
          <w:rFonts w:ascii="Arial" w:cs="Arial" w:eastAsia="Arial" w:hAnsi="Arial"/>
          <w:sz w:val="18"/>
          <w:szCs w:val="18"/>
          <w:color w:val="232826"/>
        </w:rPr>
        <w:t>a gross</w:t>
      </w:r>
      <w:r>
        <w:rPr>
          <w:rFonts w:ascii="Arial" w:cs="Arial" w:eastAsia="Arial" w:hAnsi="Arial"/>
          <w:sz w:val="18"/>
          <w:szCs w:val="18"/>
          <w:color w:val="070808"/>
        </w:rPr>
        <w:t xml:space="preserve"> viola</w:t>
      </w:r>
      <w:r>
        <w:rPr>
          <w:rFonts w:ascii="Arial" w:cs="Arial" w:eastAsia="Arial" w:hAnsi="Arial"/>
          <w:sz w:val="18"/>
          <w:szCs w:val="18"/>
          <w:color w:val="232826"/>
        </w:rPr>
        <w:t>t</w:t>
      </w:r>
      <w:r>
        <w:rPr>
          <w:rFonts w:ascii="Arial" w:cs="Arial" w:eastAsia="Arial" w:hAnsi="Arial"/>
          <w:sz w:val="18"/>
          <w:szCs w:val="18"/>
          <w:color w:val="070808"/>
        </w:rPr>
        <w:t xml:space="preserve">ion of </w:t>
      </w:r>
      <w:r>
        <w:rPr>
          <w:rFonts w:ascii="Arial" w:cs="Arial" w:eastAsia="Arial" w:hAnsi="Arial"/>
          <w:sz w:val="18"/>
          <w:szCs w:val="18"/>
          <w:color w:val="383F3D"/>
        </w:rPr>
        <w:t>t</w:t>
      </w:r>
      <w:r>
        <w:rPr>
          <w:rFonts w:ascii="Arial" w:cs="Arial" w:eastAsia="Arial" w:hAnsi="Arial"/>
          <w:sz w:val="18"/>
          <w:szCs w:val="18"/>
          <w:color w:val="070808"/>
        </w:rPr>
        <w:t>h</w:t>
      </w:r>
      <w:r>
        <w:rPr>
          <w:rFonts w:ascii="Arial" w:cs="Arial" w:eastAsia="Arial" w:hAnsi="Arial"/>
          <w:sz w:val="18"/>
          <w:szCs w:val="18"/>
          <w:color w:val="232826"/>
        </w:rPr>
        <w:t>e</w:t>
      </w:r>
      <w:r>
        <w:rPr>
          <w:rFonts w:ascii="Arial" w:cs="Arial" w:eastAsia="Arial" w:hAnsi="Arial"/>
          <w:sz w:val="18"/>
          <w:szCs w:val="18"/>
          <w:color w:val="070808"/>
        </w:rPr>
        <w:t xml:space="preserve"> employment contract, entit</w:t>
      </w:r>
      <w:r>
        <w:rPr>
          <w:rFonts w:ascii="Arial" w:cs="Arial" w:eastAsia="Arial" w:hAnsi="Arial"/>
          <w:sz w:val="18"/>
          <w:szCs w:val="18"/>
          <w:color w:val="232826"/>
        </w:rPr>
        <w:t>l</w:t>
      </w:r>
      <w:r>
        <w:rPr>
          <w:rFonts w:ascii="Arial" w:cs="Arial" w:eastAsia="Arial" w:hAnsi="Arial"/>
          <w:sz w:val="18"/>
          <w:szCs w:val="18"/>
          <w:color w:val="070808"/>
        </w:rPr>
        <w:t>ing the Employer to te</w:t>
      </w:r>
      <w:r>
        <w:rPr>
          <w:rFonts w:ascii="Arial" w:cs="Arial" w:eastAsia="Arial" w:hAnsi="Arial"/>
          <w:sz w:val="18"/>
          <w:szCs w:val="18"/>
          <w:color w:val="232826"/>
        </w:rPr>
        <w:t>r</w:t>
      </w:r>
      <w:r>
        <w:rPr>
          <w:rFonts w:ascii="Arial" w:cs="Arial" w:eastAsia="Arial" w:hAnsi="Arial"/>
          <w:sz w:val="18"/>
          <w:szCs w:val="18"/>
          <w:color w:val="070808"/>
        </w:rPr>
        <w:t>minate th</w:t>
      </w:r>
      <w:r>
        <w:rPr>
          <w:rFonts w:ascii="Arial" w:cs="Arial" w:eastAsia="Arial" w:hAnsi="Arial"/>
          <w:sz w:val="18"/>
          <w:szCs w:val="18"/>
          <w:color w:val="232826"/>
        </w:rPr>
        <w:t>e</w:t>
      </w:r>
      <w:r>
        <w:rPr>
          <w:rFonts w:ascii="Arial" w:cs="Arial" w:eastAsia="Arial" w:hAnsi="Arial"/>
          <w:sz w:val="18"/>
          <w:szCs w:val="18"/>
          <w:color w:val="070808"/>
        </w:rPr>
        <w:t xml:space="preserve"> contract immediately</w:t>
      </w:r>
      <w:r>
        <w:rPr>
          <w:rFonts w:ascii="Arial" w:cs="Arial" w:eastAsia="Arial" w:hAnsi="Arial"/>
          <w:sz w:val="18"/>
          <w:szCs w:val="18"/>
          <w:color w:val="232826"/>
        </w:rPr>
        <w:t>.</w:t>
      </w:r>
      <w:r>
        <w:rPr>
          <w:rFonts w:ascii="Arial" w:cs="Arial" w:eastAsia="Arial" w:hAnsi="Arial"/>
          <w:sz w:val="18"/>
          <w:szCs w:val="18"/>
          <w:color w:val="070808"/>
        </w:rPr>
        <w:t xml:space="preserve"> In that case the Employee </w:t>
      </w:r>
      <w:r>
        <w:rPr>
          <w:rFonts w:ascii="Arial" w:cs="Arial" w:eastAsia="Arial" w:hAnsi="Arial"/>
          <w:sz w:val="18"/>
          <w:szCs w:val="18"/>
          <w:color w:val="161818"/>
        </w:rPr>
        <w:t>is</w:t>
      </w:r>
      <w:r>
        <w:rPr>
          <w:rFonts w:ascii="Arial" w:cs="Arial" w:eastAsia="Arial" w:hAnsi="Arial"/>
          <w:sz w:val="18"/>
          <w:szCs w:val="18"/>
          <w:color w:val="070808"/>
        </w:rPr>
        <w:t xml:space="preserve"> only entitled to salary up to and including the </w:t>
      </w:r>
      <w:r>
        <w:rPr>
          <w:rFonts w:ascii="Arial" w:cs="Arial" w:eastAsia="Arial" w:hAnsi="Arial"/>
          <w:sz w:val="18"/>
          <w:szCs w:val="18"/>
          <w:color w:val="161818"/>
        </w:rPr>
        <w:t>day</w:t>
      </w:r>
      <w:r>
        <w:rPr>
          <w:rFonts w:ascii="Arial" w:cs="Arial" w:eastAsia="Arial" w:hAnsi="Arial"/>
          <w:sz w:val="18"/>
          <w:szCs w:val="18"/>
          <w:color w:val="070808"/>
        </w:rPr>
        <w:t xml:space="preserve"> of termination.</w:t>
      </w:r>
    </w:p>
    <w:p>
      <w:pPr>
        <w:spacing w:after="0" w:line="180" w:lineRule="exact"/>
        <w:rPr>
          <w:sz w:val="20"/>
          <w:szCs w:val="20"/>
          <w:color w:val="auto"/>
        </w:rPr>
      </w:pPr>
    </w:p>
    <w:p>
      <w:pPr>
        <w:ind w:left="642" w:right="40" w:hanging="674"/>
        <w:spacing w:after="0" w:line="257" w:lineRule="auto"/>
        <w:tabs>
          <w:tab w:leader="none" w:pos="622" w:val="left"/>
        </w:tabs>
        <w:rPr>
          <w:sz w:val="20"/>
          <w:szCs w:val="20"/>
          <w:color w:val="auto"/>
        </w:rPr>
      </w:pPr>
      <w:r>
        <w:rPr>
          <w:rFonts w:ascii="Arial" w:cs="Arial" w:eastAsia="Arial" w:hAnsi="Arial"/>
          <w:sz w:val="18"/>
          <w:szCs w:val="18"/>
          <w:b w:val="1"/>
          <w:bCs w:val="1"/>
          <w:color w:val="383F3D"/>
        </w:rPr>
        <w:t>9.6</w:t>
      </w:r>
      <w:r>
        <w:rPr>
          <w:sz w:val="20"/>
          <w:szCs w:val="20"/>
          <w:color w:val="auto"/>
        </w:rPr>
        <w:tab/>
      </w:r>
      <w:r>
        <w:rPr>
          <w:rFonts w:ascii="Arial" w:cs="Arial" w:eastAsia="Arial" w:hAnsi="Arial"/>
          <w:sz w:val="18"/>
          <w:szCs w:val="18"/>
          <w:color w:val="070808"/>
        </w:rPr>
        <w:t xml:space="preserve">If the Employee's employment with the </w:t>
      </w:r>
      <w:r>
        <w:rPr>
          <w:rFonts w:ascii="Arial" w:cs="Arial" w:eastAsia="Arial" w:hAnsi="Arial"/>
          <w:sz w:val="18"/>
          <w:szCs w:val="18"/>
          <w:color w:val="161818"/>
        </w:rPr>
        <w:t>Employer</w:t>
      </w:r>
      <w:r>
        <w:rPr>
          <w:rFonts w:ascii="Arial" w:cs="Arial" w:eastAsia="Arial" w:hAnsi="Arial"/>
          <w:sz w:val="18"/>
          <w:szCs w:val="18"/>
          <w:color w:val="070808"/>
        </w:rPr>
        <w:t xml:space="preserve"> is terminated for whatever reason, the Employee is obliged </w:t>
      </w:r>
      <w:r>
        <w:rPr>
          <w:rFonts w:ascii="Arial" w:cs="Arial" w:eastAsia="Arial" w:hAnsi="Arial"/>
          <w:sz w:val="18"/>
          <w:szCs w:val="18"/>
          <w:color w:val="161818"/>
        </w:rPr>
        <w:t>to</w:t>
      </w:r>
      <w:r>
        <w:rPr>
          <w:rFonts w:ascii="Arial" w:cs="Arial" w:eastAsia="Arial" w:hAnsi="Arial"/>
          <w:sz w:val="18"/>
          <w:szCs w:val="18"/>
          <w:color w:val="070808"/>
        </w:rPr>
        <w:t xml:space="preserve"> return to the Employer all property that he/she has received or worked with during </w:t>
      </w:r>
      <w:r>
        <w:rPr>
          <w:rFonts w:ascii="Arial" w:cs="Arial" w:eastAsia="Arial" w:hAnsi="Arial"/>
          <w:sz w:val="18"/>
          <w:szCs w:val="18"/>
          <w:color w:val="161818"/>
        </w:rPr>
        <w:t>the</w:t>
      </w:r>
      <w:r>
        <w:rPr>
          <w:rFonts w:ascii="Arial" w:cs="Arial" w:eastAsia="Arial" w:hAnsi="Arial"/>
          <w:sz w:val="18"/>
          <w:szCs w:val="18"/>
          <w:color w:val="070808"/>
        </w:rPr>
        <w:t xml:space="preserve"> employment including but not limited to manuals, repo</w:t>
      </w:r>
      <w:r>
        <w:rPr>
          <w:rFonts w:ascii="Arial" w:cs="Arial" w:eastAsia="Arial" w:hAnsi="Arial"/>
          <w:sz w:val="18"/>
          <w:szCs w:val="18"/>
          <w:color w:val="232826"/>
        </w:rPr>
        <w:t>r</w:t>
      </w:r>
      <w:r>
        <w:rPr>
          <w:rFonts w:ascii="Arial" w:cs="Arial" w:eastAsia="Arial" w:hAnsi="Arial"/>
          <w:sz w:val="18"/>
          <w:szCs w:val="18"/>
          <w:color w:val="070808"/>
        </w:rPr>
        <w:t>ts, correspondenc</w:t>
      </w:r>
      <w:r>
        <w:rPr>
          <w:rFonts w:ascii="Arial" w:cs="Arial" w:eastAsia="Arial" w:hAnsi="Arial"/>
          <w:sz w:val="18"/>
          <w:szCs w:val="18"/>
          <w:color w:val="232826"/>
        </w:rPr>
        <w:t>e</w:t>
      </w:r>
      <w:r>
        <w:rPr>
          <w:rFonts w:ascii="Arial" w:cs="Arial" w:eastAsia="Arial" w:hAnsi="Arial"/>
          <w:sz w:val="18"/>
          <w:szCs w:val="18"/>
          <w:color w:val="070808"/>
        </w:rPr>
        <w:t>, c</w:t>
      </w:r>
      <w:r>
        <w:rPr>
          <w:rFonts w:ascii="Arial" w:cs="Arial" w:eastAsia="Arial" w:hAnsi="Arial"/>
          <w:sz w:val="18"/>
          <w:szCs w:val="18"/>
          <w:color w:val="232826"/>
        </w:rPr>
        <w:t>ase</w:t>
      </w:r>
      <w:r>
        <w:rPr>
          <w:rFonts w:ascii="Arial" w:cs="Arial" w:eastAsia="Arial" w:hAnsi="Arial"/>
          <w:sz w:val="18"/>
          <w:szCs w:val="18"/>
          <w:color w:val="070808"/>
        </w:rPr>
        <w:t xml:space="preserve"> </w:t>
      </w:r>
      <w:r>
        <w:rPr>
          <w:rFonts w:ascii="Arial" w:cs="Arial" w:eastAsia="Arial" w:hAnsi="Arial"/>
          <w:sz w:val="18"/>
          <w:szCs w:val="18"/>
          <w:color w:val="161818"/>
        </w:rPr>
        <w:t>files,</w:t>
      </w:r>
      <w:r>
        <w:rPr>
          <w:rFonts w:ascii="Arial" w:cs="Arial" w:eastAsia="Arial" w:hAnsi="Arial"/>
          <w:sz w:val="18"/>
          <w:szCs w:val="18"/>
          <w:color w:val="070808"/>
        </w:rPr>
        <w:t xml:space="preserve"> customer lists, pr</w:t>
      </w:r>
      <w:r>
        <w:rPr>
          <w:rFonts w:ascii="Arial" w:cs="Arial" w:eastAsia="Arial" w:hAnsi="Arial"/>
          <w:sz w:val="18"/>
          <w:szCs w:val="18"/>
          <w:color w:val="232826"/>
        </w:rPr>
        <w:t>i</w:t>
      </w:r>
      <w:r>
        <w:rPr>
          <w:rFonts w:ascii="Arial" w:cs="Arial" w:eastAsia="Arial" w:hAnsi="Arial"/>
          <w:sz w:val="18"/>
          <w:szCs w:val="18"/>
          <w:color w:val="070808"/>
        </w:rPr>
        <w:t>ce lists, catalogues, computer programs, etc. which are in the Employe</w:t>
      </w:r>
      <w:r>
        <w:rPr>
          <w:rFonts w:ascii="Arial" w:cs="Arial" w:eastAsia="Arial" w:hAnsi="Arial"/>
          <w:sz w:val="18"/>
          <w:szCs w:val="18"/>
          <w:color w:val="232826"/>
        </w:rPr>
        <w:t>e</w:t>
      </w:r>
      <w:r>
        <w:rPr>
          <w:rFonts w:ascii="Arial" w:cs="Arial" w:eastAsia="Arial" w:hAnsi="Arial"/>
          <w:sz w:val="18"/>
          <w:szCs w:val="18"/>
          <w:color w:val="070808"/>
        </w:rPr>
        <w:t xml:space="preserve">'s possession, </w:t>
      </w:r>
      <w:r>
        <w:rPr>
          <w:rFonts w:ascii="Arial" w:cs="Arial" w:eastAsia="Arial" w:hAnsi="Arial"/>
          <w:sz w:val="18"/>
          <w:szCs w:val="18"/>
          <w:color w:val="232826"/>
        </w:rPr>
        <w:t>a</w:t>
      </w:r>
      <w:r>
        <w:rPr>
          <w:rFonts w:ascii="Arial" w:cs="Arial" w:eastAsia="Arial" w:hAnsi="Arial"/>
          <w:sz w:val="18"/>
          <w:szCs w:val="18"/>
          <w:color w:val="070808"/>
        </w:rPr>
        <w:t>nd which relate to the business of th</w:t>
      </w:r>
      <w:r>
        <w:rPr>
          <w:rFonts w:ascii="Arial" w:cs="Arial" w:eastAsia="Arial" w:hAnsi="Arial"/>
          <w:sz w:val="18"/>
          <w:szCs w:val="18"/>
          <w:color w:val="232826"/>
        </w:rPr>
        <w:t>e</w:t>
      </w:r>
      <w:r>
        <w:rPr>
          <w:rFonts w:ascii="Arial" w:cs="Arial" w:eastAsia="Arial" w:hAnsi="Arial"/>
          <w:sz w:val="18"/>
          <w:szCs w:val="18"/>
          <w:color w:val="070808"/>
        </w:rPr>
        <w:t xml:space="preserve"> Employer. Lien cannot be </w:t>
      </w:r>
      <w:r>
        <w:rPr>
          <w:rFonts w:ascii="Arial" w:cs="Arial" w:eastAsia="Arial" w:hAnsi="Arial"/>
          <w:sz w:val="18"/>
          <w:szCs w:val="18"/>
          <w:color w:val="232826"/>
        </w:rPr>
        <w:t>e</w:t>
      </w:r>
      <w:r>
        <w:rPr>
          <w:rFonts w:ascii="Arial" w:cs="Arial" w:eastAsia="Arial" w:hAnsi="Arial"/>
          <w:sz w:val="18"/>
          <w:szCs w:val="18"/>
          <w:color w:val="070808"/>
        </w:rPr>
        <w:t xml:space="preserve">xercised </w:t>
      </w:r>
      <w:r>
        <w:rPr>
          <w:rFonts w:ascii="Arial" w:cs="Arial" w:eastAsia="Arial" w:hAnsi="Arial"/>
          <w:sz w:val="18"/>
          <w:szCs w:val="18"/>
          <w:color w:val="161818"/>
        </w:rPr>
        <w:t>in any kind</w:t>
      </w:r>
      <w:r>
        <w:rPr>
          <w:rFonts w:ascii="Arial" w:cs="Arial" w:eastAsia="Arial" w:hAnsi="Arial"/>
          <w:sz w:val="18"/>
          <w:szCs w:val="18"/>
          <w:color w:val="070808"/>
        </w:rPr>
        <w:t xml:space="preserve"> of property belonging to the </w:t>
      </w:r>
      <w:r>
        <w:rPr>
          <w:rFonts w:ascii="Arial" w:cs="Arial" w:eastAsia="Arial" w:hAnsi="Arial"/>
          <w:sz w:val="18"/>
          <w:szCs w:val="18"/>
          <w:color w:val="161818"/>
        </w:rPr>
        <w:t>Employer.</w:t>
      </w:r>
    </w:p>
    <w:p>
      <w:pPr>
        <w:spacing w:after="0" w:line="188" w:lineRule="exact"/>
        <w:rPr>
          <w:sz w:val="20"/>
          <w:szCs w:val="20"/>
          <w:color w:val="auto"/>
        </w:rPr>
      </w:pPr>
    </w:p>
    <w:p>
      <w:pPr>
        <w:ind w:left="642" w:right="300" w:hanging="674"/>
        <w:spacing w:after="0" w:line="259" w:lineRule="auto"/>
        <w:tabs>
          <w:tab w:leader="none" w:pos="622" w:val="left"/>
        </w:tabs>
        <w:rPr>
          <w:sz w:val="20"/>
          <w:szCs w:val="20"/>
          <w:color w:val="auto"/>
        </w:rPr>
      </w:pPr>
      <w:r>
        <w:rPr>
          <w:rFonts w:ascii="Arial" w:cs="Arial" w:eastAsia="Arial" w:hAnsi="Arial"/>
          <w:sz w:val="18"/>
          <w:szCs w:val="18"/>
          <w:b w:val="1"/>
          <w:bCs w:val="1"/>
          <w:color w:val="232826"/>
        </w:rPr>
        <w:t>9.7</w:t>
      </w:r>
      <w:r>
        <w:rPr>
          <w:sz w:val="20"/>
          <w:szCs w:val="20"/>
          <w:color w:val="auto"/>
        </w:rPr>
        <w:tab/>
      </w:r>
      <w:r>
        <w:rPr>
          <w:rFonts w:ascii="Arial" w:cs="Arial" w:eastAsia="Arial" w:hAnsi="Arial"/>
          <w:sz w:val="18"/>
          <w:szCs w:val="18"/>
          <w:color w:val="070808"/>
        </w:rPr>
        <w:t>During the employment the Employee is prohibited from being directly, or indirectly engaged with or interested in any company or business activity, which is competing with the Employer. If the cohabiting spouse of the Empl</w:t>
      </w:r>
      <w:r>
        <w:rPr>
          <w:rFonts w:ascii="Arial" w:cs="Arial" w:eastAsia="Arial" w:hAnsi="Arial"/>
          <w:sz w:val="18"/>
          <w:szCs w:val="18"/>
          <w:color w:val="232826"/>
        </w:rPr>
        <w:t>o</w:t>
      </w:r>
      <w:r>
        <w:rPr>
          <w:rFonts w:ascii="Arial" w:cs="Arial" w:eastAsia="Arial" w:hAnsi="Arial"/>
          <w:sz w:val="18"/>
          <w:szCs w:val="18"/>
          <w:color w:val="070808"/>
        </w:rPr>
        <w:t>yee or a person with whom the Employee is living in a relationship participates in such activities, the Employer shall be informed hereof immediately.</w:t>
      </w:r>
    </w:p>
    <w:p>
      <w:pPr>
        <w:spacing w:after="0" w:line="187" w:lineRule="exact"/>
        <w:rPr>
          <w:sz w:val="20"/>
          <w:szCs w:val="20"/>
          <w:color w:val="auto"/>
        </w:rPr>
      </w:pPr>
    </w:p>
    <w:p>
      <w:pPr>
        <w:ind w:left="662" w:hanging="662"/>
        <w:spacing w:after="0"/>
        <w:tabs>
          <w:tab w:leader="none" w:pos="662" w:val="left"/>
        </w:tabs>
        <w:numPr>
          <w:ilvl w:val="0"/>
          <w:numId w:val="97"/>
        </w:numPr>
        <w:rPr>
          <w:rFonts w:ascii="Arial" w:cs="Arial" w:eastAsia="Arial" w:hAnsi="Arial"/>
          <w:sz w:val="18"/>
          <w:szCs w:val="18"/>
          <w:b w:val="1"/>
          <w:bCs w:val="1"/>
          <w:color w:val="161818"/>
        </w:rPr>
      </w:pPr>
      <w:r>
        <w:rPr>
          <w:rFonts w:ascii="Arial" w:cs="Arial" w:eastAsia="Arial" w:hAnsi="Arial"/>
          <w:sz w:val="18"/>
          <w:szCs w:val="18"/>
          <w:b w:val="1"/>
          <w:bCs w:val="1"/>
          <w:color w:val="161818"/>
        </w:rPr>
        <w:t xml:space="preserve">IT policies </w:t>
      </w:r>
      <w:r>
        <w:rPr>
          <w:rFonts w:ascii="Arial" w:cs="Arial" w:eastAsia="Arial" w:hAnsi="Arial"/>
          <w:sz w:val="18"/>
          <w:szCs w:val="18"/>
          <w:b w:val="1"/>
          <w:bCs w:val="1"/>
          <w:color w:val="070808"/>
        </w:rPr>
        <w:t>/Email</w:t>
      </w:r>
    </w:p>
    <w:p>
      <w:pPr>
        <w:spacing w:after="0" w:line="225" w:lineRule="exact"/>
        <w:rPr>
          <w:sz w:val="20"/>
          <w:szCs w:val="20"/>
          <w:color w:val="auto"/>
        </w:rPr>
      </w:pPr>
    </w:p>
    <w:p>
      <w:pPr>
        <w:ind w:left="642" w:right="80" w:hanging="674"/>
        <w:spacing w:after="0" w:line="273" w:lineRule="auto"/>
        <w:tabs>
          <w:tab w:leader="none" w:pos="622" w:val="left"/>
        </w:tabs>
        <w:rPr>
          <w:sz w:val="20"/>
          <w:szCs w:val="20"/>
          <w:color w:val="auto"/>
        </w:rPr>
      </w:pPr>
      <w:r>
        <w:rPr>
          <w:rFonts w:ascii="Arial" w:cs="Arial" w:eastAsia="Arial" w:hAnsi="Arial"/>
          <w:sz w:val="18"/>
          <w:szCs w:val="18"/>
          <w:b w:val="1"/>
          <w:bCs w:val="1"/>
          <w:color w:val="161818"/>
        </w:rPr>
        <w:t>10.1</w:t>
      </w:r>
      <w:r>
        <w:rPr>
          <w:sz w:val="20"/>
          <w:szCs w:val="20"/>
          <w:color w:val="auto"/>
        </w:rPr>
        <w:tab/>
      </w:r>
      <w:r>
        <w:rPr>
          <w:rFonts w:ascii="Arial" w:cs="Arial" w:eastAsia="Arial" w:hAnsi="Arial"/>
          <w:sz w:val="17"/>
          <w:szCs w:val="17"/>
          <w:color w:val="070808"/>
        </w:rPr>
        <w:t>The Employer provides the Employee the use of internet and the use of email, in order to facilitate information search and increase the possibilities of communication in the performance of his/her duties for the Employer. For the purposes of the performance of his/her duties, the Employee will be provided with a specific email account. The Employer considers the Employee's emails and attached files (except for emails specificall</w:t>
      </w:r>
      <w:r>
        <w:rPr>
          <w:rFonts w:ascii="Arial" w:cs="Arial" w:eastAsia="Arial" w:hAnsi="Arial"/>
          <w:sz w:val="17"/>
          <w:szCs w:val="17"/>
          <w:color w:val="232826"/>
        </w:rPr>
        <w:t>y marked</w:t>
      </w:r>
      <w:r>
        <w:rPr>
          <w:rFonts w:ascii="Arial" w:cs="Arial" w:eastAsia="Arial" w:hAnsi="Arial"/>
          <w:sz w:val="17"/>
          <w:szCs w:val="17"/>
          <w:color w:val="070808"/>
        </w:rPr>
        <w:t xml:space="preserve"> "personal" or "private", cf. clause 10.4 below), as the property of the Employer, and the Employee accepts that the Employer has access to the said email account in connection with illness, holidays, training courses, termination, etc</w:t>
      </w:r>
      <w:r>
        <w:rPr>
          <w:rFonts w:ascii="Arial" w:cs="Arial" w:eastAsia="Arial" w:hAnsi="Arial"/>
          <w:sz w:val="17"/>
          <w:szCs w:val="17"/>
          <w:color w:val="232826"/>
        </w:rPr>
        <w:t>.</w:t>
      </w:r>
    </w:p>
    <w:p>
      <w:pPr>
        <w:spacing w:after="0" w:line="178" w:lineRule="exact"/>
        <w:rPr>
          <w:sz w:val="20"/>
          <w:szCs w:val="20"/>
          <w:color w:val="auto"/>
        </w:rPr>
      </w:pPr>
    </w:p>
    <w:p>
      <w:pPr>
        <w:ind w:left="662" w:right="160" w:hanging="674"/>
        <w:spacing w:after="0" w:line="263" w:lineRule="auto"/>
        <w:tabs>
          <w:tab w:leader="none" w:pos="642" w:val="left"/>
        </w:tabs>
        <w:rPr>
          <w:sz w:val="20"/>
          <w:szCs w:val="20"/>
          <w:color w:val="auto"/>
        </w:rPr>
      </w:pPr>
      <w:r>
        <w:rPr>
          <w:rFonts w:ascii="Arial" w:cs="Arial" w:eastAsia="Arial" w:hAnsi="Arial"/>
          <w:sz w:val="18"/>
          <w:szCs w:val="18"/>
          <w:b w:val="1"/>
          <w:bCs w:val="1"/>
          <w:color w:val="161818"/>
        </w:rPr>
        <w:t>10.2</w:t>
      </w:r>
      <w:r>
        <w:rPr>
          <w:sz w:val="20"/>
          <w:szCs w:val="20"/>
          <w:color w:val="auto"/>
        </w:rPr>
        <w:tab/>
      </w:r>
      <w:r>
        <w:rPr>
          <w:rFonts w:ascii="Arial" w:cs="Arial" w:eastAsia="Arial" w:hAnsi="Arial"/>
          <w:sz w:val="18"/>
          <w:szCs w:val="18"/>
          <w:color w:val="070808"/>
        </w:rPr>
        <w:t>Use of the internet access and use of emails shall take place in accordance with the Employer's IT Policy which is part of the Employee Handbook. In order to ensure observance of the rules for IT security and in order to avoid or remedy system failures, the IT Administrator may open all emails and any attachments thereto.</w:t>
      </w:r>
    </w:p>
    <w:p>
      <w:pPr>
        <w:spacing w:after="0" w:line="184" w:lineRule="exact"/>
        <w:rPr>
          <w:sz w:val="20"/>
          <w:szCs w:val="20"/>
          <w:color w:val="auto"/>
        </w:rPr>
      </w:pPr>
    </w:p>
    <w:p>
      <w:pPr>
        <w:ind w:left="642" w:right="400" w:hanging="661"/>
        <w:spacing w:after="0" w:line="308" w:lineRule="auto"/>
        <w:tabs>
          <w:tab w:leader="none" w:pos="622" w:val="left"/>
        </w:tabs>
        <w:rPr>
          <w:sz w:val="20"/>
          <w:szCs w:val="20"/>
          <w:color w:val="auto"/>
        </w:rPr>
      </w:pPr>
      <w:r>
        <w:rPr>
          <w:rFonts w:ascii="Arial" w:cs="Arial" w:eastAsia="Arial" w:hAnsi="Arial"/>
          <w:sz w:val="18"/>
          <w:szCs w:val="18"/>
          <w:b w:val="1"/>
          <w:bCs w:val="1"/>
          <w:color w:val="161818"/>
        </w:rPr>
        <w:t>10.3</w:t>
      </w:r>
      <w:r>
        <w:rPr>
          <w:sz w:val="20"/>
          <w:szCs w:val="20"/>
          <w:color w:val="auto"/>
        </w:rPr>
        <w:tab/>
      </w:r>
      <w:r>
        <w:rPr>
          <w:rFonts w:ascii="Arial" w:cs="Arial" w:eastAsia="Arial" w:hAnsi="Arial"/>
          <w:sz w:val="17"/>
          <w:szCs w:val="17"/>
          <w:color w:val="070808"/>
        </w:rPr>
        <w:t>Use of the internet access and use of emails for private purposes may only take place to the extent it is consistent with the Employee's performance of his/her work for the Employer and in compliance with the Employer's IT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575945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2"/>
          </w:cols>
          <w:pgMar w:left="1118" w:top="665" w:right="9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8</w:t>
      </w:r>
    </w:p>
    <w:p>
      <w:pPr>
        <w:spacing w:after="0" w:line="221" w:lineRule="exact"/>
        <w:rPr>
          <w:sz w:val="20"/>
          <w:szCs w:val="20"/>
          <w:color w:val="auto"/>
        </w:rPr>
      </w:pPr>
    </w:p>
    <w:p>
      <w:pPr>
        <w:ind w:left="680" w:right="140" w:hanging="674"/>
        <w:spacing w:after="0" w:line="259" w:lineRule="auto"/>
        <w:tabs>
          <w:tab w:leader="none" w:pos="6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color w:val="auto"/>
        </w:rPr>
        <w:t xml:space="preserve">Emails sent to and/or from the Employee are considered the property of the Employer, unless the email is marked "personal" or "private" in the subject field (hereinafter referred to as </w:t>
      </w:r>
      <w:r>
        <w:rPr>
          <w:rFonts w:ascii="Arial" w:cs="Arial" w:eastAsia="Arial" w:hAnsi="Arial"/>
          <w:sz w:val="18"/>
          <w:szCs w:val="18"/>
          <w:i w:val="1"/>
          <w:iCs w:val="1"/>
          <w:color w:val="auto"/>
        </w:rPr>
        <w:t>"Private Emails").</w:t>
      </w:r>
      <w:r>
        <w:rPr>
          <w:rFonts w:ascii="Arial" w:cs="Arial" w:eastAsia="Arial" w:hAnsi="Arial"/>
          <w:sz w:val="18"/>
          <w:szCs w:val="18"/>
          <w:color w:val="auto"/>
        </w:rPr>
        <w:t xml:space="preserve"> The latter emails are considered the property of the Employee. The Employee should note, however, that any emails may be opened and read by the IT Administrator, cf. clause 10.6.</w:t>
      </w:r>
    </w:p>
    <w:p>
      <w:pPr>
        <w:spacing w:after="0" w:line="187" w:lineRule="exact"/>
        <w:rPr>
          <w:sz w:val="20"/>
          <w:szCs w:val="20"/>
          <w:color w:val="auto"/>
        </w:rPr>
      </w:pPr>
    </w:p>
    <w:p>
      <w:pPr>
        <w:ind w:left="680" w:right="20" w:hanging="674"/>
        <w:spacing w:after="0" w:line="257" w:lineRule="auto"/>
        <w:tabs>
          <w:tab w:leader="none" w:pos="6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8"/>
          <w:szCs w:val="18"/>
          <w:color w:val="auto"/>
        </w:rPr>
        <w:t>It is the responsibility of the Employee that Private Emails are deleted from the Employee's email account upon termination of the employment. Private Emails not deleted at the end of the employment, shall be deleted by the Employer. The Employer will decide the time for the closing of the Employee's email account. Emails received between termination of the employment and the closing of the email account, shall be opened by the Employer. However, this will not apply to Private Emails, unless circumstances so prescribe.</w:t>
      </w:r>
    </w:p>
    <w:p>
      <w:pPr>
        <w:spacing w:after="0" w:line="188" w:lineRule="exact"/>
        <w:rPr>
          <w:sz w:val="20"/>
          <w:szCs w:val="20"/>
          <w:color w:val="auto"/>
        </w:rPr>
      </w:pPr>
    </w:p>
    <w:p>
      <w:pPr>
        <w:ind w:left="680" w:right="60" w:hanging="674"/>
        <w:spacing w:after="0" w:line="257" w:lineRule="auto"/>
        <w:tabs>
          <w:tab w:leader="none" w:pos="6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8"/>
          <w:szCs w:val="18"/>
          <w:color w:val="auto"/>
        </w:rPr>
        <w:t>The Employee's movements on the internet will be registered in a central log file, while another central log file shall contain copies of all emails sent to and from the Employee's email account. The Employer has the right at all times, to control that the above rules and the rules of the IT Policy are observed. The IT administrator may open all emails and at-attachments and obtain knowledge of any movements on the internet, if and to the extent this is necessary in connection with such control. Said control will be performed with random compliance checks.</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color w:val="auto"/>
        </w:rPr>
        <w:t>Reference is made to the IT-Policy which is part of the Employment Handbook.</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color w:val="auto"/>
        </w:rPr>
        <w:t>Gross or repeated violations of the above rules including the IT-Policy may result in dismissal.</w:t>
      </w:r>
    </w:p>
    <w:p>
      <w:pPr>
        <w:spacing w:after="0" w:line="225" w:lineRule="exact"/>
        <w:rPr>
          <w:sz w:val="20"/>
          <w:szCs w:val="20"/>
          <w:color w:val="auto"/>
        </w:rPr>
      </w:pPr>
    </w:p>
    <w:p>
      <w:pPr>
        <w:ind w:left="700" w:hanging="690"/>
        <w:spacing w:after="0"/>
        <w:tabs>
          <w:tab w:leader="none" w:pos="7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p>
    <w:p>
      <w:pPr>
        <w:spacing w:after="0" w:line="229" w:lineRule="exact"/>
        <w:rPr>
          <w:rFonts w:ascii="Arial" w:cs="Arial" w:eastAsia="Arial" w:hAnsi="Arial"/>
          <w:sz w:val="18"/>
          <w:szCs w:val="18"/>
          <w:b w:val="1"/>
          <w:bCs w:val="1"/>
          <w:color w:val="auto"/>
        </w:rPr>
      </w:pPr>
    </w:p>
    <w:p>
      <w:pPr>
        <w:jc w:val="both"/>
        <w:ind w:left="700" w:hanging="1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Employer processes personal data of the Employee such as name, social security number, address, nationality and bank account details for the use of salary and personnel administration. Reference is made to the "GDPR Privacy Notice to Employees", which is part of the Employment Handbook.</w:t>
      </w:r>
    </w:p>
    <w:p>
      <w:pPr>
        <w:spacing w:after="0" w:line="179" w:lineRule="exact"/>
        <w:rPr>
          <w:rFonts w:ascii="Arial" w:cs="Arial" w:eastAsia="Arial" w:hAnsi="Arial"/>
          <w:sz w:val="18"/>
          <w:szCs w:val="18"/>
          <w:b w:val="1"/>
          <w:bCs w:val="1"/>
          <w:color w:val="auto"/>
        </w:rPr>
      </w:pPr>
    </w:p>
    <w:p>
      <w:pPr>
        <w:ind w:left="720" w:hanging="702"/>
        <w:spacing w:after="0"/>
        <w:tabs>
          <w:tab w:leader="none" w:pos="7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Absence/Illness</w:t>
      </w:r>
    </w:p>
    <w:p>
      <w:pPr>
        <w:spacing w:after="0" w:line="229" w:lineRule="exact"/>
        <w:rPr>
          <w:rFonts w:ascii="Arial" w:cs="Arial" w:eastAsia="Arial" w:hAnsi="Arial"/>
          <w:sz w:val="18"/>
          <w:szCs w:val="18"/>
          <w:b w:val="1"/>
          <w:bCs w:val="1"/>
          <w:color w:val="auto"/>
        </w:rPr>
      </w:pPr>
    </w:p>
    <w:p>
      <w:pPr>
        <w:jc w:val="both"/>
        <w:ind w:left="720" w:firstLine="3"/>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If the Employee is absent due to illness or for other reasons, his/her absence must be reported to the Employer immediately at the start of the first working day of his/her illness. Detailed rules on documentation, reporting and Employee's obligation to assist the Employer in receiving sick pay reimbursement are set forth in the Employee Handbook.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583565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665" w:right="9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9</w:t>
      </w:r>
    </w:p>
    <w:p>
      <w:pPr>
        <w:spacing w:after="0" w:line="221" w:lineRule="exact"/>
        <w:rPr>
          <w:sz w:val="20"/>
          <w:szCs w:val="20"/>
          <w:color w:val="auto"/>
        </w:rPr>
      </w:pPr>
    </w:p>
    <w:p>
      <w:pPr>
        <w:ind w:left="700" w:hanging="670"/>
        <w:spacing w:after="0"/>
        <w:tabs>
          <w:tab w:leader="none" w:pos="700" w:val="left"/>
        </w:tabs>
        <w:numPr>
          <w:ilvl w:val="0"/>
          <w:numId w:val="99"/>
        </w:numPr>
        <w:rPr>
          <w:rFonts w:ascii="Arial" w:cs="Arial" w:eastAsia="Arial" w:hAnsi="Arial"/>
          <w:sz w:val="18"/>
          <w:szCs w:val="18"/>
          <w:b w:val="1"/>
          <w:bCs w:val="1"/>
          <w:color w:val="282D2D"/>
        </w:rPr>
      </w:pPr>
      <w:r>
        <w:rPr>
          <w:rFonts w:ascii="Arial" w:cs="Arial" w:eastAsia="Arial" w:hAnsi="Arial"/>
          <w:sz w:val="18"/>
          <w:szCs w:val="18"/>
          <w:b w:val="1"/>
          <w:bCs w:val="1"/>
          <w:color w:val="282D2D"/>
        </w:rPr>
        <w:t>C</w:t>
      </w:r>
      <w:r>
        <w:rPr>
          <w:rFonts w:ascii="Arial" w:cs="Arial" w:eastAsia="Arial" w:hAnsi="Arial"/>
          <w:sz w:val="18"/>
          <w:szCs w:val="18"/>
          <w:b w:val="1"/>
          <w:bCs w:val="1"/>
          <w:color w:val="0C0C0C"/>
        </w:rPr>
        <w:t>olle</w:t>
      </w:r>
      <w:r>
        <w:rPr>
          <w:rFonts w:ascii="Arial" w:cs="Arial" w:eastAsia="Arial" w:hAnsi="Arial"/>
          <w:sz w:val="18"/>
          <w:szCs w:val="18"/>
          <w:b w:val="1"/>
          <w:bCs w:val="1"/>
          <w:color w:val="383F3D"/>
        </w:rPr>
        <w:t>ct</w:t>
      </w:r>
      <w:r>
        <w:rPr>
          <w:rFonts w:ascii="Arial" w:cs="Arial" w:eastAsia="Arial" w:hAnsi="Arial"/>
          <w:sz w:val="18"/>
          <w:szCs w:val="18"/>
          <w:b w:val="1"/>
          <w:bCs w:val="1"/>
          <w:color w:val="0C0C0C"/>
        </w:rPr>
        <w:t>i</w:t>
      </w:r>
      <w:r>
        <w:rPr>
          <w:rFonts w:ascii="Arial" w:cs="Arial" w:eastAsia="Arial" w:hAnsi="Arial"/>
          <w:sz w:val="18"/>
          <w:szCs w:val="18"/>
          <w:b w:val="1"/>
          <w:bCs w:val="1"/>
          <w:color w:val="282D2D"/>
        </w:rPr>
        <w:t>v</w:t>
      </w:r>
      <w:r>
        <w:rPr>
          <w:rFonts w:ascii="Arial" w:cs="Arial" w:eastAsia="Arial" w:hAnsi="Arial"/>
          <w:sz w:val="18"/>
          <w:szCs w:val="18"/>
          <w:b w:val="1"/>
          <w:bCs w:val="1"/>
          <w:color w:val="465250"/>
        </w:rPr>
        <w:t>e</w:t>
      </w:r>
      <w:r>
        <w:rPr>
          <w:rFonts w:ascii="Arial" w:cs="Arial" w:eastAsia="Arial" w:hAnsi="Arial"/>
          <w:sz w:val="18"/>
          <w:szCs w:val="18"/>
          <w:b w:val="1"/>
          <w:bCs w:val="1"/>
          <w:color w:val="282D2D"/>
        </w:rPr>
        <w:t xml:space="preserve"> Ag</w:t>
      </w:r>
      <w:r>
        <w:rPr>
          <w:rFonts w:ascii="Arial" w:cs="Arial" w:eastAsia="Arial" w:hAnsi="Arial"/>
          <w:sz w:val="18"/>
          <w:szCs w:val="18"/>
          <w:b w:val="1"/>
          <w:bCs w:val="1"/>
          <w:color w:val="0C0C0C"/>
        </w:rPr>
        <w:t>r</w:t>
      </w:r>
      <w:r>
        <w:rPr>
          <w:rFonts w:ascii="Arial" w:cs="Arial" w:eastAsia="Arial" w:hAnsi="Arial"/>
          <w:sz w:val="18"/>
          <w:szCs w:val="18"/>
          <w:b w:val="1"/>
          <w:bCs w:val="1"/>
          <w:color w:val="282D2D"/>
        </w:rPr>
        <w:t>e</w:t>
      </w:r>
      <w:r>
        <w:rPr>
          <w:rFonts w:ascii="Arial" w:cs="Arial" w:eastAsia="Arial" w:hAnsi="Arial"/>
          <w:sz w:val="18"/>
          <w:szCs w:val="18"/>
          <w:b w:val="1"/>
          <w:bCs w:val="1"/>
          <w:color w:val="465250"/>
        </w:rPr>
        <w:t>e</w:t>
      </w:r>
      <w:r>
        <w:rPr>
          <w:rFonts w:ascii="Arial" w:cs="Arial" w:eastAsia="Arial" w:hAnsi="Arial"/>
          <w:sz w:val="18"/>
          <w:szCs w:val="18"/>
          <w:b w:val="1"/>
          <w:bCs w:val="1"/>
          <w:color w:val="282D2D"/>
        </w:rPr>
        <w:t>me</w:t>
      </w:r>
      <w:r>
        <w:rPr>
          <w:rFonts w:ascii="Arial" w:cs="Arial" w:eastAsia="Arial" w:hAnsi="Arial"/>
          <w:sz w:val="18"/>
          <w:szCs w:val="18"/>
          <w:b w:val="1"/>
          <w:bCs w:val="1"/>
          <w:color w:val="0C0C0C"/>
        </w:rPr>
        <w:t>n</w:t>
      </w:r>
      <w:r>
        <w:rPr>
          <w:rFonts w:ascii="Arial" w:cs="Arial" w:eastAsia="Arial" w:hAnsi="Arial"/>
          <w:sz w:val="18"/>
          <w:szCs w:val="18"/>
          <w:b w:val="1"/>
          <w:bCs w:val="1"/>
          <w:color w:val="282D2D"/>
        </w:rPr>
        <w:t>t s a</w:t>
      </w:r>
      <w:r>
        <w:rPr>
          <w:rFonts w:ascii="Arial" w:cs="Arial" w:eastAsia="Arial" w:hAnsi="Arial"/>
          <w:sz w:val="18"/>
          <w:szCs w:val="18"/>
          <w:b w:val="1"/>
          <w:bCs w:val="1"/>
          <w:color w:val="0C0C0C"/>
        </w:rPr>
        <w:t>n</w:t>
      </w:r>
      <w:r>
        <w:rPr>
          <w:rFonts w:ascii="Arial" w:cs="Arial" w:eastAsia="Arial" w:hAnsi="Arial"/>
          <w:sz w:val="18"/>
          <w:szCs w:val="18"/>
          <w:b w:val="1"/>
          <w:bCs w:val="1"/>
          <w:color w:val="282D2D"/>
        </w:rPr>
        <w:t xml:space="preserve">d </w:t>
      </w:r>
      <w:r>
        <w:rPr>
          <w:rFonts w:ascii="Arial" w:cs="Arial" w:eastAsia="Arial" w:hAnsi="Arial"/>
          <w:sz w:val="18"/>
          <w:szCs w:val="18"/>
          <w:b w:val="1"/>
          <w:bCs w:val="1"/>
          <w:color w:val="383F3D"/>
        </w:rPr>
        <w:t>Emp</w:t>
      </w:r>
      <w:r>
        <w:rPr>
          <w:rFonts w:ascii="Arial" w:cs="Arial" w:eastAsia="Arial" w:hAnsi="Arial"/>
          <w:sz w:val="18"/>
          <w:szCs w:val="18"/>
          <w:b w:val="1"/>
          <w:bCs w:val="1"/>
          <w:color w:val="0C0C0C"/>
        </w:rPr>
        <w:t>l</w:t>
      </w:r>
      <w:r>
        <w:rPr>
          <w:rFonts w:ascii="Arial" w:cs="Arial" w:eastAsia="Arial" w:hAnsi="Arial"/>
          <w:sz w:val="18"/>
          <w:szCs w:val="18"/>
          <w:b w:val="1"/>
          <w:bCs w:val="1"/>
          <w:color w:val="282D2D"/>
        </w:rPr>
        <w:t>o</w:t>
      </w:r>
      <w:r>
        <w:rPr>
          <w:rFonts w:ascii="Arial" w:cs="Arial" w:eastAsia="Arial" w:hAnsi="Arial"/>
          <w:sz w:val="18"/>
          <w:szCs w:val="18"/>
          <w:b w:val="1"/>
          <w:bCs w:val="1"/>
          <w:color w:val="0C0C0C"/>
        </w:rPr>
        <w:t>y</w:t>
      </w:r>
      <w:r>
        <w:rPr>
          <w:rFonts w:ascii="Arial" w:cs="Arial" w:eastAsia="Arial" w:hAnsi="Arial"/>
          <w:sz w:val="18"/>
          <w:szCs w:val="18"/>
          <w:b w:val="1"/>
          <w:bCs w:val="1"/>
          <w:color w:val="383F3D"/>
        </w:rPr>
        <w:t>ee</w:t>
      </w:r>
      <w:r>
        <w:rPr>
          <w:rFonts w:ascii="Arial" w:cs="Arial" w:eastAsia="Arial" w:hAnsi="Arial"/>
          <w:sz w:val="18"/>
          <w:szCs w:val="18"/>
          <w:b w:val="1"/>
          <w:bCs w:val="1"/>
          <w:color w:val="282D2D"/>
        </w:rPr>
        <w:t xml:space="preserve"> Ha</w:t>
      </w:r>
      <w:r>
        <w:rPr>
          <w:rFonts w:ascii="Arial" w:cs="Arial" w:eastAsia="Arial" w:hAnsi="Arial"/>
          <w:sz w:val="18"/>
          <w:szCs w:val="18"/>
          <w:b w:val="1"/>
          <w:bCs w:val="1"/>
          <w:color w:val="0C0C0C"/>
        </w:rPr>
        <w:t>n</w:t>
      </w:r>
      <w:r>
        <w:rPr>
          <w:rFonts w:ascii="Arial" w:cs="Arial" w:eastAsia="Arial" w:hAnsi="Arial"/>
          <w:sz w:val="18"/>
          <w:szCs w:val="18"/>
          <w:b w:val="1"/>
          <w:bCs w:val="1"/>
          <w:color w:val="282D2D"/>
        </w:rPr>
        <w:t>dboo</w:t>
      </w:r>
      <w:r>
        <w:rPr>
          <w:rFonts w:ascii="Arial" w:cs="Arial" w:eastAsia="Arial" w:hAnsi="Arial"/>
          <w:sz w:val="18"/>
          <w:szCs w:val="18"/>
          <w:b w:val="1"/>
          <w:bCs w:val="1"/>
          <w:color w:val="0C0C0C"/>
        </w:rPr>
        <w:t>k</w:t>
      </w:r>
    </w:p>
    <w:p>
      <w:pPr>
        <w:spacing w:after="0" w:line="22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b w:val="1"/>
          <w:bCs w:val="1"/>
          <w:color w:val="0C0C0C"/>
        </w:rPr>
        <w:t>13.1</w:t>
      </w:r>
      <w:r>
        <w:rPr>
          <w:sz w:val="20"/>
          <w:szCs w:val="20"/>
          <w:color w:val="auto"/>
        </w:rPr>
        <w:tab/>
      </w:r>
      <w:r>
        <w:rPr>
          <w:rFonts w:ascii="Arial" w:cs="Arial" w:eastAsia="Arial" w:hAnsi="Arial"/>
          <w:sz w:val="16"/>
          <w:szCs w:val="16"/>
          <w:color w:val="0C0C0C"/>
        </w:rPr>
        <w:t>The employment is not regul</w:t>
      </w:r>
      <w:r>
        <w:rPr>
          <w:rFonts w:ascii="Arial" w:cs="Arial" w:eastAsia="Arial" w:hAnsi="Arial"/>
          <w:sz w:val="16"/>
          <w:szCs w:val="16"/>
          <w:color w:val="383F3D"/>
        </w:rPr>
        <w:t>at</w:t>
      </w:r>
      <w:r>
        <w:rPr>
          <w:rFonts w:ascii="Arial" w:cs="Arial" w:eastAsia="Arial" w:hAnsi="Arial"/>
          <w:sz w:val="16"/>
          <w:szCs w:val="16"/>
          <w:color w:val="0C0C0C"/>
        </w:rPr>
        <w:t>ed by a collective agreement.</w:t>
      </w:r>
    </w:p>
    <w:p>
      <w:pPr>
        <w:spacing w:after="0" w:line="225" w:lineRule="exact"/>
        <w:rPr>
          <w:sz w:val="20"/>
          <w:szCs w:val="20"/>
          <w:color w:val="auto"/>
        </w:rPr>
      </w:pPr>
    </w:p>
    <w:p>
      <w:pPr>
        <w:jc w:val="both"/>
        <w:ind w:left="700" w:hanging="674"/>
        <w:spacing w:after="0" w:line="254" w:lineRule="auto"/>
        <w:tabs>
          <w:tab w:leader="none" w:pos="680" w:val="left"/>
        </w:tabs>
        <w:rPr>
          <w:sz w:val="20"/>
          <w:szCs w:val="20"/>
          <w:color w:val="auto"/>
        </w:rPr>
      </w:pPr>
      <w:r>
        <w:rPr>
          <w:rFonts w:ascii="Arial" w:cs="Arial" w:eastAsia="Arial" w:hAnsi="Arial"/>
          <w:sz w:val="18"/>
          <w:szCs w:val="18"/>
          <w:b w:val="1"/>
          <w:bCs w:val="1"/>
          <w:color w:val="282D2D"/>
        </w:rPr>
        <w:t>13</w:t>
      </w:r>
      <w:r>
        <w:rPr>
          <w:rFonts w:ascii="Arial" w:cs="Arial" w:eastAsia="Arial" w:hAnsi="Arial"/>
          <w:sz w:val="18"/>
          <w:szCs w:val="18"/>
          <w:b w:val="1"/>
          <w:bCs w:val="1"/>
          <w:color w:val="0C0C0C"/>
        </w:rPr>
        <w:t>.</w:t>
      </w:r>
      <w:r>
        <w:rPr>
          <w:rFonts w:ascii="Arial" w:cs="Arial" w:eastAsia="Arial" w:hAnsi="Arial"/>
          <w:sz w:val="18"/>
          <w:szCs w:val="18"/>
          <w:b w:val="1"/>
          <w:bCs w:val="1"/>
          <w:color w:val="383F3D"/>
        </w:rPr>
        <w:t>2</w:t>
      </w:r>
      <w:r>
        <w:rPr>
          <w:sz w:val="20"/>
          <w:szCs w:val="20"/>
          <w:color w:val="auto"/>
        </w:rPr>
        <w:tab/>
      </w:r>
      <w:r>
        <w:rPr>
          <w:rFonts w:ascii="Arial" w:cs="Arial" w:eastAsia="Arial" w:hAnsi="Arial"/>
          <w:sz w:val="18"/>
          <w:szCs w:val="18"/>
          <w:color w:val="0C0C0C"/>
        </w:rPr>
        <w:t>An Employee Handbook is handed out to the Employee in connection with the conclusion of this Employment Contract. The Employe</w:t>
      </w:r>
      <w:r>
        <w:rPr>
          <w:rFonts w:ascii="Arial" w:cs="Arial" w:eastAsia="Arial" w:hAnsi="Arial"/>
          <w:sz w:val="18"/>
          <w:szCs w:val="18"/>
          <w:color w:val="282D2D"/>
        </w:rPr>
        <w:t>e</w:t>
      </w:r>
      <w:r>
        <w:rPr>
          <w:rFonts w:ascii="Arial" w:cs="Arial" w:eastAsia="Arial" w:hAnsi="Arial"/>
          <w:sz w:val="18"/>
          <w:szCs w:val="18"/>
          <w:color w:val="0C0C0C"/>
        </w:rPr>
        <w:t xml:space="preserve"> Handbook (including all exhibits mentioned therein) be considered an integral part of this Employment Contract. The Employe</w:t>
      </w:r>
      <w:r>
        <w:rPr>
          <w:rFonts w:ascii="Arial" w:cs="Arial" w:eastAsia="Arial" w:hAnsi="Arial"/>
          <w:sz w:val="18"/>
          <w:szCs w:val="18"/>
          <w:color w:val="282D2D"/>
        </w:rPr>
        <w:t>e</w:t>
      </w:r>
      <w:r>
        <w:rPr>
          <w:rFonts w:ascii="Arial" w:cs="Arial" w:eastAsia="Arial" w:hAnsi="Arial"/>
          <w:sz w:val="18"/>
          <w:szCs w:val="18"/>
          <w:color w:val="0C0C0C"/>
        </w:rPr>
        <w:t xml:space="preserve"> Handbook cont</w:t>
      </w:r>
      <w:r>
        <w:rPr>
          <w:rFonts w:ascii="Arial" w:cs="Arial" w:eastAsia="Arial" w:hAnsi="Arial"/>
          <w:sz w:val="18"/>
          <w:szCs w:val="18"/>
          <w:color w:val="282D2D"/>
        </w:rPr>
        <w:t>ai</w:t>
      </w:r>
      <w:r>
        <w:rPr>
          <w:rFonts w:ascii="Arial" w:cs="Arial" w:eastAsia="Arial" w:hAnsi="Arial"/>
          <w:sz w:val="18"/>
          <w:szCs w:val="18"/>
          <w:color w:val="0C0C0C"/>
        </w:rPr>
        <w:t xml:space="preserve">ns </w:t>
      </w:r>
      <w:r>
        <w:rPr>
          <w:rFonts w:ascii="Arial" w:cs="Arial" w:eastAsia="Arial" w:hAnsi="Arial"/>
          <w:sz w:val="18"/>
          <w:szCs w:val="18"/>
          <w:color w:val="282D2D"/>
        </w:rPr>
        <w:t>a</w:t>
      </w:r>
      <w:r>
        <w:rPr>
          <w:rFonts w:ascii="Arial" w:cs="Arial" w:eastAsia="Arial" w:hAnsi="Arial"/>
          <w:sz w:val="18"/>
          <w:szCs w:val="18"/>
          <w:color w:val="0C0C0C"/>
        </w:rPr>
        <w:t xml:space="preserve"> number of condition</w:t>
      </w:r>
      <w:r>
        <w:rPr>
          <w:rFonts w:ascii="Arial" w:cs="Arial" w:eastAsia="Arial" w:hAnsi="Arial"/>
          <w:sz w:val="18"/>
          <w:szCs w:val="18"/>
          <w:color w:val="282D2D"/>
        </w:rPr>
        <w:t>s</w:t>
      </w:r>
      <w:r>
        <w:rPr>
          <w:rFonts w:ascii="Arial" w:cs="Arial" w:eastAsia="Arial" w:hAnsi="Arial"/>
          <w:sz w:val="18"/>
          <w:szCs w:val="18"/>
          <w:color w:val="0C0C0C"/>
        </w:rPr>
        <w:t xml:space="preserve"> that </w:t>
      </w:r>
      <w:r>
        <w:rPr>
          <w:rFonts w:ascii="Arial" w:cs="Arial" w:eastAsia="Arial" w:hAnsi="Arial"/>
          <w:sz w:val="18"/>
          <w:szCs w:val="18"/>
          <w:color w:val="282D2D"/>
        </w:rPr>
        <w:t>ar</w:t>
      </w:r>
      <w:r>
        <w:rPr>
          <w:rFonts w:ascii="Arial" w:cs="Arial" w:eastAsia="Arial" w:hAnsi="Arial"/>
          <w:sz w:val="18"/>
          <w:szCs w:val="18"/>
          <w:color w:val="0C0C0C"/>
        </w:rPr>
        <w:t>e significant for the employment relationship, including without limitation the following: (a) non-smoking &amp; alcohol policy, (b) rights in connection with children's illness, (c) ru</w:t>
      </w:r>
      <w:r>
        <w:rPr>
          <w:rFonts w:ascii="Arial" w:cs="Arial" w:eastAsia="Arial" w:hAnsi="Arial"/>
          <w:sz w:val="18"/>
          <w:szCs w:val="18"/>
          <w:color w:val="282D2D"/>
        </w:rPr>
        <w:t>l</w:t>
      </w:r>
      <w:r>
        <w:rPr>
          <w:rFonts w:ascii="Arial" w:cs="Arial" w:eastAsia="Arial" w:hAnsi="Arial"/>
          <w:sz w:val="18"/>
          <w:szCs w:val="18"/>
          <w:color w:val="0C0C0C"/>
        </w:rPr>
        <w:t>es regarding paternity, maternity leave/adoption, (d) Code of Conduct and other mandatory internal rules and codes including without limitation relating to: (1) Anti-Bribery and Anti-Corruption, (2) Insider Trading, (3) Related Party Transactions, (4) Whistle</w:t>
      </w:r>
      <w:r>
        <w:rPr>
          <w:rFonts w:ascii="Arial" w:cs="Arial" w:eastAsia="Arial" w:hAnsi="Arial"/>
          <w:sz w:val="18"/>
          <w:szCs w:val="18"/>
          <w:color w:val="282D2D"/>
        </w:rPr>
        <w:t>-</w:t>
      </w:r>
      <w:r>
        <w:rPr>
          <w:rFonts w:ascii="Arial" w:cs="Arial" w:eastAsia="Arial" w:hAnsi="Arial"/>
          <w:sz w:val="18"/>
          <w:szCs w:val="18"/>
          <w:color w:val="0C0C0C"/>
        </w:rPr>
        <w:t>Blower and (5) IT-Policy.</w:t>
      </w:r>
    </w:p>
    <w:p>
      <w:pPr>
        <w:spacing w:after="0" w:line="195" w:lineRule="exact"/>
        <w:rPr>
          <w:sz w:val="20"/>
          <w:szCs w:val="20"/>
          <w:color w:val="auto"/>
        </w:rPr>
      </w:pPr>
    </w:p>
    <w:p>
      <w:pPr>
        <w:ind w:left="680" w:right="80" w:hanging="674"/>
        <w:spacing w:after="0" w:line="257" w:lineRule="auto"/>
        <w:tabs>
          <w:tab w:leader="none" w:pos="660" w:val="left"/>
        </w:tabs>
        <w:rPr>
          <w:sz w:val="20"/>
          <w:szCs w:val="20"/>
          <w:color w:val="auto"/>
        </w:rPr>
      </w:pPr>
      <w:r>
        <w:rPr>
          <w:rFonts w:ascii="Arial" w:cs="Arial" w:eastAsia="Arial" w:hAnsi="Arial"/>
          <w:sz w:val="18"/>
          <w:szCs w:val="18"/>
          <w:b w:val="1"/>
          <w:bCs w:val="1"/>
          <w:color w:val="0C0C0C"/>
        </w:rPr>
        <w:t>13.3</w:t>
      </w:r>
      <w:r>
        <w:rPr>
          <w:sz w:val="20"/>
          <w:szCs w:val="20"/>
          <w:color w:val="auto"/>
        </w:rPr>
        <w:tab/>
      </w:r>
      <w:r>
        <w:rPr>
          <w:rFonts w:ascii="Arial" w:cs="Arial" w:eastAsia="Arial" w:hAnsi="Arial"/>
          <w:sz w:val="18"/>
          <w:szCs w:val="18"/>
          <w:color w:val="0C0C0C"/>
        </w:rPr>
        <w:t>The shares of the Employer's parent company Y-mAbs Therapeutics Inc., are listed on NASDAQ in New York and as a result Y-mAbs Therapeutics Inc. is subject to stringent public reporting requirements and all trading in the shares of Y-mAbs Therapeutics Inc., must comply with all applicable laws and regulations concerning securities trading, commonly known as "insider trading". Please refer to the In sider Trading Policy for guidelines with respect to transactions in Y-mAbs Therapeutics Inc.' securities and in the securities of any company partner.</w:t>
      </w:r>
    </w:p>
    <w:p>
      <w:pPr>
        <w:spacing w:after="0" w:line="188" w:lineRule="exact"/>
        <w:rPr>
          <w:sz w:val="20"/>
          <w:szCs w:val="20"/>
          <w:color w:val="auto"/>
        </w:rPr>
      </w:pPr>
    </w:p>
    <w:p>
      <w:pPr>
        <w:ind w:left="700" w:right="20" w:hanging="688"/>
        <w:spacing w:after="0" w:line="277" w:lineRule="auto"/>
        <w:tabs>
          <w:tab w:leader="none" w:pos="680" w:val="left"/>
        </w:tabs>
        <w:rPr>
          <w:sz w:val="20"/>
          <w:szCs w:val="20"/>
          <w:color w:val="auto"/>
        </w:rPr>
      </w:pPr>
      <w:r>
        <w:rPr>
          <w:rFonts w:ascii="Arial" w:cs="Arial" w:eastAsia="Arial" w:hAnsi="Arial"/>
          <w:sz w:val="18"/>
          <w:szCs w:val="18"/>
          <w:b w:val="1"/>
          <w:bCs w:val="1"/>
          <w:color w:val="0C0C0C"/>
        </w:rPr>
        <w:t>13.4</w:t>
      </w:r>
      <w:r>
        <w:rPr>
          <w:sz w:val="20"/>
          <w:szCs w:val="20"/>
          <w:color w:val="auto"/>
        </w:rPr>
        <w:tab/>
      </w:r>
      <w:r>
        <w:rPr>
          <w:rFonts w:ascii="Arial" w:cs="Arial" w:eastAsia="Arial" w:hAnsi="Arial"/>
          <w:sz w:val="18"/>
          <w:szCs w:val="18"/>
          <w:color w:val="0C0C0C"/>
        </w:rPr>
        <w:t>Any violation of any of the above conditions and/or any of the other conditions set forth in the Employee Handbook may lead to your dismissal.</w:t>
      </w:r>
    </w:p>
    <w:p>
      <w:pPr>
        <w:spacing w:after="0" w:line="170" w:lineRule="exact"/>
        <w:rPr>
          <w:sz w:val="20"/>
          <w:szCs w:val="20"/>
          <w:color w:val="auto"/>
        </w:rPr>
      </w:pPr>
    </w:p>
    <w:p>
      <w:pPr>
        <w:ind w:left="680" w:hanging="677"/>
        <w:spacing w:after="0"/>
        <w:tabs>
          <w:tab w:leader="none" w:pos="680" w:val="left"/>
        </w:tabs>
        <w:numPr>
          <w:ilvl w:val="0"/>
          <w:numId w:val="100"/>
        </w:numPr>
        <w:rPr>
          <w:rFonts w:ascii="Arial" w:cs="Arial" w:eastAsia="Arial" w:hAnsi="Arial"/>
          <w:sz w:val="18"/>
          <w:szCs w:val="18"/>
          <w:b w:val="1"/>
          <w:bCs w:val="1"/>
          <w:color w:val="0C0C0C"/>
        </w:rPr>
      </w:pPr>
      <w:r>
        <w:rPr>
          <w:rFonts w:ascii="Arial" w:cs="Arial" w:eastAsia="Arial" w:hAnsi="Arial"/>
          <w:sz w:val="18"/>
          <w:szCs w:val="18"/>
          <w:b w:val="1"/>
          <w:bCs w:val="1"/>
          <w:color w:val="0C0C0C"/>
        </w:rPr>
        <w:t>Governing law and jurisdiction</w:t>
      </w:r>
    </w:p>
    <w:p>
      <w:pPr>
        <w:spacing w:after="0" w:line="229" w:lineRule="exact"/>
        <w:rPr>
          <w:rFonts w:ascii="Arial" w:cs="Arial" w:eastAsia="Arial" w:hAnsi="Arial"/>
          <w:sz w:val="18"/>
          <w:szCs w:val="18"/>
          <w:b w:val="1"/>
          <w:bCs w:val="1"/>
          <w:color w:val="0C0C0C"/>
        </w:rPr>
      </w:pPr>
    </w:p>
    <w:p>
      <w:pPr>
        <w:ind w:left="700" w:right="680" w:hanging="7"/>
        <w:spacing w:after="0" w:line="277" w:lineRule="auto"/>
        <w:rPr>
          <w:rFonts w:ascii="Arial" w:cs="Arial" w:eastAsia="Arial" w:hAnsi="Arial"/>
          <w:sz w:val="18"/>
          <w:szCs w:val="18"/>
          <w:b w:val="1"/>
          <w:bCs w:val="1"/>
          <w:color w:val="0C0C0C"/>
        </w:rPr>
      </w:pPr>
      <w:r>
        <w:rPr>
          <w:rFonts w:ascii="Arial" w:cs="Arial" w:eastAsia="Arial" w:hAnsi="Arial"/>
          <w:sz w:val="18"/>
          <w:szCs w:val="18"/>
          <w:color w:val="0C0C0C"/>
        </w:rPr>
        <w:t>This contract shall be governed by and const</w:t>
      </w:r>
      <w:r>
        <w:rPr>
          <w:rFonts w:ascii="Arial" w:cs="Arial" w:eastAsia="Arial" w:hAnsi="Arial"/>
          <w:sz w:val="18"/>
          <w:szCs w:val="18"/>
          <w:color w:val="282D2D"/>
        </w:rPr>
        <w:t>r</w:t>
      </w:r>
      <w:r>
        <w:rPr>
          <w:rFonts w:ascii="Arial" w:cs="Arial" w:eastAsia="Arial" w:hAnsi="Arial"/>
          <w:sz w:val="18"/>
          <w:szCs w:val="18"/>
          <w:color w:val="0C0C0C"/>
        </w:rPr>
        <w:t>ued in acco</w:t>
      </w:r>
      <w:r>
        <w:rPr>
          <w:rFonts w:ascii="Arial" w:cs="Arial" w:eastAsia="Arial" w:hAnsi="Arial"/>
          <w:sz w:val="18"/>
          <w:szCs w:val="18"/>
          <w:color w:val="282D2D"/>
        </w:rPr>
        <w:t>r</w:t>
      </w:r>
      <w:r>
        <w:rPr>
          <w:rFonts w:ascii="Arial" w:cs="Arial" w:eastAsia="Arial" w:hAnsi="Arial"/>
          <w:sz w:val="18"/>
          <w:szCs w:val="18"/>
          <w:color w:val="0C0C0C"/>
        </w:rPr>
        <w:t>dance with Danish law and shall be subject to Danish court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588645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120" w:top="665" w:right="9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305" w:lineRule="exact"/>
        <w:rPr>
          <w:sz w:val="20"/>
          <w:szCs w:val="20"/>
          <w:color w:val="auto"/>
        </w:rPr>
      </w:pPr>
    </w:p>
    <w:p>
      <w:pPr>
        <w:ind w:left="820" w:hanging="681"/>
        <w:spacing w:after="0"/>
        <w:tabs>
          <w:tab w:leader="none" w:pos="8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&amp; acknowledgment</w:t>
      </w:r>
    </w:p>
    <w:p>
      <w:pPr>
        <w:spacing w:after="0" w:line="225" w:lineRule="exact"/>
        <w:rPr>
          <w:sz w:val="20"/>
          <w:szCs w:val="20"/>
          <w:color w:val="auto"/>
        </w:rPr>
      </w:pPr>
    </w:p>
    <w:p>
      <w:pPr>
        <w:ind w:left="800" w:right="60" w:hanging="674"/>
        <w:spacing w:after="0" w:line="277" w:lineRule="auto"/>
        <w:tabs>
          <w:tab w:leader="none" w:pos="780" w:val="left"/>
        </w:tabs>
        <w:rPr>
          <w:sz w:val="20"/>
          <w:szCs w:val="20"/>
          <w:color w:val="auto"/>
        </w:rPr>
      </w:pPr>
      <w:r>
        <w:rPr>
          <w:rFonts w:ascii="Arial" w:cs="Arial" w:eastAsia="Arial" w:hAnsi="Arial"/>
          <w:sz w:val="18"/>
          <w:szCs w:val="18"/>
          <w:b w:val="1"/>
          <w:bCs w:val="1"/>
          <w:color w:val="262B2A"/>
        </w:rPr>
        <w:t>15.1</w:t>
      </w:r>
      <w:r>
        <w:rPr>
          <w:sz w:val="20"/>
          <w:szCs w:val="20"/>
          <w:color w:val="auto"/>
        </w:rPr>
        <w:tab/>
      </w:r>
      <w:r>
        <w:rPr>
          <w:rFonts w:ascii="Arial" w:cs="Arial" w:eastAsia="Arial" w:hAnsi="Arial"/>
          <w:sz w:val="18"/>
          <w:szCs w:val="18"/>
          <w:color w:val="080A0A"/>
        </w:rPr>
        <w:t>This employment contract shall be signe</w:t>
      </w:r>
      <w:r>
        <w:rPr>
          <w:rFonts w:ascii="Arial" w:cs="Arial" w:eastAsia="Arial" w:hAnsi="Arial"/>
          <w:sz w:val="18"/>
          <w:szCs w:val="18"/>
          <w:color w:val="262B2A"/>
        </w:rPr>
        <w:t>d</w:t>
      </w:r>
      <w:r>
        <w:rPr>
          <w:rFonts w:ascii="Arial" w:cs="Arial" w:eastAsia="Arial" w:hAnsi="Arial"/>
          <w:sz w:val="18"/>
          <w:szCs w:val="18"/>
          <w:color w:val="080A0A"/>
        </w:rPr>
        <w:t xml:space="preserve"> by bo</w:t>
      </w:r>
      <w:r>
        <w:rPr>
          <w:rFonts w:ascii="Arial" w:cs="Arial" w:eastAsia="Arial" w:hAnsi="Arial"/>
          <w:sz w:val="18"/>
          <w:szCs w:val="18"/>
          <w:color w:val="262B2A"/>
        </w:rPr>
        <w:t>t</w:t>
      </w:r>
      <w:r>
        <w:rPr>
          <w:rFonts w:ascii="Arial" w:cs="Arial" w:eastAsia="Arial" w:hAnsi="Arial"/>
          <w:sz w:val="18"/>
          <w:szCs w:val="18"/>
          <w:color w:val="080A0A"/>
        </w:rPr>
        <w:t xml:space="preserve">h </w:t>
      </w:r>
      <w:r>
        <w:rPr>
          <w:rFonts w:ascii="Arial" w:cs="Arial" w:eastAsia="Arial" w:hAnsi="Arial"/>
          <w:sz w:val="18"/>
          <w:szCs w:val="18"/>
          <w:color w:val="262B2A"/>
        </w:rPr>
        <w:t>P</w:t>
      </w:r>
      <w:r>
        <w:rPr>
          <w:rFonts w:ascii="Arial" w:cs="Arial" w:eastAsia="Arial" w:hAnsi="Arial"/>
          <w:sz w:val="18"/>
          <w:szCs w:val="18"/>
          <w:color w:val="080A0A"/>
        </w:rPr>
        <w:t>arties, and the original shall be kept by the Employer. The Employee shall receive a duplicate copy of the signed contract.</w:t>
      </w:r>
    </w:p>
    <w:p>
      <w:pPr>
        <w:spacing w:after="0" w:line="170" w:lineRule="exact"/>
        <w:rPr>
          <w:sz w:val="20"/>
          <w:szCs w:val="20"/>
          <w:color w:val="auto"/>
        </w:rPr>
      </w:pPr>
    </w:p>
    <w:p>
      <w:pPr>
        <w:jc w:val="both"/>
        <w:ind w:left="800" w:right="20" w:hanging="674"/>
        <w:spacing w:after="0" w:line="263" w:lineRule="auto"/>
        <w:tabs>
          <w:tab w:leader="none" w:pos="780" w:val="left"/>
        </w:tabs>
        <w:rPr>
          <w:sz w:val="20"/>
          <w:szCs w:val="20"/>
          <w:color w:val="auto"/>
        </w:rPr>
      </w:pPr>
      <w:r>
        <w:rPr>
          <w:rFonts w:ascii="Arial" w:cs="Arial" w:eastAsia="Arial" w:hAnsi="Arial"/>
          <w:sz w:val="18"/>
          <w:szCs w:val="18"/>
          <w:b w:val="1"/>
          <w:bCs w:val="1"/>
          <w:color w:val="262B2A"/>
        </w:rPr>
        <w:t>15</w:t>
      </w:r>
      <w:r>
        <w:rPr>
          <w:rFonts w:ascii="Arial" w:cs="Arial" w:eastAsia="Arial" w:hAnsi="Arial"/>
          <w:sz w:val="18"/>
          <w:szCs w:val="18"/>
          <w:b w:val="1"/>
          <w:bCs w:val="1"/>
          <w:color w:val="080A0A"/>
        </w:rPr>
        <w:t>.</w:t>
      </w:r>
      <w:r>
        <w:rPr>
          <w:rFonts w:ascii="Arial" w:cs="Arial" w:eastAsia="Arial" w:hAnsi="Arial"/>
          <w:sz w:val="18"/>
          <w:szCs w:val="18"/>
          <w:b w:val="1"/>
          <w:bCs w:val="1"/>
          <w:color w:val="262B2A"/>
        </w:rPr>
        <w:t>2</w:t>
      </w:r>
      <w:r>
        <w:rPr>
          <w:sz w:val="20"/>
          <w:szCs w:val="20"/>
          <w:color w:val="auto"/>
        </w:rPr>
        <w:tab/>
      </w:r>
      <w:r>
        <w:rPr>
          <w:rFonts w:ascii="Arial" w:cs="Arial" w:eastAsia="Arial" w:hAnsi="Arial"/>
          <w:sz w:val="18"/>
          <w:szCs w:val="18"/>
          <w:color w:val="080A0A"/>
        </w:rPr>
        <w:t>By signing below the Employee also confirms to have received a copy of the Employee Handbook with all app</w:t>
      </w:r>
      <w:r>
        <w:rPr>
          <w:rFonts w:ascii="Arial" w:cs="Arial" w:eastAsia="Arial" w:hAnsi="Arial"/>
          <w:sz w:val="18"/>
          <w:szCs w:val="18"/>
          <w:color w:val="262B2A"/>
        </w:rPr>
        <w:t>e</w:t>
      </w:r>
      <w:r>
        <w:rPr>
          <w:rFonts w:ascii="Arial" w:cs="Arial" w:eastAsia="Arial" w:hAnsi="Arial"/>
          <w:sz w:val="18"/>
          <w:szCs w:val="18"/>
          <w:color w:val="080A0A"/>
        </w:rPr>
        <w:t>ndices ther</w:t>
      </w:r>
      <w:r>
        <w:rPr>
          <w:rFonts w:ascii="Arial" w:cs="Arial" w:eastAsia="Arial" w:hAnsi="Arial"/>
          <w:sz w:val="18"/>
          <w:szCs w:val="18"/>
          <w:color w:val="262B2A"/>
        </w:rPr>
        <w:t>e</w:t>
      </w:r>
      <w:r>
        <w:rPr>
          <w:rFonts w:ascii="Arial" w:cs="Arial" w:eastAsia="Arial" w:hAnsi="Arial"/>
          <w:sz w:val="18"/>
          <w:szCs w:val="18"/>
          <w:color w:val="080A0A"/>
        </w:rPr>
        <w:t xml:space="preserve">to. All updates to the </w:t>
      </w:r>
      <w:r>
        <w:rPr>
          <w:rFonts w:ascii="Arial" w:cs="Arial" w:eastAsia="Arial" w:hAnsi="Arial"/>
          <w:sz w:val="18"/>
          <w:szCs w:val="18"/>
          <w:color w:val="262B2A"/>
        </w:rPr>
        <w:t>E</w:t>
      </w:r>
      <w:r>
        <w:rPr>
          <w:rFonts w:ascii="Arial" w:cs="Arial" w:eastAsia="Arial" w:hAnsi="Arial"/>
          <w:sz w:val="18"/>
          <w:szCs w:val="18"/>
          <w:color w:val="080A0A"/>
        </w:rPr>
        <w:t>mploye</w:t>
      </w:r>
      <w:r>
        <w:rPr>
          <w:rFonts w:ascii="Arial" w:cs="Arial" w:eastAsia="Arial" w:hAnsi="Arial"/>
          <w:sz w:val="18"/>
          <w:szCs w:val="18"/>
          <w:color w:val="262B2A"/>
        </w:rPr>
        <w:t>e</w:t>
      </w:r>
      <w:r>
        <w:rPr>
          <w:rFonts w:ascii="Arial" w:cs="Arial" w:eastAsia="Arial" w:hAnsi="Arial"/>
          <w:sz w:val="18"/>
          <w:szCs w:val="18"/>
          <w:color w:val="080A0A"/>
        </w:rPr>
        <w:t xml:space="preserve"> Handbook may be done by the </w:t>
      </w:r>
      <w:r>
        <w:rPr>
          <w:rFonts w:ascii="Arial" w:cs="Arial" w:eastAsia="Arial" w:hAnsi="Arial"/>
          <w:sz w:val="18"/>
          <w:szCs w:val="18"/>
          <w:color w:val="262B2A"/>
        </w:rPr>
        <w:t>E</w:t>
      </w:r>
      <w:r>
        <w:rPr>
          <w:rFonts w:ascii="Arial" w:cs="Arial" w:eastAsia="Arial" w:hAnsi="Arial"/>
          <w:sz w:val="18"/>
          <w:szCs w:val="18"/>
          <w:color w:val="080A0A"/>
        </w:rPr>
        <w:t>mployer' by publishing th</w:t>
      </w:r>
      <w:r>
        <w:rPr>
          <w:rFonts w:ascii="Arial" w:cs="Arial" w:eastAsia="Arial" w:hAnsi="Arial"/>
          <w:sz w:val="18"/>
          <w:szCs w:val="18"/>
          <w:color w:val="262B2A"/>
        </w:rPr>
        <w:t>e</w:t>
      </w:r>
      <w:r>
        <w:rPr>
          <w:rFonts w:ascii="Arial" w:cs="Arial" w:eastAsia="Arial" w:hAnsi="Arial"/>
          <w:sz w:val="18"/>
          <w:szCs w:val="18"/>
          <w:color w:val="080A0A"/>
        </w:rPr>
        <w:t xml:space="preserve"> updat</w:t>
      </w:r>
      <w:r>
        <w:rPr>
          <w:rFonts w:ascii="Arial" w:cs="Arial" w:eastAsia="Arial" w:hAnsi="Arial"/>
          <w:sz w:val="18"/>
          <w:szCs w:val="18"/>
          <w:color w:val="262B2A"/>
        </w:rPr>
        <w:t>e</w:t>
      </w:r>
      <w:r>
        <w:rPr>
          <w:rFonts w:ascii="Arial" w:cs="Arial" w:eastAsia="Arial" w:hAnsi="Arial"/>
          <w:sz w:val="18"/>
          <w:szCs w:val="18"/>
          <w:color w:val="080A0A"/>
        </w:rPr>
        <w:t>d version on th</w:t>
      </w:r>
      <w:r>
        <w:rPr>
          <w:rFonts w:ascii="Arial" w:cs="Arial" w:eastAsia="Arial" w:hAnsi="Arial"/>
          <w:sz w:val="18"/>
          <w:szCs w:val="18"/>
          <w:color w:val="262B2A"/>
        </w:rPr>
        <w:t>e</w:t>
      </w:r>
      <w:r>
        <w:rPr>
          <w:rFonts w:ascii="Arial" w:cs="Arial" w:eastAsia="Arial" w:hAnsi="Arial"/>
          <w:sz w:val="18"/>
          <w:szCs w:val="18"/>
          <w:color w:val="080A0A"/>
        </w:rPr>
        <w:t xml:space="preserve"> corporate server and notifying the Employee by e-mail.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3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080A0A"/>
              </w:rPr>
              <w:t>Date: 2</w:t>
            </w:r>
            <w:r>
              <w:rPr>
                <w:rFonts w:ascii="Arial" w:cs="Arial" w:eastAsia="Arial" w:hAnsi="Arial"/>
                <w:sz w:val="26"/>
                <w:szCs w:val="26"/>
                <w:color w:val="080A0A"/>
                <w:vertAlign w:val="superscript"/>
              </w:rPr>
              <w:t>nd</w:t>
            </w:r>
            <w:r>
              <w:rPr>
                <w:rFonts w:ascii="Arial" w:cs="Arial" w:eastAsia="Arial" w:hAnsi="Arial"/>
                <w:sz w:val="18"/>
                <w:szCs w:val="18"/>
                <w:color w:val="080A0A"/>
              </w:rPr>
              <w:t xml:space="preserve"> March 2020</w:t>
            </w:r>
          </w:p>
        </w:tc>
        <w:tc>
          <w:tcPr>
            <w:tcW w:w="5620" w:type="dxa"/>
            <w:vAlign w:val="bottom"/>
            <w:gridSpan w:val="3"/>
          </w:tcPr>
          <w:p>
            <w:pPr>
              <w:ind w:left="460"/>
              <w:spacing w:after="0"/>
              <w:rPr>
                <w:sz w:val="20"/>
                <w:szCs w:val="20"/>
                <w:color w:val="auto"/>
              </w:rPr>
            </w:pPr>
            <w:r>
              <w:rPr>
                <w:rFonts w:ascii="Arial" w:cs="Arial" w:eastAsia="Arial" w:hAnsi="Arial"/>
                <w:sz w:val="18"/>
                <w:szCs w:val="18"/>
                <w:color w:val="080A0A"/>
              </w:rPr>
              <w:t>Date: 2</w:t>
            </w:r>
            <w:r>
              <w:rPr>
                <w:rFonts w:ascii="Arial" w:cs="Arial" w:eastAsia="Arial" w:hAnsi="Arial"/>
                <w:sz w:val="26"/>
                <w:szCs w:val="26"/>
                <w:color w:val="080A0A"/>
                <w:vertAlign w:val="superscript"/>
              </w:rPr>
              <w:t>nd</w:t>
            </w:r>
            <w:r>
              <w:rPr>
                <w:rFonts w:ascii="Arial" w:cs="Arial" w:eastAsia="Arial" w:hAnsi="Arial"/>
                <w:sz w:val="18"/>
                <w:szCs w:val="18"/>
                <w:color w:val="080A0A"/>
              </w:rPr>
              <w:t xml:space="preserve"> March 2020</w:t>
            </w:r>
          </w:p>
        </w:tc>
      </w:tr>
      <w:tr>
        <w:trPr>
          <w:trHeight w:val="230"/>
        </w:trPr>
        <w:tc>
          <w:tcPr>
            <w:tcW w:w="3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080A0A"/>
              </w:rPr>
              <w:t>Y-mAbs Therapeutics A/S</w:t>
            </w:r>
          </w:p>
        </w:tc>
        <w:tc>
          <w:tcPr>
            <w:tcW w:w="5620" w:type="dxa"/>
            <w:vAlign w:val="bottom"/>
            <w:gridSpan w:val="3"/>
          </w:tcPr>
          <w:p>
            <w:pPr>
              <w:ind w:left="460"/>
              <w:spacing w:after="0"/>
              <w:rPr>
                <w:sz w:val="20"/>
                <w:szCs w:val="20"/>
                <w:color w:val="auto"/>
              </w:rPr>
            </w:pPr>
            <w:r>
              <w:rPr>
                <w:rFonts w:ascii="Arial" w:cs="Arial" w:eastAsia="Arial" w:hAnsi="Arial"/>
                <w:sz w:val="18"/>
                <w:szCs w:val="18"/>
                <w:color w:val="080A0A"/>
              </w:rPr>
              <w:t>The Employee:</w:t>
            </w:r>
          </w:p>
        </w:tc>
      </w:tr>
      <w:tr>
        <w:trPr>
          <w:trHeight w:val="608"/>
        </w:trPr>
        <w:tc>
          <w:tcPr>
            <w:tcW w:w="3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080A0A"/>
              </w:rPr>
              <w:t>/s/ CLAUS MØLLER</w:t>
            </w:r>
          </w:p>
        </w:tc>
        <w:tc>
          <w:tcPr>
            <w:tcW w:w="5620" w:type="dxa"/>
            <w:vAlign w:val="bottom"/>
            <w:gridSpan w:val="3"/>
          </w:tcPr>
          <w:p>
            <w:pPr>
              <w:ind w:left="460"/>
              <w:spacing w:after="0"/>
              <w:rPr>
                <w:sz w:val="20"/>
                <w:szCs w:val="20"/>
                <w:color w:val="auto"/>
              </w:rPr>
            </w:pPr>
            <w:r>
              <w:rPr>
                <w:rFonts w:ascii="Arial" w:cs="Arial" w:eastAsia="Arial" w:hAnsi="Arial"/>
                <w:sz w:val="18"/>
                <w:szCs w:val="18"/>
                <w:color w:val="080A0A"/>
              </w:rPr>
              <w:t>/s/ VIGNESH RAJAH</w:t>
            </w:r>
          </w:p>
        </w:tc>
      </w:tr>
      <w:tr>
        <w:trPr>
          <w:trHeight w:val="20"/>
        </w:trPr>
        <w:tc>
          <w:tcPr>
            <w:tcW w:w="340" w:type="dxa"/>
            <w:vAlign w:val="bottom"/>
          </w:tcPr>
          <w:p>
            <w:pPr>
              <w:spacing w:after="0" w:line="20" w:lineRule="exact"/>
              <w:rPr>
                <w:sz w:val="1"/>
                <w:szCs w:val="1"/>
                <w:color w:val="auto"/>
              </w:rPr>
            </w:pPr>
          </w:p>
        </w:tc>
        <w:tc>
          <w:tcPr>
            <w:tcW w:w="1580" w:type="dxa"/>
            <w:vAlign w:val="bottom"/>
            <w:shd w:val="clear" w:color="auto" w:fill="080A0A"/>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shd w:val="clear" w:color="auto" w:fill="080A0A"/>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080A0A"/>
              </w:rPr>
              <w:t>Dr. Claus Møller, CEO</w:t>
            </w:r>
          </w:p>
        </w:tc>
        <w:tc>
          <w:tcPr>
            <w:tcW w:w="5620" w:type="dxa"/>
            <w:vAlign w:val="bottom"/>
            <w:gridSpan w:val="3"/>
          </w:tcPr>
          <w:p>
            <w:pPr>
              <w:ind w:left="460"/>
              <w:spacing w:after="0"/>
              <w:rPr>
                <w:sz w:val="20"/>
                <w:szCs w:val="20"/>
                <w:color w:val="auto"/>
              </w:rPr>
            </w:pPr>
            <w:r>
              <w:rPr>
                <w:rFonts w:ascii="Arial" w:cs="Arial" w:eastAsia="Arial" w:hAnsi="Arial"/>
                <w:sz w:val="18"/>
                <w:szCs w:val="18"/>
                <w:color w:val="080A0A"/>
              </w:rPr>
              <w:t>Dr. Vignesh Rajah</w:t>
            </w:r>
          </w:p>
        </w:tc>
      </w:tr>
      <w:tr>
        <w:trPr>
          <w:trHeight w:val="864"/>
        </w:trPr>
        <w:tc>
          <w:tcPr>
            <w:tcW w:w="4300" w:type="dxa"/>
            <w:vAlign w:val="bottom"/>
            <w:gridSpan w:val="3"/>
          </w:tcPr>
          <w:p>
            <w:pPr>
              <w:ind w:left="140"/>
              <w:spacing w:after="0"/>
              <w:rPr>
                <w:sz w:val="20"/>
                <w:szCs w:val="20"/>
                <w:color w:val="auto"/>
              </w:rPr>
            </w:pPr>
            <w:r>
              <w:rPr>
                <w:rFonts w:ascii="Arial" w:cs="Arial" w:eastAsia="Arial" w:hAnsi="Arial"/>
                <w:sz w:val="18"/>
                <w:szCs w:val="18"/>
                <w:color w:val="080A0A"/>
              </w:rPr>
              <w:t>(Enclosure: Employee Handbook with all exhibits).</w:t>
            </w: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60"/>
        </w:trPr>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40" w:name="page141"/>
    <w:bookmarkEnd w:id="140"/>
    <w:p>
      <w:pPr>
        <w:jc w:val="right"/>
        <w:ind w:right="79"/>
        <w:spacing w:after="0"/>
        <w:rPr>
          <w:sz w:val="20"/>
          <w:szCs w:val="20"/>
          <w:color w:val="auto"/>
        </w:rPr>
      </w:pPr>
      <w:r>
        <w:rPr>
          <w:rFonts w:ascii="Arial" w:cs="Arial" w:eastAsia="Arial" w:hAnsi="Arial"/>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ADDENDUM TO</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EMPLOYMENT CONTRACT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Y-mAbs Therapeutics A/S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Agern Allé 11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2970 Hørsholm</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“Employer")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Vignesh Rajah</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“Employee”)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(collectively the “Parties")</w:t>
      </w:r>
    </w:p>
    <w:p>
      <w:pPr>
        <w:spacing w:after="0" w:line="225" w:lineRule="exact"/>
        <w:rPr>
          <w:sz w:val="20"/>
          <w:szCs w:val="20"/>
          <w:color w:val="auto"/>
        </w:rPr>
      </w:pPr>
    </w:p>
    <w:p>
      <w:pPr>
        <w:ind w:left="180" w:right="1079"/>
        <w:spacing w:after="0" w:line="277" w:lineRule="auto"/>
        <w:rPr>
          <w:sz w:val="20"/>
          <w:szCs w:val="20"/>
          <w:color w:val="auto"/>
        </w:rPr>
      </w:pPr>
      <w:r>
        <w:rPr>
          <w:rFonts w:ascii="Arial" w:cs="Arial" w:eastAsia="Arial" w:hAnsi="Arial"/>
          <w:sz w:val="18"/>
          <w:szCs w:val="18"/>
          <w:color w:val="auto"/>
        </w:rPr>
        <w:t>With effect from March 10, 2021, the Employment Contract entered into between the Parties (with previous amendments, the “Employment Contract”) shall be amended as follows: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 Additional Clause (take-over protection)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shall be added as a new Clause 16 to the Contract:</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“16. Termination Upon Change in Control.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16.1 Definitions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means Y-mAbs Therapeutics, Inc., a Delaware corporation, or any successor.</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shall mean any of the following events:</w:t>
      </w:r>
    </w:p>
    <w:p>
      <w:pPr>
        <w:spacing w:after="0" w:line="225" w:lineRule="exact"/>
        <w:rPr>
          <w:sz w:val="20"/>
          <w:szCs w:val="20"/>
          <w:color w:val="auto"/>
        </w:rPr>
      </w:pPr>
    </w:p>
    <w:p>
      <w:pPr>
        <w:jc w:val="both"/>
        <w:ind w:left="1180" w:right="99" w:hanging="993"/>
        <w:spacing w:after="0" w:line="269" w:lineRule="auto"/>
        <w:tabs>
          <w:tab w:leader="none" w:pos="1180" w:val="left"/>
        </w:tabs>
        <w:numPr>
          <w:ilvl w:val="0"/>
          <w:numId w:val="102"/>
        </w:numPr>
        <w:rPr>
          <w:rFonts w:ascii="Arial" w:cs="Arial" w:eastAsia="Arial" w:hAnsi="Arial"/>
          <w:sz w:val="17"/>
          <w:szCs w:val="17"/>
          <w:i w:val="1"/>
          <w:iCs w:val="1"/>
          <w:color w:val="auto"/>
        </w:rPr>
      </w:pPr>
      <w:r>
        <w:rPr>
          <w:rFonts w:ascii="Arial" w:cs="Arial" w:eastAsia="Arial" w:hAnsi="Arial"/>
          <w:sz w:val="17"/>
          <w:szCs w:val="17"/>
          <w:i w:val="1"/>
          <w:iCs w:val="1"/>
          <w:color w:val="auto"/>
        </w:rPr>
        <w:t>An acquisition (other than directly from the Company) of any voting securities of the Company (the “Voting Securities”) other than in a “Non-Control Acquisition” (as defined below) by any “Person” (as the term “person” is used for purposes of Section 13(d) or 14(d) of the US Securities Exchange Act of 1934, as amended, (the “1934 Act”)) which results in such Person first attaining “Beneficial Ownership” (within the meaning of Rule 13d-3 promulgated under the 1934 Act) of fifty-one percent (51%) or more of the combined voting power of the Company’s then outstanding Voting Securities. For purposes of the foregoing, a “Non-Control Acquisition”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“Subsidiary”), or (ii)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606425</wp:posOffset>
            </wp:positionV>
            <wp:extent cx="568325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56832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1" w:name="page142"/>
    <w:bookmarkEnd w:id="141"/>
    <w:p>
      <w:pPr>
        <w:ind w:left="846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49" w:lineRule="exact"/>
        <w:rPr>
          <w:sz w:val="20"/>
          <w:szCs w:val="20"/>
          <w:color w:val="auto"/>
        </w:rPr>
      </w:pPr>
    </w:p>
    <w:p>
      <w:pPr>
        <w:jc w:val="both"/>
        <w:ind w:left="1180" w:right="99" w:hanging="1047"/>
        <w:spacing w:after="0" w:line="253" w:lineRule="auto"/>
        <w:tabs>
          <w:tab w:leader="none" w:pos="1180"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The individuals who, as of January 1, 2020, were members of the Board (the “Incumbent Board”) cease for any reason to constitute at least 66 2/3% of the Board; provided, however, that if the election, or a nomination for election by the Company’s shareholders, of any new director was approved by a vote of at least 66 2/3% of the Incumbent Board, such new director shall be considered as a member of the Incumbent Board; provided further, however,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“Proxy Contest”) including by reason of any agreement intended to avoid or settle any Election Contest or Proxy Contest; or</w:t>
      </w:r>
    </w:p>
    <w:p>
      <w:pPr>
        <w:spacing w:after="0" w:line="194" w:lineRule="exact"/>
        <w:rPr>
          <w:rFonts w:ascii="Arial" w:cs="Arial" w:eastAsia="Arial" w:hAnsi="Arial"/>
          <w:sz w:val="18"/>
          <w:szCs w:val="18"/>
          <w:i w:val="1"/>
          <w:iCs w:val="1"/>
          <w:color w:val="auto"/>
        </w:rPr>
      </w:pPr>
    </w:p>
    <w:p>
      <w:pPr>
        <w:jc w:val="both"/>
        <w:ind w:left="1180" w:right="99" w:hanging="1088"/>
        <w:spacing w:after="0" w:line="284" w:lineRule="auto"/>
        <w:tabs>
          <w:tab w:leader="none" w:pos="1180" w:val="left"/>
        </w:tabs>
        <w:numPr>
          <w:ilvl w:val="0"/>
          <w:numId w:val="103"/>
        </w:numPr>
        <w:rPr>
          <w:rFonts w:ascii="Arial" w:cs="Arial" w:eastAsia="Arial" w:hAnsi="Arial"/>
          <w:sz w:val="16"/>
          <w:szCs w:val="16"/>
          <w:i w:val="1"/>
          <w:iCs w:val="1"/>
          <w:color w:val="auto"/>
        </w:rPr>
      </w:pPr>
      <w:r>
        <w:rPr>
          <w:rFonts w:ascii="Arial" w:cs="Arial" w:eastAsia="Arial" w:hAnsi="Arial"/>
          <w:sz w:val="16"/>
          <w:szCs w:val="16"/>
          <w:i w:val="1"/>
          <w:iCs w:val="1"/>
          <w:color w:val="auto"/>
        </w:rPr>
        <w:t>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sixty-six and two-thirds percent (66-2/3%) of the combined voting power of the outstanding voting securities of the corporation resulting from such merger, consolidation or reorganization (the “Surviving Corporation”) in substantially the same proportion as their ownership of the voting securities immediately before such merger, consolidation or reorganization, (ii) the individuals who were members of the Incumbent Board</w:t>
      </w:r>
    </w:p>
    <w:p>
      <w:pPr>
        <w:spacing w:after="0" w:line="1" w:lineRule="exact"/>
        <w:rPr>
          <w:sz w:val="20"/>
          <w:szCs w:val="20"/>
          <w:color w:val="auto"/>
        </w:rPr>
      </w:pPr>
    </w:p>
    <w:p>
      <w:pPr>
        <w:jc w:val="both"/>
        <w:ind w:left="1180" w:right="99"/>
        <w:spacing w:after="0" w:line="250" w:lineRule="auto"/>
        <w:rPr>
          <w:sz w:val="20"/>
          <w:szCs w:val="20"/>
          <w:color w:val="auto"/>
        </w:rPr>
      </w:pPr>
      <w:r>
        <w:rPr>
          <w:rFonts w:ascii="Arial" w:cs="Arial" w:eastAsia="Arial" w:hAnsi="Arial"/>
          <w:sz w:val="18"/>
          <w:szCs w:val="18"/>
          <w:i w:val="1"/>
          <w:iCs w:val="1"/>
          <w:color w:val="auto"/>
        </w:rPr>
        <w:t>immediately prior to the execution of the agreement providing for such merger, consolidation or reorganization constitute at least 66 2/3% of the members of the board of directors of the Surviving Corporation, and (iii) no Person other than (w) the Company,</w:t>
      </w:r>
    </w:p>
    <w:p>
      <w:pPr>
        <w:spacing w:after="0" w:line="1" w:lineRule="exact"/>
        <w:rPr>
          <w:sz w:val="20"/>
          <w:szCs w:val="20"/>
          <w:color w:val="auto"/>
        </w:rPr>
      </w:pPr>
    </w:p>
    <w:p>
      <w:pPr>
        <w:jc w:val="both"/>
        <w:ind w:left="1200" w:right="479"/>
        <w:spacing w:after="0" w:line="265" w:lineRule="auto"/>
        <w:tabs>
          <w:tab w:leader="none" w:pos="1451" w:val="left"/>
        </w:tabs>
        <w:numPr>
          <w:ilvl w:val="1"/>
          <w:numId w:val="104"/>
        </w:numPr>
        <w:rPr>
          <w:rFonts w:ascii="Arial" w:cs="Arial" w:eastAsia="Arial" w:hAnsi="Arial"/>
          <w:sz w:val="17"/>
          <w:szCs w:val="17"/>
          <w:i w:val="1"/>
          <w:iCs w:val="1"/>
          <w:color w:val="auto"/>
        </w:rPr>
      </w:pPr>
      <w:r>
        <w:rPr>
          <w:rFonts w:ascii="Arial" w:cs="Arial" w:eastAsia="Arial" w:hAnsi="Arial"/>
          <w:sz w:val="17"/>
          <w:szCs w:val="17"/>
          <w:i w:val="1"/>
          <w:iCs w:val="1"/>
          <w:color w:val="auto"/>
        </w:rPr>
        <w:t>any Subsidiary, (y) any employee benefit plan (or any trust forming a part thereof) maintained by the Company, the Surviving Corporation or any Subsidiary, or (z) any Person who, immediately prior to such merger, consolidation or reorganization had Beneficial Ownership of fifty-one percent (51%) or more of the then outstanding Voting Securities, has Beneficial Ownership of fifty-one percent (51%) or more of the combined voting power of the Surviving Corporation’s then outstanding voting securities (a transaction described in clauses</w:t>
      </w:r>
    </w:p>
    <w:p>
      <w:pPr>
        <w:jc w:val="both"/>
        <w:ind w:left="1200" w:right="479"/>
        <w:spacing w:after="0" w:line="302" w:lineRule="auto"/>
        <w:tabs>
          <w:tab w:leader="none" w:pos="1417" w:val="left"/>
        </w:tabs>
        <w:numPr>
          <w:ilvl w:val="1"/>
          <w:numId w:val="105"/>
        </w:numPr>
        <w:rPr>
          <w:rFonts w:ascii="Arial" w:cs="Arial" w:eastAsia="Arial" w:hAnsi="Arial"/>
          <w:sz w:val="16"/>
          <w:szCs w:val="16"/>
          <w:i w:val="1"/>
          <w:iCs w:val="1"/>
          <w:color w:val="auto"/>
        </w:rPr>
      </w:pPr>
      <w:r>
        <w:rPr>
          <w:rFonts w:ascii="Arial" w:cs="Arial" w:eastAsia="Arial" w:hAnsi="Arial"/>
          <w:sz w:val="16"/>
          <w:szCs w:val="16"/>
          <w:i w:val="1"/>
          <w:iCs w:val="1"/>
          <w:color w:val="auto"/>
        </w:rPr>
        <w:t>and (ii) shall herein be referred to as a “Non-Control Transaction”); (2) a complete liquidation or dissolution of the Company; or (3) an agreement for the sale or other disposition of all or substantially all of the assets of the Company to any Person (other than a transfer to a Subsidiary).</w:t>
      </w:r>
    </w:p>
    <w:p>
      <w:pPr>
        <w:spacing w:after="0" w:line="155" w:lineRule="exact"/>
        <w:rPr>
          <w:rFonts w:ascii="Arial" w:cs="Arial" w:eastAsia="Arial" w:hAnsi="Arial"/>
          <w:sz w:val="16"/>
          <w:szCs w:val="16"/>
          <w:i w:val="1"/>
          <w:iCs w:val="1"/>
          <w:color w:val="auto"/>
        </w:rPr>
      </w:pPr>
    </w:p>
    <w:p>
      <w:pPr>
        <w:jc w:val="both"/>
        <w:ind w:left="1180" w:right="99" w:hanging="1101"/>
        <w:spacing w:after="0" w:line="272" w:lineRule="auto"/>
        <w:tabs>
          <w:tab w:leader="none" w:pos="1180" w:val="left"/>
        </w:tabs>
        <w:numPr>
          <w:ilvl w:val="0"/>
          <w:numId w:val="106"/>
        </w:numPr>
        <w:rPr>
          <w:rFonts w:ascii="Arial" w:cs="Arial" w:eastAsia="Arial" w:hAnsi="Arial"/>
          <w:sz w:val="17"/>
          <w:szCs w:val="17"/>
          <w:i w:val="1"/>
          <w:iCs w:val="1"/>
          <w:color w:val="auto"/>
        </w:rPr>
      </w:pPr>
      <w:r>
        <w:rPr>
          <w:rFonts w:ascii="Arial" w:cs="Arial" w:eastAsia="Arial" w:hAnsi="Arial"/>
          <w:sz w:val="17"/>
          <w:szCs w:val="17"/>
          <w:i w:val="1"/>
          <w:iCs w:val="1"/>
          <w:color w:val="auto"/>
        </w:rPr>
        <w:t>Notwithstanding the foregoing, a Change in Control shall not be deemed to occur solely because the level of Beneficial Ownership held by any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601980</wp:posOffset>
            </wp:positionV>
            <wp:extent cx="568325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56832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2" w:name="page143"/>
    <w:bookmarkEnd w:id="142"/>
    <w:p>
      <w:pPr>
        <w:ind w:left="848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349" w:lineRule="exact"/>
        <w:rPr>
          <w:sz w:val="20"/>
          <w:szCs w:val="20"/>
          <w:color w:val="auto"/>
        </w:rPr>
      </w:pPr>
    </w:p>
    <w:p>
      <w:pPr>
        <w:jc w:val="both"/>
        <w:ind w:left="1220" w:right="479"/>
        <w:spacing w:after="0" w:line="263" w:lineRule="auto"/>
        <w:rPr>
          <w:sz w:val="20"/>
          <w:szCs w:val="20"/>
          <w:color w:val="auto"/>
        </w:rPr>
      </w:pPr>
      <w:r>
        <w:rPr>
          <w:rFonts w:ascii="Arial" w:cs="Arial" w:eastAsia="Arial" w:hAnsi="Arial"/>
          <w:sz w:val="18"/>
          <w:szCs w:val="18"/>
          <w:i w:val="1"/>
          <w:iCs w:val="1"/>
          <w:color w:val="auto"/>
        </w:rPr>
        <w:t>other acquisition had not occurred, increases the percentage of the then outstanding Voting Securities Beneficially Owned by the Subject Person over the designated percentage threshold, then a Change in Control shall occur.</w:t>
      </w:r>
    </w:p>
    <w:p>
      <w:pPr>
        <w:spacing w:after="0" w:line="170"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18"/>
          <w:szCs w:val="18"/>
          <w:b w:val="1"/>
          <w:bCs w:val="1"/>
          <w:i w:val="1"/>
          <w:iCs w:val="1"/>
          <w:color w:val="auto"/>
        </w:rPr>
        <w:t>16.2.</w:t>
      </w:r>
      <w:r>
        <w:rPr>
          <w:sz w:val="20"/>
          <w:szCs w:val="20"/>
          <w:color w:val="auto"/>
        </w:rPr>
        <w:tab/>
      </w:r>
      <w:r>
        <w:rPr>
          <w:rFonts w:ascii="Arial" w:cs="Arial" w:eastAsia="Arial" w:hAnsi="Arial"/>
          <w:sz w:val="15"/>
          <w:szCs w:val="15"/>
          <w:b w:val="1"/>
          <w:bCs w:val="1"/>
          <w:i w:val="1"/>
          <w:iCs w:val="1"/>
          <w:color w:val="auto"/>
        </w:rPr>
        <w:t>Right to terminate.</w:t>
      </w:r>
    </w:p>
    <w:p>
      <w:pPr>
        <w:spacing w:after="0" w:line="225" w:lineRule="exact"/>
        <w:rPr>
          <w:sz w:val="20"/>
          <w:szCs w:val="20"/>
          <w:color w:val="auto"/>
        </w:rPr>
      </w:pPr>
    </w:p>
    <w:p>
      <w:pPr>
        <w:jc w:val="both"/>
        <w:ind w:left="200" w:right="479"/>
        <w:spacing w:after="0" w:line="259" w:lineRule="auto"/>
        <w:rPr>
          <w:sz w:val="20"/>
          <w:szCs w:val="20"/>
          <w:color w:val="auto"/>
        </w:rPr>
      </w:pPr>
      <w:r>
        <w:rPr>
          <w:rFonts w:ascii="Arial" w:cs="Arial" w:eastAsia="Arial" w:hAnsi="Arial"/>
          <w:sz w:val="18"/>
          <w:szCs w:val="18"/>
          <w:i w:val="1"/>
          <w:iCs w:val="1"/>
          <w:color w:val="auto"/>
        </w:rPr>
        <w:t>The Employee shall have the right to terminate this Employment Contract, for any reason, on one (1) month’s written notice to the end of a month to the Employer in the event of a Change in Control; provided, however, that such termination right must be exercised by the Employee within twelve (12) months following such Change in Control.</w:t>
      </w:r>
    </w:p>
    <w:p>
      <w:pPr>
        <w:spacing w:after="0" w:line="187"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18"/>
          <w:szCs w:val="18"/>
          <w:b w:val="1"/>
          <w:bCs w:val="1"/>
          <w:i w:val="1"/>
          <w:iCs w:val="1"/>
          <w:color w:val="auto"/>
        </w:rPr>
        <w:t>16.3.</w:t>
      </w:r>
      <w:r>
        <w:rPr>
          <w:sz w:val="20"/>
          <w:szCs w:val="20"/>
          <w:color w:val="auto"/>
        </w:rPr>
        <w:tab/>
      </w:r>
      <w:r>
        <w:rPr>
          <w:rFonts w:ascii="Arial" w:cs="Arial" w:eastAsia="Arial" w:hAnsi="Arial"/>
          <w:sz w:val="15"/>
          <w:szCs w:val="15"/>
          <w:b w:val="1"/>
          <w:bCs w:val="1"/>
          <w:i w:val="1"/>
          <w:iCs w:val="1"/>
          <w:color w:val="auto"/>
        </w:rPr>
        <w:t>Benefits.</w:t>
      </w:r>
    </w:p>
    <w:p>
      <w:pPr>
        <w:spacing w:after="0" w:line="225" w:lineRule="exact"/>
        <w:rPr>
          <w:sz w:val="20"/>
          <w:szCs w:val="20"/>
          <w:color w:val="auto"/>
        </w:rPr>
      </w:pPr>
    </w:p>
    <w:p>
      <w:pPr>
        <w:jc w:val="both"/>
        <w:ind w:left="200" w:right="479"/>
        <w:spacing w:after="0" w:line="259" w:lineRule="auto"/>
        <w:rPr>
          <w:sz w:val="20"/>
          <w:szCs w:val="20"/>
          <w:color w:val="auto"/>
        </w:rPr>
      </w:pPr>
      <w:r>
        <w:rPr>
          <w:rFonts w:ascii="Arial" w:cs="Arial" w:eastAsia="Arial" w:hAnsi="Arial"/>
          <w:sz w:val="18"/>
          <w:szCs w:val="18"/>
          <w:i w:val="1"/>
          <w:iCs w:val="1"/>
          <w:color w:val="auto"/>
        </w:rPr>
        <w:t xml:space="preserve">In the event this Employment Contract is terminated (a) by the Employee pursuant to Clause 16.2 for any reason, </w:t>
      </w:r>
      <w:r>
        <w:rPr>
          <w:rFonts w:ascii="Arial" w:cs="Arial" w:eastAsia="Arial" w:hAnsi="Arial"/>
          <w:sz w:val="18"/>
          <w:szCs w:val="18"/>
          <w:i w:val="1"/>
          <w:iCs w:val="1"/>
          <w:u w:val="single" w:color="auto"/>
          <w:color w:val="auto"/>
        </w:rPr>
        <w:t>or</w:t>
      </w:r>
      <w:r>
        <w:rPr>
          <w:rFonts w:ascii="Arial" w:cs="Arial" w:eastAsia="Arial" w:hAnsi="Arial"/>
          <w:sz w:val="18"/>
          <w:szCs w:val="18"/>
          <w:i w:val="1"/>
          <w:iCs w:val="1"/>
          <w:color w:val="auto"/>
        </w:rPr>
        <w:t xml:space="preserve"> (b) by the Employer within twelve (12) months following a Change in Control unless such termination is caused by a material breach by the Employee of the terms of employment, then (for both (a) and (b)) the Employer shall provide the Employee the following benefits:</w:t>
      </w:r>
    </w:p>
    <w:p>
      <w:pPr>
        <w:spacing w:after="0" w:line="187" w:lineRule="exact"/>
        <w:rPr>
          <w:sz w:val="20"/>
          <w:szCs w:val="20"/>
          <w:color w:val="auto"/>
        </w:rPr>
      </w:pPr>
    </w:p>
    <w:p>
      <w:pPr>
        <w:jc w:val="both"/>
        <w:ind w:left="840" w:right="119" w:hanging="431"/>
        <w:spacing w:after="0" w:line="287" w:lineRule="auto"/>
        <w:tabs>
          <w:tab w:leader="none" w:pos="840" w:val="left"/>
        </w:tabs>
        <w:numPr>
          <w:ilvl w:val="1"/>
          <w:numId w:val="107"/>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Amount</w:t>
      </w:r>
      <w:r>
        <w:rPr>
          <w:rFonts w:ascii="Arial" w:cs="Arial" w:eastAsia="Arial" w:hAnsi="Arial"/>
          <w:sz w:val="16"/>
          <w:szCs w:val="16"/>
          <w:i w:val="1"/>
          <w:iCs w:val="1"/>
          <w:color w:val="auto"/>
        </w:rPr>
        <w:t>: In addition to all compensation for services rendered by Employee to the Employer up to the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date of termination and any other claims for compensation that may exist, the Employer shall pay to Employee, no later than the effective date of termination, a single lump-sum payment in an amount equal to (i) six</w:t>
      </w:r>
    </w:p>
    <w:p>
      <w:pPr>
        <w:spacing w:after="0" w:line="2" w:lineRule="exact"/>
        <w:rPr>
          <w:rFonts w:ascii="Arial" w:cs="Arial" w:eastAsia="Arial" w:hAnsi="Arial"/>
          <w:sz w:val="16"/>
          <w:szCs w:val="16"/>
          <w:i w:val="1"/>
          <w:iCs w:val="1"/>
          <w:color w:val="auto"/>
        </w:rPr>
      </w:pPr>
    </w:p>
    <w:p>
      <w:pPr>
        <w:jc w:val="both"/>
        <w:ind w:left="840" w:right="479"/>
        <w:spacing w:after="0" w:line="253" w:lineRule="auto"/>
        <w:rPr>
          <w:rFonts w:ascii="Arial" w:cs="Arial" w:eastAsia="Arial" w:hAnsi="Arial"/>
          <w:sz w:val="16"/>
          <w:szCs w:val="16"/>
          <w:i w:val="1"/>
          <w:iCs w:val="1"/>
          <w:color w:val="auto"/>
        </w:rPr>
      </w:pPr>
      <w:r>
        <w:rPr>
          <w:rFonts w:ascii="Arial" w:cs="Arial" w:eastAsia="Arial" w:hAnsi="Arial"/>
          <w:sz w:val="18"/>
          <w:szCs w:val="18"/>
          <w:i w:val="1"/>
          <w:iCs w:val="1"/>
          <w:color w:val="auto"/>
        </w:rPr>
        <w:t>(6) times Employee’s highest monthly base compensation paid hereunder during the preceding twelve (12) month period, plus (ii) the Employee’s annual bonus received by the Employee during the preceding year (for 2020 the bonus amount shall be determined as the unprorated amount that the Employee would have received had he been employed for the entire 2020).</w:t>
      </w:r>
    </w:p>
    <w:p>
      <w:pPr>
        <w:spacing w:after="0" w:line="179" w:lineRule="exact"/>
        <w:rPr>
          <w:rFonts w:ascii="Arial" w:cs="Arial" w:eastAsia="Arial" w:hAnsi="Arial"/>
          <w:sz w:val="16"/>
          <w:szCs w:val="16"/>
          <w:i w:val="1"/>
          <w:iCs w:val="1"/>
          <w:color w:val="auto"/>
        </w:rPr>
      </w:pPr>
    </w:p>
    <w:p>
      <w:pPr>
        <w:jc w:val="both"/>
        <w:ind w:left="840" w:right="99" w:hanging="485"/>
        <w:spacing w:after="0" w:line="263" w:lineRule="auto"/>
        <w:tabs>
          <w:tab w:leader="none" w:pos="840" w:val="left"/>
        </w:tabs>
        <w:numPr>
          <w:ilvl w:val="1"/>
          <w:numId w:val="10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Acceleration of Options</w:t>
      </w:r>
      <w:r>
        <w:rPr>
          <w:rFonts w:ascii="Arial" w:cs="Arial" w:eastAsia="Arial" w:hAnsi="Arial"/>
          <w:sz w:val="18"/>
          <w:szCs w:val="18"/>
          <w:i w:val="1"/>
          <w:iCs w:val="1"/>
          <w:color w:val="auto"/>
        </w:rPr>
        <w:t>: All of the Employee’s outstanding options and/or equity awards shall become fully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 immediately vested to the extent not already so provided under the terms of such options and equity awards.”</w:t>
      </w:r>
    </w:p>
    <w:p>
      <w:pPr>
        <w:spacing w:after="0" w:line="179" w:lineRule="exact"/>
        <w:rPr>
          <w:rFonts w:ascii="Arial" w:cs="Arial" w:eastAsia="Arial" w:hAnsi="Arial"/>
          <w:sz w:val="18"/>
          <w:szCs w:val="18"/>
          <w:i w:val="1"/>
          <w:iCs w:val="1"/>
          <w:color w:val="auto"/>
        </w:rPr>
      </w:pPr>
    </w:p>
    <w:p>
      <w:pPr>
        <w:ind w:left="240" w:hanging="236"/>
        <w:spacing w:after="0"/>
        <w:tabs>
          <w:tab w:leader="none" w:pos="2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Misc.</w:t>
      </w:r>
    </w:p>
    <w:p>
      <w:pPr>
        <w:spacing w:after="0" w:line="229" w:lineRule="exact"/>
        <w:rPr>
          <w:sz w:val="20"/>
          <w:szCs w:val="20"/>
          <w:color w:val="auto"/>
        </w:rPr>
      </w:pPr>
    </w:p>
    <w:p>
      <w:pPr>
        <w:ind w:left="200" w:right="539"/>
        <w:spacing w:after="0" w:line="277" w:lineRule="auto"/>
        <w:rPr>
          <w:sz w:val="20"/>
          <w:szCs w:val="20"/>
          <w:color w:val="auto"/>
        </w:rPr>
      </w:pPr>
      <w:r>
        <w:rPr>
          <w:rFonts w:ascii="Arial" w:cs="Arial" w:eastAsia="Arial" w:hAnsi="Arial"/>
          <w:sz w:val="18"/>
          <w:szCs w:val="18"/>
          <w:color w:val="auto"/>
        </w:rPr>
        <w:t>2.1. Apart from the changes specifically set forth above, all terms and conditions of the Employment Contract (as previously amended) remain in full force and effect.</w:t>
      </w:r>
    </w:p>
    <w:p>
      <w:pPr>
        <w:spacing w:after="0" w:line="170" w:lineRule="exact"/>
        <w:rPr>
          <w:sz w:val="20"/>
          <w:szCs w:val="20"/>
          <w:color w:val="auto"/>
        </w:rPr>
      </w:pPr>
    </w:p>
    <w:p>
      <w:pPr>
        <w:ind w:left="200" w:right="579"/>
        <w:spacing w:after="0" w:line="277" w:lineRule="auto"/>
        <w:rPr>
          <w:sz w:val="20"/>
          <w:szCs w:val="20"/>
          <w:color w:val="auto"/>
        </w:rPr>
      </w:pPr>
      <w:r>
        <w:rPr>
          <w:rFonts w:ascii="Arial" w:cs="Arial" w:eastAsia="Arial" w:hAnsi="Arial"/>
          <w:sz w:val="18"/>
          <w:szCs w:val="18"/>
          <w:color w:val="auto"/>
        </w:rPr>
        <w:t>2.2. This addendum to the Employment Contract shall be signed by both Parties, and the original shall be kept by the Employer. The Employee shall receive a duplicate copy hereof.</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gridSpan w:val="2"/>
          </w:tcPr>
          <w:p>
            <w:pPr>
              <w:ind w:left="840"/>
              <w:spacing w:after="0"/>
              <w:rPr>
                <w:sz w:val="20"/>
                <w:szCs w:val="20"/>
                <w:color w:val="auto"/>
              </w:rPr>
            </w:pPr>
            <w:r>
              <w:rPr>
                <w:rFonts w:ascii="Arial" w:cs="Arial" w:eastAsia="Arial" w:hAnsi="Arial"/>
                <w:sz w:val="18"/>
                <w:szCs w:val="18"/>
                <w:color w:val="auto"/>
              </w:rPr>
              <w:t>Date: March 12th, 2021</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March 12th, 2021</w:t>
            </w:r>
          </w:p>
        </w:tc>
      </w:tr>
      <w:tr>
        <w:trPr>
          <w:trHeight w:val="432"/>
        </w:trPr>
        <w:tc>
          <w:tcPr>
            <w:tcW w:w="3100" w:type="dxa"/>
            <w:vAlign w:val="bottom"/>
            <w:gridSpan w:val="2"/>
          </w:tcPr>
          <w:p>
            <w:pPr>
              <w:ind w:left="840"/>
              <w:spacing w:after="0"/>
              <w:rPr>
                <w:sz w:val="20"/>
                <w:szCs w:val="20"/>
                <w:color w:val="auto"/>
              </w:rPr>
            </w:pPr>
            <w:r>
              <w:rPr>
                <w:rFonts w:ascii="Arial" w:cs="Arial" w:eastAsia="Arial" w:hAnsi="Arial"/>
                <w:sz w:val="18"/>
                <w:szCs w:val="18"/>
                <w:color w:val="auto"/>
              </w:rPr>
              <w:t>Y-mAbs Therapeutics A/S</w:t>
            </w:r>
          </w:p>
        </w:tc>
        <w:tc>
          <w:tcPr>
            <w:tcW w:w="128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The Employee:</w:t>
            </w:r>
          </w:p>
        </w:tc>
      </w:tr>
      <w:tr>
        <w:trPr>
          <w:trHeight w:val="648"/>
        </w:trPr>
        <w:tc>
          <w:tcPr>
            <w:tcW w:w="3100" w:type="dxa"/>
            <w:vAlign w:val="bottom"/>
            <w:gridSpan w:val="2"/>
          </w:tcPr>
          <w:p>
            <w:pPr>
              <w:ind w:left="840"/>
              <w:spacing w:after="0"/>
              <w:rPr>
                <w:sz w:val="20"/>
                <w:szCs w:val="20"/>
                <w:color w:val="auto"/>
              </w:rPr>
            </w:pPr>
            <w:r>
              <w:rPr>
                <w:rFonts w:ascii="Arial" w:cs="Arial" w:eastAsia="Arial" w:hAnsi="Arial"/>
                <w:sz w:val="18"/>
                <w:szCs w:val="18"/>
                <w:color w:val="auto"/>
              </w:rPr>
              <w:t>/s/ CLAUS MØLLER</w:t>
            </w:r>
          </w:p>
        </w:tc>
        <w:tc>
          <w:tcPr>
            <w:tcW w:w="128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/s/ VIGNESH RAJAH</w:t>
            </w:r>
          </w:p>
        </w:tc>
      </w:tr>
      <w:tr>
        <w:trPr>
          <w:trHeight w:val="224"/>
        </w:trPr>
        <w:tc>
          <w:tcPr>
            <w:tcW w:w="860" w:type="dxa"/>
            <w:vAlign w:val="bottom"/>
          </w:tcPr>
          <w:p>
            <w:pPr>
              <w:spacing w:after="0"/>
              <w:rPr>
                <w:sz w:val="19"/>
                <w:szCs w:val="19"/>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Claus Møller, CEO</w:t>
            </w:r>
          </w:p>
        </w:tc>
        <w:tc>
          <w:tcPr>
            <w:tcW w:w="1280" w:type="dxa"/>
            <w:vAlign w:val="bottom"/>
          </w:tcPr>
          <w:p>
            <w:pPr>
              <w:spacing w:after="0"/>
              <w:rPr>
                <w:sz w:val="19"/>
                <w:szCs w:val="19"/>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Vignesh Rajah</w:t>
            </w:r>
          </w:p>
        </w:tc>
        <w:tc>
          <w:tcPr>
            <w:tcW w:w="840" w:type="dxa"/>
            <w:vAlign w:val="bottom"/>
            <w:tcBorders>
              <w:top w:val="single" w:sz="8" w:color="auto"/>
            </w:tcBorders>
          </w:tcPr>
          <w:p>
            <w:pPr>
              <w:spacing w:after="0"/>
              <w:rPr>
                <w:sz w:val="19"/>
                <w:szCs w:val="19"/>
                <w:color w:val="auto"/>
              </w:rPr>
            </w:pPr>
          </w:p>
        </w:tc>
        <w:tc>
          <w:tcPr>
            <w:tcW w:w="2660" w:type="dxa"/>
            <w:vAlign w:val="bottom"/>
          </w:tcPr>
          <w:p>
            <w:pPr>
              <w:spacing w:after="0"/>
              <w:rPr>
                <w:sz w:val="19"/>
                <w:szCs w:val="19"/>
                <w:color w:val="auto"/>
              </w:rPr>
            </w:pPr>
          </w:p>
        </w:tc>
      </w:tr>
      <w:tr>
        <w:trPr>
          <w:trHeight w:val="749"/>
        </w:trPr>
        <w:tc>
          <w:tcPr>
            <w:tcW w:w="8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9039"/>
          </w:cols>
          <w:pgMar w:left="1420" w:top="665" w:right="1440" w:bottom="1440" w:gutter="0" w:footer="0" w:header="0"/>
        </w:sectPr>
      </w:pPr>
    </w:p>
    <w:bookmarkStart w:id="143" w:name="page144"/>
    <w:bookmarkEnd w:id="14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Thomas Gad certify that:</w:t>
      </w:r>
    </w:p>
    <w:p>
      <w:pPr>
        <w:spacing w:after="0" w:line="198" w:lineRule="exact"/>
        <w:rPr>
          <w:sz w:val="20"/>
          <w:szCs w:val="20"/>
          <w:color w:val="auto"/>
        </w:rPr>
      </w:pPr>
    </w:p>
    <w:p>
      <w:pPr>
        <w:ind w:left="700" w:hanging="326"/>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11" w:lineRule="exact"/>
        <w:rPr>
          <w:rFonts w:ascii="Arial" w:cs="Arial" w:eastAsia="Arial" w:hAnsi="Arial"/>
          <w:sz w:val="18"/>
          <w:szCs w:val="18"/>
          <w:color w:val="auto"/>
        </w:rPr>
      </w:pPr>
    </w:p>
    <w:p>
      <w:pPr>
        <w:ind w:left="700" w:right="299" w:hanging="326"/>
        <w:spacing w:after="0" w:line="263"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700" w:right="179" w:hanging="326"/>
        <w:spacing w:after="0" w:line="263"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700" w:right="379" w:hanging="326"/>
        <w:spacing w:after="0" w:line="311" w:lineRule="auto"/>
        <w:tabs>
          <w:tab w:leader="none" w:pos="7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440" w:right="119" w:hanging="377"/>
        <w:spacing w:after="0" w:line="259" w:lineRule="auto"/>
        <w:tabs>
          <w:tab w:leader="none" w:pos="14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440" w:right="99" w:hanging="377"/>
        <w:spacing w:after="0" w:line="259" w:lineRule="auto"/>
        <w:tabs>
          <w:tab w:leader="none" w:pos="14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ind w:left="1440" w:right="79" w:hanging="377"/>
        <w:spacing w:after="0" w:line="263" w:lineRule="auto"/>
        <w:tabs>
          <w:tab w:leader="none" w:pos="14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440" w:right="359" w:hanging="377"/>
        <w:spacing w:after="0" w:line="279" w:lineRule="auto"/>
        <w:tabs>
          <w:tab w:leader="none" w:pos="144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7"/>
          <w:szCs w:val="17"/>
          <w:color w:val="auto"/>
        </w:rPr>
      </w:pPr>
    </w:p>
    <w:p>
      <w:pPr>
        <w:jc w:val="both"/>
        <w:ind w:left="700" w:right="339" w:hanging="326"/>
        <w:spacing w:after="0" w:line="263"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560" w:right="99" w:hanging="497"/>
        <w:spacing w:after="0" w:line="263" w:lineRule="auto"/>
        <w:tabs>
          <w:tab w:leader="none" w:pos="15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560" w:right="679" w:hanging="497"/>
        <w:spacing w:after="0" w:line="277" w:lineRule="auto"/>
        <w:tabs>
          <w:tab w:leader="none" w:pos="15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Dated: May 9, 2022</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Thomas Gad</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Thomas Gad</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Founder, President, Interim Chief Executive</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w w:val="94"/>
              </w:rPr>
              <w:t>Officer and Head of Business Development and</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Strategy</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4" w:name="page145"/>
    <w:bookmarkEnd w:id="14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Bo Kruse, certify that:</w:t>
      </w:r>
    </w:p>
    <w:p>
      <w:pPr>
        <w:spacing w:after="0" w:line="225" w:lineRule="exact"/>
        <w:rPr>
          <w:sz w:val="20"/>
          <w:szCs w:val="20"/>
          <w:color w:val="auto"/>
        </w:rPr>
      </w:pPr>
    </w:p>
    <w:p>
      <w:pPr>
        <w:ind w:left="700" w:hanging="32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25" w:lineRule="exact"/>
        <w:rPr>
          <w:rFonts w:ascii="Arial" w:cs="Arial" w:eastAsia="Arial" w:hAnsi="Arial"/>
          <w:sz w:val="18"/>
          <w:szCs w:val="18"/>
          <w:color w:val="auto"/>
        </w:rPr>
      </w:pPr>
    </w:p>
    <w:p>
      <w:pPr>
        <w:ind w:left="700" w:right="299" w:hanging="326"/>
        <w:spacing w:after="0" w:line="263" w:lineRule="auto"/>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179" w:hanging="326"/>
        <w:spacing w:after="0" w:line="263" w:lineRule="auto"/>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00" w:right="379" w:hanging="326"/>
        <w:spacing w:after="0" w:line="311" w:lineRule="auto"/>
        <w:tabs>
          <w:tab w:leader="none" w:pos="7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460" w:right="99" w:hanging="330"/>
        <w:spacing w:after="0" w:line="259" w:lineRule="auto"/>
        <w:tabs>
          <w:tab w:leader="none" w:pos="14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60" w:right="79" w:hanging="330"/>
        <w:spacing w:after="0" w:line="259" w:lineRule="auto"/>
        <w:tabs>
          <w:tab w:leader="none" w:pos="14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60" w:right="219" w:hanging="330"/>
        <w:spacing w:after="0" w:line="286" w:lineRule="auto"/>
        <w:tabs>
          <w:tab w:leader="none" w:pos="14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1460" w:right="359" w:hanging="330"/>
        <w:spacing w:after="0" w:line="279" w:lineRule="auto"/>
        <w:tabs>
          <w:tab w:leader="none" w:pos="14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jc w:val="both"/>
        <w:ind w:left="700" w:right="339" w:hanging="326"/>
        <w:spacing w:after="0" w:line="263" w:lineRule="auto"/>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60" w:right="219" w:hanging="330"/>
        <w:spacing w:after="0" w:line="263" w:lineRule="auto"/>
        <w:tabs>
          <w:tab w:leader="none" w:pos="14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60" w:right="799" w:hanging="330"/>
        <w:spacing w:after="0" w:line="277" w:lineRule="auto"/>
        <w:tabs>
          <w:tab w:leader="none" w:pos="14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Dated: May 9, 2022</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Bo Kruse</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Financial Officer)</w:t>
            </w:r>
          </w:p>
        </w:tc>
      </w:tr>
      <w:tr>
        <w:trPr>
          <w:trHeight w:val="776"/>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5" w:name="page146"/>
    <w:bookmarkEnd w:id="14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40" w:right="219" w:hanging="377"/>
        <w:spacing w:after="0" w:line="263" w:lineRule="auto"/>
        <w:tabs>
          <w:tab w:leader="none" w:pos="1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fiscal quarter ended March 31, 2022 (the “Report”) fully complies with the requirements of Section 13(a) or Section 15(d), as applicable, of the Securities Exchange Act of 1934, as amended; and</w:t>
      </w:r>
    </w:p>
    <w:p>
      <w:pPr>
        <w:spacing w:after="0" w:line="183" w:lineRule="exact"/>
        <w:rPr>
          <w:rFonts w:ascii="Arial" w:cs="Arial" w:eastAsia="Arial" w:hAnsi="Arial"/>
          <w:sz w:val="18"/>
          <w:szCs w:val="18"/>
          <w:color w:val="auto"/>
        </w:rPr>
      </w:pPr>
    </w:p>
    <w:p>
      <w:pPr>
        <w:ind w:left="1440" w:right="239" w:hanging="377"/>
        <w:spacing w:after="0" w:line="277" w:lineRule="auto"/>
        <w:tabs>
          <w:tab w:leader="none" w:pos="1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Dated: May 9, 2022</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Thomas Gad</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Thomas Gad</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Founder, President, Interim Chief Executive</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w w:val="94"/>
              </w:rPr>
              <w:t>Officer and Head of Business Development and</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Strategy</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Executive Officer)</w:t>
            </w:r>
          </w:p>
        </w:tc>
      </w:tr>
      <w:tr>
        <w:trPr>
          <w:trHeight w:val="776"/>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6" w:name="page147"/>
    <w:bookmarkEnd w:id="14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40" w:right="219" w:hanging="377"/>
        <w:spacing w:after="0" w:line="263" w:lineRule="auto"/>
        <w:tabs>
          <w:tab w:leader="none" w:pos="1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fiscal quarter ended March 31, 2022 (the “Report”) fully complies with the requirements of Section 13(a) or Section 15(d), as applicable, of the Securities Exchange Act of 1934, as amended; and</w:t>
      </w:r>
    </w:p>
    <w:p>
      <w:pPr>
        <w:spacing w:after="0" w:line="183" w:lineRule="exact"/>
        <w:rPr>
          <w:rFonts w:ascii="Arial" w:cs="Arial" w:eastAsia="Arial" w:hAnsi="Arial"/>
          <w:sz w:val="18"/>
          <w:szCs w:val="18"/>
          <w:color w:val="auto"/>
        </w:rPr>
      </w:pPr>
    </w:p>
    <w:p>
      <w:pPr>
        <w:ind w:left="1440" w:right="239" w:hanging="377"/>
        <w:spacing w:after="0" w:line="277" w:lineRule="auto"/>
        <w:tabs>
          <w:tab w:leader="none" w:pos="1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Dated: May 9, 2022</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Bo Kruse</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Financial Officer)</w:t>
            </w:r>
          </w:p>
        </w:tc>
      </w:tr>
      <w:tr>
        <w:trPr>
          <w:trHeight w:val="776"/>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lvl w:ilvl="1">
      <w:lvlJc w:val="left"/>
      <w:lvlText w:val="%2"/>
      <w:numFmt w:val="decimal"/>
      <w:start w:val="104"/>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1."/>
      <w:numFmt w:val="decimal"/>
      <w:start w:val="1"/>
    </w:lvl>
  </w:abstractNum>
  <w:abstractNum w:abstractNumId="67">
    <w:nsid w:val="68EBC550"/>
    <w:multiLevelType w:val="hybridMultilevel"/>
    <w:lvl w:ilvl="0">
      <w:lvlJc w:val="left"/>
      <w:lvlText w:val="%1."/>
      <w:numFmt w:val="decimal"/>
      <w:start w:val="2"/>
    </w:lvl>
  </w:abstractNum>
  <w:abstractNum w:abstractNumId="68">
    <w:nsid w:val="2DF6D648"/>
    <w:multiLevelType w:val="hybridMultilevel"/>
    <w:lvl w:ilvl="0">
      <w:lvlJc w:val="left"/>
      <w:lvlText w:val="%1."/>
      <w:numFmt w:val="decimal"/>
      <w:start w:val="3"/>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1."/>
      <w:numFmt w:val="decimal"/>
      <w:start w:val="4"/>
    </w:lvl>
  </w:abstractNum>
  <w:abstractNum w:abstractNumId="71">
    <w:nsid w:val="39EE015C"/>
    <w:multiLevelType w:val="hybridMultilevel"/>
    <w:lvl w:ilvl="0">
      <w:lvlJc w:val="left"/>
      <w:lvlText w:val="%1."/>
      <w:numFmt w:val="decimal"/>
      <w:start w:val="5"/>
    </w:lvl>
  </w:abstractNum>
  <w:abstractNum w:abstractNumId="72">
    <w:nsid w:val="57FC4FBB"/>
    <w:multiLevelType w:val="hybridMultilevel"/>
    <w:lvl w:ilvl="0">
      <w:lvlJc w:val="left"/>
      <w:lvlText w:val="%1."/>
      <w:numFmt w:val="decimal"/>
      <w:start w:val="6"/>
    </w:lvl>
  </w:abstractNum>
  <w:abstractNum w:abstractNumId="73">
    <w:nsid w:val="CC1016F"/>
    <w:multiLevelType w:val="hybridMultilevel"/>
    <w:lvl w:ilvl="0">
      <w:lvlJc w:val="left"/>
      <w:lvlText w:val="%1."/>
      <w:numFmt w:val="decimal"/>
      <w:start w:val="7"/>
    </w:lvl>
  </w:abstractNum>
  <w:abstractNum w:abstractNumId="74">
    <w:nsid w:val="43F18422"/>
    <w:multiLevelType w:val="hybridMultilevel"/>
    <w:lvl w:ilvl="0">
      <w:lvlJc w:val="left"/>
      <w:lvlText w:val="%1."/>
      <w:numFmt w:val="decimal"/>
      <w:start w:val="7"/>
    </w:lvl>
    <w:lvl w:ilvl="1">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1."/>
      <w:numFmt w:val="decimal"/>
      <w:start w:val="9"/>
    </w:lvl>
  </w:abstractNum>
  <w:abstractNum w:abstractNumId="78">
    <w:nsid w:val="49DA307D"/>
    <w:multiLevelType w:val="hybridMultilevel"/>
    <w:lvl w:ilvl="0">
      <w:lvlJc w:val="left"/>
      <w:lvlText w:val="%1."/>
      <w:numFmt w:val="decimal"/>
      <w:start w:val="10"/>
    </w:lvl>
  </w:abstractNum>
  <w:abstractNum w:abstractNumId="79">
    <w:nsid w:val="7055A5F5"/>
    <w:multiLevelType w:val="hybridMultilevel"/>
    <w:lvl w:ilvl="0">
      <w:lvlJc w:val="left"/>
      <w:lvlText w:val="%1."/>
      <w:numFmt w:val="decimal"/>
      <w:start w:val="11"/>
    </w:lvl>
  </w:abstractNum>
  <w:abstractNum w:abstractNumId="80">
    <w:nsid w:val="5FB8370B"/>
    <w:multiLevelType w:val="hybridMultilevel"/>
    <w:lvl w:ilvl="0">
      <w:lvlJc w:val="left"/>
      <w:lvlText w:val="%1."/>
      <w:numFmt w:val="decimal"/>
      <w:start w:val="12"/>
    </w:lvl>
  </w:abstractNum>
  <w:abstractNum w:abstractNumId="81">
    <w:nsid w:val="50801EE1"/>
    <w:multiLevelType w:val="hybridMultilevel"/>
    <w:lvl w:ilvl="0">
      <w:lvlJc w:val="left"/>
      <w:lvlText w:val="%1."/>
      <w:numFmt w:val="decimal"/>
      <w:start w:val="13"/>
    </w:lvl>
  </w:abstractNum>
  <w:abstractNum w:abstractNumId="82">
    <w:nsid w:val="488AC1A"/>
    <w:multiLevelType w:val="hybridMultilevel"/>
    <w:lvl w:ilvl="0">
      <w:lvlJc w:val="left"/>
      <w:lvlText w:val="%1."/>
      <w:numFmt w:val="decimal"/>
      <w:start w:val="14"/>
    </w:lvl>
  </w:abstractNum>
  <w:abstractNum w:abstractNumId="83">
    <w:nsid w:val="5FB8011C"/>
    <w:multiLevelType w:val="hybridMultilevel"/>
    <w:lvl w:ilvl="0">
      <w:lvlJc w:val="left"/>
      <w:lvlText w:val="%1."/>
      <w:numFmt w:val="decimal"/>
      <w:start w:val="15"/>
    </w:lvl>
  </w:abstractNum>
  <w:abstractNum w:abstractNumId="84">
    <w:nsid w:val="6AA78F7F"/>
    <w:multiLevelType w:val="hybridMultilevel"/>
    <w:lvl w:ilvl="0">
      <w:lvlJc w:val="left"/>
      <w:lvlText w:val="%1"/>
      <w:numFmt w:val="lowerRoman"/>
      <w:start w:val="1"/>
    </w:lvl>
    <w:lvl w:ilvl="1">
      <w:lvlJc w:val="left"/>
      <w:lvlText w:val="%2."/>
      <w:numFmt w:val="lowerRoman"/>
      <w:start w:val="1"/>
    </w:lvl>
  </w:abstractNum>
  <w:abstractNum w:abstractNumId="85">
    <w:nsid w:val="7672BD23"/>
    <w:multiLevelType w:val="hybridMultilevel"/>
    <w:lvl w:ilvl="0">
      <w:lvlJc w:val="left"/>
      <w:lvlText w:val="%1."/>
      <w:numFmt w:val="lowerRoman"/>
      <w:start w:val="2"/>
    </w:lvl>
    <w:lvl w:ilvl="1">
      <w:lvlJc w:val="left"/>
      <w:lvlText w:val="%2"/>
      <w:numFmt w:val="lowerRoman"/>
      <w:start w:val="1"/>
    </w:lvl>
  </w:abstractNum>
  <w:abstractNum w:abstractNumId="86">
    <w:nsid w:val="6FC75AF8"/>
    <w:multiLevelType w:val="hybridMultilevel"/>
    <w:lvl w:ilvl="0">
      <w:lvlJc w:val="left"/>
      <w:lvlText w:val="%1"/>
      <w:numFmt w:val="lowerRoman"/>
      <w:start w:val="1"/>
    </w:lvl>
    <w:lvl w:ilvl="1">
      <w:lvlJc w:val="left"/>
      <w:lvlText w:val="%2."/>
      <w:numFmt w:val="lowerRoman"/>
      <w:start w:val="3"/>
    </w:lvl>
  </w:abstractNum>
  <w:abstractNum w:abstractNumId="87">
    <w:nsid w:val="6A5F7029"/>
    <w:multiLevelType w:val="hybridMultilevel"/>
    <w:lvl w:ilvl="0">
      <w:lvlJc w:val="left"/>
      <w:lvlText w:val="%1."/>
      <w:numFmt w:val="lowerRoman"/>
      <w:start w:val="4"/>
    </w:lvl>
    <w:lvl w:ilvl="1">
      <w:lvlJc w:val="left"/>
      <w:lvlText w:val="%2"/>
      <w:numFmt w:val="lowerRoman"/>
      <w:start w:val="1"/>
    </w:lvl>
  </w:abstractNum>
  <w:abstractNum w:abstractNumId="88">
    <w:nsid w:val="7D5E18F8"/>
    <w:multiLevelType w:val="hybridMultilevel"/>
    <w:lvl w:ilvl="0">
      <w:lvlJc w:val="left"/>
      <w:lvlText w:val="%1."/>
      <w:numFmt w:val="lowerRoman"/>
      <w:start w:val="1"/>
    </w:lvl>
  </w:abstractNum>
  <w:abstractNum w:abstractNumId="89">
    <w:nsid w:val="5F3534A4"/>
    <w:multiLevelType w:val="hybridMultilevel"/>
    <w:lvl w:ilvl="0">
      <w:lvlJc w:val="left"/>
      <w:lvlText w:val="%1."/>
      <w:numFmt w:val="decimal"/>
      <w:start w:val="2"/>
    </w:lvl>
  </w:abstractNum>
  <w:abstractNum w:abstractNumId="90">
    <w:nsid w:val="73A1821B"/>
    <w:multiLevelType w:val="hybridMultilevel"/>
    <w:lvl w:ilvl="0">
      <w:lvlJc w:val="left"/>
      <w:lvlText w:val="%1."/>
      <w:numFmt w:val="decimal"/>
      <w:start w:val="3"/>
    </w:lvl>
  </w:abstractNum>
  <w:abstractNum w:abstractNumId="91">
    <w:nsid w:val="7DE67713"/>
    <w:multiLevelType w:val="hybridMultilevel"/>
    <w:lvl w:ilvl="0">
      <w:lvlJc w:val="left"/>
      <w:lvlText w:val="%1."/>
      <w:numFmt w:val="decimal"/>
      <w:start w:val="4"/>
    </w:lvl>
  </w:abstractNum>
  <w:abstractNum w:abstractNumId="92">
    <w:nsid w:val="555C55B5"/>
    <w:multiLevelType w:val="hybridMultilevel"/>
    <w:lvl w:ilvl="0">
      <w:lvlJc w:val="left"/>
      <w:lvlText w:val="%1."/>
      <w:numFmt w:val="decimal"/>
      <w:start w:val="5"/>
    </w:lvl>
  </w:abstractNum>
  <w:abstractNum w:abstractNumId="93">
    <w:nsid w:val="3FA62ACA"/>
    <w:multiLevelType w:val="hybridMultilevel"/>
    <w:lvl w:ilvl="0">
      <w:lvlJc w:val="left"/>
      <w:lvlText w:val="%1."/>
      <w:numFmt w:val="decimal"/>
      <w:start w:val="7"/>
    </w:lvl>
  </w:abstractNum>
  <w:abstractNum w:abstractNumId="94">
    <w:nsid w:val="14FCE74E"/>
    <w:multiLevelType w:val="hybridMultilevel"/>
    <w:lvl w:ilvl="0">
      <w:lvlJc w:val="left"/>
      <w:lvlText w:val="%1."/>
      <w:numFmt w:val="decimal"/>
      <w:start w:val="8"/>
    </w:lvl>
  </w:abstractNum>
  <w:abstractNum w:abstractNumId="95">
    <w:nsid w:val="6A3DD3E8"/>
    <w:multiLevelType w:val="hybridMultilevel"/>
    <w:lvl w:ilvl="0">
      <w:lvlJc w:val="left"/>
      <w:lvlText w:val="%1."/>
      <w:numFmt w:val="decimal"/>
      <w:start w:val="9"/>
    </w:lvl>
  </w:abstractNum>
  <w:abstractNum w:abstractNumId="96">
    <w:nsid w:val="71C91298"/>
    <w:multiLevelType w:val="hybridMultilevel"/>
    <w:lvl w:ilvl="0">
      <w:lvlJc w:val="left"/>
      <w:lvlText w:val="%1."/>
      <w:numFmt w:val="decimal"/>
      <w:start w:val="10"/>
    </w:lvl>
  </w:abstractNum>
  <w:abstractNum w:abstractNumId="97">
    <w:nsid w:val="9DAF632"/>
    <w:multiLevelType w:val="hybridMultilevel"/>
    <w:lvl w:ilvl="0">
      <w:lvlJc w:val="left"/>
      <w:lvlText w:val="%1."/>
      <w:numFmt w:val="decimal"/>
      <w:start w:val="11"/>
    </w:lvl>
  </w:abstractNum>
  <w:abstractNum w:abstractNumId="98">
    <w:nsid w:val="53299938"/>
    <w:multiLevelType w:val="hybridMultilevel"/>
    <w:lvl w:ilvl="0">
      <w:lvlJc w:val="left"/>
      <w:lvlText w:val="%1."/>
      <w:numFmt w:val="decimal"/>
      <w:start w:val="13"/>
    </w:lvl>
  </w:abstractNum>
  <w:abstractNum w:abstractNumId="99">
    <w:nsid w:val="1FBFE8E0"/>
    <w:multiLevelType w:val="hybridMultilevel"/>
    <w:lvl w:ilvl="0">
      <w:lvlJc w:val="left"/>
      <w:lvlText w:val="%1."/>
      <w:numFmt w:val="decimal"/>
      <w:start w:val="14"/>
    </w:lvl>
  </w:abstractNum>
  <w:abstractNum w:abstractNumId="100">
    <w:nsid w:val="5092CA79"/>
    <w:multiLevelType w:val="hybridMultilevel"/>
    <w:lvl w:ilvl="0">
      <w:lvlJc w:val="left"/>
      <w:lvlText w:val="%1."/>
      <w:numFmt w:val="decimal"/>
      <w:start w:val="15"/>
    </w:lvl>
  </w:abstractNum>
  <w:abstractNum w:abstractNumId="101">
    <w:nsid w:val="1D545C4D"/>
    <w:multiLevelType w:val="hybridMultilevel"/>
    <w:lvl w:ilvl="0">
      <w:lvlJc w:val="left"/>
      <w:lvlText w:val="%1."/>
      <w:numFmt w:val="lowerRoman"/>
      <w:start w:val="1"/>
    </w:lvl>
  </w:abstractNum>
  <w:abstractNum w:abstractNumId="102">
    <w:nsid w:val="59ADEA3D"/>
    <w:multiLevelType w:val="hybridMultilevel"/>
    <w:lvl w:ilvl="0">
      <w:lvlJc w:val="left"/>
      <w:lvlText w:val="%1."/>
      <w:numFmt w:val="lowerRoman"/>
      <w:start w:val="2"/>
    </w:lvl>
  </w:abstractNum>
  <w:abstractNum w:abstractNumId="103">
    <w:nsid w:val="288F1A34"/>
    <w:multiLevelType w:val="hybridMultilevel"/>
    <w:lvl w:ilvl="0">
      <w:lvlJc w:val="left"/>
      <w:lvlText w:val="%1"/>
      <w:numFmt w:val="lowerRoman"/>
      <w:start w:val="1"/>
    </w:lvl>
    <w:lvl w:ilvl="1">
      <w:lvlJc w:val="left"/>
      <w:lvlText w:val="(%2)"/>
      <w:numFmt w:val="lowerRoman"/>
      <w:start w:val="10"/>
    </w:lvl>
  </w:abstractNum>
  <w:abstractNum w:abstractNumId="104">
    <w:nsid w:val="2A155DBC"/>
    <w:multiLevelType w:val="hybridMultilevel"/>
    <w:lvl w:ilvl="0">
      <w:lvlJc w:val="left"/>
      <w:lvlText w:val="%1"/>
      <w:numFmt w:val="lowerRoman"/>
      <w:start w:val="1"/>
    </w:lvl>
    <w:lvl w:ilvl="1">
      <w:lvlJc w:val="left"/>
      <w:lvlText w:val="(%2)"/>
      <w:numFmt w:val="lowerRoman"/>
      <w:start w:val="1"/>
    </w:lvl>
  </w:abstractNum>
  <w:abstractNum w:abstractNumId="105">
    <w:nsid w:val="1D9F6E5F"/>
    <w:multiLevelType w:val="hybridMultilevel"/>
    <w:lvl w:ilvl="0">
      <w:lvlJc w:val="left"/>
      <w:lvlText w:val="%1."/>
      <w:numFmt w:val="lowerRoman"/>
      <w:start w:val="4"/>
    </w:lvl>
    <w:lvl w:ilvl="1">
      <w:lvlJc w:val="left"/>
      <w:lvlText w:val="%2"/>
      <w:numFmt w:val="lowerRoman"/>
      <w:start w:val="1"/>
    </w:lvl>
  </w:abstractNum>
  <w:abstractNum w:abstractNumId="106">
    <w:nsid w:val="97E1B4E"/>
    <w:multiLevelType w:val="hybridMultilevel"/>
    <w:lvl w:ilvl="0">
      <w:lvlJc w:val="left"/>
      <w:lvlText w:val="%1"/>
      <w:numFmt w:val="decimal"/>
      <w:start w:val="1"/>
    </w:lvl>
    <w:lvl w:ilvl="1">
      <w:lvlJc w:val="left"/>
      <w:lvlText w:val="%2."/>
      <w:numFmt w:val="lowerRoman"/>
      <w:start w:val="1"/>
    </w:lvl>
  </w:abstractNum>
  <w:abstractNum w:abstractNumId="107">
    <w:nsid w:val="51088277"/>
    <w:multiLevelType w:val="hybridMultilevel"/>
    <w:lvl w:ilvl="0">
      <w:lvlJc w:val="left"/>
      <w:lvlText w:val="%1."/>
      <w:numFmt w:val="decimal"/>
      <w:start w:val="2"/>
    </w:lvl>
    <w:lvl w:ilvl="1">
      <w:lvlJc w:val="left"/>
      <w:lvlText w:val="%2"/>
      <w:numFmt w:val="lowerRoman"/>
      <w:start w:val="1"/>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lowerRoman"/>
      <w:start w:val="1"/>
    </w:lvl>
  </w:abstractNum>
  <w:abstractNum w:abstractNumId="111">
    <w:nsid w:val="7C58FD0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125" Type="http://schemas.openxmlformats.org/officeDocument/2006/relationships/hyperlink" Target="http://www.sec.gov/Archives/edgar/data/1722964/000110465918058483/a18-5676_14ex3d1.htm" TargetMode="External"/><Relationship Id="rId126" Type="http://schemas.openxmlformats.org/officeDocument/2006/relationships/hyperlink" Target="http://www.sec.gov/Archives/edgar/data/1722964/000104746918005786/a2236551zex-3_4.htm" TargetMode="External"/><Relationship Id="rId127" Type="http://schemas.openxmlformats.org/officeDocument/2006/relationships/hyperlink" Target="http://www.sec.gov/Archives/edgar/data/1722964/000104746918005786/a2236551zex-10_9.htm" TargetMode="External"/><Relationship Id="rId128" Type="http://schemas.openxmlformats.org/officeDocument/2006/relationships/hyperlink" Target="http://www.sec.gov/Archives/edgar/data/1722964/000104746918005786/a2236551zex-10_10.htm" TargetMode="External"/><Relationship Id="rId129" Type="http://schemas.openxmlformats.org/officeDocument/2006/relationships/hyperlink" Target="http://www.sec.gov/Archives/edgar/data/1722964/000104746918005786/a2236551zex-10_16.htm" TargetMode="External"/><Relationship Id="rId130" Type="http://schemas.openxmlformats.org/officeDocument/2006/relationships/hyperlink" Target="http://www.sec.gov/Archives/edgar/data/1722964/000104746918005786/a2236551zex-10_17.htm" TargetMode="External"/><Relationship Id="rId131" Type="http://schemas.openxmlformats.org/officeDocument/2006/relationships/hyperlink" Target="http://www.sec.gov/Archives/edgar/data/1722964/000104746918005786/a2236551zex-10_18.htm" TargetMode="External"/><Relationship Id="rId132" Type="http://schemas.openxmlformats.org/officeDocument/2006/relationships/hyperlink" Target="http://www.sec.gov/Archives/edgar/data/1722964/000104746918005786/a2236551zex-10_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2022-05-09T16:48:20Z</dcterms:created>
  <dcterms:modified xsi:type="dcterms:W3CDTF">2022-05-09T16:48:20Z</dcterms:modified>
</cp:coreProperties>
</file>