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9,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May 9, 2022, Y-mAbs Therapeutics, Inc., announced its financial results for the quarter ended March 31, 2022. A copy of the press release is attached hereto as Exhibit 99.1.</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(d) Exhibits</w:t>
            </w:r>
          </w:p>
        </w:tc>
      </w:tr>
      <w:tr>
        <w:trPr>
          <w:trHeight w:val="432"/>
        </w:trPr>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20" w:type="dxa"/>
            <w:vAlign w:val="bottom"/>
          </w:tcPr>
          <w:p>
            <w:pPr>
              <w:spacing w:after="0"/>
              <w:rPr>
                <w:sz w:val="14"/>
                <w:szCs w:val="14"/>
                <w:color w:val="auto"/>
              </w:rPr>
            </w:pPr>
          </w:p>
        </w:tc>
        <w:tc>
          <w:tcPr>
            <w:tcW w:w="100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May 9,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Y-MABS THERAPEUTICS,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2022</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 /s/ Thomas Gad</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Founder, President, Interim Chief Executive Officer and Head of</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Business Development &amp; Strategy</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154305</wp:posOffset>
            </wp:positionV>
            <wp:extent cx="285432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First Quarter Financial Results and Recent Corporate Developments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333333"/>
        </w:rPr>
      </w:pPr>
      <w:r>
        <w:rPr>
          <w:rFonts w:ascii="Arial" w:cs="Arial" w:eastAsia="Arial" w:hAnsi="Arial"/>
          <w:sz w:val="18"/>
          <w:szCs w:val="18"/>
          <w:b w:val="1"/>
          <w:bCs w:val="1"/>
          <w:color w:val="333333"/>
        </w:rPr>
        <w:t>Completed resubmission to the FDA of omburtamab BLA</w:t>
      </w:r>
    </w:p>
    <w:p>
      <w:pPr>
        <w:spacing w:after="0" w:line="225" w:lineRule="exact"/>
        <w:rPr>
          <w:rFonts w:ascii="Arial" w:cs="Arial" w:eastAsia="Arial" w:hAnsi="Arial"/>
          <w:sz w:val="18"/>
          <w:szCs w:val="18"/>
          <w:color w:val="333333"/>
        </w:rPr>
      </w:pPr>
    </w:p>
    <w:p>
      <w:pPr>
        <w:ind w:left="660" w:hanging="328"/>
        <w:spacing w:after="0"/>
        <w:tabs>
          <w:tab w:leader="none" w:pos="660" w:val="left"/>
        </w:tabs>
        <w:numPr>
          <w:ilvl w:val="0"/>
          <w:numId w:val="2"/>
        </w:numPr>
        <w:rPr>
          <w:rFonts w:ascii="Arial" w:cs="Arial" w:eastAsia="Arial" w:hAnsi="Arial"/>
          <w:sz w:val="18"/>
          <w:szCs w:val="18"/>
          <w:color w:val="333333"/>
        </w:rPr>
      </w:pPr>
      <w:r>
        <w:rPr>
          <w:rFonts w:ascii="Arial" w:cs="Arial" w:eastAsia="Arial" w:hAnsi="Arial"/>
          <w:sz w:val="18"/>
          <w:szCs w:val="18"/>
          <w:b w:val="1"/>
          <w:bCs w:val="1"/>
          <w:color w:val="333333"/>
        </w:rPr>
        <w:t>DANYELZA® adoption drove a 9% sequential revenue increase to $10.5 million</w:t>
      </w:r>
    </w:p>
    <w:p>
      <w:pPr>
        <w:spacing w:after="0" w:line="225" w:lineRule="exact"/>
        <w:rPr>
          <w:rFonts w:ascii="Arial" w:cs="Arial" w:eastAsia="Arial" w:hAnsi="Arial"/>
          <w:sz w:val="18"/>
          <w:szCs w:val="18"/>
          <w:color w:val="333333"/>
        </w:rPr>
      </w:pPr>
    </w:p>
    <w:p>
      <w:pPr>
        <w:ind w:left="660" w:hanging="328"/>
        <w:spacing w:after="0"/>
        <w:tabs>
          <w:tab w:leader="none" w:pos="660" w:val="left"/>
        </w:tabs>
        <w:numPr>
          <w:ilvl w:val="0"/>
          <w:numId w:val="2"/>
        </w:numPr>
        <w:rPr>
          <w:rFonts w:ascii="Arial" w:cs="Arial" w:eastAsia="Arial" w:hAnsi="Arial"/>
          <w:sz w:val="18"/>
          <w:szCs w:val="18"/>
          <w:color w:val="333333"/>
        </w:rPr>
      </w:pPr>
      <w:r>
        <w:rPr>
          <w:rFonts w:ascii="Arial" w:cs="Arial" w:eastAsia="Arial" w:hAnsi="Arial"/>
          <w:sz w:val="18"/>
          <w:szCs w:val="18"/>
          <w:b w:val="1"/>
          <w:bCs w:val="1"/>
          <w:color w:val="333333"/>
        </w:rPr>
        <w:t>Company issues 2022 full-year DANYELZA® revenue guidance of $45-$50 million</w:t>
      </w:r>
    </w:p>
    <w:p>
      <w:pPr>
        <w:spacing w:after="0" w:line="225" w:lineRule="exact"/>
        <w:rPr>
          <w:rFonts w:ascii="Arial" w:cs="Arial" w:eastAsia="Arial" w:hAnsi="Arial"/>
          <w:sz w:val="18"/>
          <w:szCs w:val="18"/>
          <w:color w:val="333333"/>
        </w:rPr>
      </w:pPr>
    </w:p>
    <w:p>
      <w:pPr>
        <w:ind w:left="660" w:hanging="328"/>
        <w:spacing w:after="0"/>
        <w:tabs>
          <w:tab w:leader="none" w:pos="660" w:val="left"/>
        </w:tabs>
        <w:numPr>
          <w:ilvl w:val="0"/>
          <w:numId w:val="2"/>
        </w:numPr>
        <w:rPr>
          <w:rFonts w:ascii="Arial" w:cs="Arial" w:eastAsia="Arial" w:hAnsi="Arial"/>
          <w:sz w:val="18"/>
          <w:szCs w:val="18"/>
          <w:color w:val="333333"/>
        </w:rPr>
      </w:pPr>
      <w:r>
        <w:rPr>
          <w:rFonts w:ascii="Arial" w:cs="Arial" w:eastAsia="Arial" w:hAnsi="Arial"/>
          <w:sz w:val="18"/>
          <w:szCs w:val="18"/>
          <w:b w:val="1"/>
          <w:bCs w:val="1"/>
          <w:color w:val="333333"/>
        </w:rPr>
        <w:t>Strong cash position with $156.7 million as of March 31, 2022, providing runway through mid-2024</w:t>
      </w:r>
    </w:p>
    <w:p>
      <w:pPr>
        <w:spacing w:after="0" w:line="225" w:lineRule="exact"/>
        <w:rPr>
          <w:rFonts w:ascii="Arial" w:cs="Arial" w:eastAsia="Arial" w:hAnsi="Arial"/>
          <w:sz w:val="18"/>
          <w:szCs w:val="18"/>
          <w:color w:val="333333"/>
        </w:rPr>
      </w:pPr>
    </w:p>
    <w:p>
      <w:pPr>
        <w:ind w:left="660" w:hanging="328"/>
        <w:spacing w:after="0"/>
        <w:tabs>
          <w:tab w:leader="none" w:pos="660" w:val="left"/>
        </w:tabs>
        <w:numPr>
          <w:ilvl w:val="0"/>
          <w:numId w:val="2"/>
        </w:numPr>
        <w:rPr>
          <w:rFonts w:ascii="Arial" w:cs="Arial" w:eastAsia="Arial" w:hAnsi="Arial"/>
          <w:sz w:val="18"/>
          <w:szCs w:val="18"/>
          <w:color w:val="333333"/>
        </w:rPr>
      </w:pPr>
      <w:r>
        <w:rPr>
          <w:rFonts w:ascii="Arial" w:cs="Arial" w:eastAsia="Arial" w:hAnsi="Arial"/>
          <w:sz w:val="18"/>
          <w:szCs w:val="18"/>
          <w:b w:val="1"/>
          <w:bCs w:val="1"/>
          <w:color w:val="333333"/>
        </w:rPr>
        <w:t>The Company will host a conference call on Tuesday, May 10, 2022, at 9 a.m. EST</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New York, NY, May 9, 2022 (GLOBE NEWSWIRE) – Y-mAbs Therapeutics, Inc. (the “Company” or “Y-mAbs”) (Nasdaq: YMAB) a commercial-stage biopharmaceutical company focused on the development and commercialization of novel, antibody-based therapeutic products for the treatment of cancer, today reported financial results for the first quarter 2022.</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"Y-mAbs had a successful first quarter. We resubmitted the omburtamab BLA, bringing us one step closer to the potential approval and achieving our goal of delivering omburtamab to children suffering from high-risk neuroblastoma brain tumors,” said Thomas Gad, Interim Chief Executive Officer. “We are very encouraged by our first quarter financial results, driven by our continued execution of the DANYELZA launch which generated revenues of $10.5 million. Based on the steady progress and a strong first quarter we anticipate full-year 2022 DANYELZA revenues in the range of $45-50 million. Our strong balance sheet with $156.7 million in cash, and anticipated revenues from product sales, is expected to support us through multiple potentially value-creating catalysts and into mid-2024.”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and Recent Corporate Developments</w:t>
      </w:r>
    </w:p>
    <w:p>
      <w:pPr>
        <w:spacing w:after="0" w:line="229" w:lineRule="exact"/>
        <w:rPr>
          <w:sz w:val="20"/>
          <w:szCs w:val="20"/>
          <w:color w:val="auto"/>
        </w:rPr>
      </w:pPr>
    </w:p>
    <w:p>
      <w:pPr>
        <w:ind w:left="660" w:right="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27, 2022, Y-mAbs announced a management change. Dr. Claus Moller has stepped down as Chief Executive Officer and Board Member, and Thomas Gad, the Company’s Founder, Chairman, and President has assumed the role of Interim CEO. The Board, under the newly appointed Chairman Dr. Jim Healy, has begun a search for Dr. Moller’s successor.</w:t>
      </w:r>
    </w:p>
    <w:p>
      <w:pPr>
        <w:spacing w:after="0" w:line="183"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8, 2022, Y-mAbs presented pre-clinical data from the GD2-SADA construct at the American Association for Cancer Research (AACR) 2022 Annual Meeting. Pre-clinical models indicated that treatment with GD2-SADA increased tumor antigen binding, uptake, and persistence in tumor tissue in-vivo with activity lasting over 100 days after the treatment.</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April 1, 2022, Y-mAbs announced that on March 31, 2022, the Company completed the resubmission of its Biologics License Application for omburtamab to the FDA. The FDA has a 60-day review period to determine whether the BLA is complete and acceptable for filing.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Y-mAbs reported net revenues of $10.5 million for the quarter ended March 31, 2022, which was a 94% increase over $5.4 million in the comparable quarter of 2021. Additionally, net revenues were up 9% from the fourth quarter 2021. The Company has now delivered DANYELZA to 34 centers across the nation, corresponding to an increase of more than 20% since the end of the fourth quarter of 2021. Approximately 50% of the vials sold in the U.S. are now sold outside Memorial Sloan Kettering (“MSK”), a notable increase over the approximately 40% of the vials sold outside MSK in prior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4477385</wp:posOffset>
            </wp:positionH>
            <wp:positionV relativeFrom="page">
              <wp:posOffset>586105</wp:posOffset>
            </wp:positionV>
            <wp:extent cx="283718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8371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Research and development expenses were $22.9 million for the three months ended March 31, 2022, compared to $21.6 million for the three months ended March 31, 2021. The $1.3 million increase reflects our increased clinical trial activity and employee-related costs, partially offset by decreased outsourced manufacturing expenses. Having completed the resubmission of the BLA for omburtamab on March 31, 2022, Y-mAbs is focusing pipeline development on DANYELZA label expansion, omburtamab, and advancing the SADA constructs into the clinic.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were $13.4 million for the three months ended March 31, 2022, which was a $1.4 million increase compared to $12.0 million for the three months ended March 31, 2021. The increase in selling, general, and administrative expenses was primarily due to costs related to the launch and commercialization of DANYELZA; which includes a $0.7 million increase in personnel costs due to the expansion of our commercial team that is poised to drive further adoption of DANYELZA in 2022 and beyond.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Result</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Y-mAbs reported a net loss for the quarter ended March 31, 2022, of $28.1 million, or $0.64 per basic and diluted share, compared to net income of $33.4 million, or $0.80 per basic share and $0.75 per diluted share, for the quarter ended March 31, 2021. The decrease in earnings was primarily driven by a one-time $62.0 million net gain from the sale of our DANYELZA Priority Review Voucher in the quarter ended March 31, 2021, partially offset by the favorable impact of increasing DANYELZA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approximately $156.7 million in cash and cash equivalents as of March 31, 2022, which, when combined with anticipated revenues from product sales, is expected to be sufficient to fund the current operations to mid-2024.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Y-mAbs will host a conference call on Tuesday, May 10, 2022, at 9 a.m. Eastern Time. To participate in the call, please dial 877-407-0792 (domestic) or 201-689-8263 (international) and reference the conference ID 13729248.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webcast will be available at: https://services.choruscall.com/mediaframe/webcast.html?webcastid=yCAEVjRU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4477385</wp:posOffset>
            </wp:positionH>
            <wp:positionV relativeFrom="page">
              <wp:posOffset>586105</wp:posOffset>
            </wp:positionV>
            <wp:extent cx="2837180"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8371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and its variants such as Delta and Omicron, risks associated with Russia’s recent invasion of Ukraine and other risks and uncertainties affecting the Company including those described in the "Risk Factors" section included in our Annual Report on Form 10-K for the year ended December 31, 2021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“DANYELZA”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91335" cy="1114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111442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current assets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right-of-use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320"/>
        <w:spacing w:after="0"/>
        <w:rPr>
          <w:sz w:val="20"/>
          <w:szCs w:val="20"/>
          <w:color w:val="auto"/>
        </w:rPr>
      </w:pPr>
      <w:r>
        <w:rPr>
          <w:rFonts w:ascii="Arial" w:cs="Arial" w:eastAsia="Arial" w:hAnsi="Arial"/>
          <w:sz w:val="17"/>
          <w:szCs w:val="17"/>
          <w:b w:val="1"/>
          <w:bCs w:val="1"/>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-1020445</wp:posOffset>
            </wp:positionV>
            <wp:extent cx="2837180"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7180" cy="737235"/>
                    </a:xfrm>
                    <a:prstGeom prst="rect">
                      <a:avLst/>
                    </a:prstGeom>
                    <a:noFill/>
                  </pic:spPr>
                </pic:pic>
              </a:graphicData>
            </a:graphic>
          </wp:anchor>
        </w:drawing>
      </w:r>
    </w:p>
    <w:p>
      <w:pPr>
        <w:spacing w:after="0" w:line="19"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thousands, except share data)</w:t>
      </w:r>
    </w:p>
    <w:p>
      <w:pPr>
        <w:spacing w:after="0" w:line="211" w:lineRule="exact"/>
        <w:rPr>
          <w:sz w:val="20"/>
          <w:szCs w:val="20"/>
          <w:color w:val="auto"/>
        </w:rPr>
      </w:pPr>
    </w:p>
    <w:tbl>
      <w:tblPr>
        <w:tblLayout w:type="fixed"/>
        <w:tblInd w:w="4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r>
      <w:tr>
        <w:trPr>
          <w:trHeight w:val="627"/>
        </w:trPr>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156,724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181,564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9,324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7,712</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5,512</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7,473</w:t>
            </w:r>
          </w:p>
        </w:tc>
      </w:tr>
      <w:tr>
        <w:trPr>
          <w:trHeight w:val="195"/>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177,739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202,261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3,842</w:t>
            </w: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212,783</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-1722120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-1439545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-1165225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-882015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-599440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-325120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-16510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3700" w:space="600"/>
            <w:col w:w="69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14,661</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13,552</w:t>
            </w:r>
          </w:p>
        </w:tc>
      </w:tr>
      <w:tr>
        <w:trPr>
          <w:trHeight w:val="216"/>
        </w:trPr>
        <w:tc>
          <w:tcPr>
            <w:tcW w:w="82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12,540</w:t>
            </w:r>
          </w:p>
        </w:tc>
      </w:tr>
      <w:tr>
        <w:trPr>
          <w:trHeight w:val="23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 current portion</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r>
      <w:tr>
        <w:trPr>
          <w:trHeight w:val="210"/>
        </w:trPr>
        <w:tc>
          <w:tcPr>
            <w:tcW w:w="82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27,875</w:t>
            </w: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milestone and royalty payments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8280" w:type="dxa"/>
            <w:vAlign w:val="bottom"/>
          </w:tcPr>
          <w:p>
            <w:pPr>
              <w:ind w:left="340"/>
              <w:spacing w:after="0"/>
              <w:rPr>
                <w:sz w:val="20"/>
                <w:szCs w:val="20"/>
                <w:color w:val="auto"/>
              </w:rPr>
            </w:pPr>
            <w:r>
              <w:rPr>
                <w:rFonts w:ascii="Arial" w:cs="Arial" w:eastAsia="Arial" w:hAnsi="Arial"/>
                <w:sz w:val="18"/>
                <w:szCs w:val="18"/>
                <w:color w:val="auto"/>
              </w:rPr>
              <w:t>Operating lease liabilities, long-term portion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r>
      <w:tr>
        <w:trPr>
          <w:trHeight w:val="23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0"/>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32,677</w:t>
            </w:r>
          </w:p>
        </w:tc>
        <w:tc>
          <w:tcPr>
            <w:tcW w:w="100" w:type="dxa"/>
            <w:vAlign w:val="bottom"/>
            <w:tcBorders>
              <w:bottom w:val="single" w:sz="8" w:color="CCEEFF"/>
            </w:tcBorders>
          </w:tcPr>
          <w:p>
            <w:pPr>
              <w:spacing w:after="0"/>
              <w:rPr>
                <w:sz w:val="18"/>
                <w:szCs w:val="18"/>
                <w:color w:val="auto"/>
              </w:rPr>
            </w:pPr>
          </w:p>
        </w:tc>
      </w:tr>
      <w:tr>
        <w:trPr>
          <w:trHeight w:val="210"/>
        </w:trPr>
        <w:tc>
          <w:tcPr>
            <w:tcW w:w="8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Preferred stock, $0.0001 par value, 5,500,000 shares authorized and none issued at March 31, 2022 and</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2021</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8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$0.0001 par value, 100,000,000 shares authorized at March 31, 2022 and December 31, 2021;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80" w:type="dxa"/>
            <w:vAlign w:val="bottom"/>
          </w:tcPr>
          <w:p>
            <w:pPr>
              <w:ind w:left="340"/>
              <w:spacing w:after="0"/>
              <w:rPr>
                <w:sz w:val="20"/>
                <w:szCs w:val="20"/>
                <w:color w:val="auto"/>
              </w:rPr>
            </w:pPr>
            <w:r>
              <w:rPr>
                <w:rFonts w:ascii="Arial" w:cs="Arial" w:eastAsia="Arial" w:hAnsi="Arial"/>
                <w:sz w:val="18"/>
                <w:szCs w:val="18"/>
                <w:color w:val="auto"/>
              </w:rPr>
              <w:t>43,718,165 and 43,694,716 shares issued at March 31, 2022 and December 31, 2021, respectively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519,206</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(368,543)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(340,475)</w:t>
            </w:r>
          </w:p>
        </w:tc>
      </w:tr>
      <w:tr>
        <w:trPr>
          <w:trHeight w:val="210"/>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180,106</w:t>
            </w:r>
          </w:p>
        </w:tc>
        <w:tc>
          <w:tcPr>
            <w:tcW w:w="100" w:type="dxa"/>
            <w:vAlign w:val="bottom"/>
            <w:tcBorders>
              <w:bottom w:val="single" w:sz="8" w:color="CCEEFF"/>
            </w:tcBorders>
          </w:tcPr>
          <w:p>
            <w:pPr>
              <w:spacing w:after="0"/>
              <w:rPr>
                <w:sz w:val="18"/>
                <w:szCs w:val="18"/>
                <w:color w:val="auto"/>
              </w:rPr>
            </w:pPr>
          </w:p>
        </w:tc>
      </w:tr>
      <w:tr>
        <w:trPr>
          <w:trHeight w:val="223"/>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4477385</wp:posOffset>
            </wp:positionH>
            <wp:positionV relativeFrom="page">
              <wp:posOffset>586105</wp:posOffset>
            </wp:positionV>
            <wp:extent cx="2837180" cy="737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8371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Income/(Loss) and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jc w:val="right"/>
              <w:ind w:right="320"/>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Product revenue, net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10,486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22,912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13,438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INCOME / (LOSS),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sale of priority review voucher, net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Interest and other loss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 (LOSS)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per share attributable to common stockholders, basic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(0.64)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common shares outstanding, basic</w:t>
            </w: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tcBorders>
              <w:bottom w:val="single" w:sz="8" w:color="CCEEFF"/>
            </w:tcBorders>
            <w:vMerge w:val="continue"/>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43,709,238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41,870,759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 (loss) per share attributable to common stockholders, diluted</w:t>
            </w:r>
          </w:p>
        </w:tc>
        <w:tc>
          <w:tcPr>
            <w:tcW w:w="1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diluted</w:t>
            </w: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43,709,238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44,383,791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2022-05-09T15:38:58Z</dcterms:created>
  <dcterms:modified xsi:type="dcterms:W3CDTF">2022-05-09T15:38:58Z</dcterms:modified>
</cp:coreProperties>
</file>