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9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80010</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8"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96"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 the quarterly period ended September 30, 2019</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66" w:lineRule="exact"/>
        <w:rPr>
          <w:sz w:val="24"/>
          <w:szCs w:val="24"/>
          <w:color w:val="auto"/>
        </w:rPr>
      </w:pPr>
    </w:p>
    <w:p>
      <w:pPr>
        <w:ind w:left="360" w:hanging="357"/>
        <w:spacing w:after="0"/>
        <w:tabs>
          <w:tab w:leader="none" w:pos="3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360"/>
        <w:spacing w:after="0"/>
        <w:tabs>
          <w:tab w:leader="none" w:pos="5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7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Y-mAbs Therapeutics, Inc.</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ectPr>
          <w:pgSz w:w="11900" w:h="16838" w:orient="portrait"/>
          <w:cols w:equalWidth="0" w:num="1">
            <w:col w:w="9039"/>
          </w:cols>
          <w:pgMar w:left="1420" w:top="233" w:right="1440" w:bottom="1440" w:gutter="0" w:footer="0" w:header="0"/>
        </w:sectPr>
      </w:pPr>
    </w:p>
    <w:p>
      <w:pPr>
        <w:spacing w:after="0" w:line="228"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50" w:lineRule="exact"/>
        <w:rPr>
          <w:sz w:val="20"/>
          <w:szCs w:val="20"/>
          <w:color w:val="auto"/>
        </w:rPr>
      </w:pPr>
      <w:r>
        <w:rPr>
          <w:rFonts w:ascii="Arial" w:cs="Arial" w:eastAsia="Arial" w:hAnsi="Arial"/>
          <w:sz w:val="13"/>
          <w:szCs w:val="13"/>
          <w:b w:val="1"/>
          <w:bCs w:val="1"/>
          <w:color w:val="auto"/>
        </w:rPr>
        <w:t>47</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4619612</w:t>
      </w:r>
    </w:p>
    <w:p>
      <w:pPr>
        <w:spacing w:after="0" w:line="152" w:lineRule="exact"/>
        <w:rPr>
          <w:sz w:val="24"/>
          <w:szCs w:val="24"/>
          <w:color w:val="auto"/>
        </w:rPr>
      </w:pPr>
    </w:p>
    <w:p>
      <w:pPr>
        <w:sectPr>
          <w:pgSz w:w="11900" w:h="16838" w:orient="portrait"/>
          <w:cols w:equalWidth="0" w:num="2">
            <w:col w:w="5780" w:space="720"/>
            <w:col w:w="2539"/>
          </w:cols>
          <w:pgMar w:left="1420" w:top="233" w:right="1440"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3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5600" w:space="720"/>
            <w:col w:w="2719"/>
          </w:cols>
          <w:pgMar w:left="1420" w:top="233" w:right="1440"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230 Park Avenue</w:t>
      </w:r>
    </w:p>
    <w:p>
      <w:pPr>
        <w:jc w:val="center"/>
        <w:ind w:right="-40"/>
        <w:spacing w:after="0" w:line="226" w:lineRule="auto"/>
        <w:rPr>
          <w:sz w:val="20"/>
          <w:szCs w:val="20"/>
          <w:color w:val="auto"/>
        </w:rPr>
      </w:pPr>
      <w:r>
        <w:rPr>
          <w:rFonts w:ascii="Arial" w:cs="Arial" w:eastAsia="Arial" w:hAnsi="Arial"/>
          <w:sz w:val="14"/>
          <w:szCs w:val="14"/>
          <w:b w:val="1"/>
          <w:bCs w:val="1"/>
          <w:color w:val="auto"/>
        </w:rPr>
        <w:t>Suite 3350</w:t>
      </w:r>
    </w:p>
    <w:p>
      <w:pPr>
        <w:jc w:val="center"/>
        <w:ind w:right="-40"/>
        <w:spacing w:after="0" w:line="222" w:lineRule="auto"/>
        <w:rPr>
          <w:sz w:val="20"/>
          <w:szCs w:val="20"/>
          <w:color w:val="auto"/>
        </w:rPr>
      </w:pPr>
      <w:r>
        <w:rPr>
          <w:rFonts w:ascii="Arial" w:cs="Arial" w:eastAsia="Arial" w:hAnsi="Arial"/>
          <w:sz w:val="14"/>
          <w:szCs w:val="14"/>
          <w:b w:val="1"/>
          <w:bCs w:val="1"/>
          <w:color w:val="auto"/>
        </w:rPr>
        <w:t>New York, NY 10169</w:t>
      </w:r>
    </w:p>
    <w:p>
      <w:pPr>
        <w:jc w:val="center"/>
        <w:ind w:right="-40"/>
        <w:spacing w:after="0"/>
        <w:rPr>
          <w:sz w:val="20"/>
          <w:szCs w:val="20"/>
          <w:color w:val="auto"/>
        </w:rPr>
      </w:pPr>
      <w:r>
        <w:rPr>
          <w:rFonts w:ascii="Arial" w:cs="Arial" w:eastAsia="Arial" w:hAnsi="Arial"/>
          <w:sz w:val="13"/>
          <w:szCs w:val="13"/>
          <w:color w:val="auto"/>
        </w:rPr>
        <w:t>(Address of principal executive offices)</w:t>
      </w:r>
    </w:p>
    <w:p>
      <w:pPr>
        <w:jc w:val="center"/>
        <w:ind w:right="-40"/>
        <w:spacing w:after="0"/>
        <w:rPr>
          <w:sz w:val="20"/>
          <w:szCs w:val="20"/>
          <w:color w:val="auto"/>
        </w:rPr>
      </w:pPr>
      <w:r>
        <w:rPr>
          <w:rFonts w:ascii="Arial" w:cs="Arial" w:eastAsia="Arial" w:hAnsi="Arial"/>
          <w:sz w:val="14"/>
          <w:szCs w:val="14"/>
          <w:color w:val="auto"/>
        </w:rPr>
        <w:t>(Zip Code)</w:t>
      </w:r>
    </w:p>
    <w:p>
      <w:pPr>
        <w:sectPr>
          <w:pgSz w:w="11900" w:h="16838" w:orient="portrait"/>
          <w:cols w:equalWidth="0" w:num="1">
            <w:col w:w="9039"/>
          </w:cols>
          <w:pgMar w:left="1420" w:top="233" w:right="1440" w:bottom="1440" w:gutter="0" w:footer="0" w:header="0"/>
          <w:type w:val="continuous"/>
        </w:sectPr>
      </w:pPr>
    </w:p>
    <w:p>
      <w:pPr>
        <w:spacing w:after="0" w:line="53" w:lineRule="exact"/>
        <w:rPr>
          <w:sz w:val="24"/>
          <w:szCs w:val="24"/>
          <w:color w:val="auto"/>
        </w:rPr>
      </w:pPr>
    </w:p>
    <w:p>
      <w:pPr>
        <w:jc w:val="center"/>
        <w:ind w:right="-40"/>
        <w:spacing w:after="0" w:line="161" w:lineRule="exact"/>
        <w:rPr>
          <w:sz w:val="20"/>
          <w:szCs w:val="20"/>
          <w:color w:val="auto"/>
        </w:rPr>
      </w:pPr>
      <w:r>
        <w:rPr>
          <w:rFonts w:ascii="Arial" w:cs="Arial" w:eastAsia="Arial" w:hAnsi="Arial"/>
          <w:sz w:val="14"/>
          <w:szCs w:val="14"/>
          <w:b w:val="1"/>
          <w:bCs w:val="1"/>
          <w:color w:val="auto"/>
        </w:rPr>
        <w:t>(646)</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885</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8505</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(Registrant’s telephone number, including area code)</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2" w:lineRule="exact"/>
        <w:rPr>
          <w:sz w:val="24"/>
          <w:szCs w:val="24"/>
          <w:color w:val="auto"/>
        </w:rPr>
      </w:pPr>
    </w:p>
    <w:tbl>
      <w:tblPr>
        <w:tblLayout w:type="fixed"/>
        <w:tblInd w:w="920" w:type="dxa"/>
        <w:tblCellMar>
          <w:top w:w="0" w:type="dxa"/>
          <w:left w:w="0" w:type="dxa"/>
          <w:bottom w:w="0" w:type="dxa"/>
          <w:right w:w="0" w:type="dxa"/>
        </w:tblCellMar>
      </w:tblPr>
      <w:tr>
        <w:trPr>
          <w:trHeight w:val="135"/>
        </w:trPr>
        <w:tc>
          <w:tcPr>
            <w:tcW w:w="30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Title of each class:</w:t>
            </w:r>
          </w:p>
        </w:tc>
        <w:tc>
          <w:tcPr>
            <w:tcW w:w="12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Trading Symbol</w:t>
            </w:r>
          </w:p>
        </w:tc>
        <w:tc>
          <w:tcPr>
            <w:tcW w:w="296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2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$0.0001 par value</w:t>
            </w:r>
          </w:p>
        </w:tc>
        <w:tc>
          <w:tcPr>
            <w:tcW w:w="12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YMAB</w:t>
            </w:r>
          </w:p>
        </w:tc>
        <w:tc>
          <w:tcPr>
            <w:tcW w:w="120" w:type="dxa"/>
            <w:vAlign w:val="bottom"/>
          </w:tcPr>
          <w:p>
            <w:pPr>
              <w:spacing w:after="0"/>
              <w:rPr>
                <w:sz w:val="15"/>
                <w:szCs w:val="15"/>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124460</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79" w:lineRule="exact"/>
        <w:rPr>
          <w:sz w:val="24"/>
          <w:szCs w:val="24"/>
          <w:color w:val="auto"/>
        </w:rPr>
      </w:pPr>
    </w:p>
    <w:p>
      <w:pPr>
        <w:ind w:right="2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13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399"/>
        <w:spacing w:after="0" w:line="160"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9039"/>
          </w:cols>
          <w:pgMar w:left="1420" w:top="233" w:right="1440" w:bottom="1440" w:gutter="0" w:footer="0" w:header="0"/>
          <w:type w:val="continuous"/>
        </w:sectPr>
      </w:pPr>
    </w:p>
    <w:p>
      <w:pPr>
        <w:spacing w:after="0" w:line="47" w:lineRule="exact"/>
        <w:rPr>
          <w:sz w:val="24"/>
          <w:szCs w:val="24"/>
          <w:color w:val="auto"/>
        </w:rPr>
      </w:pPr>
    </w:p>
    <w:p>
      <w:pPr>
        <w:ind w:left="15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560" w:space="720"/>
            <w:col w:w="2759"/>
          </w:cols>
          <w:pgMar w:left="1420" w:top="233" w:right="1440" w:bottom="1440" w:gutter="0" w:footer="0" w:header="0"/>
          <w:type w:val="continuous"/>
        </w:sectPr>
      </w:pPr>
    </w:p>
    <w:p>
      <w:pPr>
        <w:ind w:left="15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5260" w:space="720"/>
            <w:col w:w="3059"/>
          </w:cols>
          <w:pgMar w:left="1420" w:top="233" w:right="1440" w:bottom="1440" w:gutter="0" w:footer="0" w:header="0"/>
          <w:type w:val="continuous"/>
        </w:sectPr>
      </w:pPr>
    </w:p>
    <w:p>
      <w:pPr>
        <w:ind w:right="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jc w:val="center"/>
        <w:ind w:right="1559"/>
        <w:spacing w:after="0" w:line="150" w:lineRule="exact"/>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Arial" w:cs="Arial" w:eastAsia="Arial" w:hAnsi="Arial"/>
          <w:sz w:val="13"/>
          <w:szCs w:val="13"/>
          <w:color w:val="auto"/>
        </w:rPr>
        <w:t xml:space="preserve">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34" w:lineRule="exact"/>
        <w:rPr>
          <w:sz w:val="24"/>
          <w:szCs w:val="24"/>
          <w:color w:val="auto"/>
        </w:rPr>
      </w:pPr>
    </w:p>
    <w:p>
      <w:pPr>
        <w:jc w:val="center"/>
        <w:ind w:right="1579"/>
        <w:spacing w:after="0"/>
        <w:rPr>
          <w:sz w:val="20"/>
          <w:szCs w:val="20"/>
          <w:color w:val="auto"/>
        </w:rPr>
      </w:pPr>
      <w:r>
        <w:rPr>
          <w:rFonts w:ascii="Arial" w:cs="Arial" w:eastAsia="Arial" w:hAnsi="Arial"/>
          <w:sz w:val="14"/>
          <w:szCs w:val="14"/>
          <w:color w:val="auto"/>
        </w:rPr>
        <w:t>There were 39,728,416 shares of Common Stock ($0.0001 par value) outstanding as of November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398780</wp:posOffset>
            </wp:positionV>
            <wp:extent cx="57543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913130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233" w:right="1440"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79" w:firstLine="648"/>
        <w:spacing w:after="0" w:line="217"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that involve substantial risks and uncertainties. All statements, other than statements of historical facts,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25" w:lineRule="exact"/>
        <w:rPr>
          <w:sz w:val="20"/>
          <w:szCs w:val="20"/>
          <w:color w:val="auto"/>
        </w:rPr>
      </w:pPr>
    </w:p>
    <w:p>
      <w:pPr>
        <w:ind w:left="980" w:right="279" w:hanging="329"/>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our plans to develop and commercialize our two lead product candidates and other product candidates, including the potential clinical efficacy and other benefits thereof;</w:t>
      </w:r>
    </w:p>
    <w:p>
      <w:pPr>
        <w:spacing w:after="0" w:line="123" w:lineRule="exact"/>
        <w:rPr>
          <w:rFonts w:ascii="Arial" w:cs="Arial" w:eastAsia="Arial" w:hAnsi="Arial"/>
          <w:sz w:val="16"/>
          <w:szCs w:val="16"/>
          <w:color w:val="auto"/>
        </w:rPr>
      </w:pPr>
    </w:p>
    <w:p>
      <w:pPr>
        <w:ind w:left="980" w:right="39" w:hanging="329"/>
        <w:spacing w:after="0" w:line="27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Biological License Application, or BLA, submission and approval by the U.S. Food and Drug Administration, or FDA, and equivalent foreign regulatory authorities and of the anticipated results;</w:t>
      </w:r>
    </w:p>
    <w:p>
      <w:pPr>
        <w:spacing w:after="0" w:line="172" w:lineRule="exact"/>
        <w:rPr>
          <w:rFonts w:ascii="Arial" w:cs="Arial" w:eastAsia="Arial" w:hAnsi="Arial"/>
          <w:sz w:val="17"/>
          <w:szCs w:val="17"/>
          <w:color w:val="auto"/>
        </w:rPr>
      </w:pPr>
    </w:p>
    <w:p>
      <w:pPr>
        <w:ind w:left="980" w:right="139" w:hanging="329"/>
        <w:spacing w:after="0" w:line="31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146" w:lineRule="exact"/>
        <w:rPr>
          <w:rFonts w:ascii="Arial" w:cs="Arial" w:eastAsia="Arial" w:hAnsi="Arial"/>
          <w:sz w:val="16"/>
          <w:szCs w:val="16"/>
          <w:color w:val="auto"/>
        </w:rPr>
      </w:pPr>
    </w:p>
    <w:p>
      <w:pPr>
        <w:ind w:left="980" w:right="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spacing w:after="0" w:line="170" w:lineRule="exact"/>
        <w:rPr>
          <w:rFonts w:ascii="Arial" w:cs="Arial" w:eastAsia="Arial" w:hAnsi="Arial"/>
          <w:sz w:val="18"/>
          <w:szCs w:val="18"/>
          <w:color w:val="auto"/>
        </w:rPr>
      </w:pPr>
    </w:p>
    <w:p>
      <w:pPr>
        <w:ind w:left="980" w:right="2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225" w:lineRule="exact"/>
        <w:rPr>
          <w:rFonts w:ascii="Arial" w:cs="Arial" w:eastAsia="Arial" w:hAnsi="Arial"/>
          <w:sz w:val="18"/>
          <w:szCs w:val="18"/>
          <w:color w:val="auto"/>
        </w:rPr>
      </w:pPr>
    </w:p>
    <w:p>
      <w:pPr>
        <w:ind w:left="980" w:right="51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remediation of material weaknesses in our internal control over financial reporting;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980" w:right="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70" w:lineRule="exact"/>
        <w:rPr>
          <w:rFonts w:ascii="Arial" w:cs="Arial" w:eastAsia="Arial" w:hAnsi="Arial"/>
          <w:sz w:val="18"/>
          <w:szCs w:val="18"/>
          <w:color w:val="auto"/>
        </w:rPr>
      </w:pPr>
    </w:p>
    <w:p>
      <w:pPr>
        <w:ind w:left="980" w:right="11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04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related to the use of our cash and cash equivalents, how long that cash is expected to last;</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w:t>
      </w:r>
    </w:p>
    <w:p>
      <w:pPr>
        <w:spacing w:after="0" w:line="225" w:lineRule="exact"/>
        <w:rPr>
          <w:rFonts w:ascii="Arial" w:cs="Arial" w:eastAsia="Arial" w:hAnsi="Arial"/>
          <w:sz w:val="18"/>
          <w:szCs w:val="18"/>
          <w:color w:val="auto"/>
        </w:rPr>
      </w:pPr>
    </w:p>
    <w:p>
      <w:pPr>
        <w:ind w:left="980" w:right="80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or the JOBS Act; and</w:t>
      </w:r>
    </w:p>
    <w:p>
      <w:pPr>
        <w:spacing w:after="0" w:line="170"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our prior initial public offering and our recent follow-on shelf public offering.</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Borders>
              <w:bottom w:val="single" w:sz="8" w:color="0000EE"/>
            </w:tcBorders>
            <w:gridSpan w:val="10"/>
          </w:tcPr>
          <w:p>
            <w:pPr>
              <w:jc w:val="center"/>
              <w:spacing w:after="0" w:line="170"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000" w:type="dxa"/>
            <w:vAlign w:val="bottom"/>
            <w:gridSpan w:val="6"/>
          </w:tcPr>
          <w:p>
            <w:pPr>
              <w:spacing w:after="0"/>
              <w:rPr>
                <w:sz w:val="14"/>
                <w:szCs w:val="14"/>
                <w:color w:val="auto"/>
              </w:rPr>
            </w:pPr>
          </w:p>
        </w:tc>
        <w:tc>
          <w:tcPr>
            <w:tcW w:w="660" w:type="dxa"/>
            <w:vAlign w:val="bottom"/>
          </w:tcPr>
          <w:p>
            <w:pPr>
              <w:spacing w:after="0"/>
              <w:rPr>
                <w:sz w:val="14"/>
                <w:szCs w:val="1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744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Financial Statements</w:t>
              </w:r>
            </w:hyperlink>
            <w:r>
              <w:rPr>
                <w:rFonts w:ascii="Arial" w:cs="Arial" w:eastAsia="Arial" w:hAnsi="Arial"/>
                <w:sz w:val="18"/>
                <w:szCs w:val="18"/>
                <w:color w:val="000000"/>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September 30, 2019 and December 31, 2018 (unaudited)</w:t>
              </w:r>
            </w:hyperlink>
          </w:p>
        </w:tc>
        <w:tc>
          <w:tcPr>
            <w:tcW w:w="82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Net Loss and Comprehensive Loss for the three and nine months ended</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September 30, 2019 and 2018 (unaudited)</w:t>
              </w:r>
            </w:hyperlink>
          </w:p>
        </w:tc>
        <w:tc>
          <w:tcPr>
            <w:tcW w:w="426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Changes in Stockholders’ Equity for the three and nine months ended</w:t>
              </w:r>
            </w:hyperlink>
          </w:p>
        </w:tc>
        <w:tc>
          <w:tcPr>
            <w:tcW w:w="4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2019 and 2018 (unaudited)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for the nine months ended September 30, 2019 and 2018</w:t>
              </w:r>
            </w:hyperlink>
          </w:p>
        </w:tc>
        <w:tc>
          <w:tcPr>
            <w:tcW w:w="4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440" w:type="dxa"/>
            <w:vAlign w:val="bottom"/>
            <w:gridSpan w:val="2"/>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44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98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744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4"/>
          </w:tcPr>
          <w:p>
            <w:pPr>
              <w:jc w:val="center"/>
              <w:ind w:right="216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1000" w:type="dxa"/>
            <w:vAlign w:val="bottom"/>
            <w:gridSpan w:val="4"/>
          </w:tcPr>
          <w:p>
            <w:pPr>
              <w:spacing w:after="0"/>
              <w:rPr>
                <w:sz w:val="24"/>
                <w:szCs w:val="24"/>
                <w:color w:val="auto"/>
              </w:rPr>
            </w:pPr>
          </w:p>
        </w:tc>
        <w:tc>
          <w:tcPr>
            <w:tcW w:w="2940" w:type="dxa"/>
            <w:vAlign w:val="bottom"/>
            <w:tcBorders>
              <w:top w:val="single" w:sz="8" w:color="0000EE"/>
            </w:tcBorders>
            <w:gridSpan w:val="7"/>
          </w:tcPr>
          <w:p>
            <w:pPr>
              <w:spacing w:after="0"/>
              <w:rPr>
                <w:sz w:val="24"/>
                <w:szCs w:val="24"/>
                <w:color w:val="auto"/>
              </w:rPr>
            </w:pPr>
          </w:p>
        </w:tc>
        <w:tc>
          <w:tcPr>
            <w:tcW w:w="216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7440" w:type="dxa"/>
            <w:vAlign w:val="bottom"/>
            <w:gridSpan w:val="2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Unregistered Sales of Equity Securities and Use of Proceeds</w:t>
              </w:r>
            </w:hyperlink>
          </w:p>
        </w:tc>
        <w:tc>
          <w:tcPr>
            <w:tcW w:w="308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Item 3.</w:t>
              </w:r>
            </w:hyperlink>
          </w:p>
        </w:tc>
        <w:tc>
          <w:tcPr>
            <w:tcW w:w="440" w:type="dxa"/>
            <w:vAlign w:val="bottom"/>
            <w:gridSpan w:val="2"/>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Defaults Upon Senior Securities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Item 4.</w:t>
              </w:r>
            </w:hyperlink>
          </w:p>
        </w:tc>
        <w:tc>
          <w:tcPr>
            <w:tcW w:w="44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12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Item 5.</w:t>
              </w:r>
            </w:hyperlink>
          </w:p>
        </w:tc>
        <w:tc>
          <w:tcPr>
            <w:tcW w:w="440" w:type="dxa"/>
            <w:vAlign w:val="bottom"/>
            <w:gridSpan w:val="2"/>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Other Information</w:t>
              </w:r>
            </w:hyperlink>
          </w:p>
        </w:tc>
        <w:tc>
          <w:tcPr>
            <w:tcW w:w="612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Item 6.</w:t>
              </w:r>
            </w:hyperlink>
          </w:p>
        </w:tc>
        <w:tc>
          <w:tcPr>
            <w:tcW w:w="440" w:type="dxa"/>
            <w:vAlign w:val="bottom"/>
            <w:gridSpan w:val="2"/>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Exhibits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r>
      <w:tr>
        <w:trPr>
          <w:trHeight w:val="142"/>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147,840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r>
      <w:tr>
        <w:trPr>
          <w:trHeight w:val="210"/>
        </w:trPr>
        <w:tc>
          <w:tcPr>
            <w:tcW w:w="70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99,591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151,532</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7"/>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151,924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9,123</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milestone and royalty payments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Operating lease liabilities, long-term portion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0"/>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11,397</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$0.0001 par value, 5,500,000 shares authorized at September 30, 2019 and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 none issued at September 30, 2019 and December 31, 2018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100,000,000 shares authorized at September 30, 2019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w w:val="96"/>
              </w:rPr>
              <w:t>December 31, 2018; 34,593,666 and 34,193,666 shares issued at September 30, 2019 and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December 31, 2018, respectively</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225,352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(142,727)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(84,835)</w:t>
            </w:r>
          </w:p>
        </w:tc>
      </w:tr>
      <w:tr>
        <w:trPr>
          <w:trHeight w:val="210"/>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85,939</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140,527</w:t>
            </w:r>
          </w:p>
        </w:tc>
      </w:tr>
      <w:tr>
        <w:trPr>
          <w:trHeight w:val="21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103,684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151,924</w:t>
            </w:r>
          </w:p>
        </w:tc>
      </w:tr>
    </w:tbl>
    <w:p>
      <w:pPr>
        <w:spacing w:after="0" w:line="202" w:lineRule="exact"/>
        <w:rPr>
          <w:sz w:val="20"/>
          <w:szCs w:val="20"/>
          <w:color w:val="auto"/>
        </w:rPr>
      </w:pPr>
    </w:p>
    <w:p>
      <w:pPr>
        <w:ind w:left="4480" w:right="1160" w:hanging="2676"/>
        <w:spacing w:after="0" w:line="528" w:lineRule="auto"/>
        <w:rPr>
          <w:sz w:val="20"/>
          <w:szCs w:val="20"/>
          <w:color w:val="auto"/>
        </w:rPr>
      </w:pPr>
      <w:r>
        <w:rPr>
          <w:rFonts w:ascii="Arial" w:cs="Arial" w:eastAsia="Arial" w:hAnsi="Arial"/>
          <w:sz w:val="18"/>
          <w:szCs w:val="18"/>
          <w:color w:val="auto"/>
        </w:rPr>
        <w:t>The accompanying notes are an integral part of the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Three months ended September 30,</w:t>
            </w: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19,660</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8,731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46,665</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23,228</w:t>
            </w: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40" w:type="dxa"/>
            <w:vAlign w:val="bottom"/>
            <w:shd w:val="clear" w:color="auto" w:fill="CCEEFF"/>
          </w:tcPr>
          <w:p>
            <w:pPr>
              <w:spacing w:after="0"/>
              <w:rPr>
                <w:sz w:val="18"/>
                <w:szCs w:val="18"/>
                <w:color w:val="auto"/>
              </w:rPr>
            </w:pPr>
          </w:p>
        </w:tc>
      </w:tr>
      <w:tr>
        <w:trPr>
          <w:trHeight w:val="21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59,246</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29,152</w:t>
            </w:r>
          </w:p>
        </w:tc>
        <w:tc>
          <w:tcPr>
            <w:tcW w:w="4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(24,359)</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(59,246)</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(29,152)</w:t>
            </w:r>
          </w:p>
        </w:tc>
        <w:tc>
          <w:tcPr>
            <w:tcW w:w="40" w:type="dxa"/>
            <w:vAlign w:val="bottom"/>
            <w:shd w:val="clear" w:color="auto" w:fill="CCEEFF"/>
          </w:tcPr>
          <w:p>
            <w:pPr>
              <w:spacing w:after="0"/>
              <w:rPr>
                <w:sz w:val="18"/>
                <w:szCs w:val="18"/>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OTHER INCOME/(EXPENSES)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7"/>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(23,922)</w:t>
            </w: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(57,892)</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(29,214)</w:t>
            </w:r>
          </w:p>
        </w:tc>
        <w:tc>
          <w:tcPr>
            <w:tcW w:w="40" w:type="dxa"/>
            <w:vAlign w:val="bottom"/>
            <w:tcBorders>
              <w:bottom w:val="single" w:sz="8" w:color="CCEEFF"/>
            </w:tcBorders>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CCEEFF"/>
            </w:tcBorders>
          </w:tcPr>
          <w:p>
            <w:pPr>
              <w:spacing w:after="0"/>
              <w:rPr>
                <w:sz w:val="18"/>
                <w:szCs w:val="18"/>
                <w:color w:val="auto"/>
              </w:rPr>
            </w:pPr>
          </w:p>
        </w:tc>
      </w:tr>
      <w:tr>
        <w:trPr>
          <w:trHeight w:val="23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(23,788)</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(57,768)</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(29,093)</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75"/>
        </w:trPr>
        <w:tc>
          <w:tcPr>
            <w:tcW w:w="4240" w:type="dxa"/>
            <w:vAlign w:val="bottom"/>
          </w:tcPr>
          <w:p>
            <w:pPr>
              <w:spacing w:after="0" w:line="176" w:lineRule="exact"/>
              <w:rPr>
                <w:sz w:val="20"/>
                <w:szCs w:val="20"/>
                <w:color w:val="auto"/>
              </w:rPr>
            </w:pPr>
            <w:r>
              <w:rPr>
                <w:rFonts w:ascii="Arial" w:cs="Arial" w:eastAsia="Arial" w:hAnsi="Arial"/>
                <w:sz w:val="18"/>
                <w:szCs w:val="18"/>
                <w:color w:val="auto"/>
                <w:w w:val="94"/>
              </w:rPr>
              <w:t>Net loss per share attributable to common stockholders,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basic and diluted</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182"/>
        </w:trPr>
        <w:tc>
          <w:tcPr>
            <w:tcW w:w="4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Weighted average common shares outstanding, basic and</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34,371,927</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27,330,579</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34,253,739</w:t>
            </w: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26,945,432</w:t>
            </w:r>
          </w:p>
        </w:tc>
        <w:tc>
          <w:tcPr>
            <w:tcW w:w="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4480" w:right="1160" w:hanging="2676"/>
        <w:spacing w:after="0" w:line="528" w:lineRule="auto"/>
        <w:rPr>
          <w:sz w:val="20"/>
          <w:szCs w:val="20"/>
          <w:color w:val="auto"/>
        </w:rPr>
      </w:pPr>
      <w:r>
        <w:rPr>
          <w:rFonts w:ascii="Arial" w:cs="Arial" w:eastAsia="Arial" w:hAnsi="Arial"/>
          <w:sz w:val="18"/>
          <w:szCs w:val="18"/>
          <w:color w:val="auto"/>
        </w:rPr>
        <w:t>The accompanying notes are an integral part of the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3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1"/>
        </w:trPr>
        <w:tc>
          <w:tcPr>
            <w:tcW w:w="3100" w:type="dxa"/>
            <w:vAlign w:val="bottom"/>
          </w:tcPr>
          <w:p>
            <w:pPr>
              <w:spacing w:after="0"/>
              <w:rPr>
                <w:sz w:val="17"/>
                <w:szCs w:val="17"/>
                <w:color w:val="auto"/>
              </w:rPr>
            </w:pPr>
          </w:p>
        </w:tc>
        <w:tc>
          <w:tcPr>
            <w:tcW w:w="13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Comprehensive</w:t>
            </w:r>
          </w:p>
        </w:tc>
        <w:tc>
          <w:tcPr>
            <w:tcW w:w="6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Stockholders’</w:t>
            </w:r>
          </w:p>
        </w:tc>
      </w:tr>
      <w:tr>
        <w:trPr>
          <w:trHeight w:val="196"/>
        </w:trPr>
        <w:tc>
          <w:tcPr>
            <w:tcW w:w="3100" w:type="dxa"/>
            <w:vAlign w:val="bottom"/>
          </w:tcPr>
          <w:p>
            <w:pPr>
              <w:spacing w:after="0"/>
              <w:rPr>
                <w:sz w:val="17"/>
                <w:szCs w:val="17"/>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Income/(Loss)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26,749,666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(7,483)</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26,749,666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74,844</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(10,305)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26,749,666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65,521</w:t>
            </w:r>
          </w:p>
        </w:tc>
      </w:tr>
      <w:tr>
        <w:trPr>
          <w:trHeight w:val="202"/>
        </w:trPr>
        <w:tc>
          <w:tcPr>
            <w:tcW w:w="310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in initial</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w w:val="98"/>
              </w:rPr>
              <w:t>public offering, net of issuance costs</w:t>
            </w:r>
          </w:p>
        </w:tc>
        <w:tc>
          <w:tcPr>
            <w:tcW w:w="940" w:type="dxa"/>
            <w:vAlign w:val="bottom"/>
          </w:tcPr>
          <w:p>
            <w:pPr>
              <w:jc w:val="right"/>
              <w:spacing w:after="0"/>
              <w:rPr>
                <w:sz w:val="20"/>
                <w:szCs w:val="20"/>
                <w:color w:val="auto"/>
              </w:rPr>
            </w:pPr>
            <w:r>
              <w:rPr>
                <w:rFonts w:ascii="Arial" w:cs="Arial" w:eastAsia="Arial" w:hAnsi="Arial"/>
                <w:sz w:val="18"/>
                <w:szCs w:val="18"/>
                <w:color w:val="auto"/>
              </w:rPr>
              <w:t>6,900,000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100,498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100,498</w:t>
            </w:r>
          </w:p>
        </w:tc>
      </w:tr>
      <w:tr>
        <w:trPr>
          <w:trHeight w:val="202"/>
        </w:trPr>
        <w:tc>
          <w:tcPr>
            <w:tcW w:w="3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(11,426)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(11,426)</w:t>
            </w:r>
          </w:p>
        </w:tc>
      </w:tr>
      <w:tr>
        <w:trPr>
          <w:trHeight w:val="217"/>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34,193,666</w:t>
            </w:r>
          </w:p>
        </w:tc>
        <w:tc>
          <w:tcPr>
            <w:tcW w:w="2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155,028</w:t>
            </w:r>
          </w:p>
        </w:tc>
      </w:tr>
      <w:tr>
        <w:trPr>
          <w:trHeight w:val="216"/>
        </w:trPr>
        <w:tc>
          <w:tcPr>
            <w:tcW w:w="3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49"/>
        </w:trPr>
        <w:tc>
          <w:tcPr>
            <w:tcW w:w="3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340" w:type="dxa"/>
            <w:vAlign w:val="bottom"/>
            <w:tcBorders>
              <w:bottom w:val="single" w:sz="8" w:color="auto"/>
            </w:tcBorders>
            <w:gridSpan w:val="4"/>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80" w:type="dxa"/>
            <w:vAlign w:val="bottom"/>
            <w:gridSpan w:val="4"/>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Stockholders’</w:t>
            </w:r>
          </w:p>
        </w:tc>
      </w:tr>
      <w:tr>
        <w:trPr>
          <w:trHeight w:val="142"/>
        </w:trPr>
        <w:tc>
          <w:tcPr>
            <w:tcW w:w="3100" w:type="dxa"/>
            <w:vAlign w:val="bottom"/>
          </w:tcPr>
          <w:p>
            <w:pPr>
              <w:spacing w:after="0"/>
              <w:rPr>
                <w:sz w:val="12"/>
                <w:szCs w:val="12"/>
                <w:color w:val="auto"/>
              </w:rPr>
            </w:pPr>
          </w:p>
        </w:tc>
        <w:tc>
          <w:tcPr>
            <w:tcW w:w="9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108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(Loss)/Income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34,193,666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140,527</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(15,934)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(15,934)</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34,193,666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(100,769)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125,513</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(18,036)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(18,036)</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34,193,666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(118,805)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108,382</w:t>
            </w:r>
          </w:p>
        </w:tc>
      </w:tr>
      <w:tr>
        <w:trPr>
          <w:trHeight w:val="202"/>
        </w:trPr>
        <w:tc>
          <w:tcPr>
            <w:tcW w:w="310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3100" w:type="dxa"/>
            <w:vAlign w:val="bottom"/>
          </w:tcPr>
          <w:p>
            <w:pPr>
              <w:ind w:left="220"/>
              <w:spacing w:after="0"/>
              <w:rPr>
                <w:sz w:val="20"/>
                <w:szCs w:val="20"/>
                <w:color w:val="auto"/>
              </w:rPr>
            </w:pPr>
            <w:r>
              <w:rPr>
                <w:rFonts w:ascii="Arial" w:cs="Arial" w:eastAsia="Arial" w:hAnsi="Arial"/>
                <w:sz w:val="18"/>
                <w:szCs w:val="18"/>
                <w:color w:val="auto"/>
              </w:rPr>
              <w:t>nonemployees</w:t>
            </w: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w:t>
            </w:r>
          </w:p>
        </w:tc>
      </w:tr>
      <w:tr>
        <w:trPr>
          <w:trHeight w:val="217"/>
        </w:trPr>
        <w:tc>
          <w:tcPr>
            <w:tcW w:w="310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34,593,666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228,532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(142,727)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85,939</w:t>
            </w:r>
          </w:p>
        </w:tc>
      </w:tr>
    </w:tbl>
    <w:p>
      <w:pPr>
        <w:spacing w:after="0" w:line="202" w:lineRule="exact"/>
        <w:rPr>
          <w:sz w:val="20"/>
          <w:szCs w:val="20"/>
          <w:color w:val="auto"/>
        </w:rPr>
      </w:pPr>
    </w:p>
    <w:p>
      <w:pPr>
        <w:ind w:left="4480" w:right="1160" w:hanging="2676"/>
        <w:spacing w:after="0" w:line="528" w:lineRule="auto"/>
        <w:rPr>
          <w:sz w:val="20"/>
          <w:szCs w:val="20"/>
          <w:color w:val="auto"/>
        </w:rPr>
      </w:pPr>
      <w:r>
        <w:rPr>
          <w:rFonts w:ascii="Arial" w:cs="Arial" w:eastAsia="Arial" w:hAnsi="Arial"/>
          <w:sz w:val="18"/>
          <w:szCs w:val="18"/>
          <w:color w:val="auto"/>
        </w:rPr>
        <w:t>The accompanying notes are an integral part of the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3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7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(57,892)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(29,214)</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Foreign currency transactions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(1,881)</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r>
      <w:tr>
        <w:trPr>
          <w:trHeight w:val="21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(27,652)</w:t>
            </w:r>
          </w:p>
        </w:tc>
        <w:tc>
          <w:tcPr>
            <w:tcW w:w="12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101,607</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Payment of offering costs for private placement</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8"/>
                <w:szCs w:val="18"/>
                <w:color w:val="auto"/>
              </w:rPr>
            </w:pPr>
          </w:p>
        </w:tc>
      </w:tr>
      <w:tr>
        <w:trPr>
          <w:trHeight w:val="182"/>
        </w:trPr>
        <w:tc>
          <w:tcPr>
            <w:tcW w:w="6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NET INCREASE/(DECREASE) IN CASH, CASH EQUIVALENTS AND RESTRICTED</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72,808</w:t>
            </w:r>
          </w:p>
        </w:tc>
        <w:tc>
          <w:tcPr>
            <w:tcW w:w="120" w:type="dxa"/>
            <w:vAlign w:val="bottom"/>
            <w:shd w:val="clear" w:color="auto" w:fill="CCEEFF"/>
          </w:tcPr>
          <w:p>
            <w:pPr>
              <w:spacing w:after="0"/>
              <w:rPr>
                <w:sz w:val="20"/>
                <w:szCs w:val="20"/>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90,515</w:t>
            </w:r>
          </w:p>
        </w:tc>
        <w:tc>
          <w:tcPr>
            <w:tcW w:w="120" w:type="dxa"/>
            <w:vAlign w:val="bottom"/>
            <w:tcBorders>
              <w:bottom w:val="single" w:sz="8" w:color="CCEEFF"/>
            </w:tcBorders>
          </w:tcPr>
          <w:p>
            <w:pPr>
              <w:spacing w:after="0"/>
              <w:rPr>
                <w:sz w:val="18"/>
                <w:szCs w:val="18"/>
                <w:color w:val="auto"/>
              </w:rPr>
            </w:pPr>
          </w:p>
        </w:tc>
      </w:tr>
      <w:tr>
        <w:trPr>
          <w:trHeight w:val="217"/>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163,323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Common stock issuance costs in accounts payable</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r>
      <w:tr>
        <w:trPr>
          <w:trHeight w:val="202"/>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offering costs included in other assets and accounts payable and accrued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other</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right="619" w:firstLine="648"/>
        <w:spacing w:after="0" w:line="221" w:lineRule="exact"/>
        <w:rPr>
          <w:sz w:val="20"/>
          <w:szCs w:val="20"/>
          <w:color w:val="auto"/>
        </w:rPr>
      </w:pPr>
      <w:r>
        <w:rPr>
          <w:rFonts w:ascii="Arial" w:cs="Arial" w:eastAsia="Arial" w:hAnsi="Arial"/>
          <w:sz w:val="18"/>
          <w:szCs w:val="18"/>
          <w:color w:val="auto"/>
        </w:rPr>
        <w:t>Y</w:t>
      </w:r>
      <w:r>
        <w:rPr>
          <w:rFonts w:ascii="MS PGothic" w:cs="MS PGothic" w:eastAsia="MS PGothic" w:hAnsi="MS PGothic"/>
          <w:sz w:val="18"/>
          <w:szCs w:val="18"/>
          <w:color w:val="auto"/>
        </w:rPr>
        <w:t>‑</w:t>
      </w:r>
      <w:r>
        <w:rPr>
          <w:rFonts w:ascii="Arial" w:cs="Arial" w:eastAsia="Arial" w:hAnsi="Arial"/>
          <w:sz w:val="18"/>
          <w:szCs w:val="18"/>
          <w:color w:val="auto"/>
        </w:rPr>
        <w:t>mAbs Therapeutics, Inc. (“we,” “us,” “our,” the “Company,” or “Y</w:t>
      </w:r>
      <w:r>
        <w:rPr>
          <w:rFonts w:ascii="MS PGothic" w:cs="MS PGothic" w:eastAsia="MS PGothic" w:hAnsi="MS PGothic"/>
          <w:sz w:val="18"/>
          <w:szCs w:val="18"/>
          <w:color w:val="auto"/>
        </w:rPr>
        <w:t>‑</w:t>
      </w:r>
      <w:r>
        <w:rPr>
          <w:rFonts w:ascii="Arial" w:cs="Arial" w:eastAsia="Arial" w:hAnsi="Arial"/>
          <w:sz w:val="18"/>
          <w:szCs w:val="18"/>
          <w:color w:val="auto"/>
        </w:rPr>
        <w:t>mAbs”) is a late-stage clinical biopharmaceutical company focused on the development and commercialization of novel antibody-based therapeutic products for the treatment of cancer.</w:t>
      </w:r>
    </w:p>
    <w:p>
      <w:pPr>
        <w:spacing w:after="0" w:line="202" w:lineRule="exact"/>
        <w:rPr>
          <w:sz w:val="20"/>
          <w:szCs w:val="20"/>
          <w:color w:val="auto"/>
        </w:rPr>
      </w:pPr>
    </w:p>
    <w:p>
      <w:pPr>
        <w:ind w:right="39" w:firstLine="648"/>
        <w:spacing w:after="0" w:line="219" w:lineRule="exact"/>
        <w:rPr>
          <w:sz w:val="20"/>
          <w:szCs w:val="20"/>
          <w:color w:val="auto"/>
        </w:rPr>
      </w:pPr>
      <w:r>
        <w:rPr>
          <w:rFonts w:ascii="Arial" w:cs="Arial" w:eastAsia="Arial" w:hAnsi="Arial"/>
          <w:sz w:val="17"/>
          <w:szCs w:val="17"/>
          <w:color w:val="auto"/>
        </w:rPr>
        <w:t>We have entered into a worldwide license and research collaboration agreement (the “MSK License Agreement”) with Memorial Sloan</w:t>
      </w:r>
      <w:r>
        <w:rPr>
          <w:rFonts w:ascii="MS PGothic" w:cs="MS PGothic" w:eastAsia="MS PGothic" w:hAnsi="MS PGothic"/>
          <w:sz w:val="17"/>
          <w:szCs w:val="17"/>
          <w:color w:val="auto"/>
        </w:rPr>
        <w:t>‑</w:t>
      </w:r>
      <w:r>
        <w:rPr>
          <w:rFonts w:ascii="Arial" w:cs="Arial" w:eastAsia="Arial" w:hAnsi="Arial"/>
          <w:sz w:val="17"/>
          <w:szCs w:val="17"/>
          <w:color w:val="auto"/>
        </w:rPr>
        <w:t>Kettering Cancer Center (“MSK”), under which we have obtained the exclusive rights to MSK’s rights to two clinical stage antibody</w:t>
      </w:r>
      <w:r>
        <w:rPr>
          <w:rFonts w:ascii="MS PGothic" w:cs="MS PGothic" w:eastAsia="MS PGothic" w:hAnsi="MS PGothic"/>
          <w:sz w:val="17"/>
          <w:szCs w:val="17"/>
          <w:color w:val="auto"/>
        </w:rPr>
        <w:t>‑</w:t>
      </w:r>
      <w:r>
        <w:rPr>
          <w:rFonts w:ascii="Arial" w:cs="Arial" w:eastAsia="Arial" w:hAnsi="Arial"/>
          <w:sz w:val="17"/>
          <w:szCs w:val="17"/>
          <w:color w:val="auto"/>
        </w:rPr>
        <w:t>based product development programs for the treatment of neuroblastoma and other oncology indications. The MSK License Agreement also includes a protein multimerization platform technology, and an option to obtain the rights to certain chimeric antigen receptor T</w:t>
      </w:r>
      <w:r>
        <w:rPr>
          <w:rFonts w:ascii="MS PGothic" w:cs="MS PGothic" w:eastAsia="MS PGothic" w:hAnsi="MS PGothic"/>
          <w:sz w:val="17"/>
          <w:szCs w:val="17"/>
          <w:color w:val="auto"/>
        </w:rPr>
        <w:t>‑</w:t>
      </w:r>
      <w:r>
        <w:rPr>
          <w:rFonts w:ascii="Arial" w:cs="Arial" w:eastAsia="Arial" w:hAnsi="Arial"/>
          <w:sz w:val="17"/>
          <w:szCs w:val="17"/>
          <w:color w:val="auto"/>
        </w:rPr>
        <w:t>cell, or CAR</w:t>
      </w:r>
      <w:r>
        <w:rPr>
          <w:rFonts w:ascii="MS PGothic" w:cs="MS PGothic" w:eastAsia="MS PGothic" w:hAnsi="MS PGothic"/>
          <w:sz w:val="17"/>
          <w:szCs w:val="17"/>
          <w:color w:val="auto"/>
        </w:rPr>
        <w:t>‑</w:t>
      </w:r>
      <w:r>
        <w:rPr>
          <w:rFonts w:ascii="Arial" w:cs="Arial" w:eastAsia="Arial" w:hAnsi="Arial"/>
          <w:sz w:val="17"/>
          <w:szCs w:val="17"/>
          <w:color w:val="auto"/>
        </w:rPr>
        <w:t>T, technologies, as well as rights to certain next</w:t>
      </w:r>
      <w:r>
        <w:rPr>
          <w:rFonts w:ascii="MS PGothic" w:cs="MS PGothic" w:eastAsia="MS PGothic" w:hAnsi="MS PGothic"/>
          <w:sz w:val="17"/>
          <w:szCs w:val="17"/>
          <w:color w:val="auto"/>
        </w:rPr>
        <w:t>‑</w:t>
      </w:r>
      <w:r>
        <w:rPr>
          <w:rFonts w:ascii="Arial" w:cs="Arial" w:eastAsia="Arial" w:hAnsi="Arial"/>
          <w:sz w:val="17"/>
          <w:szCs w:val="17"/>
          <w:color w:val="auto"/>
        </w:rPr>
        <w:t>generation humanized, affinity matured bispecific antibodies.</w:t>
      </w:r>
    </w:p>
    <w:p>
      <w:pPr>
        <w:spacing w:after="0" w:line="203" w:lineRule="exact"/>
        <w:rPr>
          <w:sz w:val="20"/>
          <w:szCs w:val="20"/>
          <w:color w:val="auto"/>
        </w:rPr>
      </w:pPr>
    </w:p>
    <w:p>
      <w:pPr>
        <w:ind w:right="139" w:firstLine="648"/>
        <w:spacing w:after="0" w:line="277" w:lineRule="auto"/>
        <w:rPr>
          <w:sz w:val="20"/>
          <w:szCs w:val="20"/>
          <w:color w:val="auto"/>
        </w:rPr>
      </w:pPr>
      <w:r>
        <w:rPr>
          <w:rFonts w:ascii="Arial" w:cs="Arial" w:eastAsia="Arial" w:hAnsi="Arial"/>
          <w:sz w:val="18"/>
          <w:szCs w:val="18"/>
          <w:color w:val="auto"/>
        </w:rPr>
        <w:t>The Company is headquartered in New York, New York and was incorporated on April 30, 2015 under the laws of the State of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right="19" w:firstLine="648"/>
        <w:spacing w:after="0" w:line="218" w:lineRule="exact"/>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w:t>
      </w:r>
      <w:r>
        <w:rPr>
          <w:rFonts w:ascii="MS PGothic" w:cs="MS PGothic" w:eastAsia="MS PGothic" w:hAnsi="MS PGothic"/>
          <w:sz w:val="17"/>
          <w:szCs w:val="17"/>
          <w:color w:val="auto"/>
        </w:rPr>
        <w:t>‑</w:t>
      </w:r>
      <w:r>
        <w:rPr>
          <w:rFonts w:ascii="Arial" w:cs="Arial" w:eastAsia="Arial" w:hAnsi="Arial"/>
          <w:sz w:val="17"/>
          <w:szCs w:val="17"/>
          <w:color w:val="auto"/>
        </w:rPr>
        <w:t>reporting capabilities.</w:t>
      </w:r>
    </w:p>
    <w:p>
      <w:pPr>
        <w:spacing w:after="0" w:line="204" w:lineRule="exact"/>
        <w:rPr>
          <w:sz w:val="20"/>
          <w:szCs w:val="20"/>
          <w:color w:val="auto"/>
        </w:rPr>
      </w:pPr>
    </w:p>
    <w:p>
      <w:pPr>
        <w:ind w:right="139" w:firstLine="648"/>
        <w:spacing w:after="0" w:line="293"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5" w:lineRule="exact"/>
        <w:rPr>
          <w:sz w:val="20"/>
          <w:szCs w:val="20"/>
          <w:color w:val="auto"/>
        </w:rPr>
      </w:pPr>
    </w:p>
    <w:p>
      <w:pPr>
        <w:ind w:right="19" w:firstLine="648"/>
        <w:spacing w:after="0" w:line="269"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$142.7 million as of September 30, 2019 and $84.8 million as of December 31, 2018. Through September 30, 2019, the Company has funded its operations through proceeds from sales of shares of its common stock, including its initial public offering (“IPO”), in September 2018. As of September 30, 2019, the Company had cash and cash equivalents of $98.2 million, and as of December 31, 2018 the Company had cash and cash equivalents of $147.8 million. As of the issuance date of the quarterly financial statements for the three and nine months ended September 30, 2019, the Company expects that its cash and cash equivalents at September 30, 2019 will be sufficient to fund its operating expenses and capital expenditure requirements through at least the next twelve months. In November 2019, the Company completed a follow-on shelf public offering and raised $134.7 million, net of issuance costs. The future viability of the Company, until such time that the Company has commercialized any of its products, is dependent on its ability to raise additional capital to finance its operations.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39" w:firstLine="648"/>
        <w:spacing w:after="0" w:line="293" w:lineRule="auto"/>
        <w:rPr>
          <w:sz w:val="20"/>
          <w:szCs w:val="20"/>
          <w:color w:val="auto"/>
        </w:rPr>
      </w:pPr>
      <w:r>
        <w:rPr>
          <w:rFonts w:ascii="Arial" w:cs="Arial" w:eastAsia="Arial" w:hAnsi="Arial"/>
          <w:sz w:val="16"/>
          <w:szCs w:val="16"/>
          <w:color w:val="auto"/>
        </w:rPr>
        <w:t>The Company may be required to raise additional capital to fund future operations through the sale of its equity securities, incurring debt, entering into licensing or collaboration agreements with partners, grants or other sources of financing. Sufficient funds may not be available to the Company at all or on attractive terms when needed from equity or debt financing. If the Company is unable to obtain additional financing from these or other sources when needed, or to the extent needed, it may be necessary to significantly reduce its current rate of spending through delaying, scaling back, or suspending certain research and development programs and other operational programs.</w:t>
      </w:r>
    </w:p>
    <w:p>
      <w:pPr>
        <w:spacing w:after="0" w:line="165" w:lineRule="exact"/>
        <w:rPr>
          <w:sz w:val="20"/>
          <w:szCs w:val="20"/>
          <w:color w:val="auto"/>
        </w:rPr>
      </w:pPr>
    </w:p>
    <w:p>
      <w:pPr>
        <w:ind w:right="19" w:firstLine="648"/>
        <w:spacing w:after="0" w:line="217" w:lineRule="exact"/>
        <w:rPr>
          <w:sz w:val="20"/>
          <w:szCs w:val="20"/>
          <w:color w:val="auto"/>
        </w:rPr>
      </w:pPr>
      <w:r>
        <w:rPr>
          <w:rFonts w:ascii="Arial" w:cs="Arial" w:eastAsia="Arial" w:hAnsi="Arial"/>
          <w:sz w:val="16"/>
          <w:szCs w:val="16"/>
          <w:color w:val="auto"/>
        </w:rPr>
        <w:t>The accompanying unaudited consolidated financial statements reflect the accounts of the Company and its wholly</w:t>
      </w:r>
      <w:r>
        <w:rPr>
          <w:rFonts w:ascii="MS PGothic" w:cs="MS PGothic" w:eastAsia="MS PGothic" w:hAnsi="MS PGothic"/>
          <w:sz w:val="16"/>
          <w:szCs w:val="16"/>
          <w:color w:val="auto"/>
        </w:rPr>
        <w:t>‑</w:t>
      </w:r>
      <w:r>
        <w:rPr>
          <w:rFonts w:ascii="Arial" w:cs="Arial" w:eastAsia="Arial" w:hAnsi="Arial"/>
          <w:sz w:val="16"/>
          <w:szCs w:val="16"/>
          <w:color w:val="auto"/>
        </w:rPr>
        <w:t>owned subsidiary and have been prepared in accordance with accounting principles generally accepted in the United States of America (“GAAP”) for interim financial information, Accounting Standards Codification (“ASC”) Topic 270-10 and with the instructions to Form 10-Q. Accordingly, these financial statements do not include all of the information and notes required by GAAP for complete financial statements. The unaudited interim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 and nine-month periods ended September 30, 2019 are not necessarily indicative of the results that may be expected for the year ended December 31, 2019, any other interim periods, or any future year or period. The December 31, 2018 consolidated balance sheet data was derived from audited financial statements, but does not include all disclosures required by GAAP. You should read these unaudited interim condensed consolidated financial statements in conjunction with the consolidated financial statements and notes included in the Company’s Annual Report on Form 10-K for the year ended December 31,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right="139" w:firstLine="648"/>
        <w:spacing w:after="0" w:line="218" w:lineRule="exact"/>
        <w:rPr>
          <w:sz w:val="20"/>
          <w:szCs w:val="20"/>
          <w:color w:val="auto"/>
        </w:rPr>
      </w:pPr>
      <w:r>
        <w:rPr>
          <w:rFonts w:ascii="Arial" w:cs="Arial" w:eastAsia="Arial" w:hAnsi="Arial"/>
          <w:sz w:val="18"/>
          <w:szCs w:val="18"/>
          <w:color w:val="auto"/>
        </w:rPr>
        <w:t>Our critical accounting policies are detailed in our Annual Report on Form 10-K for the year ended December 31, 2018. Effective January 1, 2019, the Company adopted Accounting Standards Update No. 2018-09 (“ASU 2018-09”), Codification Improvements, which clarify, correct errors in, or make minor improvements to a variety of ASC topics; ASU No. 2018</w:t>
      </w:r>
      <w:r>
        <w:rPr>
          <w:rFonts w:ascii="MS PGothic" w:cs="MS PGothic" w:eastAsia="MS PGothic" w:hAnsi="MS PGothic"/>
          <w:sz w:val="18"/>
          <w:szCs w:val="18"/>
          <w:color w:val="auto"/>
        </w:rPr>
        <w:t>‑</w:t>
      </w:r>
      <w:r>
        <w:rPr>
          <w:rFonts w:ascii="Arial" w:cs="Arial" w:eastAsia="Arial" w:hAnsi="Arial"/>
          <w:sz w:val="18"/>
          <w:szCs w:val="18"/>
          <w:color w:val="auto"/>
        </w:rPr>
        <w:t>07, Compensation—Stock Compensation (Topic 718), Improvements to Nonemployee Share</w:t>
      </w:r>
      <w:r>
        <w:rPr>
          <w:rFonts w:ascii="MS PGothic" w:cs="MS PGothic" w:eastAsia="MS PGothic" w:hAnsi="MS PGothic"/>
          <w:sz w:val="18"/>
          <w:szCs w:val="18"/>
          <w:color w:val="auto"/>
        </w:rPr>
        <w:t>‑</w:t>
      </w:r>
      <w:r>
        <w:rPr>
          <w:rFonts w:ascii="Arial" w:cs="Arial" w:eastAsia="Arial" w:hAnsi="Arial"/>
          <w:sz w:val="18"/>
          <w:szCs w:val="18"/>
          <w:color w:val="auto"/>
        </w:rPr>
        <w:t>Based Payment Accounting; Accounting Standards Update No. 2018</w:t>
      </w:r>
      <w:r>
        <w:rPr>
          <w:rFonts w:ascii="MS PGothic" w:cs="MS PGothic" w:eastAsia="MS PGothic" w:hAnsi="MS PGothic"/>
          <w:sz w:val="18"/>
          <w:szCs w:val="18"/>
          <w:color w:val="auto"/>
        </w:rPr>
        <w:t>‑</w:t>
      </w:r>
      <w:r>
        <w:rPr>
          <w:rFonts w:ascii="Arial" w:cs="Arial" w:eastAsia="Arial" w:hAnsi="Arial"/>
          <w:sz w:val="18"/>
          <w:szCs w:val="18"/>
          <w:color w:val="auto"/>
        </w:rPr>
        <w:t>02, (“ASU 2018-02”), Reclassification of Certain Tax Effects from Accumulated Other Comprehensive Income; and Accounting Standards Update No. 2016</w:t>
      </w:r>
      <w:r>
        <w:rPr>
          <w:rFonts w:ascii="MS PGothic" w:cs="MS PGothic" w:eastAsia="MS PGothic" w:hAnsi="MS PGothic"/>
          <w:sz w:val="18"/>
          <w:szCs w:val="18"/>
          <w:color w:val="auto"/>
        </w:rPr>
        <w:t>‑</w:t>
      </w:r>
      <w:r>
        <w:rPr>
          <w:rFonts w:ascii="Arial" w:cs="Arial" w:eastAsia="Arial" w:hAnsi="Arial"/>
          <w:sz w:val="18"/>
          <w:szCs w:val="18"/>
          <w:color w:val="auto"/>
        </w:rPr>
        <w:t>02 (“ASU 2016</w:t>
      </w:r>
      <w:r>
        <w:rPr>
          <w:rFonts w:ascii="MS PGothic" w:cs="MS PGothic" w:eastAsia="MS PGothic" w:hAnsi="MS PGothic"/>
          <w:sz w:val="18"/>
          <w:szCs w:val="18"/>
          <w:color w:val="auto"/>
        </w:rPr>
        <w:t>‑</w:t>
      </w:r>
      <w:r>
        <w:rPr>
          <w:rFonts w:ascii="Arial" w:cs="Arial" w:eastAsia="Arial" w:hAnsi="Arial"/>
          <w:sz w:val="18"/>
          <w:szCs w:val="18"/>
          <w:color w:val="auto"/>
        </w:rPr>
        <w:t>02”), Leases. Other than the adoption of the new accounting guidance, our critical accounting policies have not changed materially from December 31,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9" w:firstLine="648"/>
        <w:spacing w:after="0" w:line="288" w:lineRule="auto"/>
        <w:rPr>
          <w:sz w:val="20"/>
          <w:szCs w:val="20"/>
          <w:color w:val="auto"/>
        </w:rPr>
      </w:pPr>
      <w:r>
        <w:rPr>
          <w:rFonts w:ascii="Arial" w:cs="Arial" w:eastAsia="Arial" w:hAnsi="Arial"/>
          <w:sz w:val="16"/>
          <w:szCs w:val="16"/>
          <w:color w:val="auto"/>
        </w:rPr>
        <w:t>As described below, the Company adopted Topic 842 as of January 1, 2019. 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pacing w:after="0" w:line="169" w:lineRule="exact"/>
        <w:rPr>
          <w:sz w:val="20"/>
          <w:szCs w:val="20"/>
          <w:color w:val="auto"/>
        </w:rPr>
      </w:pPr>
    </w:p>
    <w:p>
      <w:pPr>
        <w:ind w:right="99" w:firstLine="648"/>
        <w:spacing w:after="0" w:line="259" w:lineRule="auto"/>
        <w:rPr>
          <w:sz w:val="20"/>
          <w:szCs w:val="20"/>
          <w:color w:val="auto"/>
        </w:rPr>
      </w:pPr>
      <w:r>
        <w:rPr>
          <w:rFonts w:ascii="Arial" w:cs="Arial" w:eastAsia="Arial" w:hAnsi="Arial"/>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7" w:lineRule="exact"/>
        <w:rPr>
          <w:sz w:val="20"/>
          <w:szCs w:val="20"/>
          <w:color w:val="auto"/>
        </w:rPr>
      </w:pPr>
    </w:p>
    <w:p>
      <w:pPr>
        <w:jc w:val="both"/>
        <w:ind w:right="559" w:firstLine="648"/>
        <w:spacing w:after="0" w:line="342" w:lineRule="auto"/>
        <w:rPr>
          <w:sz w:val="20"/>
          <w:szCs w:val="20"/>
          <w:color w:val="auto"/>
        </w:rPr>
      </w:pPr>
      <w:r>
        <w:rPr>
          <w:rFonts w:ascii="Arial" w:cs="Arial" w:eastAsia="Arial" w:hAnsi="Arial"/>
          <w:sz w:val="16"/>
          <w:szCs w:val="16"/>
          <w:color w:val="auto"/>
        </w:rPr>
        <w:t>Topic 842 also provides practical expedients and certain exemptions for an entity’s ongoing accounting post implementation. The Company currently elected the short-term lease recognition exemption for all leases that qualify.</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This means, for those leases that qualify, we will not recognize right-of-use assets or liabilities, and this includes not recognizing right-of-use assets or liabilities for existing short-term leases of those assets in transition. We also elected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Note 6 for the related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is engaged solely in the discovery and development of novel antibody-based therapeutic products for the treatment of cancer. Accordingly, the Company has determined that it operates in one operating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July 2018, the FASB issued Accounting Standards Update No. 2018-09 (“ASU 2018-09”), Codification Improvements, which clarify, correct errors in, or make minor improvements to a variety of ASC topics. The changes in ASU 2018-09 are not expected to have a significant effect on current accounting practices. Some of the amendments in this update do not require transition guidance and will be effective upon this update. However, many of the updates do have transition guidance with effective dates for periods beginning after December 15, 2018. The adoption of this standard on January 1, 2019 did not have a material impact on our consolidated financial statements and related disclosures.</w:t>
      </w:r>
    </w:p>
    <w:p>
      <w:pPr>
        <w:spacing w:after="0" w:line="16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In June 2018, the FASB issued ASU No. 2018</w:t>
      </w:r>
      <w:r>
        <w:rPr>
          <w:rFonts w:ascii="MS PGothic" w:cs="MS PGothic" w:eastAsia="MS PGothic" w:hAnsi="MS PGothic"/>
          <w:sz w:val="16"/>
          <w:szCs w:val="16"/>
          <w:color w:val="auto"/>
        </w:rPr>
        <w:t>‑</w:t>
      </w:r>
      <w:r>
        <w:rPr>
          <w:rFonts w:ascii="Arial" w:cs="Arial" w:eastAsia="Arial" w:hAnsi="Arial"/>
          <w:sz w:val="16"/>
          <w:szCs w:val="16"/>
          <w:color w:val="auto"/>
        </w:rPr>
        <w:t>07, Compensation—Stock Compensation (Topic 718), Improvements to Nonemployee Share</w:t>
      </w:r>
      <w:r>
        <w:rPr>
          <w:rFonts w:ascii="MS PGothic" w:cs="MS PGothic" w:eastAsia="MS PGothic" w:hAnsi="MS PGothic"/>
          <w:sz w:val="16"/>
          <w:szCs w:val="16"/>
          <w:color w:val="auto"/>
        </w:rPr>
        <w:t>‑</w:t>
      </w:r>
      <w:r>
        <w:rPr>
          <w:rFonts w:ascii="Arial" w:cs="Arial" w:eastAsia="Arial" w:hAnsi="Arial"/>
          <w:sz w:val="16"/>
          <w:szCs w:val="16"/>
          <w:color w:val="auto"/>
        </w:rPr>
        <w:t>Based Payment Accounting (“ASU 2018</w:t>
      </w:r>
      <w:r>
        <w:rPr>
          <w:rFonts w:ascii="MS PGothic" w:cs="MS PGothic" w:eastAsia="MS PGothic" w:hAnsi="MS PGothic"/>
          <w:sz w:val="16"/>
          <w:szCs w:val="16"/>
          <w:color w:val="auto"/>
        </w:rPr>
        <w:t>‑</w:t>
      </w:r>
      <w:r>
        <w:rPr>
          <w:rFonts w:ascii="Arial" w:cs="Arial" w:eastAsia="Arial" w:hAnsi="Arial"/>
          <w:sz w:val="16"/>
          <w:szCs w:val="16"/>
          <w:color w:val="auto"/>
        </w:rPr>
        <w:t>07”). ASU 2018</w:t>
      </w:r>
      <w:r>
        <w:rPr>
          <w:rFonts w:ascii="MS PGothic" w:cs="MS PGothic" w:eastAsia="MS PGothic" w:hAnsi="MS PGothic"/>
          <w:sz w:val="16"/>
          <w:szCs w:val="16"/>
          <w:color w:val="auto"/>
        </w:rPr>
        <w:t>‑</w:t>
      </w:r>
      <w:r>
        <w:rPr>
          <w:rFonts w:ascii="Arial" w:cs="Arial" w:eastAsia="Arial" w:hAnsi="Arial"/>
          <w:sz w:val="16"/>
          <w:szCs w:val="16"/>
          <w:color w:val="auto"/>
        </w:rPr>
        <w:t>07 is intended to simplify aspects of share</w:t>
      </w:r>
      <w:r>
        <w:rPr>
          <w:rFonts w:ascii="MS PGothic" w:cs="MS PGothic" w:eastAsia="MS PGothic" w:hAnsi="MS PGothic"/>
          <w:sz w:val="16"/>
          <w:szCs w:val="16"/>
          <w:color w:val="auto"/>
        </w:rPr>
        <w:t>‑</w:t>
      </w:r>
      <w:r>
        <w:rPr>
          <w:rFonts w:ascii="Arial" w:cs="Arial" w:eastAsia="Arial" w:hAnsi="Arial"/>
          <w:sz w:val="16"/>
          <w:szCs w:val="16"/>
          <w:color w:val="auto"/>
        </w:rPr>
        <w:t>based compensation issued to non</w:t>
      </w:r>
      <w:r>
        <w:rPr>
          <w:rFonts w:ascii="MS PGothic" w:cs="MS PGothic" w:eastAsia="MS PGothic" w:hAnsi="MS PGothic"/>
          <w:sz w:val="16"/>
          <w:szCs w:val="16"/>
          <w:color w:val="auto"/>
        </w:rPr>
        <w:t>‑</w:t>
      </w:r>
      <w:r>
        <w:rPr>
          <w:rFonts w:ascii="Arial" w:cs="Arial" w:eastAsia="Arial" w:hAnsi="Arial"/>
          <w:sz w:val="16"/>
          <w:szCs w:val="16"/>
          <w:color w:val="auto"/>
        </w:rPr>
        <w:t>employees by making the guidance consistent with the accounting for employee share</w:t>
      </w:r>
      <w:r>
        <w:rPr>
          <w:rFonts w:ascii="MS PGothic" w:cs="MS PGothic" w:eastAsia="MS PGothic" w:hAnsi="MS PGothic"/>
          <w:sz w:val="16"/>
          <w:szCs w:val="16"/>
          <w:color w:val="auto"/>
        </w:rPr>
        <w:t>‑</w:t>
      </w:r>
      <w:r>
        <w:rPr>
          <w:rFonts w:ascii="Arial" w:cs="Arial" w:eastAsia="Arial" w:hAnsi="Arial"/>
          <w:sz w:val="16"/>
          <w:szCs w:val="16"/>
          <w:color w:val="auto"/>
        </w:rPr>
        <w:t>based compensation. ASU 2018</w:t>
      </w:r>
      <w:r>
        <w:rPr>
          <w:rFonts w:ascii="MS PGothic" w:cs="MS PGothic" w:eastAsia="MS PGothic" w:hAnsi="MS PGothic"/>
          <w:sz w:val="16"/>
          <w:szCs w:val="16"/>
          <w:color w:val="auto"/>
        </w:rPr>
        <w:t>‑</w:t>
      </w:r>
      <w:r>
        <w:rPr>
          <w:rFonts w:ascii="Arial" w:cs="Arial" w:eastAsia="Arial" w:hAnsi="Arial"/>
          <w:sz w:val="16"/>
          <w:szCs w:val="16"/>
          <w:color w:val="auto"/>
        </w:rPr>
        <w:t>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206"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In February 2018, the FASB issued Accounting Standards Update No. 2018</w:t>
      </w:r>
      <w:r>
        <w:rPr>
          <w:rFonts w:ascii="MS PGothic" w:cs="MS PGothic" w:eastAsia="MS PGothic" w:hAnsi="MS PGothic"/>
          <w:sz w:val="17"/>
          <w:szCs w:val="17"/>
          <w:color w:val="auto"/>
        </w:rPr>
        <w:t>‑</w:t>
      </w:r>
      <w:r>
        <w:rPr>
          <w:rFonts w:ascii="Arial" w:cs="Arial" w:eastAsia="Arial" w:hAnsi="Arial"/>
          <w:sz w:val="17"/>
          <w:szCs w:val="17"/>
          <w:color w:val="auto"/>
        </w:rPr>
        <w:t>02, (“ASU 2018-02”), Reclassification of Certain Tax Effects from Accumulated Other Comprehensive Income. ASU 2018</w:t>
      </w:r>
      <w:r>
        <w:rPr>
          <w:rFonts w:ascii="MS PGothic" w:cs="MS PGothic" w:eastAsia="MS PGothic" w:hAnsi="MS PGothic"/>
          <w:sz w:val="17"/>
          <w:szCs w:val="17"/>
          <w:color w:val="auto"/>
        </w:rPr>
        <w:t>‑</w:t>
      </w:r>
      <w:r>
        <w:rPr>
          <w:rFonts w:ascii="Arial" w:cs="Arial" w:eastAsia="Arial" w:hAnsi="Arial"/>
          <w:sz w:val="17"/>
          <w:szCs w:val="17"/>
          <w:color w:val="auto"/>
        </w:rPr>
        <w:t>02 allows a reclassification from accumulated other comprehensive income to retained earnings for stranded tax effects resulting from the Tax Cuts and Jobs Act. ASU 2018</w:t>
      </w:r>
      <w:r>
        <w:rPr>
          <w:rFonts w:ascii="MS PGothic" w:cs="MS PGothic" w:eastAsia="MS PGothic" w:hAnsi="MS PGothic"/>
          <w:sz w:val="17"/>
          <w:szCs w:val="17"/>
          <w:color w:val="auto"/>
        </w:rPr>
        <w:t>‑</w:t>
      </w:r>
      <w:r>
        <w:rPr>
          <w:rFonts w:ascii="Arial" w:cs="Arial" w:eastAsia="Arial" w:hAnsi="Arial"/>
          <w:sz w:val="17"/>
          <w:szCs w:val="17"/>
          <w:color w:val="auto"/>
        </w:rPr>
        <w:t>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203"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In February 2016, the FASB issued Accounting Standards Update No. 2016</w:t>
      </w:r>
      <w:r>
        <w:rPr>
          <w:rFonts w:ascii="MS PGothic" w:cs="MS PGothic" w:eastAsia="MS PGothic" w:hAnsi="MS PGothic"/>
          <w:sz w:val="17"/>
          <w:szCs w:val="17"/>
          <w:color w:val="auto"/>
        </w:rPr>
        <w:t>‑</w:t>
      </w:r>
      <w:r>
        <w:rPr>
          <w:rFonts w:ascii="Arial" w:cs="Arial" w:eastAsia="Arial" w:hAnsi="Arial"/>
          <w:sz w:val="17"/>
          <w:szCs w:val="17"/>
          <w:color w:val="auto"/>
        </w:rPr>
        <w:t>02 (“ASU 2016</w:t>
      </w:r>
      <w:r>
        <w:rPr>
          <w:rFonts w:ascii="MS PGothic" w:cs="MS PGothic" w:eastAsia="MS PGothic" w:hAnsi="MS PGothic"/>
          <w:sz w:val="17"/>
          <w:szCs w:val="17"/>
          <w:color w:val="auto"/>
        </w:rPr>
        <w:t>‑</w:t>
      </w:r>
      <w:r>
        <w:rPr>
          <w:rFonts w:ascii="Arial" w:cs="Arial" w:eastAsia="Arial" w:hAnsi="Arial"/>
          <w:sz w:val="17"/>
          <w:szCs w:val="17"/>
          <w:color w:val="auto"/>
        </w:rPr>
        <w:t>02”), Leases, which is effective for fiscal years, and interim periods within those years, beginning after December 15, 2018 with early adoption permitted. Under ASU 2016</w:t>
      </w:r>
      <w:r>
        <w:rPr>
          <w:rFonts w:ascii="MS PGothic" w:cs="MS PGothic" w:eastAsia="MS PGothic" w:hAnsi="MS PGothic"/>
          <w:sz w:val="17"/>
          <w:szCs w:val="17"/>
          <w:color w:val="auto"/>
        </w:rPr>
        <w:t>‑</w:t>
      </w:r>
      <w:r>
        <w:rPr>
          <w:rFonts w:ascii="Arial" w:cs="Arial" w:eastAsia="Arial" w:hAnsi="Arial"/>
          <w:sz w:val="17"/>
          <w:szCs w:val="17"/>
          <w:color w:val="auto"/>
        </w:rPr>
        <w:t>02, lessees will be required to recognize for all leases, at the commencement date of the lease, a lease liability, which is a lessee’s obligation to make lease payments arising from a lease measured on a discounted basis, and a right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use asset, which is an asset that represents the lessee’s right to use or control the use of a specified asset for the lease term. Topic 842 was subsequently amended by ASU 2017-13, Revenue and Leases: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Amendments to SEC Paragraphs Pursuant to the Staff Announcement at the July 20, 2017 EITF Meeting and Rescission of Prior SEC Staff Announcements and Observer Comments; ASU 2018-01, Land Easement Practical Expedient for Transition to Topic 842; ASU No. 2018-10, Codification Improvements to Topic 842, Leases; ASU No. 2018-11, Targeted Improvements and ASU No. 2018-20, Narrow Scope Improvements for Lessors.</w:t>
      </w:r>
    </w:p>
    <w:p>
      <w:pPr>
        <w:spacing w:after="0" w:line="171"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An entity may choose to use either (1) its effective date or (2) the beginning of the earliest comparative period presented in the financial statements as its date of initial application. The Company used the effective date as our date of initial application. Consequently, financial information was not updated and the disclosures required under the new standard are not provided for dates and periods before January 1, 2019. The new standard also provides a number of optional practical expedients in transition. The Company elected the package of practical expedients, which permits us not to reassess under the new standard our prior conclusions about lease identification, lease classification and initial direct costs.</w:t>
      </w:r>
    </w:p>
    <w:p>
      <w:pPr>
        <w:spacing w:after="0" w:line="16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Upon adoption of the new leasing standards, the Company recognized a lease liability of $1.8 million and a related right-of-use asset of $1.5 million with the difference being due to the elimination of previously reported deferred rent. The Company subsequently entered into two new lease agreements during the three months ended March 31, 2019, and recognized an incremental lease liability and related right-of-use asset of $0.9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Adopted</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August 2018, the FASB issued Accounting Standards Update No. 2018-15 (“ASU 2018-15”), Customer’s Accounting for Implementation Costs Incurred in a Cloud Computing Arrangement That Is a Service Contract. ASU 2018-15 clarifies certain aspects of ASU 2015-05, Customer’s Accounting for Fees Paid in a Cloud Computing Arrangement, which was issued in April 2015. Specifically, ASU 2018-14 aligns the requirements for capitalizing implementation costs incurred in a hosting arrangement that is a service contract with the requirements for capitalizing implementation costs incurred to develop or obtain internal use software (and hosting arrangements that include an internal-use software license). ASU 2018-15 is effective for fiscal years beginning after December 15, 2019, and interim periods within those fiscal years with early adoption permitted. The Company is currently evaluating the impact its adoption may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LOSS PER SHARE</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228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40" w:type="dxa"/>
            <w:vAlign w:val="bottom"/>
            <w:gridSpan w:val="7"/>
          </w:tcPr>
          <w:p>
            <w:pPr>
              <w:ind w:left="20"/>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shares (denominator)</w:t>
            </w:r>
          </w:p>
        </w:tc>
        <w:tc>
          <w:tcPr>
            <w:tcW w:w="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Potentially dilutive securities excluded from the computation of diluted earnings per share relate to stock options outstanding and unvested restricted shares and RSUs and totaled 4,124,169 shares as of September 30, 2019 and 2,799,373 shares as of September 30, 2018.</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LIABILITIES</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Accrued short</w:t>
      </w:r>
      <w:r>
        <w:rPr>
          <w:rFonts w:ascii="MS PGothic" w:cs="MS PGothic" w:eastAsia="MS PGothic" w:hAnsi="MS PGothic"/>
          <w:sz w:val="18"/>
          <w:szCs w:val="18"/>
          <w:color w:val="auto"/>
        </w:rPr>
        <w:t>‑</w:t>
      </w:r>
      <w:r>
        <w:rPr>
          <w:rFonts w:ascii="Arial" w:cs="Arial" w:eastAsia="Arial" w:hAnsi="Arial"/>
          <w:sz w:val="18"/>
          <w:szCs w:val="18"/>
          <w:color w:val="auto"/>
        </w:rPr>
        <w:t>term liabilities at September 30, 2019 and December 31, 2018 are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and royalty payments</w:t>
            </w:r>
          </w:p>
        </w:tc>
        <w:tc>
          <w:tcPr>
            <w:tcW w:w="1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clinical costs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rent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manufacturing costs</w:t>
            </w: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has entered into two license agreements and certain other agreements with MSK. The license agreements are further described below as the MSK License Agreement and the CD33 License Agreement. These license agreements with MSK grant the Company certain patent rights and intellectual property rights. In consideration of obtaining the patent rights and intellectual property rights, the Company agreed to make certain payments and issue shares of the Company’s common stock to MSK. Certain of the payments are contingent milestone and royalty payments, the terms of which are further described below. Amounts disclosed in the consolidated balance sheets for accrued milestone and royalty payments are inclusive of obligations under the MSK License Agreement and CD33 License Agreement, collectively.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related to certain know</w:t>
      </w:r>
      <w:r>
        <w:rPr>
          <w:rFonts w:ascii="MS PGothic" w:cs="MS PGothic" w:eastAsia="MS PGothic" w:hAnsi="MS PGothic"/>
          <w:sz w:val="18"/>
          <w:szCs w:val="18"/>
          <w:color w:val="auto"/>
        </w:rPr>
        <w:t>‑</w:t>
      </w:r>
      <w:r>
        <w:rPr>
          <w:rFonts w:ascii="Arial" w:cs="Arial" w:eastAsia="Arial" w:hAnsi="Arial"/>
          <w:sz w:val="18"/>
          <w:szCs w:val="18"/>
          <w:color w:val="auto"/>
        </w:rPr>
        <w:t>how to develop, make, and commercialize licensed products and to perform services for all therapeutic and diagnostic uses in the field of cancer diagnostics and cancer treatments.</w:t>
      </w:r>
    </w:p>
    <w:p>
      <w:pPr>
        <w:spacing w:after="0" w:line="204"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The patents and patent applications covered by this agreement are directed, in part, to naxitamab, an anti GD2 antibody, and omburtamab, which is an anti B7</w:t>
      </w:r>
      <w:r>
        <w:rPr>
          <w:rFonts w:ascii="MS PGothic" w:cs="MS PGothic" w:eastAsia="MS PGothic" w:hAnsi="MS PGothic"/>
          <w:sz w:val="16"/>
          <w:szCs w:val="16"/>
          <w:color w:val="auto"/>
        </w:rPr>
        <w:t>‑</w:t>
      </w:r>
      <w:r>
        <w:rPr>
          <w:rFonts w:ascii="Arial" w:cs="Arial" w:eastAsia="Arial" w:hAnsi="Arial"/>
          <w:sz w:val="16"/>
          <w:szCs w:val="16"/>
          <w:color w:val="auto"/>
        </w:rPr>
        <w:t>H3 antibody, as well as affinity matured versions of these certain antibodies and certain single chain variable fragments (Fv) constructs, and their use for immunotherapy, targeting the treatment of neuroblastoma, diffuse intrinsic pontine glioma (DIPG), osteosarcoma and other oncology indications. Upon entering into the MSK License Agreement in 2015 and in exchange for the licenses, we paid MSK an upfront payment, issued 1,428,500 shares of our common stock to MSK and agreed to provide certain anti</w:t>
      </w:r>
      <w:r>
        <w:rPr>
          <w:rFonts w:ascii="MS PGothic" w:cs="MS PGothic" w:eastAsia="MS PGothic" w:hAnsi="MS PGothic"/>
          <w:sz w:val="16"/>
          <w:szCs w:val="16"/>
          <w:color w:val="auto"/>
        </w:rPr>
        <w:t>‑</w:t>
      </w:r>
      <w:r>
        <w:rPr>
          <w:rFonts w:ascii="Arial" w:cs="Arial" w:eastAsia="Arial" w:hAnsi="Arial"/>
          <w:sz w:val="16"/>
          <w:szCs w:val="16"/>
          <w:color w:val="auto"/>
        </w:rPr>
        <w:t>dilution rights to MSK. In addition, we are required to pay to MSK certain royalty and milestone payments. We expensed the upfront payment and the issuance of shares to MSK in 2015. We also recorded expenses related to common stock issued related to certain anti</w:t>
      </w:r>
      <w:r>
        <w:rPr>
          <w:rFonts w:ascii="MS PGothic" w:cs="MS PGothic" w:eastAsia="MS PGothic" w:hAnsi="MS PGothic"/>
          <w:sz w:val="16"/>
          <w:szCs w:val="16"/>
          <w:color w:val="auto"/>
        </w:rPr>
        <w:t>‑</w:t>
      </w:r>
      <w:r>
        <w:rPr>
          <w:rFonts w:ascii="Arial" w:cs="Arial" w:eastAsia="Arial" w:hAnsi="Arial"/>
          <w:sz w:val="16"/>
          <w:szCs w:val="16"/>
          <w:color w:val="auto"/>
        </w:rPr>
        <w:t>dilution rights held by MSK.</w:t>
      </w:r>
    </w:p>
    <w:p>
      <w:pPr>
        <w:spacing w:after="0" w:line="20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The MSK License Agreement requires us to pay to MSK mid-to-high single digit royalties based on annual net sales of licensed products or the performance of licensed services by us and our affiliates and sublicensees. We are obligated to pay annual minimum royalties of $80,000 over the royalty term, commencing on the fifth anniversary of the license agreement.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MSK License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Agreement. Total expensed minimum royalty payments in 2016 under the MSK License Agreement were $1,200,000, upon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determination that the payment of such minimum royalties was probable and the amount was estimable in 2016.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2019, $18,000 of the accrued minimum royalties were recorded as short-term accrued liabilities, and</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$1,182,000 were recorded as long</w:t>
      </w:r>
      <w:r>
        <w:rPr>
          <w:rFonts w:ascii="MS PGothic" w:cs="MS PGothic" w:eastAsia="MS PGothic" w:hAnsi="MS PGothic"/>
          <w:sz w:val="16"/>
          <w:szCs w:val="16"/>
          <w:color w:val="auto"/>
        </w:rPr>
        <w:t>‑</w:t>
      </w:r>
      <w:r>
        <w:rPr>
          <w:rFonts w:ascii="Arial" w:cs="Arial" w:eastAsia="Arial" w:hAnsi="Arial"/>
          <w:sz w:val="16"/>
          <w:szCs w:val="16"/>
          <w:color w:val="auto"/>
        </w:rPr>
        <w:t>term accrued liabilities. As of December 31, 2018, all accrued minimum royalties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as long-term accrued liabilities. We are also obligated to pay MSK certain clinical,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regulatory and sales</w:t>
      </w:r>
      <w:r>
        <w:rPr>
          <w:rFonts w:ascii="MS PGothic" w:cs="MS PGothic" w:eastAsia="MS PGothic" w:hAnsi="MS PGothic"/>
          <w:sz w:val="16"/>
          <w:szCs w:val="16"/>
          <w:color w:val="auto"/>
        </w:rPr>
        <w:t>‑</w:t>
      </w:r>
      <w:r>
        <w:rPr>
          <w:rFonts w:ascii="Arial" w:cs="Arial" w:eastAsia="Arial" w:hAnsi="Arial"/>
          <w:sz w:val="16"/>
          <w:szCs w:val="16"/>
          <w:color w:val="auto"/>
        </w:rPr>
        <w:t>based milestone payments under the MSK License Agreement. Certain of the clinical and regulatory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become due at the earlier of completion of the related milestone activity or the date indicated in the MSK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 Agreement. Total clinical and regulatory milestones potentially due under the MSK License Agreement are</w:t>
      </w:r>
    </w:p>
    <w:p>
      <w:pPr>
        <w:spacing w:after="0" w:line="2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$2,450,000 and $9,000,000, respectively. There are also sales</w:t>
      </w:r>
      <w:r>
        <w:rPr>
          <w:rFonts w:ascii="MS PGothic" w:cs="MS PGothic" w:eastAsia="MS PGothic" w:hAnsi="MS PGothic"/>
          <w:sz w:val="15"/>
          <w:szCs w:val="15"/>
          <w:color w:val="auto"/>
        </w:rPr>
        <w:t>‑</w:t>
      </w:r>
      <w:r>
        <w:rPr>
          <w:rFonts w:ascii="Arial" w:cs="Arial" w:eastAsia="Arial" w:hAnsi="Arial"/>
          <w:sz w:val="15"/>
          <w:szCs w:val="15"/>
          <w:color w:val="auto"/>
        </w:rPr>
        <w:t>based milestones that become due should the Company achieve</w:t>
      </w:r>
    </w:p>
    <w:p>
      <w:pPr>
        <w:spacing w:after="0" w:line="4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certain amounts of sales of licensed products resulting from the license arrangement with MSK, with total sales</w:t>
      </w:r>
      <w:r>
        <w:rPr>
          <w:rFonts w:ascii="MS PGothic" w:cs="MS PGothic" w:eastAsia="MS PGothic" w:hAnsi="MS PGothic"/>
          <w:sz w:val="17"/>
          <w:szCs w:val="17"/>
          <w:color w:val="auto"/>
        </w:rPr>
        <w:t>‑</w:t>
      </w:r>
      <w:r>
        <w:rPr>
          <w:rFonts w:ascii="Arial" w:cs="Arial" w:eastAsia="Arial" w:hAnsi="Arial"/>
          <w:sz w:val="17"/>
          <w:szCs w:val="17"/>
          <w:color w:val="auto"/>
        </w:rPr>
        <w:t>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milestones potentially due of $20,000,000. The Company records milestones in the period in which the contingent liability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probable and the amount is reasonably estimable. In addition, to the extent we enter into sublicense arrangements,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obligated to pay to MSK a percentage of certain payments that we receive from sublicensees of the rights licensed to us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MSK, which percentage will be based upon the achievement of certain clinical milestones. The Company has not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sublicenses related to the MSK License Agreement. Failure by the Company to meet certain conditions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arrangement could cause the related license to such licensed product to be canceled and could result in termination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entire arrangement with MSK. In addition, the Company may terminate the MSK License Agreement with prior written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notice to MSK.</w:t>
      </w:r>
    </w:p>
    <w:p>
      <w:pPr>
        <w:spacing w:after="0" w:line="211"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8"/>
          <w:szCs w:val="18"/>
          <w:color w:val="auto"/>
        </w:rPr>
        <w:t>No milestones were expensed in the three or nine months ended September 30, 2019 or 2018. We paid $725,000 under this arrangement in the first quarter of 2019. As of September 30, 2019, $150,000 of accrued milestone obligations were recorded in accrued short term liabilities and $300,000 was recorded within long-term liabilities. As of December 31, 2018, $875,000 of accrued milestone obligations were recorded in accrued short term liabilities and $300,000 was recorded within long-term liabilities. These milestone</w:t>
      </w:r>
      <w:r>
        <w:rPr>
          <w:rFonts w:ascii="MS PGothic" w:cs="MS PGothic" w:eastAsia="MS PGothic" w:hAnsi="MS PGothic"/>
          <w:sz w:val="18"/>
          <w:szCs w:val="18"/>
          <w:color w:val="auto"/>
        </w:rPr>
        <w:t>‑</w:t>
      </w:r>
      <w:r>
        <w:rPr>
          <w:rFonts w:ascii="Arial" w:cs="Arial" w:eastAsia="Arial" w:hAnsi="Arial"/>
          <w:sz w:val="18"/>
          <w:szCs w:val="18"/>
          <w:color w:val="auto"/>
        </w:rPr>
        <w:t>related charges were recorded as research and development expense in 2016, upon determination that payment of these clinical milestone obligations was probable after satisfying the financing requirements described herein.</w:t>
      </w:r>
    </w:p>
    <w:p>
      <w:pPr>
        <w:spacing w:after="0" w:line="20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w:t>
      </w:r>
      <w:r>
        <w:rPr>
          <w:rFonts w:ascii="MS PGothic" w:cs="MS PGothic" w:eastAsia="MS PGothic" w:hAnsi="MS PGothic"/>
          <w:sz w:val="18"/>
          <w:szCs w:val="18"/>
          <w:color w:val="auto"/>
        </w:rPr>
        <w:t>‑</w:t>
      </w:r>
      <w:r>
        <w:rPr>
          <w:rFonts w:ascii="Arial" w:cs="Arial" w:eastAsia="Arial" w:hAnsi="Arial"/>
          <w:sz w:val="18"/>
          <w:szCs w:val="18"/>
          <w:color w:val="auto"/>
        </w:rPr>
        <w:t>based milestone payments, certain of which also contain time</w:t>
      </w:r>
      <w:r>
        <w:rPr>
          <w:rFonts w:ascii="MS PGothic" w:cs="MS PGothic" w:eastAsia="MS PGothic" w:hAnsi="MS PGothic"/>
          <w:sz w:val="18"/>
          <w:szCs w:val="18"/>
          <w:color w:val="auto"/>
        </w:rPr>
        <w:t>‑</w:t>
      </w:r>
      <w:r>
        <w:rPr>
          <w:rFonts w:ascii="Arial" w:cs="Arial" w:eastAsia="Arial" w:hAnsi="Arial"/>
          <w:sz w:val="18"/>
          <w:szCs w:val="18"/>
          <w:color w:val="auto"/>
        </w:rPr>
        <w:t>based payment requirements, were probable. Given the uncertainty associated with research and development and the Company’s ability to cancel the MSK License Agreement, such regulatory</w:t>
      </w:r>
      <w:r>
        <w:rPr>
          <w:rFonts w:ascii="MS PGothic" w:cs="MS PGothic" w:eastAsia="MS PGothic" w:hAnsi="MS PGothic"/>
          <w:sz w:val="18"/>
          <w:szCs w:val="18"/>
          <w:color w:val="auto"/>
        </w:rPr>
        <w:t>‑</w:t>
      </w:r>
      <w:r>
        <w:rPr>
          <w:rFonts w:ascii="Arial" w:cs="Arial" w:eastAsia="Arial" w:hAnsi="Arial"/>
          <w:sz w:val="18"/>
          <w:szCs w:val="18"/>
          <w:color w:val="auto"/>
        </w:rPr>
        <w:t>based obligations were determined not to be probable as of September 30, 2019 and December 31, 2018 and therefore have not been accrued.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CD33 License Agreement</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On November 13, 2017, we entered into an exclusive license agreement for certain MSK rights in connection with certain CD33 bispecific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w:t>
      </w:r>
      <w:r>
        <w:rPr>
          <w:rFonts w:ascii="MS PGothic" w:cs="MS PGothic" w:eastAsia="MS PGothic" w:hAnsi="MS PGothic"/>
          <w:sz w:val="17"/>
          <w:szCs w:val="17"/>
          <w:color w:val="auto"/>
        </w:rPr>
        <w:t>‑</w:t>
      </w:r>
      <w:r>
        <w:rPr>
          <w:rFonts w:ascii="Arial" w:cs="Arial" w:eastAsia="Arial" w:hAnsi="Arial"/>
          <w:sz w:val="17"/>
          <w:szCs w:val="17"/>
          <w:color w:val="auto"/>
        </w:rPr>
        <w:t>refundable but are creditable against royalty payments otherwise due under the CD33 License Agreement. We are also obligated to pay MSK certain fees under a sponsored research agreement under the CD33 License Agreement. In addition, milestone payments become due upon achievement of the related clinical, regulatory or sales</w:t>
      </w:r>
      <w:r>
        <w:rPr>
          <w:rFonts w:ascii="MS PGothic" w:cs="MS PGothic" w:eastAsia="MS PGothic" w:hAnsi="MS PGothic"/>
          <w:sz w:val="17"/>
          <w:szCs w:val="17"/>
          <w:color w:val="auto"/>
        </w:rPr>
        <w:t>‑</w:t>
      </w:r>
      <w:r>
        <w:rPr>
          <w:rFonts w:ascii="Arial" w:cs="Arial" w:eastAsia="Arial" w:hAnsi="Arial"/>
          <w:sz w:val="17"/>
          <w:szCs w:val="17"/>
          <w:color w:val="auto"/>
        </w:rPr>
        <w:t>based milestone defined in the CD33 License Agreement. Certain of the clinical and regulatory milestone payments become due at the earlier of completion of the related milestone activity or the date indicated in the CD33 License Agreement. Total potential clinical and regulatory milestones potentially due under the CD33 License Agreement are $550,000 and $500,000, respectively. There are also sales</w:t>
      </w:r>
      <w:r>
        <w:rPr>
          <w:rFonts w:ascii="MS PGothic" w:cs="MS PGothic" w:eastAsia="MS PGothic" w:hAnsi="MS PGothic"/>
          <w:sz w:val="17"/>
          <w:szCs w:val="17"/>
          <w:color w:val="auto"/>
        </w:rPr>
        <w:t>‑</w:t>
      </w:r>
      <w:r>
        <w:rPr>
          <w:rFonts w:ascii="Arial" w:cs="Arial" w:eastAsia="Arial" w:hAnsi="Arial"/>
          <w:sz w:val="17"/>
          <w:szCs w:val="17"/>
          <w:color w:val="auto"/>
        </w:rPr>
        <w:t>based milestones that become due should the Company achieve certain amounts of sales of licensed products resulting from the CD33 License Agreement with MSK, with total sales</w:t>
      </w:r>
      <w:r>
        <w:rPr>
          <w:rFonts w:ascii="MS PGothic" w:cs="MS PGothic" w:eastAsia="MS PGothic" w:hAnsi="MS PGothic"/>
          <w:sz w:val="17"/>
          <w:szCs w:val="17"/>
          <w:color w:val="auto"/>
        </w:rPr>
        <w:t>‑</w:t>
      </w:r>
      <w:r>
        <w:rPr>
          <w:rFonts w:ascii="Arial" w:cs="Arial" w:eastAsia="Arial" w:hAnsi="Arial"/>
          <w:sz w:val="17"/>
          <w:szCs w:val="17"/>
          <w:color w:val="auto"/>
        </w:rPr>
        <w:t>based milestones potentially due of $7,500,000. Failure by the Company to meet certain conditions under the CD33 License Agreement could cause the related license to such licensed product to be canceled and could result in termination of the arrangement with MSK. In addition,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achievement of certain clinical milestones. The Company has not entered into any sublicenses related to the CD33 License Agreement.</w:t>
      </w:r>
    </w:p>
    <w:p>
      <w:pPr>
        <w:spacing w:after="0" w:line="170"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No milestones were expensed in the three or nine months ended September 30, 2019 or 2018. None of the clinical milestone obligations previously accrued were paid in the three or nine months ended September 30, 2019 or 2018. The total amount accrued in prior periods of $550,000 was recorded as $100,000 of accrued short</w:t>
      </w:r>
      <w:r>
        <w:rPr>
          <w:rFonts w:ascii="MS PGothic" w:cs="MS PGothic" w:eastAsia="MS PGothic" w:hAnsi="MS PGothic"/>
          <w:sz w:val="17"/>
          <w:szCs w:val="17"/>
          <w:color w:val="auto"/>
        </w:rPr>
        <w:t>‑</w:t>
      </w:r>
      <w:r>
        <w:rPr>
          <w:rFonts w:ascii="Arial" w:cs="Arial" w:eastAsia="Arial" w:hAnsi="Arial"/>
          <w:sz w:val="17"/>
          <w:szCs w:val="17"/>
          <w:color w:val="auto"/>
        </w:rPr>
        <w:t>term liabilities and $450,000 of accrued long</w:t>
      </w:r>
      <w:r>
        <w:rPr>
          <w:rFonts w:ascii="MS PGothic" w:cs="MS PGothic" w:eastAsia="MS PGothic" w:hAnsi="MS PGothic"/>
          <w:sz w:val="17"/>
          <w:szCs w:val="17"/>
          <w:color w:val="auto"/>
        </w:rPr>
        <w:t>‑</w:t>
      </w:r>
      <w:r>
        <w:rPr>
          <w:rFonts w:ascii="Arial" w:cs="Arial" w:eastAsia="Arial" w:hAnsi="Arial"/>
          <w:sz w:val="17"/>
          <w:szCs w:val="17"/>
          <w:color w:val="auto"/>
        </w:rPr>
        <w:t>term liabilities as of September 30, 2019, and $550,000 as accrued long</w:t>
      </w:r>
      <w:r>
        <w:rPr>
          <w:rFonts w:ascii="MS PGothic" w:cs="MS PGothic" w:eastAsia="MS PGothic" w:hAnsi="MS PGothic"/>
          <w:sz w:val="17"/>
          <w:szCs w:val="17"/>
          <w:color w:val="auto"/>
        </w:rPr>
        <w:t>‑</w:t>
      </w:r>
      <w:r>
        <w:rPr>
          <w:rFonts w:ascii="Arial" w:cs="Arial" w:eastAsia="Arial" w:hAnsi="Arial"/>
          <w:sz w:val="17"/>
          <w:szCs w:val="17"/>
          <w:color w:val="auto"/>
        </w:rPr>
        <w:t>term liabilities as of December 31, 2018. These milestone</w:t>
      </w:r>
      <w:r>
        <w:rPr>
          <w:rFonts w:ascii="MS PGothic" w:cs="MS PGothic" w:eastAsia="MS PGothic" w:hAnsi="MS PGothic"/>
          <w:sz w:val="17"/>
          <w:szCs w:val="17"/>
          <w:color w:val="auto"/>
        </w:rPr>
        <w:t>‑</w:t>
      </w:r>
      <w:r>
        <w:rPr>
          <w:rFonts w:ascii="Arial" w:cs="Arial" w:eastAsia="Arial" w:hAnsi="Arial"/>
          <w:sz w:val="17"/>
          <w:szCs w:val="17"/>
          <w:color w:val="auto"/>
        </w:rPr>
        <w:t>related charges were recorded as research and development expense in 2017.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w:t>
      </w:r>
      <w:r>
        <w:rPr>
          <w:rFonts w:ascii="MS PGothic" w:cs="MS PGothic" w:eastAsia="MS PGothic" w:hAnsi="MS PGothic"/>
          <w:sz w:val="17"/>
          <w:szCs w:val="17"/>
          <w:color w:val="auto"/>
        </w:rPr>
        <w:t>‑</w:t>
      </w:r>
      <w:r>
        <w:rPr>
          <w:rFonts w:ascii="Arial" w:cs="Arial" w:eastAsia="Arial" w:hAnsi="Arial"/>
          <w:sz w:val="17"/>
          <w:szCs w:val="17"/>
          <w:color w:val="auto"/>
        </w:rPr>
        <w:t>based milestone payments and minimum royalty payments, certain of which also contain time</w:t>
      </w:r>
      <w:r>
        <w:rPr>
          <w:rFonts w:ascii="MS PGothic" w:cs="MS PGothic" w:eastAsia="MS PGothic" w:hAnsi="MS PGothic"/>
          <w:sz w:val="17"/>
          <w:szCs w:val="17"/>
          <w:color w:val="auto"/>
        </w:rPr>
        <w:t>‑</w:t>
      </w:r>
      <w:r>
        <w:rPr>
          <w:rFonts w:ascii="Arial" w:cs="Arial" w:eastAsia="Arial" w:hAnsi="Arial"/>
          <w:sz w:val="17"/>
          <w:szCs w:val="17"/>
          <w:color w:val="auto"/>
        </w:rPr>
        <w:t>based payment requirements, were probable. Given the uncertainty associated with research and development and the Company’s ability to cancel the CD33 License Agreement, such obligations were determined not to be probable as of September 30, 2019 and December 31, 2018 and therefore have not been accrued.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MabVax sublicense agreement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June 27, 2018, we entered into a sublicense agreement with MabVax Therapeutics Holding, Inc., (“MabVax”) pursuant to which MabVax has sublicensed to the Company certain of MabVax’s patent rights and know-how for development and commercialization of products for the prevention or treatment of neuroblastoma by means of administering a bi-valent ganglioside vaccine, granted to MabVax pursuant to an exclusive license agreement between MabVax and MSK. Under the sublicense agreement, the Company has paid an up-front license fee of $700,000 to MabVax and paid an additional $600,000 upon the first anniversary of the sublicense agreement. The initial license fee of $700,000 was expensed and paid upon execution of the agreement and the continuation fee of $600,000 was accrued in the fourth quarter of 2018 and paid in the third quarter of 2019. The Company has agreed to become solely responsible for future amounts payable to MSK and to handle other of MabVax’ obligations applicable to the licensed indication towards MSK. This includes the obligation to pay development milestones totaling $1,400,000 and mid-single-digit royalty payments to MSK. Research and development is inherently uncertain and as described above, should such research and development fail, the MabVax sublicense agreement is cancelable at the Company’s option. The Company considered risks as well as each party’s termination rights under the MabVax sublicense agreement when considering whether any milestone payments and minimum royalty payments were probable. Given the uncertainty associated with research and development and the Company’s ability to cancel the MabVax sublicense agreement, such obligations were determined not to be probable as of September 30, 2019 and December 31, 2018 and therefore have not been accrued.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November 5, 2015, we entered into a sponsored research agreement, which we refer to as the SRA, with MSK pursuant to which we agreed to pay MSK to provide research services related to the intellectual property licensed under the MSK License Agreement. The SRA was amended on September 13, 2019, and will expire five years from the date of the amendment. During the three months ended September 30, 2019 and 2018, we incurred research and development expenses of $306,000 and $297,000, respectively, under the SRA, and in the nine months ended September 30, 2019 and 2018, we incurred expenses of $918,000 and $891,000, respectively, under the SRA.</w:t>
      </w:r>
    </w:p>
    <w:p>
      <w:pPr>
        <w:spacing w:after="0" w:line="178"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On March 20, 2016, we entered into a master data services agreement, which we refer to as the MDSA, with MSK pursuant to which we committed to make certain payments in exchange for services provided by approximately two full time employees at MSK, who are engaged in transferring clinical data, databases, regulatory files and other know</w:t>
      </w:r>
      <w:r>
        <w:rPr>
          <w:rFonts w:ascii="MS PGothic" w:cs="MS PGothic" w:eastAsia="MS PGothic" w:hAnsi="MS PGothic"/>
          <w:sz w:val="17"/>
          <w:szCs w:val="17"/>
          <w:color w:val="auto"/>
        </w:rPr>
        <w:t>‑</w:t>
      </w:r>
      <w:r>
        <w:rPr>
          <w:rFonts w:ascii="Arial" w:cs="Arial" w:eastAsia="Arial" w:hAnsi="Arial"/>
          <w:sz w:val="17"/>
          <w:szCs w:val="17"/>
          <w:color w:val="auto"/>
        </w:rPr>
        <w:t>how included in the MSK License Agreement to the Company. On October 1, 2018 the MDSA was amended to increase the resources to approximately five full time employees. During the three months ended September 30, 2019 and 2018, we incurred expenses of $205,000 and $60,000, respectively, under the MDSA, and in the nine months ended September 30, 2019 and 2018, we incurred expenses of $547,000 and $273,000, respectively, under the MDSA.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June 21, 2017, we entered into a master clinical trial agreement, which we refer to as the CTA, with MSK pursuant to which we committed to fund certain clinical trials at MSK. Under the MSK License Agreement, the funding of clinical activities is limited to a five-year period. During the three months ended September 30, 2019 and 2018, we incurred expenses of $513,000 and $363,000, respectively, under the CTA, and in the nine months ended September 30, 2019 and 2018, we incurred expenses of $2,647,000 and $2,504,000, respectively, under the CTA.</w:t>
      </w:r>
    </w:p>
    <w:p>
      <w:pPr>
        <w:spacing w:after="0" w:line="17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June 27, 2017, we entered into two separate core facility service agreements, which we refer to as the CFAs, with MSK pursuant to which we committed to obtaining certain laboratory services from MSK. During the three months ended September 30, 2019 and 2018, we incurred expenses of $186,000 and $28,000, respectively, under the CFAs, and in the nine months ended September 30, 2019 and 2018, we incurred expenses of $674,000 and $223,000, respectively, under the CFAs.</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November 13, 2017, we entered into a CD33 sponsored research agreement, which we refer to as the CD33 SRA, with MSK pursuant to which we agreed to pay MSK to provide research services over a period of two years related to the intellectual property licensed under the CD33 License Agreement. During the three months ended September 30, 2019 and 2018, we incurred expenses of $174,000 and $167,000, respectively, under the CD33 SRA, and in the nine months ended September 30, 2019 and 2018, we incurred expenses of $521,000 and $501,000, respectively, under the CD33 SRA.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February 2019, the Company entered into a lease agreement in connection with its 4,500 square feet laboratory in New Jersey. The term of the lease is three years from the date the Company occupied the premises, with an option to extend for an additional two years which the Company expects to exercise and has included in the determination of the related lease liability. Fixed rent payable under the lease is approximately $144,000 per annum and is payable in equal monthly installments of approximately $12,000.</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January 2018, the Company entered into a lease agreement in connection with its corporate headquarters in New York, New York. The term of the lease is five years from the date the Company occupied the premises. Fixed rent payable under the lease is approximately $384,000 per annum and is payable in equal monthly installments of approximately $32,000.</w:t>
      </w:r>
    </w:p>
    <w:p>
      <w:pPr>
        <w:spacing w:after="0" w:line="187" w:lineRule="exact"/>
        <w:rPr>
          <w:sz w:val="20"/>
          <w:szCs w:val="20"/>
          <w:color w:val="auto"/>
        </w:rPr>
      </w:pPr>
    </w:p>
    <w:p>
      <w:pPr>
        <w:ind w:firstLine="648"/>
        <w:spacing w:after="0" w:line="221" w:lineRule="exact"/>
        <w:rPr>
          <w:sz w:val="20"/>
          <w:szCs w:val="20"/>
          <w:color w:val="auto"/>
        </w:rPr>
      </w:pPr>
      <w:r>
        <w:rPr>
          <w:rFonts w:ascii="Arial" w:cs="Arial" w:eastAsia="Arial" w:hAnsi="Arial"/>
          <w:sz w:val="17"/>
          <w:szCs w:val="17"/>
          <w:color w:val="auto"/>
        </w:rPr>
        <w:t>Additionally, the Company entered into a three</w:t>
      </w:r>
      <w:r>
        <w:rPr>
          <w:rFonts w:ascii="MS PGothic" w:cs="MS PGothic" w:eastAsia="MS PGothic" w:hAnsi="MS PGothic"/>
          <w:sz w:val="17"/>
          <w:szCs w:val="17"/>
          <w:color w:val="auto"/>
        </w:rPr>
        <w:t>‑</w:t>
      </w:r>
      <w:r>
        <w:rPr>
          <w:rFonts w:ascii="Arial" w:cs="Arial" w:eastAsia="Arial" w:hAnsi="Arial"/>
          <w:sz w:val="17"/>
          <w:szCs w:val="17"/>
          <w:color w:val="auto"/>
        </w:rPr>
        <w:t>year lease agreement for the lease of certain office space in Denmark in February 2018, as amended in November 2018 and February 2019. Fixed rent payable under the lease is approximately $227,000 per annum and is payable in equal monthly installments of approximately $19,000.</w:t>
      </w:r>
    </w:p>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described above in Note 3, the Company adopted Topic 842 as of January 1, 2019. Prior period amounts have not been adjusted and continue to be reported in accordance with the Company’s historical accounting under Topic 840.</w:t>
      </w:r>
    </w:p>
    <w:p>
      <w:pPr>
        <w:spacing w:after="0" w:line="12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Total operating lease costs were $174,000 and $91,000 for the three months ended September 30, 2019 and 2018, respectively, and $502,000 and $181,000 for the nine months ended September 30, 2019 and 2018, respectively.</w:t>
      </w:r>
    </w:p>
    <w:p>
      <w:pPr>
        <w:spacing w:after="0" w:line="124"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During the three months ended September 30, 2019, the expenses were recorded as $129,000 in research and development expense and $45,000 in general and administrative expense. During the three months ended September 30, 2018, the expenses were all recorded in general and administrative expense. During the nine months ended September 30, 2019, the expenses were recorded as $367,000 in research and development expense and $135,000 in general and administrative expense. During the nine months ended September 30, 2018, the expenses were all recorded in general and administrative expense.</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Cash paid for amounts included in the measurement of lease liabilities for the three and nine months ended September 30, 2019 was $188,000 and $419,000, respectively, and was included in net cash used in operating activities in the Company’s Consolidated Statements of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operating lease liabilities at September 30, 2019 were as follows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at September 30, 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7"/>
        </w:trPr>
        <w:tc>
          <w:tcPr>
            <w:tcW w:w="7520" w:type="dxa"/>
            <w:vAlign w:val="bottom"/>
            <w:gridSpan w:val="2"/>
          </w:tcPr>
          <w:p>
            <w:pPr>
              <w:spacing w:after="0"/>
              <w:rPr>
                <w:sz w:val="20"/>
                <w:szCs w:val="20"/>
                <w:color w:val="auto"/>
              </w:rPr>
            </w:pPr>
            <w:r>
              <w:rPr>
                <w:rFonts w:ascii="Arial" w:cs="Arial" w:eastAsia="Arial" w:hAnsi="Arial"/>
                <w:sz w:val="18"/>
                <w:szCs w:val="18"/>
                <w:color w:val="auto"/>
              </w:rPr>
              <w:t>Total operating lease liabilities at September 30, 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Disclosures related to periods prior to the adoption of Topic 842:</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Future minimum lease payments, including imputed interest, under non-cancelable operating leases at December 31, 2018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Contractual Obligations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2"/>
              </w:rPr>
              <w:t>at December 31, 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2020</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2022</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Thereafter</w:t>
            </w: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obligations at December 31, 2018</w:t>
            </w: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September 30, 2019, the weighted average remaining lease term is 4.1 years and the weighted average discount rate used to determine the operating lease liability was 11.0%.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September 30, 2019 and December 31, 2018, the Company has authorized a total of 105,500,000 shares, 100,000,000 of which are common stock, par value $0.0001 per share, and 5,500,000 of which are preferred stock, par value $0.0001 per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34,593,666 shares of its common stock as of September 30, 2019 and 34,193,666 shares of its common stock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September 30, 2019 or December 31, 2018.</w:t>
      </w:r>
    </w:p>
    <w:p>
      <w:pPr>
        <w:spacing w:after="0" w:line="14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 grant agreements with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August 2015, we entered into certain stock grant agreements with non</w:t>
      </w:r>
      <w:r>
        <w:rPr>
          <w:rFonts w:ascii="MS PGothic" w:cs="MS PGothic" w:eastAsia="MS PGothic" w:hAnsi="MS PGothic"/>
          <w:sz w:val="16"/>
          <w:szCs w:val="16"/>
          <w:color w:val="auto"/>
        </w:rPr>
        <w:t>‑</w:t>
      </w:r>
      <w:r>
        <w:rPr>
          <w:rFonts w:ascii="Arial" w:cs="Arial" w:eastAsia="Arial" w:hAnsi="Arial"/>
          <w:sz w:val="16"/>
          <w:szCs w:val="16"/>
          <w:color w:val="auto"/>
        </w:rPr>
        <w:t>employees of the Company. We agreed to issue a total of 2,800,000 shares to two non</w:t>
      </w:r>
      <w:r>
        <w:rPr>
          <w:rFonts w:ascii="MS PGothic" w:cs="MS PGothic" w:eastAsia="MS PGothic" w:hAnsi="MS PGothic"/>
          <w:sz w:val="16"/>
          <w:szCs w:val="16"/>
          <w:color w:val="auto"/>
        </w:rPr>
        <w:t>‑</w:t>
      </w:r>
      <w:r>
        <w:rPr>
          <w:rFonts w:ascii="Arial" w:cs="Arial" w:eastAsia="Arial" w:hAnsi="Arial"/>
          <w:sz w:val="16"/>
          <w:szCs w:val="16"/>
          <w:color w:val="auto"/>
        </w:rPr>
        <w:t>employee researchers who were involved in the development of technology licensed from MSK in consideration for their prior service. These two researchers were employees of MSK. The shares are released according to a vesting schedule. A total of 560,000 shares were issued in 2015, and a total of 448,000 shares issued in each of 2016 and 2017. In 2018, a total of 448,000 shares were issued to the two non-employee researchers, and upon completion of the IPO, we issued an additional 96,000 shares pursuant to a stock grant agreement and the issuance did not result in proceeds to the Company. A total of 400,000 shares were issued in 2019 and 400,000 shares are to be issued in 2020 to one of the non-employee researchers, subject to certain conditions, such that the total grant will have been issued. The total award was expensed at its estimated fair value in 2015, as no future service was required to continue to vest in and receive the shares of common stock. In August 2016, the Company repurchased and retired a total of 83,600 shares from the two non</w:t>
      </w:r>
      <w:r>
        <w:rPr>
          <w:rFonts w:ascii="MS PGothic" w:cs="MS PGothic" w:eastAsia="MS PGothic" w:hAnsi="MS PGothic"/>
          <w:sz w:val="16"/>
          <w:szCs w:val="16"/>
          <w:color w:val="auto"/>
        </w:rPr>
        <w:t>‑</w:t>
      </w:r>
      <w:r>
        <w:rPr>
          <w:rFonts w:ascii="Arial" w:cs="Arial" w:eastAsia="Arial" w:hAnsi="Arial"/>
          <w:sz w:val="16"/>
          <w:szCs w:val="16"/>
          <w:color w:val="auto"/>
        </w:rPr>
        <w:t>employees of the Company at an amount equal to the estimated fair value of $4.38 per share. The transaction reduced the Company’s shareholders’ equity by $366,000.</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April 2018, the Company granted 72,373 common stock options to one of the non</w:t>
      </w:r>
      <w:r>
        <w:rPr>
          <w:rFonts w:ascii="MS PGothic" w:cs="MS PGothic" w:eastAsia="MS PGothic" w:hAnsi="MS PGothic"/>
          <w:sz w:val="16"/>
          <w:szCs w:val="16"/>
          <w:color w:val="auto"/>
        </w:rPr>
        <w:t>‑</w:t>
      </w:r>
      <w:r>
        <w:rPr>
          <w:rFonts w:ascii="Arial" w:cs="Arial" w:eastAsia="Arial" w:hAnsi="Arial"/>
          <w:sz w:val="16"/>
          <w:szCs w:val="16"/>
          <w:color w:val="auto"/>
        </w:rPr>
        <w:t>employee researchers employed by MSK under our 2015 Equity Incentive Plan (the “2015 Plan”). The options become exercisable over a four</w:t>
      </w:r>
      <w:r>
        <w:rPr>
          <w:rFonts w:ascii="MS PGothic" w:cs="MS PGothic" w:eastAsia="MS PGothic" w:hAnsi="MS PGothic"/>
          <w:sz w:val="16"/>
          <w:szCs w:val="16"/>
          <w:color w:val="auto"/>
        </w:rPr>
        <w:t>‑</w:t>
      </w:r>
      <w:r>
        <w:rPr>
          <w:rFonts w:ascii="Arial" w:cs="Arial" w:eastAsia="Arial" w:hAnsi="Arial"/>
          <w:sz w:val="16"/>
          <w:szCs w:val="16"/>
          <w:color w:val="auto"/>
        </w:rPr>
        <w:t>year period, with the first twenty</w:t>
      </w:r>
      <w:r>
        <w:rPr>
          <w:rFonts w:ascii="MS PGothic" w:cs="MS PGothic" w:eastAsia="MS PGothic" w:hAnsi="MS PGothic"/>
          <w:sz w:val="16"/>
          <w:szCs w:val="16"/>
          <w:color w:val="auto"/>
        </w:rPr>
        <w:t>‑</w:t>
      </w:r>
      <w:r>
        <w:rPr>
          <w:rFonts w:ascii="Arial" w:cs="Arial" w:eastAsia="Arial" w:hAnsi="Arial"/>
          <w:sz w:val="16"/>
          <w:szCs w:val="16"/>
          <w:color w:val="auto"/>
        </w:rPr>
        <w:t>five percent (25%) exercisable twelve (months) from the date of grant and the remainder becoming exercisable ratably each month over the three years thereafter. The contractual term of the option award is 10 years from the date of grant. The total award was expensed at its estimated fair value in April 2018, as no future service was required by the non</w:t>
      </w:r>
      <w:r>
        <w:rPr>
          <w:rFonts w:ascii="MS PGothic" w:cs="MS PGothic" w:eastAsia="MS PGothic" w:hAnsi="MS PGothic"/>
          <w:sz w:val="16"/>
          <w:szCs w:val="16"/>
          <w:color w:val="auto"/>
        </w:rPr>
        <w:t>‑</w:t>
      </w:r>
      <w:r>
        <w:rPr>
          <w:rFonts w:ascii="Arial" w:cs="Arial" w:eastAsia="Arial" w:hAnsi="Arial"/>
          <w:sz w:val="16"/>
          <w:szCs w:val="16"/>
          <w:color w:val="auto"/>
        </w:rPr>
        <w:t>employee to continue to vest in the option grant. The shares will become immediately exercisable upon the occurrence of a change in control, as defined in the 2015 Plan as further described in Note 8, Share-Based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August 2019, we issued 400,000 shares of our common stock. The issuance was made pursuant to a stock grant agreement and did not result in proceeds to the Company.</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September 2018, we completed an initial public offering and issued 6,900,000 shares of common stock at a purchase price of $16.00 per share for an aggregate consideration of $99,507,000, net of issuance costs. Upon completion of the IPO, we also issued 96,000 shares of our common stock pursuant to a stock grant agreement and the issuance did not result in proceeds to the Company.</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August 2018, we issued 448,000 shares of our common stock. The issuance was made pursuant to stock grant agreements and did not result in proceeds to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board of directors and stockholders have approved and adopted the 2015 Plan, which provided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were reserved for issuance pursuant to the 2015 Plan. Options granted under the 2015 Plan vest according to the schedule specified in the grant agreements, which is generally a four year period and generally become immediately exercisable upon the occurrence of a change in control, as defined. Upon the 2018 Equity Incentive Plan (the “2018 Plan’) becoming effective in September 2018, no further grants are allowed under the 2015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a four year period and generally become immediately exercisable upon the occurrence of a change in control, as defined.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During the three month periods ended September 30, 2019 and 2018, stock based compensation for stock option grants were $1,324,000 and $395,000, respectively, for options granted to employees and directors. During the three months ended September 30, 2019, the expenses were recorded as $263,000 in research and development expense and $1,061,000 in general and administrative expense. During the three months ended September 30, 2018, the expenses were recorded as $67,000 in research and development expense and $328,000 in general and administrative expense.</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During the nine month periods ended September 30, 2019 and 2018, stock based compensation for stock option grants were $3,124,000 and $1,471,000, respectively, for options granted to employees, non-employees and directors. During the nine months ended September 30, 2019, the expenses were recorded as $577,000 in research and development expense and $2,547,000 in general and administrative expense. During the nine months ended September 30, 2018, the expenses were recorded as $192,000 in research and development expense and $694,000 in general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administrative expense for options granted to employees and directors. During the nine months ended September 30, 2018, $585,000 was recorded in research and development expense for options granted to non-employees.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Aggregate</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intrinsic</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remaining</w:t>
            </w:r>
          </w:p>
        </w:tc>
      </w:t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exercise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value</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contractual</w:t>
            </w:r>
          </w:p>
        </w:tc>
      </w:tr>
      <w:tr>
        <w:trPr>
          <w:trHeight w:val="230"/>
        </w:trPr>
        <w:tc>
          <w:tcPr>
            <w:tcW w:w="50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ind w:right="50"/>
              <w:spacing w:after="0"/>
              <w:rPr>
                <w:sz w:val="20"/>
                <w:szCs w:val="20"/>
                <w:color w:val="auto"/>
              </w:rPr>
            </w:pPr>
            <w:r>
              <w:rPr>
                <w:rFonts w:ascii="Arial" w:cs="Arial" w:eastAsia="Arial" w:hAnsi="Arial"/>
                <w:sz w:val="18"/>
                <w:szCs w:val="18"/>
                <w:color w:val="auto"/>
                <w:w w:val="92"/>
              </w:rPr>
              <w:t>price</w:t>
            </w:r>
          </w:p>
        </w:tc>
        <w:tc>
          <w:tcPr>
            <w:tcW w:w="20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(in thousands)</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life (years)</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3,357,873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356,000</w:t>
            </w:r>
          </w:p>
        </w:tc>
        <w:tc>
          <w:tcPr>
            <w:tcW w:w="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expected to vest at September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3,713,873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0"/>
        </w:trPr>
        <w:tc>
          <w:tcPr>
            <w:tcW w:w="5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September 30, 2019</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2,243,931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49,408</w:t>
            </w: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6.43</w:t>
            </w: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stock options granted during the three months ended September 30, 2019. The weighted average fair value of stock options granted during the three months ended September 30, 2018 was $7.54.</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 average fair value of stock options granted during the nine month ended September 30, 2019 and 2018 was $12.34 and $6.77, respectively.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of September 30, 2019, we had $12.1 million of unrecognized compensation related to employee stock options that is expected to vest over a period of 2.63 years. As of December 31, 2018, we had $10.8 million of unrecognized compensation related to employee stock options that are expected to vest over a period of 2.82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three and nine months ended September 30, 2019, stock-based compensation for restricted stock unit grants was $21,000 and $56,000, respectively. During the three months ended September 30, 2019, the expenses were recorded as $18,000 in research and development expense and $2,000 in general and administrative expense. During the nine months ended September 30, 2019, the expenses were recorded as $50,000 in research and development expense and $6,000 in general and administrative expense. There was no stock based compensation for restricted stock units during the three or nine months ended September 30,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units issued and outstanding:</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Restricted Stock Units</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2018</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tcBorders>
              <w:bottom w:val="single" w:sz="8" w:color="CCEEFF"/>
            </w:tcBorders>
          </w:tcPr>
          <w:p>
            <w:pPr>
              <w:spacing w:after="0"/>
              <w:rPr>
                <w:sz w:val="18"/>
                <w:szCs w:val="18"/>
                <w:color w:val="auto"/>
              </w:rPr>
            </w:pP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September 30, 2019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weighted average fair value of restricted stock units granted during the three and nine months ended September 30, 2019 was $23.11. As of September 30, 2019, we had $183,000 of unrecognized compensation related to employee restricted stock units that are expected to vest over a period of 2.30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MSK is a shareholder of the Company. Under the MSK License Agreement, the CD33 License Agreement, CTA, CFAs, SRA and MDSA, we have expensed costs in the total amount of $1,384,000 and $914,000 in the three months ended September 30, 2019 and 2018, respectively, for milestones, minimum royalties, and research and development costs. We expensed costs in the total amounts of $5,307,000 and $4,526,000 in the nine months ended September 30, 2019 and 2018, respectively, under these agreements with MSK. Please refer to Note 6 for additional details on our agreements with MSK. As of September 30, 2019 and December 31, 2018, we had a total of $3,829,000 and $4,475,000, respectively, recorded as accounts payable and accrued liabilities related to amounts due to MSK.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provided no current and deferred income taxes on net losses of $23.9 millon and $11.4 million for the three month periods ended September 30, 2019 and 2018, respectively, and the net losses of $57.9 million and $29.2 million for the nine month periods ended September 30, 2019 and 2018, respectively.</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recognizes income tax benefits for tax positions determined more likely than not to be sustained upon examination, based on the technical merits of the positions. As of September 30, 2019 and December 31, 2018, the Company has determined that there were no uncertain tax positions. The Company’s tax returns for years 2018, 2017, 2016, and 2015 are open for tax examination by U.S. federal and state, and the Danish tax authorities.</w:t>
      </w:r>
    </w:p>
    <w:p>
      <w:pPr>
        <w:spacing w:after="0" w:line="17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Company maintains a full valuation allowance on its U.S. and foreign deferred tax assets. The assessment regarding whether a valuation allowance is required considers both positive and negative evidence when determining whether it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that deferred tax assets are recoverable. In making this assessment, significant weight is given to evidence that can be objectively verified. In its evaluation, the Company considered its cumulative loss in recent years and its forecasted losses in the near</w:t>
      </w:r>
      <w:r>
        <w:rPr>
          <w:rFonts w:ascii="MS PGothic" w:cs="MS PGothic" w:eastAsia="MS PGothic" w:hAnsi="MS PGothic"/>
          <w:sz w:val="17"/>
          <w:szCs w:val="17"/>
          <w:color w:val="auto"/>
        </w:rPr>
        <w:t>‑</w:t>
      </w:r>
      <w:r>
        <w:rPr>
          <w:rFonts w:ascii="Arial" w:cs="Arial" w:eastAsia="Arial" w:hAnsi="Arial"/>
          <w:sz w:val="17"/>
          <w:szCs w:val="17"/>
          <w:color w:val="auto"/>
        </w:rPr>
        <w:t>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October 1, 2018, the Company adopted a defined contribution 401(k) savings plan (the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during the three or nine months ended September 30, 2019 and 2018.</w:t>
      </w:r>
    </w:p>
    <w:p>
      <w:pPr>
        <w:spacing w:after="0" w:line="1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 has established a retirement program for employees of the Company’s Danish subsidiary pursuant to which all such employees can contribute an amount at their election from their base compensation and may receive contributions from our Danish subsidiary. Contributions from our Danish subsidiary were immaterial during the three and nine months ended September 30, 2019 and 2018. In addition, health insurance benefits for our Danish employees are fully paid for by such employees. Our Danish subsidiary does not incur any costs for these health insurance benefits.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29" w:lineRule="exact"/>
        <w:rPr>
          <w:sz w:val="20"/>
          <w:szCs w:val="20"/>
          <w:color w:val="auto"/>
        </w:rPr>
      </w:pPr>
    </w:p>
    <w:p>
      <w:pPr>
        <w:ind w:right="279" w:firstLine="1296"/>
        <w:spacing w:after="0" w:line="264" w:lineRule="auto"/>
        <w:rPr>
          <w:sz w:val="20"/>
          <w:szCs w:val="20"/>
          <w:color w:val="auto"/>
        </w:rPr>
      </w:pPr>
      <w:r>
        <w:rPr>
          <w:rFonts w:ascii="Arial" w:cs="Arial" w:eastAsia="Arial" w:hAnsi="Arial"/>
          <w:sz w:val="18"/>
          <w:szCs w:val="18"/>
          <w:color w:val="auto"/>
        </w:rPr>
        <w:t>In November 2019, the Company completed a follow-on shelf public offering of 5,134,750 shares of its common stock, including underwriters overallotment option, at a public offering price of $28 per share for an aggregate consideration of $134.7 million net of issuance costs.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accompanying financial statements and related notes thereto included elsewhere in this Quarterly Report on Form 10-Q and in our Annual Report on Form 10-K for the year ended December 31, 2018 on file with the SEC. Some of the information contained in this discussion and analysis or set forth elsewhere in this Quarterly Report on Form 10-Q, including information with respect to our plans and strategy for our business and related financing, includes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contained in the following discussion and analysis. For convenience of presentation some of the numbers have been rounded in the text below.</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firstLine="648"/>
        <w:spacing w:after="0" w:line="221" w:lineRule="exact"/>
        <w:rPr>
          <w:sz w:val="20"/>
          <w:szCs w:val="20"/>
          <w:color w:val="auto"/>
        </w:rPr>
      </w:pPr>
      <w:r>
        <w:rPr>
          <w:rFonts w:ascii="Arial" w:cs="Arial" w:eastAsia="Arial" w:hAnsi="Arial"/>
          <w:sz w:val="16"/>
          <w:szCs w:val="16"/>
          <w:color w:val="auto"/>
        </w:rPr>
        <w:t>We are a late</w:t>
      </w:r>
      <w:r>
        <w:rPr>
          <w:rFonts w:ascii="MS PGothic" w:cs="MS PGothic" w:eastAsia="MS PGothic" w:hAnsi="MS PGothic"/>
          <w:sz w:val="16"/>
          <w:szCs w:val="16"/>
          <w:color w:val="auto"/>
        </w:rPr>
        <w:t>‑</w:t>
      </w:r>
      <w:r>
        <w:rPr>
          <w:rFonts w:ascii="Arial" w:cs="Arial" w:eastAsia="Arial" w:hAnsi="Arial"/>
          <w:sz w:val="16"/>
          <w:szCs w:val="16"/>
          <w:color w:val="auto"/>
        </w:rPr>
        <w:t>stage clinical biopharmaceutical company focused on the development and commercialization of novel, antibody</w:t>
      </w:r>
      <w:r>
        <w:rPr>
          <w:rFonts w:ascii="MS PGothic" w:cs="MS PGothic" w:eastAsia="MS PGothic" w:hAnsi="MS PGothic"/>
          <w:sz w:val="16"/>
          <w:szCs w:val="16"/>
          <w:color w:val="auto"/>
        </w:rPr>
        <w:t>‑</w:t>
      </w:r>
      <w:r>
        <w:rPr>
          <w:rFonts w:ascii="Arial" w:cs="Arial" w:eastAsia="Arial" w:hAnsi="Arial"/>
          <w:sz w:val="16"/>
          <w:szCs w:val="16"/>
          <w:color w:val="auto"/>
        </w:rPr>
        <w:t>based therapeutic products for the treatment of cancer. We have a broad and advanced product pipeline, including two pivotal</w:t>
      </w:r>
      <w:r>
        <w:rPr>
          <w:rFonts w:ascii="MS PGothic" w:cs="MS PGothic" w:eastAsia="MS PGothic" w:hAnsi="MS PGothic"/>
          <w:sz w:val="16"/>
          <w:szCs w:val="16"/>
          <w:color w:val="auto"/>
        </w:rPr>
        <w:t>‑</w:t>
      </w:r>
      <w:r>
        <w:rPr>
          <w:rFonts w:ascii="Arial" w:cs="Arial" w:eastAsia="Arial" w:hAnsi="Arial"/>
          <w:sz w:val="16"/>
          <w:szCs w:val="16"/>
          <w:color w:val="auto"/>
        </w:rPr>
        <w:t>stage product candidates—naxitamab and omburtamab—which target tumors that express GD2 and</w:t>
      </w:r>
    </w:p>
    <w:p>
      <w:pPr>
        <w:ind w:right="20"/>
        <w:spacing w:after="0" w:line="216" w:lineRule="exact"/>
        <w:rPr>
          <w:sz w:val="20"/>
          <w:szCs w:val="20"/>
          <w:color w:val="auto"/>
        </w:rPr>
      </w:pPr>
      <w:r>
        <w:rPr>
          <w:rFonts w:ascii="Arial" w:cs="Arial" w:eastAsia="Arial" w:hAnsi="Arial"/>
          <w:sz w:val="17"/>
          <w:szCs w:val="17"/>
          <w:color w:val="auto"/>
        </w:rPr>
        <w:t>B7</w:t>
      </w:r>
      <w:r>
        <w:rPr>
          <w:rFonts w:ascii="MS PGothic" w:cs="MS PGothic" w:eastAsia="MS PGothic" w:hAnsi="MS PGothic"/>
          <w:sz w:val="17"/>
          <w:szCs w:val="17"/>
          <w:color w:val="auto"/>
        </w:rPr>
        <w:t>‑</w:t>
      </w:r>
      <w:r>
        <w:rPr>
          <w:rFonts w:ascii="Arial" w:cs="Arial" w:eastAsia="Arial" w:hAnsi="Arial"/>
          <w:sz w:val="17"/>
          <w:szCs w:val="17"/>
          <w:color w:val="auto"/>
        </w:rPr>
        <w:t>H3, respectively. We are developing naxitamab for the treatment of pediatric patients with relapsed or refractory, or R/R, high</w:t>
      </w:r>
      <w:r>
        <w:rPr>
          <w:rFonts w:ascii="MS PGothic" w:cs="MS PGothic" w:eastAsia="MS PGothic" w:hAnsi="MS PGothic"/>
          <w:sz w:val="17"/>
          <w:szCs w:val="17"/>
          <w:color w:val="auto"/>
        </w:rPr>
        <w:t>‑</w:t>
      </w:r>
      <w:r>
        <w:rPr>
          <w:rFonts w:ascii="Arial" w:cs="Arial" w:eastAsia="Arial" w:hAnsi="Arial"/>
          <w:sz w:val="17"/>
          <w:szCs w:val="17"/>
          <w:color w:val="auto"/>
        </w:rPr>
        <w:t>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20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We expect to initiate submission of a rolling Biologics License Application, or BLA, for naxitamab in November 2019, with a goal of receiving approval by the U.S. Food and Drug Administration, or FDA, in 2020. For omburtamab, we expect the BLA submission, either via a rolling submission or via a single submission, to be completed by the end of the first quarter of 2020 with the goal of receiving approval by the FDA in 2020. We plan to commercialize both of our lead product candidates in the United States as soon as possible after obtaining FDA approval, if such approval occurs. Additionally, we have two omburtamab follow</w:t>
      </w:r>
      <w:r>
        <w:rPr>
          <w:rFonts w:ascii="MS PGothic" w:cs="MS PGothic" w:eastAsia="MS PGothic" w:hAnsi="MS PGothic"/>
          <w:sz w:val="18"/>
          <w:szCs w:val="18"/>
          <w:color w:val="auto"/>
        </w:rPr>
        <w:t>‑</w:t>
      </w:r>
      <w:r>
        <w:rPr>
          <w:rFonts w:ascii="Arial" w:cs="Arial" w:eastAsia="Arial" w:hAnsi="Arial"/>
          <w:sz w:val="18"/>
          <w:szCs w:val="18"/>
          <w:color w:val="auto"/>
        </w:rPr>
        <w:t>on product candidates in pre</w:t>
      </w:r>
      <w:r>
        <w:rPr>
          <w:rFonts w:ascii="MS PGothic" w:cs="MS PGothic" w:eastAsia="MS PGothic" w:hAnsi="MS PGothic"/>
          <w:sz w:val="18"/>
          <w:szCs w:val="18"/>
          <w:color w:val="auto"/>
        </w:rPr>
        <w:t>‑</w:t>
      </w:r>
      <w:r>
        <w:rPr>
          <w:rFonts w:ascii="Arial" w:cs="Arial" w:eastAsia="Arial" w:hAnsi="Arial"/>
          <w:sz w:val="18"/>
          <w:szCs w:val="18"/>
          <w:color w:val="auto"/>
        </w:rPr>
        <w:t>clinical development, omburtamab</w:t>
      </w:r>
      <w:r>
        <w:rPr>
          <w:rFonts w:ascii="MS PGothic" w:cs="MS PGothic" w:eastAsia="MS PGothic" w:hAnsi="MS PGothic"/>
          <w:sz w:val="18"/>
          <w:szCs w:val="18"/>
          <w:color w:val="auto"/>
        </w:rPr>
        <w:t>‑</w:t>
      </w:r>
      <w:r>
        <w:rPr>
          <w:rFonts w:ascii="Arial" w:cs="Arial" w:eastAsia="Arial" w:hAnsi="Arial"/>
          <w:sz w:val="18"/>
          <w:szCs w:val="18"/>
          <w:color w:val="auto"/>
        </w:rPr>
        <w:t>DTPA (diethylenetriamine pentaacetate) and huB7</w:t>
      </w:r>
      <w:r>
        <w:rPr>
          <w:rFonts w:ascii="MS PGothic" w:cs="MS PGothic" w:eastAsia="MS PGothic" w:hAnsi="MS PGothic"/>
          <w:sz w:val="18"/>
          <w:szCs w:val="18"/>
          <w:color w:val="auto"/>
        </w:rPr>
        <w:t>‑</w:t>
      </w:r>
      <w:r>
        <w:rPr>
          <w:rFonts w:ascii="Arial" w:cs="Arial" w:eastAsia="Arial" w:hAnsi="Arial"/>
          <w:sz w:val="18"/>
          <w:szCs w:val="18"/>
          <w:color w:val="auto"/>
        </w:rPr>
        <w:t>H3, a humanized version of omburtamab, each targeting indications with large adult patient populations.</w:t>
      </w:r>
    </w:p>
    <w:p>
      <w:pPr>
        <w:spacing w:after="0" w:line="206" w:lineRule="exact"/>
        <w:rPr>
          <w:sz w:val="20"/>
          <w:szCs w:val="20"/>
          <w:color w:val="auto"/>
        </w:rPr>
      </w:pPr>
    </w:p>
    <w:p>
      <w:pPr>
        <w:ind w:right="140" w:firstLine="648"/>
        <w:spacing w:after="0" w:line="217" w:lineRule="exact"/>
        <w:rPr>
          <w:sz w:val="20"/>
          <w:szCs w:val="20"/>
          <w:color w:val="auto"/>
        </w:rPr>
      </w:pPr>
      <w:r>
        <w:rPr>
          <w:rFonts w:ascii="Arial" w:cs="Arial" w:eastAsia="Arial" w:hAnsi="Arial"/>
          <w:sz w:val="16"/>
          <w:szCs w:val="16"/>
          <w:color w:val="auto"/>
        </w:rPr>
        <w:t>We have initiated a Phase I trial with our huGD2 bispecific antibody, or BsAb, for the treatment of refractory GD2 positive adult and pediatric solid tumors, thereby addressing large patient populations. We are also advancing a pipeline of novel BsAbs through late pre</w:t>
      </w:r>
      <w:r>
        <w:rPr>
          <w:rFonts w:ascii="MS PGothic" w:cs="MS PGothic" w:eastAsia="MS PGothic" w:hAnsi="MS PGothic"/>
          <w:sz w:val="16"/>
          <w:szCs w:val="16"/>
          <w:color w:val="auto"/>
        </w:rPr>
        <w:t>‑</w:t>
      </w:r>
      <w:r>
        <w:rPr>
          <w:rFonts w:ascii="Arial" w:cs="Arial" w:eastAsia="Arial" w:hAnsi="Arial"/>
          <w:sz w:val="16"/>
          <w:szCs w:val="16"/>
          <w:color w:val="auto"/>
        </w:rPr>
        <w:t>clinical development, including our huCD33</w:t>
      </w:r>
      <w:r>
        <w:rPr>
          <w:rFonts w:ascii="MS PGothic" w:cs="MS PGothic" w:eastAsia="MS PGothic" w:hAnsi="MS PGothic"/>
          <w:sz w:val="16"/>
          <w:szCs w:val="16"/>
          <w:color w:val="auto"/>
        </w:rPr>
        <w:t>‑</w:t>
      </w:r>
      <w:r>
        <w:rPr>
          <w:rFonts w:ascii="Arial" w:cs="Arial" w:eastAsia="Arial" w:hAnsi="Arial"/>
          <w:sz w:val="16"/>
          <w:szCs w:val="16"/>
          <w:color w:val="auto"/>
        </w:rPr>
        <w:t>BsAb product candidate for the treatment of hematological cancers expressing CD33, a transmembrane receptor expressed on cells of myeloid lineage. We believe our BsAbs have the potential to result in improved tumor</w:t>
      </w:r>
      <w:r>
        <w:rPr>
          <w:rFonts w:ascii="MS PGothic" w:cs="MS PGothic" w:eastAsia="MS PGothic" w:hAnsi="MS PGothic"/>
          <w:sz w:val="16"/>
          <w:szCs w:val="16"/>
          <w:color w:val="auto"/>
        </w:rPr>
        <w:t>‑</w:t>
      </w:r>
      <w:r>
        <w:rPr>
          <w:rFonts w:ascii="Arial" w:cs="Arial" w:eastAsia="Arial" w:hAnsi="Arial"/>
          <w:sz w:val="16"/>
          <w:szCs w:val="16"/>
          <w:color w:val="auto"/>
        </w:rPr>
        <w:t>binding, longer serum half</w:t>
      </w:r>
      <w:r>
        <w:rPr>
          <w:rFonts w:ascii="MS PGothic" w:cs="MS PGothic" w:eastAsia="MS PGothic" w:hAnsi="MS PGothic"/>
          <w:sz w:val="16"/>
          <w:szCs w:val="16"/>
          <w:color w:val="auto"/>
        </w:rPr>
        <w:t>‑</w:t>
      </w:r>
      <w:r>
        <w:rPr>
          <w:rFonts w:ascii="Arial" w:cs="Arial" w:eastAsia="Arial" w:hAnsi="Arial"/>
          <w:sz w:val="16"/>
          <w:szCs w:val="16"/>
          <w:color w:val="auto"/>
        </w:rPr>
        <w:t>life and significantly greater T</w:t>
      </w:r>
      <w:r>
        <w:rPr>
          <w:rFonts w:ascii="MS PGothic" w:cs="MS PGothic" w:eastAsia="MS PGothic" w:hAnsi="MS PGothic"/>
          <w:sz w:val="16"/>
          <w:szCs w:val="16"/>
          <w:color w:val="auto"/>
        </w:rPr>
        <w:t>‑</w:t>
      </w:r>
      <w:r>
        <w:rPr>
          <w:rFonts w:ascii="Arial" w:cs="Arial" w:eastAsia="Arial" w:hAnsi="Arial"/>
          <w:sz w:val="16"/>
          <w:szCs w:val="16"/>
          <w:color w:val="auto"/>
        </w:rPr>
        <w:t>cell mediated killing of tumor cells without the need for continuous infusion. Our mission is to become the world leader in developing better and safer antibody</w:t>
      </w:r>
      <w:r>
        <w:rPr>
          <w:rFonts w:ascii="MS PGothic" w:cs="MS PGothic" w:eastAsia="MS PGothic" w:hAnsi="MS PGothic"/>
          <w:sz w:val="16"/>
          <w:szCs w:val="16"/>
          <w:color w:val="auto"/>
        </w:rPr>
        <w:t>‑</w:t>
      </w:r>
      <w:r>
        <w:rPr>
          <w:rFonts w:ascii="Arial" w:cs="Arial" w:eastAsia="Arial" w:hAnsi="Arial"/>
          <w:sz w:val="16"/>
          <w:szCs w:val="16"/>
          <w:color w:val="auto"/>
        </w:rPr>
        <w:t>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8"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8"/>
          <w:szCs w:val="18"/>
          <w:color w:val="auto"/>
        </w:rPr>
        <w:t>Since our inception in April 2015, we have devoted substantially all of our resources to organizing and staffing our company, business planning, identifying potential product candidates,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w:t>
      </w:r>
    </w:p>
    <w:p>
      <w:pPr>
        <w:spacing w:after="0" w:line="20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To date, we have financed our operations primarily through private placements of our securities and the proceeds of our initial public offering. On September 25, 2018, we completed the initial public offering, or IPO, of our common stock pursuant to which we issued and sold 6,900,000 shares at a price to the public of $16.00 per share which included the exercise in full of the underwriters’ option to purchase additional shares for gross proceeds of approximately $110.4 million, before deducting underwriting discounts and commissions and estimated offering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expenses. We have received aggregate gross proceeds of approximately $230.0 million through September 30, 2019 from the sale and issuance of our common stock. In November 2019, we completed a follow-on shelf public offering and issued 5,134,750 shares at a price to the public of $28.00 per share, which included the exercise in full of the underwriters’ option to purchase additional shares for gross proceeds of approximately $143.8 million, before deducting underwriting discounts and commissions and estimated offering expenses.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September 30, 2019, we had an accumulated deficit of $142.7 million. Our net losses were $23.9 million and $11.4 million for the three months ended September 30, 2019 and 2018, respectively, and $57.9 million and $29.2 million for the nine months ended September 30, 2019 and 2018, respectively.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178"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advance our lead product candidates through pivotal stage development towards registration;</w:t>
      </w:r>
    </w:p>
    <w:p>
      <w:pPr>
        <w:spacing w:after="0" w:line="236" w:lineRule="exact"/>
        <w:rPr>
          <w:rFonts w:ascii="Arial" w:cs="Arial" w:eastAsia="Arial" w:hAnsi="Arial"/>
          <w:sz w:val="17"/>
          <w:szCs w:val="17"/>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w:t>
      </w:r>
    </w:p>
    <w:p>
      <w:pPr>
        <w:spacing w:after="0" w:line="225"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any additional product candidates we identify;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25" w:lineRule="exact"/>
        <w:rPr>
          <w:rFonts w:ascii="Arial" w:cs="Arial" w:eastAsia="Arial" w:hAnsi="Arial"/>
          <w:sz w:val="18"/>
          <w:szCs w:val="18"/>
          <w:color w:val="auto"/>
        </w:rPr>
      </w:pPr>
    </w:p>
    <w:p>
      <w:pPr>
        <w:ind w:left="980" w:right="42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including expanding our operational, finance and management teams.</w:t>
      </w:r>
    </w:p>
    <w:p>
      <w:pPr>
        <w:spacing w:after="0" w:line="170"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We believe that our cash on hand, including the net proceeds from our follow-on shelf public offering in November 2019, will be sufficient to fund our operations and capital expenditures through the fourth quarter of 2022.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w:t>
      </w:r>
      <w:r>
        <w:rPr>
          <w:rFonts w:ascii="MS PGothic" w:cs="MS PGothic" w:eastAsia="MS PGothic" w:hAnsi="MS PGothic"/>
          <w:sz w:val="16"/>
          <w:szCs w:val="16"/>
          <w:color w:val="auto"/>
        </w:rPr>
        <w:t>‑</w:t>
      </w:r>
      <w:r>
        <w:rPr>
          <w:rFonts w:ascii="Arial" w:cs="Arial" w:eastAsia="Arial" w:hAnsi="Arial"/>
          <w:sz w:val="16"/>
          <w:szCs w:val="16"/>
          <w:color w:val="auto"/>
        </w:rPr>
        <w:t>risk NB, and omburtamab for the treatment of CNS/LM from NB, by the end of 2019. Additionally, we currently use Contract Research Organizations, or CROs, and Contract Manufacturing Organizations, or CMOs, to carry out our pre</w:t>
      </w:r>
      <w:r>
        <w:rPr>
          <w:rFonts w:ascii="MS PGothic" w:cs="MS PGothic" w:eastAsia="MS PGothic" w:hAnsi="MS PGothic"/>
          <w:sz w:val="16"/>
          <w:szCs w:val="16"/>
          <w:color w:val="auto"/>
        </w:rPr>
        <w:t>‑</w:t>
      </w:r>
      <w:r>
        <w:rPr>
          <w:rFonts w:ascii="Arial" w:cs="Arial" w:eastAsia="Arial" w:hAnsi="Arial"/>
          <w:sz w:val="16"/>
          <w:szCs w:val="16"/>
          <w:color w:val="auto"/>
        </w:rPr>
        <w:t>clinical and clinical development activities and we do not yet have a sales organization.</w:t>
      </w:r>
    </w:p>
    <w:p>
      <w:pPr>
        <w:spacing w:after="0" w:line="20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CFAs. Also, under our CTA with MSK, we will provide drug product and funding for certain clinical trials at MSK. These MSK agreements are important to our business. For a more detailed discussion of the terms and conditions of these agreements, see note 6 “License Agreements and Commitments.”</w:t>
      </w:r>
    </w:p>
    <w:p>
      <w:pPr>
        <w:spacing w:after="0" w:line="16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If we obtain regulatory approval for our product candidates, we expect to incur significant commercialization expenses related to product sales, marketing, manufacturing and distribution. Accordingly, we may continue to fund our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date, we have not generated any revenue from product sales.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Research and development expenses consist of expenses incurred in connection with the discovery and development of our product candidates. We expense research and development costs as incurred. These expenses include:</w:t>
      </w:r>
    </w:p>
    <w:p>
      <w:pPr>
        <w:spacing w:after="0" w:line="124" w:lineRule="exact"/>
        <w:rPr>
          <w:sz w:val="20"/>
          <w:szCs w:val="20"/>
          <w:color w:val="auto"/>
        </w:rPr>
      </w:pPr>
    </w:p>
    <w:p>
      <w:pPr>
        <w:ind w:left="980" w:right="20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the SRA, the two CFAs, the CTA, and the MDSA, with MSK;</w:t>
      </w:r>
    </w:p>
    <w:p>
      <w:pPr>
        <w:spacing w:after="0" w:line="170" w:lineRule="exact"/>
        <w:rPr>
          <w:rFonts w:ascii="Arial" w:cs="Arial" w:eastAsia="Arial" w:hAnsi="Arial"/>
          <w:sz w:val="18"/>
          <w:szCs w:val="18"/>
          <w:color w:val="auto"/>
        </w:rPr>
      </w:pPr>
    </w:p>
    <w:p>
      <w:pPr>
        <w:ind w:left="980" w:right="120" w:hanging="329"/>
        <w:spacing w:after="0" w:line="223"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w:t>
      </w:r>
      <w:r>
        <w:rPr>
          <w:rFonts w:ascii="MS PGothic" w:cs="MS PGothic" w:eastAsia="MS PGothic" w:hAnsi="MS PGothic"/>
          <w:sz w:val="18"/>
          <w:szCs w:val="18"/>
          <w:color w:val="auto"/>
        </w:rPr>
        <w:t>‑</w:t>
      </w:r>
      <w:r>
        <w:rPr>
          <w:rFonts w:ascii="Arial" w:cs="Arial" w:eastAsia="Arial" w:hAnsi="Arial"/>
          <w:sz w:val="18"/>
          <w:szCs w:val="18"/>
          <w:color w:val="auto"/>
        </w:rPr>
        <w:t>clinical studies and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trials;</w:t>
      </w:r>
    </w:p>
    <w:p>
      <w:pPr>
        <w:spacing w:after="0" w:line="203" w:lineRule="exact"/>
        <w:rPr>
          <w:rFonts w:ascii="Arial" w:cs="Arial" w:eastAsia="Arial" w:hAnsi="Arial"/>
          <w:sz w:val="18"/>
          <w:szCs w:val="18"/>
          <w:color w:val="auto"/>
        </w:rPr>
      </w:pPr>
    </w:p>
    <w:p>
      <w:pPr>
        <w:ind w:left="980" w:right="340" w:hanging="329"/>
        <w:spacing w:after="0" w:line="221"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w:t>
      </w:r>
      <w:r>
        <w:rPr>
          <w:rFonts w:ascii="MS PGothic" w:cs="MS PGothic" w:eastAsia="MS PGothic" w:hAnsi="MS PGothic"/>
          <w:sz w:val="18"/>
          <w:szCs w:val="18"/>
          <w:color w:val="auto"/>
        </w:rPr>
        <w:t>‑</w:t>
      </w:r>
      <w:r>
        <w:rPr>
          <w:rFonts w:ascii="Arial" w:cs="Arial" w:eastAsia="Arial" w:hAnsi="Arial"/>
          <w:sz w:val="18"/>
          <w:szCs w:val="18"/>
          <w:color w:val="auto"/>
        </w:rPr>
        <w:t>up expenses and the cost of acquiring and manufacturing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 materials, including manufacturing validation batches;</w:t>
      </w:r>
    </w:p>
    <w:p>
      <w:pPr>
        <w:spacing w:after="0" w:line="201"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upfront and milestone and other non-revenue related payments due under our third</w:t>
      </w:r>
      <w:r>
        <w:rPr>
          <w:rFonts w:ascii="MS PGothic" w:cs="MS PGothic" w:eastAsia="MS PGothic" w:hAnsi="MS PGothic"/>
          <w:sz w:val="16"/>
          <w:szCs w:val="16"/>
          <w:color w:val="auto"/>
        </w:rPr>
        <w:t>‑</w:t>
      </w:r>
      <w:r>
        <w:rPr>
          <w:rFonts w:ascii="Arial" w:cs="Arial" w:eastAsia="Arial" w:hAnsi="Arial"/>
          <w:sz w:val="16"/>
          <w:szCs w:val="16"/>
          <w:color w:val="auto"/>
        </w:rPr>
        <w:t>party licensing agreements;</w:t>
      </w:r>
    </w:p>
    <w:p>
      <w:pPr>
        <w:spacing w:after="0" w:line="248"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salaries, benefits, travel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980" w:right="820" w:hanging="329"/>
        <w:spacing w:after="0" w:line="223"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w:t>
      </w:r>
      <w:r>
        <w:rPr>
          <w:rFonts w:ascii="MS PGothic" w:cs="MS PGothic" w:eastAsia="MS PGothic" w:hAnsi="MS PGothic"/>
          <w:sz w:val="18"/>
          <w:szCs w:val="18"/>
          <w:color w:val="auto"/>
        </w:rPr>
        <w:t>‑</w:t>
      </w:r>
      <w:r>
        <w:rPr>
          <w:rFonts w:ascii="Arial" w:cs="Arial" w:eastAsia="Arial" w:hAnsi="Arial"/>
          <w:sz w:val="18"/>
          <w:szCs w:val="18"/>
          <w:color w:val="auto"/>
        </w:rPr>
        <w:t>related costs, including rent, insurance, supplies and maintenance expenses, and other operating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naxitamab and omburtamab or any future product candidates we may develop. This uncertainty is due to the numerous risks and uncertainties associated with the duration and cost of clinical trials, which vary significantly over the life of a project as a result of many factors, including:</w:t>
      </w:r>
    </w:p>
    <w:p>
      <w:pPr>
        <w:spacing w:after="0" w:line="188"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and clinical sites included in the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availability and length of time required to enroll a sufficient number of suitable patients in our clinical trials;</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and frequency of patient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clinical trials and pre</w:t>
      </w:r>
      <w:r>
        <w:rPr>
          <w:rFonts w:ascii="MS PGothic" w:cs="MS PGothic" w:eastAsia="MS PGothic" w:hAnsi="MS PGothic"/>
          <w:sz w:val="18"/>
          <w:szCs w:val="18"/>
          <w:color w:val="auto"/>
        </w:rPr>
        <w:t>‑</w:t>
      </w:r>
      <w:r>
        <w:rPr>
          <w:rFonts w:ascii="Arial" w:cs="Arial" w:eastAsia="Arial" w:hAnsi="Arial"/>
          <w:sz w:val="18"/>
          <w:szCs w:val="18"/>
          <w:color w:val="auto"/>
        </w:rPr>
        <w:t>clinical studies;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980" w:right="120" w:hanging="329"/>
        <w:spacing w:after="0" w:line="223"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w:t>
      </w:r>
      <w:r>
        <w:rPr>
          <w:rFonts w:ascii="MS PGothic" w:cs="MS PGothic" w:eastAsia="MS PGothic" w:hAnsi="MS PGothic"/>
          <w:sz w:val="18"/>
          <w:szCs w:val="18"/>
          <w:color w:val="auto"/>
        </w:rPr>
        <w:t>‑</w:t>
      </w:r>
      <w:r>
        <w:rPr>
          <w:rFonts w:ascii="Arial" w:cs="Arial" w:eastAsia="Arial" w:hAnsi="Arial"/>
          <w:sz w:val="18"/>
          <w:szCs w:val="18"/>
          <w:color w:val="auto"/>
        </w:rPr>
        <w:t>U.S. regulatory authority;</w:t>
      </w:r>
    </w:p>
    <w:p>
      <w:pPr>
        <w:spacing w:after="0" w:line="203"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78" w:lineRule="exact"/>
        <w:rPr>
          <w:sz w:val="20"/>
          <w:szCs w:val="20"/>
          <w:color w:val="auto"/>
        </w:rPr>
      </w:pPr>
    </w:p>
    <w:p>
      <w:pPr>
        <w:ind w:firstLine="648"/>
        <w:spacing w:after="0" w:line="220" w:lineRule="exact"/>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like naxitamab and omburtamab,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our research and development expenses to increase significantly over the next several years as we increase personnel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conduct clinical trials and potentially prepare regulatory filings for naxitamab and omburtamab.</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320" w:firstLine="648"/>
        <w:spacing w:after="0" w:line="220" w:lineRule="exact"/>
        <w:rPr>
          <w:sz w:val="20"/>
          <w:szCs w:val="20"/>
          <w:color w:val="auto"/>
        </w:rPr>
      </w:pPr>
      <w:r>
        <w:rPr>
          <w:rFonts w:ascii="Arial" w:cs="Arial" w:eastAsia="Arial" w:hAnsi="Arial"/>
          <w:sz w:val="17"/>
          <w:szCs w:val="17"/>
          <w:color w:val="auto"/>
        </w:rPr>
        <w:t>General and administrative expenses consist primarily of employee related expenses, including salaries, bonus,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for personnel in executive,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204"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potential commercialization of our product 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w:t>
      </w:r>
      <w:r>
        <w:rPr>
          <w:rFonts w:ascii="MS PGothic" w:cs="MS PGothic" w:eastAsia="MS PGothic" w:hAnsi="MS PGothic"/>
          <w:sz w:val="16"/>
          <w:szCs w:val="16"/>
          <w:color w:val="auto"/>
        </w:rPr>
        <w:t>‑</w:t>
      </w:r>
      <w:r>
        <w:rPr>
          <w:rFonts w:ascii="Arial" w:cs="Arial" w:eastAsia="Arial" w:hAnsi="Arial"/>
          <w:sz w:val="16"/>
          <w:szCs w:val="16"/>
          <w:color w:val="auto"/>
        </w:rPr>
        <w:t>related expenses as a result of our preparation for commercial operations, especially as it relates to the sales and marketing of that product candidate.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w:t>
      </w:r>
      <w:r>
        <w:rPr>
          <w:rFonts w:ascii="MS PGothic" w:cs="MS PGothic" w:eastAsia="MS PGothic" w:hAnsi="MS PGothic"/>
          <w:sz w:val="17"/>
          <w:szCs w:val="17"/>
          <w:color w:val="auto"/>
        </w:rPr>
        <w:t>‑</w:t>
      </w:r>
      <w:r>
        <w:rPr>
          <w:rFonts w:ascii="Arial" w:cs="Arial" w:eastAsia="Arial" w:hAnsi="Arial"/>
          <w:sz w:val="17"/>
          <w:szCs w:val="17"/>
          <w:color w:val="auto"/>
        </w:rPr>
        <w: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Quarterly Report on Form 10-Q, we believe the following accounting policies to be most critical to the judgments and estimates used in the preparation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policy is to recognize, when applicable, interest and penalties on uncertain tax positions as part of income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We measure stock options and restricted share units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and restricted share units to employees and directors with only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and record the expense for these awards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requisite service period.</w:t>
      </w:r>
    </w:p>
    <w:p>
      <w:pPr>
        <w:spacing w:after="0" w:line="205"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For share</w:t>
      </w:r>
      <w:r>
        <w:rPr>
          <w:rFonts w:ascii="MS PGothic" w:cs="MS PGothic" w:eastAsia="MS PGothic" w:hAnsi="MS PGothic"/>
          <w:sz w:val="17"/>
          <w:szCs w:val="17"/>
          <w:color w:val="auto"/>
        </w:rPr>
        <w:t>‑</w:t>
      </w:r>
      <w:r>
        <w:rPr>
          <w:rFonts w:ascii="Arial" w:cs="Arial" w:eastAsia="Arial" w:hAnsi="Arial"/>
          <w:sz w:val="17"/>
          <w:szCs w:val="17"/>
          <w:color w:val="auto"/>
        </w:rPr>
        <w:t>based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prior to January 1, 2019, compensation expense is recognized over the period during which services are rendered by such non</w:t>
      </w:r>
      <w:r>
        <w:rPr>
          <w:rFonts w:ascii="MS PGothic" w:cs="MS PGothic" w:eastAsia="MS PGothic" w:hAnsi="MS PGothic"/>
          <w:sz w:val="17"/>
          <w:szCs w:val="17"/>
          <w:color w:val="auto"/>
        </w:rPr>
        <w:t>‑</w:t>
      </w:r>
      <w:r>
        <w:rPr>
          <w:rFonts w:ascii="Arial" w:cs="Arial" w:eastAsia="Arial" w:hAnsi="Arial"/>
          <w:sz w:val="17"/>
          <w:szCs w:val="17"/>
          <w:color w:val="auto"/>
        </w:rPr>
        <w:t>employees until completed. At the end of each financial reporting period prior to completion of the service, the fair value of these awards is remeasured using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of our shares of common stock and updated assumption inputs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No share-based awards were granted to non-employees after December 31, 2018.</w:t>
      </w:r>
    </w:p>
    <w:p>
      <w:pPr>
        <w:spacing w:after="0" w:line="20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Historically, we have been a private company and lack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our shares. Therefore, we estimate our expected share price volatility based on the historical volatility of a group of publicly</w:t>
      </w:r>
      <w:r>
        <w:rPr>
          <w:rFonts w:ascii="MS PGothic" w:cs="MS PGothic" w:eastAsia="MS PGothic" w:hAnsi="MS PGothic"/>
          <w:sz w:val="16"/>
          <w:szCs w:val="16"/>
          <w:color w:val="auto"/>
        </w:rPr>
        <w:t>‑</w:t>
      </w:r>
      <w:r>
        <w:rPr>
          <w:rFonts w:ascii="Arial" w:cs="Arial" w:eastAsia="Arial" w:hAnsi="Arial"/>
          <w:sz w:val="16"/>
          <w:szCs w:val="16"/>
          <w:color w:val="auto"/>
        </w:rPr>
        <w:t>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is equal to the contractual term of the option award.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determined by reference to the U.S. Treasury yield curve in effect at the time of grant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September 30, 2019 and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73"/>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ind w:right="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19,660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12,944</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(12,944)</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(23,922)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(11,426)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We do not record our research and development expenses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or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basis as they primarily relate to personnel, research, manufacturing, license fees, non</w:t>
      </w:r>
      <w:r>
        <w:rPr>
          <w:rFonts w:ascii="MS PGothic" w:cs="MS PGothic" w:eastAsia="MS PGothic" w:hAnsi="MS PGothic"/>
          <w:sz w:val="18"/>
          <w:szCs w:val="18"/>
          <w:color w:val="auto"/>
        </w:rPr>
        <w:t>‑</w:t>
      </w:r>
      <w:r>
        <w:rPr>
          <w:rFonts w:ascii="Arial" w:cs="Arial" w:eastAsia="Arial" w:hAnsi="Arial"/>
          <w:sz w:val="18"/>
          <w:szCs w:val="18"/>
          <w:color w:val="auto"/>
        </w:rPr>
        <w:t>cash expense in connection with equity issuances to MSK and consumable costs, which are simultaneously deployed across multiple projects under development. These costs are included in the table below.</w:t>
      </w:r>
    </w:p>
    <w:p>
      <w:pPr>
        <w:spacing w:after="0" w:line="20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2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Licensing agreements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17"/>
        </w:trPr>
        <w:tc>
          <w:tcPr>
            <w:tcW w:w="47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w:t>
            </w:r>
          </w:p>
        </w:tc>
      </w:tr>
    </w:tbl>
    <w:p>
      <w:pPr>
        <w:spacing w:after="0" w:line="20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Research and development expenses increased by $11.0 million, from $8.7 million for the three months ended September 30, 2018 to $19.7 million for the three months ended September 30, 2019. This was primarily due to a $7.3 million increase in outsourced manufacturing expenses for our lead product candidates, naxitamab and omburtamab. In addition, expenses for outsourced research and supplies increased by $1.5 million for the three months ended September 30, 2019, due to our increased need for clinical trial support. Employee-related costs, including salary, benefits and non-cash stock-based compensation for personnel related to our research activities, increased by $0.7 million for the three months ended September 30, 2019, due to our expanding workforce.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General and administrative expenses increased by $2.0 million, from $2.7 million for the three months ended September 30, 2018 to $4.7 million for the three months ended September 30, 2019. The increase in general and administrative expenses was primarily attributable to a $0.8 million increase in employee related costs, including salary, benefits and non-cash stock-based compensation for personnel related to our business activities. In addition, costs for setting up commercial infrastructure increased by $0.6 million for the three months ended September 30, 2019. The increase in general and administrative expenses overall primarily relates to the infrastructure and administrative costs of becoming a public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for the three months ended September 30, 2019 was $437,000 as compared to other expenses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$11,000 for the three months ended September 30, 2018. The increase is attributable to an increase in invested cash balances.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interest income has not been significant due to low interest earned on our cash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nine months ended September 30, 2019 and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73"/>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ind w:right="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46,665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23,228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30,094</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(30,094)</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(57,892)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(29,214)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We do not record our research and development expenses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or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basis as they primarily relate to personnel, research, manufacturing, license fees, non</w:t>
      </w:r>
      <w:r>
        <w:rPr>
          <w:rFonts w:ascii="MS PGothic" w:cs="MS PGothic" w:eastAsia="MS PGothic" w:hAnsi="MS PGothic"/>
          <w:sz w:val="18"/>
          <w:szCs w:val="18"/>
          <w:color w:val="auto"/>
        </w:rPr>
        <w:t>‑</w:t>
      </w:r>
      <w:r>
        <w:rPr>
          <w:rFonts w:ascii="Arial" w:cs="Arial" w:eastAsia="Arial" w:hAnsi="Arial"/>
          <w:sz w:val="18"/>
          <w:szCs w:val="18"/>
          <w:color w:val="auto"/>
        </w:rPr>
        <w:t>cash expense in connection with equity issuances to MSK and consumable costs, which are simultaneously deployed across multiple projects under development. These costs are included in the table below.</w:t>
      </w:r>
    </w:p>
    <w:p>
      <w:pPr>
        <w:spacing w:after="0" w:line="20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Nine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34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38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Licensing agreements</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3440" w:type="dxa"/>
            <w:vAlign w:val="bottom"/>
            <w:tcBorders>
              <w:bottom w:val="single" w:sz="8" w:color="CCEEFF"/>
            </w:tcBorders>
            <w:shd w:val="clear" w:color="auto" w:fill="CCEEFF"/>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23,228</w:t>
            </w:r>
          </w:p>
        </w:tc>
      </w:tr>
      <w:tr>
        <w:trPr>
          <w:trHeight w:val="419"/>
        </w:trPr>
        <w:tc>
          <w:tcPr>
            <w:tcW w:w="3440" w:type="dxa"/>
            <w:vAlign w:val="bottom"/>
          </w:tcPr>
          <w:p>
            <w:pPr>
              <w:spacing w:after="0"/>
              <w:rPr>
                <w:sz w:val="24"/>
                <w:szCs w:val="24"/>
                <w:color w:val="auto"/>
              </w:rPr>
            </w:pPr>
          </w:p>
        </w:tc>
        <w:tc>
          <w:tcPr>
            <w:tcW w:w="3600" w:type="dxa"/>
            <w:vAlign w:val="bottom"/>
          </w:tcPr>
          <w:p>
            <w:pPr>
              <w:jc w:val="right"/>
              <w:ind w:right="233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09"/>
        </w:trPr>
        <w:tc>
          <w:tcPr>
            <w:tcW w:w="34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Research and development expenses increased by $23.5 million, from $23.2 million for the nine months ended September 30, 2018 to $46.7 million for the nine months ended September 30, 2019. This was primarily due to a $14.5 million increase in outsourced manufacturing expenses for our lead product candidates, naxitamab and omburtamab. In addition, expenses for outsourced research and supplies increased by $5.0 million, from $6.5 million for the nine months ended September 30, 2018 to $11.5 million for the nine months ended September 30, 2019, due to our increased need for clinical trial support. Employee-related costs including salary, benefits and non-cash stock-based compensation for personnel related to our research activities, increased by $1.9 million for the nine months ended September 30, 2019, due to our expanding workforce.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General and administrative expenses increased by $6.7 million, from $5.9 million for the nine months ended September 30, 2018 to $12.6 million for the nine months ended September 30, 2019. The increase in general and administrative expenses was primarily attributable to a $3.6 million increase in employee related costs, including salary, benefits and non-cash stock-based compensation for personnel related to our business activities. In addition, costs for setting up commercial infrastructure increased by $1.4 million for the nine months ended September 30, 2019. The increase in general and administrative expenses overall primarily relates to the infrastructure and administrative costs of becoming a public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for the nine months ended September 30, 2019 was $1,354,000 as compared to other expenses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$62,000 for the nine months ended September 30, 2018. The increase is attributable to an increase in invested cash balances.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interest income has not been significant due to low interest earned on our cash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 operations through September 30, 2019 primarily through gross proceeds of approximately $230.0 million from the sale of our common stock, including the completion of our IPO on September 25, 2018, in which we issued and sold 6,900,000 shares of our common stock at a public offering price of $16.00 per share, resulting in gross proceeds of approximately $110.4 million before deducting underwriters discounts, commissions and estimated offering costs. In November 2019, we completed a follow-on shelf public offering and issued 5,134,750 shares at a price to the public of $28.00 per share, which included the exercise in full of the underwriters’ option to purchase additional shares for gross proceeds of approximately $143.8 million, before deducting underwriting discounts and commissions and estimated offering expenses.</w:t>
      </w:r>
    </w:p>
    <w:p>
      <w:pPr>
        <w:spacing w:after="0" w:line="18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As of September 30, 2019, we had cash and cash equivalents of approximately $98.2 million. Adding the net proceeds of $134.7 million from the follow-on shelf public offering completed in November 2019, we believe that our cash on hand will be sufficient to fund our operations and capital expenditures through the fourth quarter of 2022.</w:t>
      </w:r>
    </w:p>
    <w:p>
      <w:pPr>
        <w:spacing w:after="0" w:line="166"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Company may be required to raise additional capital to fund future operations through the sale of its equity securities, incurring debt, entering into licensing or collaboration agreements with partners, grants or other sources of financing. Sufficient funds may not be available to the Company at all or on attractive terms when needed from equity or debt financing. If the Company is unable to obtain additional financing from these or other sources when needed, or to the extent needed, it may be necessary to significantly reduce its current rate of spending through delaying, scaling back, or suspending certain research and development programs and other operational goals.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nine months ended September 30, 2019 and 2018:</w:t>
      </w:r>
    </w:p>
    <w:p>
      <w:pPr>
        <w:spacing w:after="0" w:line="176"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Nine Months Ended</w:t>
      </w:r>
    </w:p>
    <w:p>
      <w:pPr>
        <w:ind w:left="72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100,605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increase/(decrease) in cash, cash equivalents and restricted cash</w:t>
            </w: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(49,679)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72,808</w:t>
            </w: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 Net cash used in operating activities was $48.9 million for the nine months ended September 30, 2019, as compared to $27.7 million for the nine months ended September 30, 2018. The $21.2 million increase in net cash used in operations was primarily due to an increase of $28.7 million in net loss for the nine months ended September 30, 2019, which was primarily due to operational expenses related to the development of our lead product candidates, naxitamab and omburtamab, and the expansion of our other business activities. This increase was partially offset by an increase in our accounts payables and accruals adjustment of $1.4 million as a result of increased activity leading to higher balances, as well as an increase in non-cash expenses, including stock-based compensation to employees, which increased by $1.8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Net cash used in investing activities was $818,000 for the nine months ended September 30, 2019, as compared to $177,000 for the nine months ended September 30, 2018. The $641,000 increase in net cash used in investing activities was primarily caused by investment in laboratory equipment for our newly established laboratory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financing activities during the nine months ended September 30, 2019. Net cash provided</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by financing activities was $100.6 million during the nine months ended September 30, 2018, which related primarily to the completion of our IPO on September 25, 2018, in which we issued and sold 6,900,000 shares of our common stock at a public offering price of $16.00 per share, resulting in gross proceeds of approximately $110.4 million before deducting underwriters discounts, commissions and estimated offering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complete clinical development of our lead product candidates, naxitamab and omburtamab, and initiate our planned BLA submissions for both product candidates. In addition, we plan to 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we expect to incur additional costs associated with operating as a public company. Accordingly, we might need to obtain substantial additional funding in connection with our continuing operations. If we are unable to raise capital when needed or 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attractive terms, we would be forced to delay, reduce or eliminate our research and development programs and/or future commercialization efforts.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that our existing cash and cash equivalents as of September 30, 2019, together with the net proceeds from our shelf follow-on public offering in November 2019, will enable us to fund our operating expenses and capital expenditure requirements through the fourth quarter of 2022. 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The amount and timing of our future capital requirements will depend on many factors, including:</w:t>
      </w:r>
    </w:p>
    <w:p>
      <w:pPr>
        <w:spacing w:after="0" w:line="179" w:lineRule="exact"/>
        <w:rPr>
          <w:sz w:val="20"/>
          <w:szCs w:val="20"/>
          <w:color w:val="auto"/>
        </w:rPr>
      </w:pPr>
    </w:p>
    <w:p>
      <w:pPr>
        <w:ind w:left="980" w:right="520" w:hanging="329"/>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25" w:lineRule="exact"/>
        <w:rPr>
          <w:rFonts w:ascii="Arial" w:cs="Arial" w:eastAsia="Arial" w:hAnsi="Arial"/>
          <w:sz w:val="18"/>
          <w:szCs w:val="18"/>
          <w:color w:val="auto"/>
        </w:rPr>
      </w:pPr>
    </w:p>
    <w:p>
      <w:pPr>
        <w:ind w:left="980" w:right="80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70" w:lineRule="exact"/>
        <w:rPr>
          <w:rFonts w:ascii="Arial" w:cs="Arial" w:eastAsia="Arial" w:hAnsi="Arial"/>
          <w:sz w:val="18"/>
          <w:szCs w:val="18"/>
          <w:color w:val="auto"/>
        </w:rPr>
      </w:pPr>
    </w:p>
    <w:p>
      <w:pPr>
        <w:ind w:left="980" w:right="86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5" w:lineRule="exact"/>
        <w:rPr>
          <w:rFonts w:ascii="Arial" w:cs="Arial" w:eastAsia="Arial" w:hAnsi="Arial"/>
          <w:sz w:val="18"/>
          <w:szCs w:val="18"/>
          <w:color w:val="auto"/>
        </w:rPr>
      </w:pPr>
    </w:p>
    <w:p>
      <w:pPr>
        <w:ind w:left="980" w:right="220" w:hanging="329"/>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980" w:right="32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Priority Review Vouchers, or PRVs;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proceeds, if any, from future equity or debt financings;</w:t>
      </w:r>
    </w:p>
    <w:p>
      <w:pPr>
        <w:spacing w:after="0" w:line="225" w:lineRule="exact"/>
        <w:rPr>
          <w:rFonts w:ascii="Arial" w:cs="Arial" w:eastAsia="Arial" w:hAnsi="Arial"/>
          <w:sz w:val="18"/>
          <w:szCs w:val="18"/>
          <w:color w:val="auto"/>
        </w:rPr>
      </w:pPr>
    </w:p>
    <w:p>
      <w:pPr>
        <w:ind w:left="980" w:right="66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70"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right="120" w:firstLine="648"/>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the applicable regulations of the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summary of our minimum contractual obligations related to our material outstanding contractual commitments is included in Note 6 of our enclosed financial statements.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As further described below, under various licensing and related agreements with third parties, we have agreed to make milestone and royalty payments to third parties.</w:t>
      </w:r>
    </w:p>
    <w:p>
      <w:pPr>
        <w:spacing w:after="0" w:line="17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have not included certain contingent payment, such as milestones and royalties, for which the amount, timing and likelihood are not known. We have entered into two license agreements and certain other agreements with MSK. The license agreements are further described below as the MSK License and the MSK CD33 License. Under the MSK License and MSK CD33 License we are obligated to (i) make certain payments to MSK, which become due based upon the achievement of the related milestone activities or the passage of time in the event such milestone activities are not achieved, as well as certain sales 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Under the MSK License, we are also obligated to pay annual minimum royalties of $80,000 over the royalty term, starting in 2020.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Total expensed minimum royalty payments in 2016 under the MSK License were $1,200,000, upon determination that the payment of such minimum royalties was probable and the amount was estimable in 2016. We are also obligated to pay MSK certain clinical, regulatory and sales-based milestone payments under the MSK License and MSK CD33 License. Certain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clinical and regulatory milestone payments become due at the earlier of completion of the related milestone activity or the date indicated in the MSK License.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clinical, regulatory and sales-based milestones potentially due under the MSK License are $2,450,000,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$9,000,000 and $20,000,000, respectively. In addition, under the MSK CD33 License, we are obligated to make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$550,000, $500,000 and $7,500,000 for clinical, regulatory and sales-based milestone, respectively. We record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milestones in the period in which the contingent liability is probable and the amount is reasonably estimable.</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Research and development is inherently uncertain and, should such research and development fail, the MSK License and MSK CD33 License are cancelable at our option. We have also considered the development risk and each party’s termination rights under the two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License or MSK CD33 License. Our failure to meet certain conditions under such arrangements could cause the related license to such licensed product to be canceled and could result in termination of the entire respective arrangement with MSK. In addition, we may terminate the MSK License or MSK CD33 License with prior written notice to MSK. No milestones were expensed during the three or nine months ending September 30, 2019 or September 30, 2018.</w:t>
      </w:r>
    </w:p>
    <w:p>
      <w:pPr>
        <w:spacing w:after="0" w:line="18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June 27, 2018, we entered into a sublicense agreement, the MabVax Sublicense, with MabVax Therapeutics Holdings, Inc., or MabVax, pursuant to which MabVax granted us all of the exclusive rights granted to MabVax under its license agreement with MSK, or the MabVax-MSK License, for a bi-valent ganglioside-based vaccine intended to treat NB, or the GD2-GD3 Vaccine. MSK originally developed the GD2-GD3 Vaccine and licensed to MabVax as part of a portfolio of anti-cancer vaccines. Under the terms of the MabVax Sublicense, we paid MabVax an upfront payment of $700,000, and, as we decided to move forward with the development of the vaccine, we made an additional payment of $600,000 on the first anniversary of the Mabvax Sublicense. We will also be responsible for any potential downstream payment obligations to MSK related to the NB vaccine that were specified in the MabVax-MSK license agreement. This includes the obligation to pay development milestones totaling $1,400,000 and mid-single-digit royalty payments to MSK. In addition, if we obtain FDA approval for the NB vaccine, then we are obligated to file with the FDA for a PRV. If the PRV is granted and subsequently sold, MabVax will receive a percentage of the proceeds from the sale thereof. The Mabvax Sublicense will terminate upon the termination or expiration of the MabVax-MSK License.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exposed to market risk related to changes in interest rates. As of September 30, 2019 and December 31, 2018, we had cash and cash equivalents of $98.2 million and $147.8 million, respectively, maintained primarily with financial institutions in federally insured accounts.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primary exposure to market risk is foreign exchange rate sensitivity to the Danish Kroner (DKK), the currency used in the Kingdom of Denmark, where our wholly owned subsidiary, Y-mAbs Therapeutics A/S, is located. As of September 30, 2019, we had cash and cash equivalents denominated in DKK of $0.2 million, and an immediate 5% change in DKK exchange rate would not have any material effect on the fair market value of cash balances with the subsidiary.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the effectiveness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Securities Exchange Act of 1934, as amended, or the Exchange Act). Based on that evaluation, our Chief Executive Officer and Chief Financial Officer concluded that our disclosure controls and procedures were not effective at the reasonable assurance level as of September 30, 2019, due to material weaknesses in our internal control over financial reporting as described below.</w:t>
      </w:r>
    </w:p>
    <w:p>
      <w:pPr>
        <w:spacing w:after="0" w:line="203"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In designing and evaluating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or the Exchange Act), management recognizes that any controls and procedures, no matter how well designed and operated, can provide only reasonable assurance of achieving the desired control objectives.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648"/>
        <w:spacing w:after="0" w:line="221" w:lineRule="exact"/>
        <w:rPr>
          <w:sz w:val="20"/>
          <w:szCs w:val="20"/>
          <w:color w:val="auto"/>
        </w:rPr>
      </w:pPr>
      <w:r>
        <w:rPr>
          <w:rFonts w:ascii="Arial" w:cs="Arial" w:eastAsia="Arial" w:hAnsi="Arial"/>
          <w:sz w:val="18"/>
          <w:szCs w:val="18"/>
          <w:color w:val="auto"/>
        </w:rPr>
        <w:t>There was no change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during the quarter ended September 30, 2019 that has materially affected, or is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will be required, pursuant to Section 404(a) of the Sarbanes-Oxley Act, or Section 404, to furnish a report by management on, among other things, the effectiveness of our internal control over financial reporting in our annual report for the year ended December 31, 2019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6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in accordance with GAAP. Prior to our initial public offering, we were a private company and we are currently planning a process for reviewing, documenting and testing our internal control over financial reporting. Certain material weaknesses have been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8"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In connection with the audit of our financial statements for the years ended December 31, 2017 and 2018,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8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We have not previously been required to perform an annual assessment of the effectiveness of our internal control over financial reporting. This requirement will first apply to our second Annual Report on Form 10-K for the year ended December 31, 2019.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19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 The JOBS Act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so long as we are an emerging growth company and qualify as a smaller reporting company, we expect that:</w:t>
      </w:r>
    </w:p>
    <w:p>
      <w:pPr>
        <w:spacing w:after="0" w:line="248" w:lineRule="exact"/>
        <w:rPr>
          <w:sz w:val="20"/>
          <w:szCs w:val="20"/>
          <w:color w:val="auto"/>
        </w:rPr>
      </w:pPr>
    </w:p>
    <w:p>
      <w:pPr>
        <w:jc w:val="both"/>
        <w:ind w:left="980" w:right="180" w:hanging="329"/>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present only two years of audited financial statements, in addition to any required unaudited financial statements, with correspondingly reduced Management’s Discussion and Analysis of Financial Condition and Results of Operations disclosure as long as we continue to qualify as a smaller reporting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right="280" w:hanging="329"/>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181" w:lineRule="exact"/>
        <w:rPr>
          <w:rFonts w:ascii="Arial" w:cs="Arial" w:eastAsia="Arial" w:hAnsi="Arial"/>
          <w:sz w:val="18"/>
          <w:szCs w:val="18"/>
          <w:color w:val="auto"/>
        </w:rPr>
      </w:pPr>
    </w:p>
    <w:p>
      <w:pPr>
        <w:ind w:left="980" w:right="120" w:hanging="329"/>
        <w:spacing w:after="0" w:line="221"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w:t>
      </w:r>
    </w:p>
    <w:p>
      <w:pPr>
        <w:spacing w:after="0" w:line="201"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We will remain an emerging growth company for up to five years, although we will cease to be an “emerging growth company” upon the earliest of: (i) the last day of the fiscal year following the fifth anniversary of our initial public offering, (ii) the last day of the first fiscal year in which our annual gross revenues are $1.07 billion or more, which amount is periodically updated, (iii) the date on which we have, during the previous rolling three</w:t>
      </w:r>
      <w:r>
        <w:rPr>
          <w:rFonts w:ascii="MS PGothic" w:cs="MS PGothic" w:eastAsia="MS PGothic" w:hAnsi="MS PGothic"/>
          <w:sz w:val="18"/>
          <w:szCs w:val="18"/>
          <w:color w:val="auto"/>
        </w:rPr>
        <w:t>‑</w:t>
      </w:r>
      <w:r>
        <w:rPr>
          <w:rFonts w:ascii="Arial" w:cs="Arial" w:eastAsia="Arial" w:hAnsi="Arial"/>
          <w:sz w:val="18"/>
          <w:szCs w:val="18"/>
          <w:color w:val="auto"/>
        </w:rPr>
        <w:t>year period,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securities or (iv) the date on which we are deemed to be a “large accelerated filer” as defined in the Exchange Act.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Quarterly Report on Form 10-Q,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right="160" w:firstLine="648"/>
        <w:spacing w:after="0" w:line="340"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3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 clinical-stage biopharmaceutical company with a limited operating history. Since our inception in 2015, we have incurred significant losses each year. As of September 30, 2019, we had an accumulated deficit of $142.7 million. We have financed our operations principally through private placements and the initial public offering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that we will ever receive regulatory approval for any of our product candidates. Our ability to generate revenue and achieve profitability depends significantly on our success in many factors, including:</w:t>
      </w:r>
    </w:p>
    <w:p>
      <w:pPr>
        <w:spacing w:after="0" w:line="178"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170"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including establishing and maintaining commercially viable supply relationships with third parties or establishing our own manufacturing capabilities and infrastructure;</w:t>
      </w:r>
    </w:p>
    <w:p>
      <w:pPr>
        <w:spacing w:after="0" w:line="181"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addressing any competing products, product candidates, related technologies and/or market developments;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236" w:lineRule="exact"/>
        <w:rPr>
          <w:rFonts w:ascii="Arial" w:cs="Arial" w:eastAsia="Arial" w:hAnsi="Arial"/>
          <w:sz w:val="17"/>
          <w:szCs w:val="17"/>
          <w:color w:val="auto"/>
        </w:rPr>
      </w:pPr>
    </w:p>
    <w:p>
      <w:pPr>
        <w:ind w:left="980" w:right="38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the MSK License, we have committed to funding scientific research as well as conducting certain clinical trial activities at MSK through 2020. As licensed product candidates progress through clinical development and commercialization, certain milestone payments will come due, and we will owe MSK customary royalties on commercial sales of our approved products, if any, including, unless such royalties become due earlier, an annual fixed minimum royalty of $80,000 over the royalty term starting in 2020. These milestone payments become due upon achievement of the related clinical, regulatory or sales-based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Under the MSK CD33 License, we are obligated to make potential payments of $550,000, $500,000 and $7,500,000 for clinical, regulatory and sales-based milestones, respectively.</w:t>
      </w:r>
    </w:p>
    <w:p>
      <w:pPr>
        <w:spacing w:after="0" w:line="18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MCTA, under which we will provide drug product and funding for certain clinical trials at MSK under separate appendices to be executed. Additionally, we have entered into a Sponsored Research Agreement, or the SRA, with MSK pursuant to which we agreed to pay MSK to conduct certain research projects over a period of five years related to the intellectual property licensed under the MSK License. The SRA was amended on September 13, 2019, and will expire five years from the date of the amendment. We also entered into a Sponsored Research Agreement, or the CD33 SRA, in connection with the MSK CD33 License, pursuant to which we committed to provide aggregate research funding to MSK annually for a term of two years. We entered into a Manufacturing Agreement with MSK’s Radiochemistry and Molecular Imaging Probes Core Facility, or RMIP, pursuant to which RMIP will complete specified manufacturing activities related to </w:t>
      </w:r>
      <w:r>
        <w:rPr>
          <w:rFonts w:ascii="Arial" w:cs="Arial" w:eastAsia="Arial" w:hAnsi="Arial"/>
          <w:sz w:val="7"/>
          <w:szCs w:val="7"/>
          <w:color w:val="auto"/>
        </w:rPr>
        <w:t>131</w:t>
      </w:r>
      <w:r>
        <w:rPr>
          <w:rFonts w:ascii="Arial" w:cs="Arial" w:eastAsia="Arial" w:hAnsi="Arial"/>
          <w:sz w:val="16"/>
          <w:szCs w:val="16"/>
          <w:color w:val="auto"/>
        </w:rPr>
        <w:t>I-omburtamab in connection with our Phase 2 trials for Study 101. Additionally, we entered into a Sublicense Agreement, or the MabVax Sublicense, with MabVax Therapeutics Holdings, Inc., or MabVax, pursuant to which MabVax granted us all of the exclusive rights granted to MabVax under its license agreement with MSK, or the MabVax-MSK License, for a bi-valent ganglioside based vaccine intended to treat NB, or the GD2-GD3 Vaccine. In addition to the upfront payment of $700,000 that we have made under the terms of MabVax Sublicense we have also made an additional payment of $600,000 on the first anniversary of the MabVax Sublicense. We will also be responsible for any potential downstream payment obligations to MSK related to the NB vaccine that were specified in the MabVax-MSK License. This includes the obligation to pay development milestones totaling $1,400,000 and mid-single-digit royalty payments to MSK. 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39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we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September 30, 2019, we had $98.2 million in cash and cash equivalents. We believe that our cash and cash equivalents, together with the net proceeds from our follow-on shelf public offering completed in November 2019, will be sufficient to fund our operations and capital expenditures through the fourth quarter of 2022.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product candidates on terms unfavorable to us.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6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1"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0" w:lineRule="exact"/>
        <w:rPr>
          <w:rFonts w:ascii="Arial" w:cs="Arial" w:eastAsia="Arial" w:hAnsi="Arial"/>
          <w:sz w:val="18"/>
          <w:szCs w:val="18"/>
          <w:color w:val="auto"/>
        </w:rPr>
      </w:pPr>
    </w:p>
    <w:p>
      <w:pPr>
        <w:ind w:left="980" w:right="120" w:hanging="329"/>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1" w:lineRule="exact"/>
        <w:rPr>
          <w:sz w:val="20"/>
          <w:szCs w:val="20"/>
          <w:color w:val="auto"/>
        </w:rPr>
      </w:pPr>
    </w:p>
    <w:p>
      <w:pPr>
        <w:jc w:val="both"/>
        <w:ind w:right="560"/>
        <w:spacing w:after="0" w:line="381" w:lineRule="auto"/>
        <w:rPr>
          <w:sz w:val="20"/>
          <w:szCs w:val="20"/>
          <w:color w:val="auto"/>
        </w:rPr>
      </w:pPr>
      <w:r>
        <w:rPr>
          <w:rFonts w:ascii="Arial" w:cs="Arial" w:eastAsia="Arial" w:hAnsi="Arial"/>
          <w:sz w:val="15"/>
          <w:szCs w:val="15"/>
          <w:b w:val="1"/>
          <w:bCs w:val="1"/>
          <w:i w:val="1"/>
          <w:iCs w:val="1"/>
          <w:color w:val="auto"/>
        </w:rPr>
        <w:t>We may expand our resources to pursue a particular product candidate or indication and fail to capitalize on other product candidates or indications that may be more profitable or for which there is a greater likelihood of success.</w:t>
      </w:r>
    </w:p>
    <w:p>
      <w:pPr>
        <w:spacing w:after="0" w:line="10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public company, we are required, pursuant to Section 404 of the Sarbanes-Oxley Act, to furnish a report by our management on, among other things, the effectiveness of our internal control over financial reporting beginning with the annual report for our fiscal year 2019.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8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connection with the audit of our financial statements for the years ended December 31, 2017 and 2018,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 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6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have hired finance professionals in 2018 with the plan to help mitigate the identified material weaknesses and are evaluating the implementation of additional procedures to address these material weaknesses.</w:t>
      </w:r>
    </w:p>
    <w:p>
      <w:pPr>
        <w:spacing w:after="0" w:line="14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cannot assure you however that these or other measures will fully remediate the material weaknesses described above in a timely manner. We have commenced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 until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$700.0 million as of June 30 of any year before that time, we would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
        <w:spacing w:after="0" w:line="259" w:lineRule="auto"/>
        <w:rPr>
          <w:sz w:val="20"/>
          <w:szCs w:val="20"/>
          <w:color w:val="auto"/>
        </w:rPr>
      </w:pPr>
      <w:r>
        <w:rPr>
          <w:rFonts w:ascii="Arial" w:cs="Arial" w:eastAsia="Arial" w:hAnsi="Arial"/>
          <w:sz w:val="18"/>
          <w:szCs w:val="18"/>
          <w:color w:val="auto"/>
        </w:rPr>
        <w:t>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87" w:lineRule="exact"/>
        <w:rPr>
          <w:sz w:val="20"/>
          <w:szCs w:val="20"/>
          <w:color w:val="auto"/>
        </w:rPr>
      </w:pPr>
    </w:p>
    <w:p>
      <w:pPr>
        <w:ind w:right="139" w:firstLine="648"/>
        <w:spacing w:after="0" w:line="271" w:lineRule="auto"/>
        <w:rPr>
          <w:sz w:val="20"/>
          <w:szCs w:val="20"/>
          <w:color w:val="auto"/>
        </w:rPr>
      </w:pPr>
      <w:r>
        <w:rPr>
          <w:rFonts w:ascii="Arial" w:cs="Arial" w:eastAsia="Arial" w:hAnsi="Arial"/>
          <w:sz w:val="17"/>
          <w:szCs w:val="17"/>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Select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87" w:lineRule="exact"/>
        <w:rPr>
          <w:sz w:val="20"/>
          <w:szCs w:val="20"/>
          <w:color w:val="auto"/>
        </w:rPr>
      </w:pPr>
    </w:p>
    <w:p>
      <w:pPr>
        <w:ind w:right="79" w:firstLine="648"/>
        <w:spacing w:after="0" w:line="289"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67" w:lineRule="exact"/>
        <w:rPr>
          <w:sz w:val="20"/>
          <w:szCs w:val="20"/>
          <w:color w:val="auto"/>
        </w:rPr>
      </w:pPr>
    </w:p>
    <w:p>
      <w:pPr>
        <w:ind w:right="559" w:firstLine="648"/>
        <w:spacing w:after="0" w:line="277" w:lineRule="auto"/>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170" w:lineRule="exact"/>
        <w:rPr>
          <w:sz w:val="20"/>
          <w:szCs w:val="20"/>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980" w:right="199"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980" w:right="459"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36" w:lineRule="exact"/>
        <w:rPr>
          <w:rFonts w:ascii="Arial" w:cs="Arial" w:eastAsia="Arial" w:hAnsi="Arial"/>
          <w:sz w:val="17"/>
          <w:szCs w:val="17"/>
          <w:color w:val="auto"/>
        </w:rPr>
      </w:pPr>
    </w:p>
    <w:p>
      <w:pPr>
        <w:ind w:left="980" w:right="859"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980" w:right="46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980" w:right="5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third-party payors; and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5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8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cannot guarantee that any clinical studies will be conducted as planned or completed on schedule, if at all. In addition, we cannot be sure that we will be able to submit Investigation New Drug Applications (“IND”)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and it may indicate that the market opportunity for our product candidates is smaller than we expect.</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and broader indications, including use of our product candidates for front-line and second-line therapy.</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1"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980" w:right="26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980" w:right="360" w:hanging="329"/>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67" w:lineRule="exact"/>
        <w:rPr>
          <w:sz w:val="20"/>
          <w:szCs w:val="20"/>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980" w:right="7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narrow the indications for use or require additional warnings on the label, such as a “black box” warning or a contraindication, or impose distribution or use restrictions;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60" w:hanging="329"/>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65" w:lineRule="exact"/>
        <w:rPr>
          <w:rFonts w:ascii="Arial" w:cs="Arial" w:eastAsia="Arial" w:hAnsi="Arial"/>
          <w:sz w:val="17"/>
          <w:szCs w:val="17"/>
          <w:color w:val="auto"/>
        </w:rPr>
      </w:pPr>
    </w:p>
    <w:p>
      <w:pPr>
        <w:ind w:left="980" w:right="56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5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do not know whether any clinical trials we may conduct will demonstrate consistent or adequate efficacy and safety sufficient to obtain marketing approval to market our product candidates. We have multiple clinical trials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 dependent cytotoxicity, respectively. We submitted a response to the FDA in March 2018, and met with the FDA in April 2018. Subsequently, we submitted a complete response to the partial clinical hold to the FDA in May 2018 and the partial clinical hold was removed in June 2018. One or more clinical trials of our lead product candidates may be subject to additional clinical holds in the future, which may ultimately delay or otherwise adversely affect the clinical development of our lead product candidates.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trials or other pivotal trials. The FDA or non U.S. regulatory authorities may disagree with our trial design and our interpretation of data from pre-clinical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cash and cash equivalents and are prone to the risks of failure inherent in medical product development. Investment in biopharmaceutical product development involves significant risk that any potential product candidate will fail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8"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25" w:lineRule="exact"/>
        <w:rPr>
          <w:rFonts w:ascii="Arial" w:cs="Arial" w:eastAsia="Arial" w:hAnsi="Arial"/>
          <w:sz w:val="18"/>
          <w:szCs w:val="18"/>
          <w:color w:val="auto"/>
        </w:rPr>
      </w:pPr>
    </w:p>
    <w:p>
      <w:pPr>
        <w:ind w:left="980" w:right="360" w:hanging="329"/>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product candidates we develop may nevertheless be covered by third parties’ patents or other exclusive rights;</w:t>
      </w:r>
    </w:p>
    <w:p>
      <w:pPr>
        <w:spacing w:after="0" w:line="248" w:lineRule="exact"/>
        <w:rPr>
          <w:rFonts w:ascii="Arial" w:cs="Arial" w:eastAsia="Arial" w:hAnsi="Arial"/>
          <w:sz w:val="16"/>
          <w:szCs w:val="16"/>
          <w:color w:val="auto"/>
        </w:rPr>
      </w:pPr>
    </w:p>
    <w:p>
      <w:pPr>
        <w:ind w:left="980" w:right="18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European Medicines Agency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6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78"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25"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the product is designated under physician treatment guidelines as a first-, second- or third-line therapy;</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or the ability of any potential future collaborators, to offer the product for sale at competitive prices;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currently have only a limited marketing and sales organization and have only limited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only have a limited sales or marketing infrastructure and have only limited experience in the sale or marketing of pharmaceutical drugs. We are not currently a party to a strategic collaboration that provides us with access to a collaborator’s resources in selling or marketing drugs. To achieve commercial success for any approved drug we must either develop a sales and marketing organization or outsource these functions to strategic collaborators and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18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jc w:val="center"/>
        <w:ind w:left="4440" w:right="1240" w:hanging="3789"/>
        <w:spacing w:after="0" w:line="778" w:lineRule="auto"/>
        <w:tabs>
          <w:tab w:leader="none" w:pos="9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70" w:lineRule="exact"/>
        <w:rPr>
          <w:rFonts w:ascii="Arial" w:cs="Arial" w:eastAsia="Arial" w:hAnsi="Arial"/>
          <w:sz w:val="18"/>
          <w:szCs w:val="18"/>
          <w:color w:val="auto"/>
        </w:rPr>
      </w:pPr>
    </w:p>
    <w:p>
      <w:pPr>
        <w:ind w:left="980" w:right="82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obtain sufficient coverage and reimbursement from third-party payors and governmental agencies.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further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internationally could materially adversely affect our business.</w:t>
      </w:r>
    </w:p>
    <w:p>
      <w:pPr>
        <w:spacing w:after="0" w:line="26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81"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980" w:right="34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81" w:lineRule="exact"/>
        <w:rPr>
          <w:rFonts w:ascii="Arial" w:cs="Arial" w:eastAsia="Arial" w:hAnsi="Arial"/>
          <w:sz w:val="18"/>
          <w:szCs w:val="18"/>
          <w:color w:val="auto"/>
        </w:rPr>
      </w:pPr>
    </w:p>
    <w:p>
      <w:pPr>
        <w:ind w:left="980" w:right="180" w:hanging="329"/>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Specifically, MacroGenics, Inc. and Daiichi Sankyo Co. are developing antibodies against B7-H3. United Therapeutics Corporation has commercialized Unituxin (dinutuximab), an antibody against GD2, in the United States. United Therapeutics Corporation has also announced that it is developing a humanized GD2 antibody. In addition, naxitamab may face competition from dinutuximab beta, a similar antibody product against GD2 developed by Apeiron Biologics AG, or Apeiron, that was approved in Europe in May 2017 to treat high-risk NB and R/R NB. Apeiron has previously announced that it has plans to file for registration of dinutuximab beta in the U.S. in the first quarter of 2019. In October 2016, EUSA Pharma (UK) Ltd., or EUSA, announced that it had acquired global commercialization rights to dinutuximab beta, which is currently being commercialized under the name Qarziba® in Europe.</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6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currently have in place several agreements with MSK that are important and we may form or seek strategic alliances, create joint ventures or collaborations, or enter into additional licensing arrangements with third parties that we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24" w:lineRule="exact"/>
        <w:rPr>
          <w:sz w:val="20"/>
          <w:szCs w:val="20"/>
          <w:color w:val="auto"/>
        </w:rPr>
      </w:pPr>
    </w:p>
    <w:p>
      <w:pPr>
        <w:ind w:left="980" w:right="4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170" w:lineRule="exact"/>
        <w:rPr>
          <w:rFonts w:ascii="Arial" w:cs="Arial" w:eastAsia="Arial" w:hAnsi="Arial"/>
          <w:sz w:val="18"/>
          <w:szCs w:val="18"/>
          <w:color w:val="auto"/>
        </w:rPr>
      </w:pPr>
    </w:p>
    <w:p>
      <w:pPr>
        <w:ind w:left="980" w:hanging="329"/>
        <w:spacing w:after="0" w:line="25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8" w:lineRule="exact"/>
        <w:rPr>
          <w:rFonts w:ascii="Arial" w:cs="Arial" w:eastAsia="Arial" w:hAnsi="Arial"/>
          <w:sz w:val="18"/>
          <w:szCs w:val="18"/>
          <w:color w:val="auto"/>
        </w:rPr>
      </w:pPr>
    </w:p>
    <w:p>
      <w:pPr>
        <w:jc w:val="both"/>
        <w:ind w:left="980" w:right="60" w:hanging="329"/>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480" w:hanging="329"/>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such third parties or any potential future collaborators could independently develop, or develop with third parties, products that compete directly or indirectly with our products or product candidates;</w:t>
      </w:r>
    </w:p>
    <w:p>
      <w:pPr>
        <w:spacing w:after="0" w:line="146" w:lineRule="exact"/>
        <w:rPr>
          <w:rFonts w:ascii="Arial" w:cs="Arial" w:eastAsia="Arial" w:hAnsi="Arial"/>
          <w:sz w:val="17"/>
          <w:szCs w:val="17"/>
          <w:color w:val="auto"/>
        </w:rPr>
      </w:pPr>
    </w:p>
    <w:p>
      <w:pPr>
        <w:ind w:left="980" w:right="60" w:hanging="329"/>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86"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6" w:lineRule="exact"/>
        <w:rPr>
          <w:rFonts w:ascii="Arial" w:cs="Arial" w:eastAsia="Arial" w:hAnsi="Arial"/>
          <w:sz w:val="18"/>
          <w:szCs w:val="18"/>
          <w:color w:val="auto"/>
        </w:rPr>
      </w:pPr>
    </w:p>
    <w:p>
      <w:pPr>
        <w:ind w:left="980" w:right="20" w:hanging="329"/>
        <w:spacing w:after="0" w:line="28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165" w:lineRule="exact"/>
        <w:rPr>
          <w:rFonts w:ascii="Arial" w:cs="Arial" w:eastAsia="Arial" w:hAnsi="Arial"/>
          <w:sz w:val="17"/>
          <w:szCs w:val="17"/>
          <w:color w:val="auto"/>
        </w:rPr>
      </w:pPr>
    </w:p>
    <w:p>
      <w:pPr>
        <w:ind w:left="980" w:right="44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160" w:hanging="329"/>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1"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CMOs, other contractors or consultants, may fail or suffer security breaches.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CROs, CMOs, other contractors and consultants are vulnerable to damage from computer viruses, cyber-attack,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confidential or proprietary information, we could incur liability and the further development and commercialization of our product candidates could be delayed.</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7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w:t>
      </w:r>
    </w:p>
    <w:p>
      <w:pPr>
        <w:ind w:right="20"/>
        <w:spacing w:after="0" w:line="252" w:lineRule="auto"/>
        <w:rPr>
          <w:sz w:val="20"/>
          <w:szCs w:val="20"/>
          <w:color w:val="auto"/>
        </w:rPr>
      </w:pPr>
      <w:r>
        <w:rPr>
          <w:rFonts w:ascii="Arial" w:cs="Arial" w:eastAsia="Arial" w:hAnsi="Arial"/>
          <w:sz w:val="18"/>
          <w:szCs w:val="18"/>
          <w:color w:val="auto"/>
        </w:rPr>
        <w:t>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4"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collaborators. We currently carry $5.0 million of clinical trial insurance and expect to take out additional product liability insurance upon marketing approval of any of our product candidates. The amount of current clinical trial and future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Third parties have sponsored most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 before we may begin our planned trials and/or may not accept such additional data as adequate to begin our planned trials.</w:t>
      </w:r>
    </w:p>
    <w:p>
      <w:pPr>
        <w:spacing w:after="0" w:line="183"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9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 or fail to maintain adequate compliance with CMC guidelines of the FDA.</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of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8" w:lineRule="exact"/>
        <w:rPr>
          <w:sz w:val="20"/>
          <w:szCs w:val="20"/>
          <w:color w:val="auto"/>
        </w:rPr>
      </w:pPr>
    </w:p>
    <w:p>
      <w:pPr>
        <w:ind w:left="980" w:right="20" w:hanging="329"/>
        <w:spacing w:after="0" w:line="25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8"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70" w:lineRule="exact"/>
        <w:rPr>
          <w:rFonts w:ascii="Arial" w:cs="Arial" w:eastAsia="Arial" w:hAnsi="Arial"/>
          <w:sz w:val="18"/>
          <w:szCs w:val="18"/>
          <w:color w:val="auto"/>
        </w:rPr>
      </w:pPr>
    </w:p>
    <w:p>
      <w:pPr>
        <w:ind w:left="980" w:right="320" w:hanging="329"/>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980" w:right="100" w:hanging="329"/>
        <w:spacing w:after="0" w:line="30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54" w:lineRule="exact"/>
        <w:rPr>
          <w:rFonts w:ascii="Arial" w:cs="Arial" w:eastAsia="Arial" w:hAnsi="Arial"/>
          <w:sz w:val="16"/>
          <w:szCs w:val="16"/>
          <w:color w:val="auto"/>
        </w:rPr>
      </w:pPr>
    </w:p>
    <w:p>
      <w:pPr>
        <w:ind w:left="980" w:right="400" w:hanging="329"/>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70"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980" w:right="3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could breach, terminate or not renew their agreement with us at a time that is costly or inconvenient for us;</w:t>
      </w:r>
    </w:p>
    <w:p>
      <w:pPr>
        <w:spacing w:after="0" w:line="170" w:lineRule="exact"/>
        <w:rPr>
          <w:rFonts w:ascii="Arial" w:cs="Arial" w:eastAsia="Arial" w:hAnsi="Arial"/>
          <w:sz w:val="18"/>
          <w:szCs w:val="18"/>
          <w:color w:val="auto"/>
        </w:rPr>
      </w:pPr>
    </w:p>
    <w:p>
      <w:pPr>
        <w:ind w:left="980" w:right="200" w:hanging="329"/>
        <w:spacing w:after="0" w:line="31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46" w:lineRule="exact"/>
        <w:rPr>
          <w:rFonts w:ascii="Arial" w:cs="Arial" w:eastAsia="Arial" w:hAnsi="Arial"/>
          <w:sz w:val="16"/>
          <w:szCs w:val="16"/>
          <w:color w:val="auto"/>
        </w:rPr>
      </w:pPr>
    </w:p>
    <w:p>
      <w:pPr>
        <w:ind w:left="980" w:right="12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36" w:lineRule="exact"/>
        <w:rPr>
          <w:rFonts w:ascii="Arial" w:cs="Arial" w:eastAsia="Arial" w:hAnsi="Arial"/>
          <w:sz w:val="17"/>
          <w:szCs w:val="17"/>
          <w:color w:val="auto"/>
        </w:rPr>
      </w:pPr>
    </w:p>
    <w:p>
      <w:pPr>
        <w:ind w:left="980" w:right="140" w:hanging="329"/>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86"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 and may have inadequate quality control systems.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Each of these risks could delay or prevent the completion of our clinical trials, could delay any BLA submissions or the approval of any of our product candidates by the FDA, result in higher costs or adversely impact commercialization of our product candidates. For example, during 2018 we experienced a shortage in the supply of Iodine-131, one of the components of our </w:t>
      </w:r>
      <w:r>
        <w:rPr>
          <w:rFonts w:ascii="Arial" w:cs="Arial" w:eastAsia="Arial" w:hAnsi="Arial"/>
          <w:sz w:val="8"/>
          <w:szCs w:val="8"/>
          <w:color w:val="auto"/>
        </w:rPr>
        <w:t>131</w:t>
      </w:r>
      <w:r>
        <w:rPr>
          <w:rFonts w:ascii="Arial" w:cs="Arial" w:eastAsia="Arial" w:hAnsi="Arial"/>
          <w:sz w:val="17"/>
          <w:szCs w:val="17"/>
          <w:color w:val="auto"/>
        </w:rPr>
        <w:t xml:space="preserve">I-omburtamab product candidate, from our single source supplier. We have established a relationship with an additional supplier which we believe will be able to provide us with adequate supplies of Iodine-131. While we have not yet experienced any delays in the research and development of our </w:t>
      </w:r>
      <w:r>
        <w:rPr>
          <w:rFonts w:ascii="Arial" w:cs="Arial" w:eastAsia="Arial" w:hAnsi="Arial"/>
          <w:sz w:val="8"/>
          <w:szCs w:val="8"/>
          <w:color w:val="auto"/>
        </w:rPr>
        <w:t>131</w:t>
      </w:r>
      <w:r>
        <w:rPr>
          <w:rFonts w:ascii="Arial" w:cs="Arial" w:eastAsia="Arial" w:hAnsi="Arial"/>
          <w:sz w:val="17"/>
          <w:szCs w:val="17"/>
          <w:color w:val="auto"/>
        </w:rPr>
        <w:t>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after we submit our Biologics License Application, or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8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manufacturers. Although we believe that there may be potential alternative manufacturers who could manufacture our product candidates, we may incur added costs and delays in identifying and qualifying any such replacement.</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5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We currently have limited internal research and development capabilities and we have not and are not currently conducting any independent clinical trials. Therefore, we currently rely on third-party research institutions for both capabilities.</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Diffuse Intrinsic Pontine Glioma (“DIPG”) and Desmoplastic Small Round Cell Tumors, (“DSRCT”) for our omburtamab product candidate. Under the terms of the MSK License, we are obligated to pay for the costs associated with these clinical trials.</w:t>
      </w:r>
    </w:p>
    <w:p>
      <w:pPr>
        <w:spacing w:after="0" w:line="18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Although we currently plan to retain all commercial rights to our product candidates, we may enter into strategic collaborations for the development, marketing and commercialization of all or some of our product candidates. If those collaborations are not successful, or if we are unable to establish any such collaborations, we may have to alter or delay our development and commercialization plans.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25" w:lineRule="exact"/>
        <w:rPr>
          <w:sz w:val="20"/>
          <w:szCs w:val="20"/>
          <w:color w:val="auto"/>
        </w:rPr>
      </w:pPr>
    </w:p>
    <w:p>
      <w:pPr>
        <w:ind w:left="980" w:right="26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980" w:right="240" w:hanging="329"/>
        <w:spacing w:after="0" w:line="279"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rFonts w:ascii="Arial" w:cs="Arial" w:eastAsia="Arial" w:hAnsi="Arial"/>
          <w:sz w:val="17"/>
          <w:szCs w:val="17"/>
          <w:color w:val="auto"/>
        </w:rPr>
      </w:pPr>
    </w:p>
    <w:p>
      <w:pPr>
        <w:ind w:left="980" w:right="24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64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70" w:lineRule="exact"/>
        <w:rPr>
          <w:rFonts w:ascii="Arial" w:cs="Arial" w:eastAsia="Arial" w:hAnsi="Arial"/>
          <w:sz w:val="18"/>
          <w:szCs w:val="18"/>
          <w:color w:val="auto"/>
        </w:rPr>
      </w:pPr>
    </w:p>
    <w:p>
      <w:pPr>
        <w:ind w:left="980" w:right="60" w:hanging="329"/>
        <w:spacing w:after="0" w:line="30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54" w:lineRule="exact"/>
        <w:rPr>
          <w:rFonts w:ascii="Arial" w:cs="Arial" w:eastAsia="Arial" w:hAnsi="Arial"/>
          <w:sz w:val="16"/>
          <w:szCs w:val="16"/>
          <w:color w:val="auto"/>
        </w:rPr>
      </w:pPr>
    </w:p>
    <w:p>
      <w:pPr>
        <w:ind w:left="980" w:right="14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1"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70" w:lineRule="exact"/>
        <w:rPr>
          <w:rFonts w:ascii="Arial" w:cs="Arial" w:eastAsia="Arial" w:hAnsi="Arial"/>
          <w:sz w:val="18"/>
          <w:szCs w:val="18"/>
          <w:color w:val="auto"/>
        </w:rPr>
      </w:pPr>
    </w:p>
    <w:p>
      <w:pPr>
        <w:ind w:left="980" w:right="3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980" w:right="40" w:hanging="329"/>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marketing and/or commercialization of the applicable product candidates;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2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980" w:right="80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5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2020.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70" w:lineRule="auto"/>
        <w:rPr>
          <w:sz w:val="20"/>
          <w:szCs w:val="20"/>
          <w:color w:val="auto"/>
        </w:rPr>
      </w:pPr>
      <w:r>
        <w:rPr>
          <w:rFonts w:ascii="Arial" w:cs="Arial" w:eastAsia="Arial" w:hAnsi="Arial"/>
          <w:sz w:val="17"/>
          <w:szCs w:val="17"/>
          <w:color w:val="auto"/>
        </w:rPr>
        <w:t>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neuroblastoma, or NB, but the FDA may not agree. The FDA may ultimately require one or multiple Phase 3 clinical trials prior to approval.</w:t>
      </w:r>
    </w:p>
    <w:p>
      <w:pPr>
        <w:spacing w:after="0" w:line="178" w:lineRule="exact"/>
        <w:rPr>
          <w:sz w:val="20"/>
          <w:szCs w:val="20"/>
          <w:color w:val="auto"/>
        </w:rPr>
      </w:pPr>
    </w:p>
    <w:p>
      <w:pPr>
        <w:ind w:right="99" w:firstLine="648"/>
        <w:spacing w:after="0" w:line="288"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69" w:lineRule="exact"/>
        <w:rPr>
          <w:sz w:val="20"/>
          <w:szCs w:val="20"/>
          <w:color w:val="auto"/>
        </w:rPr>
      </w:pPr>
    </w:p>
    <w:p>
      <w:pPr>
        <w:ind w:right="19" w:firstLine="648"/>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67" w:lineRule="exact"/>
        <w:rPr>
          <w:sz w:val="20"/>
          <w:szCs w:val="20"/>
          <w:color w:val="auto"/>
        </w:rPr>
      </w:pPr>
    </w:p>
    <w:p>
      <w:pPr>
        <w:ind w:right="97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980" w:right="139" w:hanging="329"/>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2" w:lineRule="exact"/>
        <w:rPr>
          <w:sz w:val="20"/>
          <w:szCs w:val="20"/>
          <w:color w:val="auto"/>
        </w:rPr>
      </w:pPr>
    </w:p>
    <w:p>
      <w:pPr>
        <w:ind w:right="7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25" w:lineRule="exact"/>
        <w:rPr>
          <w:sz w:val="20"/>
          <w:szCs w:val="20"/>
          <w:color w:val="auto"/>
        </w:rPr>
      </w:pPr>
    </w:p>
    <w:p>
      <w:pPr>
        <w:ind w:left="980" w:right="21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23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980" w:right="1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248" w:lineRule="exact"/>
        <w:rPr>
          <w:rFonts w:ascii="Arial" w:cs="Arial" w:eastAsia="Arial" w:hAnsi="Arial"/>
          <w:sz w:val="16"/>
          <w:szCs w:val="16"/>
          <w:color w:val="auto"/>
        </w:rPr>
      </w:pPr>
    </w:p>
    <w:p>
      <w:pPr>
        <w:ind w:left="980" w:right="27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980" w:right="99" w:hanging="329"/>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marketing approval in the United States or elsewhere;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80" w:hanging="329"/>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980" w:right="100" w:hanging="329"/>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980" w:right="140" w:hanging="329"/>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FDA may refuse to accept an accelerated approval pathway for naxitamab and omburtamab and may refuse rolling review of our BLAs which could have a material adverse impact on our development and approval process for these product candidates and our other product candidates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not previously submitted a BLA to the FDA or comparable foreign authorities for any of our product candidates.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July 2019, we announced that in a pre-BLA meeting we reached alignment with the FDA on an accelerated approval pathway for naxitamab and our intention to begin submission of a rolling BLA in November 2019. The FDA agreed that we could submit, and the FDA would review, individual portions of our naxitamab BLA submission on a rolling basis, rather than waiting for all portions of the BLA to be completed before submission. We believe that this rolling BLA submission process will provide us with the opportunity for ongoing communications with and feedback from the FDA. During this rolling submission process, however, the FDA may raise issues and pose questions to us that may delay the completion of the BLA submission and thereby potentially also delay the approval process and delay the acceptance of the complete BLA for filing and the ultimate issuance of any Marketing Authorization. We may not be able to provide a satisfactory or a timely response to FDA questions or we may not be able to timely gather the required data to prepare the BLA submissions as we planned. If we are unable to address all questions or concerns the FDA may raise or if we do not have timely access to the data required for the preparations of the BLA, we may not be able to timely file the BLA and ultimately receive a Marketing Authorization for naxitamab. In addition, irrespective of the alignment we reached with the FDA in our pre-BLA meeting, the FDA retains discretion to decide not to review the portions of our BLA for naxitamab we have already submitted until the submission is deemed to be complete and no assurance can be given that we would be able to satisfactorily or timely answer or resolve all the questions and issues the FDA may pose.</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not yet had a pre-BLA meeting with the FDA for omburtamab. On October 31, 2019, the FDA informed us that upon its review of our omburtamab pre-BLA meeting submission, our pre-BLA meeting, which was originally scheduled for November 2019, had been converted to a general guidance meeting. Our rolling BLA submission for omburtamab will likely not begin until after a new pre-BLA meeting has taken place. Our pre-BLA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meeting could still take place in 2019, or may be rescheduled for the first quarter of 2020. We have not yet reached alignment with the FDA on an accelerated approval pathway for omburtamab or a rolling BLA process. The FDA may not support an accelerated approval pathway or accept a rolling BLA submission for omburtamab. If we do not reach alignment with the FDA on an accelerated approval pathway for omburtamab or a rolling BLA process or if we do not succeed in compiling the information required for the submission of a rolling BLA in a timely manner, we may not be able to meet our goal of completing our omburtamab BLA submission by the end of the first quarter of 2020, which would delay the ultimate receipt of the potential Marketing Authorization.</w:t>
      </w:r>
    </w:p>
    <w:p>
      <w:pPr>
        <w:spacing w:after="0" w:line="18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Should the FDA refuse to accept an accelerated approval pathway for naxitamab or omburtamab or refuse rolling review of our BLAs for either product candidate, this may result in a delay in obtaining required Marketing Authorizations, which could materially adversely affect our ability to generate revenue from commercialization of the particular product candidate, which would likely result in significant harm to our financial position and adversely impact our stock price. This could also adversely affect the development and approval process for our other product candidates.</w:t>
      </w:r>
    </w:p>
    <w:p>
      <w:pPr>
        <w:spacing w:after="0" w:line="15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The European Medicines Agency, or the EMA, or comparable foreign regulatory authorities, may disagree with our regulatory plans, including our plans to seek conditional marketing authorization,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9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1"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25" w:lineRule="exact"/>
        <w:rPr>
          <w:rFonts w:ascii="Arial" w:cs="Arial" w:eastAsia="Arial" w:hAnsi="Arial"/>
          <w:sz w:val="18"/>
          <w:szCs w:val="18"/>
          <w:color w:val="auto"/>
        </w:rPr>
      </w:pPr>
    </w:p>
    <w:p>
      <w:pPr>
        <w:ind w:left="980" w:right="40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66"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73" w:lineRule="exact"/>
        <w:rPr>
          <w:sz w:val="20"/>
          <w:szCs w:val="20"/>
          <w:color w:val="auto"/>
        </w:rPr>
      </w:pPr>
    </w:p>
    <w:p>
      <w:pPr>
        <w:ind w:left="980" w:right="2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70"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980" w:right="240" w:hanging="329"/>
        <w:spacing w:after="0" w:line="31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46" w:lineRule="exact"/>
        <w:rPr>
          <w:rFonts w:ascii="Arial" w:cs="Arial" w:eastAsia="Arial" w:hAnsi="Arial"/>
          <w:sz w:val="16"/>
          <w:szCs w:val="16"/>
          <w:color w:val="auto"/>
        </w:rPr>
      </w:pPr>
    </w:p>
    <w:p>
      <w:pPr>
        <w:ind w:left="980" w:hanging="329"/>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81"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intention to withdraw pursuant to Article 50 of the Lisbon Treaty. To date, no formal withdrawal agreement has been reached between the United Kingdom and the European Union, despite the passage of the date on which it was expected that the United Kingdom’s membership in the European Union would terminate. Since a significant proportion of the regulatory framework in the United Kingdom is derived from European Union directives and regulations, Brexit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 In addition, in the event of Brexit, European and worldwide economic or market conditions will be affected, which could lead to instability in global financial markets.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may seek Break-through Designation, or BTD, for one or more of our other product candidates. We may not receive such designation, and even if we do, such designation may not lead to a faster development or regulatory review or approval process.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8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9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In June 2017, </w:t>
      </w:r>
      <w:r>
        <w:rPr>
          <w:rFonts w:ascii="Arial" w:cs="Arial" w:eastAsia="Arial" w:hAnsi="Arial"/>
          <w:sz w:val="7"/>
          <w:szCs w:val="7"/>
          <w:color w:val="auto"/>
        </w:rPr>
        <w:t>131</w:t>
      </w:r>
      <w:r>
        <w:rPr>
          <w:rFonts w:ascii="Arial" w:cs="Arial" w:eastAsia="Arial" w:hAnsi="Arial"/>
          <w:sz w:val="16"/>
          <w:szCs w:val="16"/>
          <w:color w:val="auto"/>
        </w:rPr>
        <w:t>I-omburtamab received BTD for the treatment of pediatric patients with R/R NB who have CNS/LM from NB. In addition, on August 20, 2018, naxitamab received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w:t>
      </w:r>
    </w:p>
    <w:p>
      <w:pPr>
        <w:spacing w:after="0" w:line="154"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may seek BTD for some or all of our other product candidates, but we may never receive such BTD, or, if received, the development of our product candidates may not be expedited or benefited by such designation.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6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Our product candidates may not be able to obtain Orphan Drug Designation or Rare Pediatric Disease Designation (RPDD) or obtain or maintain orphan drug exclusivity. We will not be eligible to receive PRVs in the event that our product candidates are not approved before October 1, 2022.</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Orphan Drug Designation, or ODD, to omburtamab for the treatment of NB. In February 2017, the EMA granted orphan medicinal product designation (also referred to herein as “ODD”) to omburtamab for the treatment of NB. In November 2018, the EMA granted ODD for naxitamab for the treatment of NB.</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the MSK License provide that MSK is entitled to receive 40-50% of any income generated from the sale of first such PRV, and 33% of any income generated from the sale of any subsequent PRV or the sale of other comparable incentives provided by any non-U.S. jurisdiction. Additionally, the terms of the MSK CD33 License provide that MSK is entitled to receive 25% of any income generated from the sale of any PRV or the sale of other comparable incentives provided by any non-U.S. jurisdiction.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79"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3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6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6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1"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We also cannot predict the likelihood, nature or extent of government regulation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2"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1" w:lineRule="exact"/>
        <w:rPr>
          <w:sz w:val="20"/>
          <w:szCs w:val="20"/>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 In March 2010, then-President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167" w:lineRule="exact"/>
        <w:rPr>
          <w:sz w:val="20"/>
          <w:szCs w:val="20"/>
          <w:color w:val="auto"/>
        </w:rPr>
      </w:pPr>
    </w:p>
    <w:p>
      <w:pPr>
        <w:ind w:left="980" w:right="160" w:hanging="329"/>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70" w:lineRule="exact"/>
        <w:rPr>
          <w:rFonts w:ascii="Arial" w:cs="Arial" w:eastAsia="Arial" w:hAnsi="Arial"/>
          <w:sz w:val="18"/>
          <w:szCs w:val="18"/>
          <w:color w:val="auto"/>
        </w:rPr>
      </w:pPr>
    </w:p>
    <w:p>
      <w:pPr>
        <w:ind w:left="980" w:right="420" w:hanging="329"/>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81" w:lineRule="exact"/>
        <w:rPr>
          <w:rFonts w:ascii="Arial" w:cs="Arial" w:eastAsia="Arial" w:hAnsi="Arial"/>
          <w:sz w:val="18"/>
          <w:szCs w:val="18"/>
          <w:color w:val="auto"/>
        </w:rPr>
      </w:pPr>
    </w:p>
    <w:p>
      <w:pPr>
        <w:ind w:left="980" w:right="200" w:hanging="329"/>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146" w:lineRule="exact"/>
        <w:rPr>
          <w:rFonts w:ascii="Arial" w:cs="Arial" w:eastAsia="Arial" w:hAnsi="Arial"/>
          <w:sz w:val="17"/>
          <w:szCs w:val="17"/>
          <w:color w:val="auto"/>
        </w:rPr>
      </w:pPr>
    </w:p>
    <w:p>
      <w:pPr>
        <w:ind w:left="980" w:right="120" w:hanging="329"/>
        <w:spacing w:after="0" w:line="25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 point-of-sale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6"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w:t>
      </w:r>
    </w:p>
    <w:p>
      <w:pPr>
        <w:spacing w:after="0" w:line="248" w:lineRule="exact"/>
        <w:rPr>
          <w:rFonts w:ascii="Arial" w:cs="Arial" w:eastAsia="Arial" w:hAnsi="Arial"/>
          <w:sz w:val="16"/>
          <w:szCs w:val="16"/>
          <w:color w:val="auto"/>
        </w:rPr>
      </w:pPr>
    </w:p>
    <w:p>
      <w:pPr>
        <w:ind w:left="980" w:right="59" w:hanging="329"/>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70" w:lineRule="exact"/>
        <w:rPr>
          <w:rFonts w:ascii="Arial" w:cs="Arial" w:eastAsia="Arial" w:hAnsi="Arial"/>
          <w:sz w:val="18"/>
          <w:szCs w:val="18"/>
          <w:color w:val="auto"/>
        </w:rPr>
      </w:pPr>
    </w:p>
    <w:p>
      <w:pPr>
        <w:ind w:left="980" w:right="19" w:hanging="329"/>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1" w:lineRule="exact"/>
        <w:rPr>
          <w:sz w:val="20"/>
          <w:szCs w:val="20"/>
          <w:color w:val="auto"/>
        </w:rPr>
      </w:pPr>
    </w:p>
    <w:p>
      <w:pPr>
        <w:ind w:right="179" w:firstLine="64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65" w:lineRule="exact"/>
        <w:rPr>
          <w:sz w:val="20"/>
          <w:szCs w:val="20"/>
          <w:color w:val="auto"/>
        </w:rPr>
      </w:pPr>
    </w:p>
    <w:p>
      <w:pPr>
        <w:ind w:right="19" w:firstLine="648"/>
        <w:spacing w:after="0" w:line="287" w:lineRule="auto"/>
        <w:rPr>
          <w:sz w:val="20"/>
          <w:szCs w:val="20"/>
          <w:color w:val="auto"/>
        </w:rPr>
      </w:pPr>
      <w:r>
        <w:rPr>
          <w:rFonts w:ascii="Arial" w:cs="Arial" w:eastAsia="Arial" w:hAnsi="Arial"/>
          <w:sz w:val="16"/>
          <w:szCs w:val="16"/>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69" w:lineRule="exact"/>
        <w:rPr>
          <w:sz w:val="20"/>
          <w:szCs w:val="20"/>
          <w:color w:val="auto"/>
        </w:rPr>
      </w:pPr>
    </w:p>
    <w:p>
      <w:pPr>
        <w:ind w:right="39" w:firstLine="648"/>
        <w:spacing w:after="0" w:line="287" w:lineRule="auto"/>
        <w:rPr>
          <w:sz w:val="20"/>
          <w:szCs w:val="20"/>
          <w:color w:val="auto"/>
        </w:rPr>
      </w:pPr>
      <w:r>
        <w:rPr>
          <w:rFonts w:ascii="Arial" w:cs="Arial" w:eastAsia="Arial" w:hAnsi="Arial"/>
          <w:sz w:val="16"/>
          <w:szCs w:val="16"/>
          <w:color w:val="auto"/>
        </w:rPr>
        <w:t>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President Trump has also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9" w:lineRule="exact"/>
        <w:rPr>
          <w:sz w:val="20"/>
          <w:szCs w:val="20"/>
          <w:color w:val="auto"/>
        </w:rPr>
      </w:pPr>
    </w:p>
    <w:p>
      <w:pPr>
        <w:ind w:right="119" w:firstLine="648"/>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third-party payors to keep healthcare costs down while expanding individual healthcare benefits.</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December 14, 2018, a U.S. District Court Judge in the Northern District of Texas, or the Texas District Court Judge, ruled that the individual mandate is a critical and inseverable feature of the ACA, and therefore, because it was repealed as part of the Tax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 and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Additionally, on May 30, 2018, the Trickett Wendler, Frank Mongiello, Jordan McLinn, and Matthew Bellina Right to Try Act of 2017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5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Trump administration released in May 2018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This final rule codified a CMS policy change that was effective January 1,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w:t>
      </w:r>
    </w:p>
    <w:p>
      <w:pPr>
        <w:spacing w:after="0" w:line="167" w:lineRule="exact"/>
        <w:rPr>
          <w:sz w:val="20"/>
          <w:szCs w:val="20"/>
          <w:color w:val="auto"/>
        </w:rPr>
      </w:pPr>
    </w:p>
    <w:p>
      <w:pPr>
        <w:jc w:val="both"/>
        <w:ind w:right="520" w:firstLine="648"/>
        <w:spacing w:after="0" w:line="312" w:lineRule="auto"/>
        <w:rPr>
          <w:sz w:val="20"/>
          <w:szCs w:val="20"/>
          <w:color w:val="auto"/>
        </w:rPr>
      </w:pPr>
      <w:r>
        <w:rPr>
          <w:rFonts w:ascii="Arial" w:cs="Arial" w:eastAsia="Arial" w:hAnsi="Arial"/>
          <w:sz w:val="16"/>
          <w:szCs w:val="16"/>
          <w:color w:val="auto"/>
        </w:rPr>
        <w:t>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4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9" w:lineRule="exact"/>
        <w:rPr>
          <w:sz w:val="20"/>
          <w:szCs w:val="20"/>
          <w:color w:val="auto"/>
        </w:rPr>
      </w:pPr>
    </w:p>
    <w:p>
      <w:pPr>
        <w:ind w:left="980" w:right="40" w:hanging="329"/>
        <w:spacing w:after="0" w:line="273"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—the federal healthcare anti-kickback statute prohibits, among other things, persons from</w:t>
      </w:r>
      <w:r>
        <w:rPr>
          <w:rFonts w:ascii="Arial" w:cs="Arial" w:eastAsia="Arial" w:hAnsi="Arial"/>
          <w:sz w:val="17"/>
          <w:szCs w:val="17"/>
          <w:i w:val="1"/>
          <w:iCs w:val="1"/>
          <w:color w:val="auto"/>
        </w:rPr>
        <w:t xml:space="preserve"> </w:t>
      </w:r>
      <w:r>
        <w:rPr>
          <w:rFonts w:ascii="Arial" w:cs="Arial" w:eastAsia="Arial" w:hAnsi="Arial"/>
          <w:sz w:val="17"/>
          <w:szCs w:val="17"/>
          <w:color w:val="auto"/>
        </w:rPr>
        <w:t>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8" w:lineRule="exact"/>
        <w:rPr>
          <w:rFonts w:ascii="Arial" w:cs="Arial" w:eastAsia="Arial" w:hAnsi="Arial"/>
          <w:sz w:val="17"/>
          <w:szCs w:val="17"/>
          <w:color w:val="auto"/>
        </w:rPr>
      </w:pPr>
    </w:p>
    <w:p>
      <w:pPr>
        <w:ind w:left="980" w:right="80" w:hanging="329"/>
        <w:spacing w:after="0" w:line="293"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False Claims Act</w:t>
      </w:r>
      <w:r>
        <w:rPr>
          <w:rFonts w:ascii="Arial" w:cs="Arial" w:eastAsia="Arial" w:hAnsi="Arial"/>
          <w:sz w:val="16"/>
          <w:szCs w:val="16"/>
          <w:color w:val="auto"/>
        </w:rPr>
        <w:t>—the federal False Claims Act imposes criminal and civil penalties, including through civil</w:t>
      </w:r>
      <w:r>
        <w:rPr>
          <w:rFonts w:ascii="Arial" w:cs="Arial" w:eastAsia="Arial" w:hAnsi="Arial"/>
          <w:sz w:val="16"/>
          <w:szCs w:val="16"/>
          <w:i w:val="1"/>
          <w:iCs w:val="1"/>
          <w:color w:val="auto"/>
        </w:rPr>
        <w:t xml:space="preserve"> </w:t>
      </w:r>
      <w:r>
        <w:rPr>
          <w:rFonts w:ascii="Arial" w:cs="Arial" w:eastAsia="Arial" w:hAnsi="Arial"/>
          <w:sz w:val="16"/>
          <w:szCs w:val="16"/>
          <w:color w:val="auto"/>
        </w:rPr>
        <w:t>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64" w:lineRule="exact"/>
        <w:rPr>
          <w:rFonts w:ascii="Arial" w:cs="Arial" w:eastAsia="Arial" w:hAnsi="Arial"/>
          <w:sz w:val="16"/>
          <w:szCs w:val="16"/>
          <w:color w:val="auto"/>
        </w:rPr>
      </w:pPr>
    </w:p>
    <w:p>
      <w:pPr>
        <w:ind w:left="980" w:right="40" w:hanging="329"/>
        <w:spacing w:after="0" w:line="26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—the federal Health Insurance Portability and Accountability Act of 1996, or HIPAA, imposes criminal</w:t>
      </w:r>
      <w:r>
        <w:rPr>
          <w:rFonts w:ascii="Arial" w:cs="Arial" w:eastAsia="Arial" w:hAnsi="Arial"/>
          <w:sz w:val="17"/>
          <w:szCs w:val="17"/>
          <w:i w:val="1"/>
          <w:iCs w:val="1"/>
          <w:color w:val="auto"/>
        </w:rPr>
        <w:t xml:space="preserve"> </w:t>
      </w:r>
      <w:r>
        <w:rPr>
          <w:rFonts w:ascii="Arial" w:cs="Arial" w:eastAsia="Arial" w:hAnsi="Arial"/>
          <w:sz w:val="17"/>
          <w:szCs w:val="17"/>
          <w:color w:val="auto"/>
        </w:rPr>
        <w:t>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7" w:lineRule="exact"/>
        <w:rPr>
          <w:rFonts w:ascii="Arial" w:cs="Arial" w:eastAsia="Arial" w:hAnsi="Arial"/>
          <w:sz w:val="17"/>
          <w:szCs w:val="17"/>
          <w:color w:val="auto"/>
        </w:rPr>
      </w:pPr>
    </w:p>
    <w:p>
      <w:pPr>
        <w:ind w:left="980" w:hanging="329"/>
        <w:spacing w:after="0" w:line="25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HIPAA Privacy Provisions</w:t>
      </w:r>
      <w:r>
        <w:rPr>
          <w:rFonts w:ascii="Arial" w:cs="Arial" w:eastAsia="Arial" w:hAnsi="Arial"/>
          <w:sz w:val="18"/>
          <w:szCs w:val="18"/>
          <w:color w:val="auto"/>
        </w:rPr>
        <w:t>—as amended by HITECH and its implementing regulations, HIPAA also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9" w:lineRule="exact"/>
        <w:rPr>
          <w:rFonts w:ascii="Arial" w:cs="Arial" w:eastAsia="Arial" w:hAnsi="Arial"/>
          <w:sz w:val="18"/>
          <w:szCs w:val="18"/>
          <w:color w:val="auto"/>
        </w:rPr>
      </w:pPr>
    </w:p>
    <w:p>
      <w:pPr>
        <w:ind w:left="980" w:right="60" w:hanging="329"/>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Transparency Requirements</w:t>
      </w:r>
      <w:r>
        <w:rPr>
          <w:rFonts w:ascii="Arial" w:cs="Arial" w:eastAsia="Arial" w:hAnsi="Arial"/>
          <w:sz w:val="17"/>
          <w:szCs w:val="17"/>
          <w:color w:val="auto"/>
        </w:rPr>
        <w:t>—the federal legislation commonly referred to as the Physician Payments Sunshine</w:t>
      </w:r>
      <w:r>
        <w:rPr>
          <w:rFonts w:ascii="Arial" w:cs="Arial" w:eastAsia="Arial" w:hAnsi="Arial"/>
          <w:sz w:val="17"/>
          <w:szCs w:val="17"/>
          <w:i w:val="1"/>
          <w:iCs w:val="1"/>
          <w:color w:val="auto"/>
        </w:rPr>
        <w:t xml:space="preserve"> </w:t>
      </w:r>
      <w:r>
        <w:rPr>
          <w:rFonts w:ascii="Arial" w:cs="Arial" w:eastAsia="Arial" w:hAnsi="Arial"/>
          <w:sz w:val="17"/>
          <w:szCs w:val="17"/>
          <w:color w:val="auto"/>
        </w:rPr>
        <w:t>Act, enacted as part of the Affordable Care Act, and its implementing regulations, which requires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80"/>
        <w:spacing w:after="0" w:line="293" w:lineRule="auto"/>
        <w:rPr>
          <w:sz w:val="20"/>
          <w:szCs w:val="20"/>
          <w:color w:val="auto"/>
        </w:rPr>
      </w:pPr>
      <w:r>
        <w:rPr>
          <w:rFonts w:ascii="Arial" w:cs="Arial" w:eastAsia="Arial" w:hAnsi="Arial"/>
          <w:sz w:val="16"/>
          <w:szCs w:val="16"/>
          <w:color w:val="auto"/>
        </w:rPr>
        <w:t>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5" w:lineRule="exact"/>
        <w:rPr>
          <w:sz w:val="20"/>
          <w:szCs w:val="20"/>
          <w:color w:val="auto"/>
        </w:rPr>
      </w:pPr>
    </w:p>
    <w:p>
      <w:pPr>
        <w:ind w:left="980" w:right="240" w:hanging="329"/>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FDCA</w:t>
      </w:r>
      <w:r>
        <w:rPr>
          <w:rFonts w:ascii="Arial" w:cs="Arial" w:eastAsia="Arial" w:hAnsi="Arial"/>
          <w:sz w:val="18"/>
          <w:szCs w:val="18"/>
          <w:color w:val="auto"/>
        </w:rPr>
        <w:t>—the FDCA, which prohibits, among other things, the adulteration or misbranding of drugs, biologics</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medical devices; and</w:t>
      </w:r>
    </w:p>
    <w:p>
      <w:pPr>
        <w:spacing w:after="0" w:line="170" w:lineRule="exact"/>
        <w:rPr>
          <w:rFonts w:ascii="Arial" w:cs="Arial" w:eastAsia="Arial" w:hAnsi="Arial"/>
          <w:sz w:val="18"/>
          <w:szCs w:val="18"/>
          <w:color w:val="auto"/>
        </w:rPr>
      </w:pPr>
    </w:p>
    <w:p>
      <w:pPr>
        <w:ind w:left="980" w:right="60" w:hanging="329"/>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collection and processing of personal data—including health data—is governed by the European Union-wide General Data Protection Regulation, or GDPR, which became applicable on May 25, 2018, replacing the current data protection laws of each European Union Member State. GDPR applies to us through the activities of our wholly-owned subsidiary Y-mAbs Therapeutics A/S, and also to any business, regardless of its location, that provides goods or services to residents in the EU which includes our clinical trial activities in European Union Member States. The GDPR imposes more stringent operational requirements 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 increased requirements pertaining to health data and pseudonymised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The GDPR provides that European Union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(for example, of up to €20,000,000 or up to 4% of the total worldwide annual turnover of the preceding financial year (whichever is higher) under the GDPR)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pacing w:after="0" w:line="17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4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6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6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commercial success will depend in large part on obtaining and maintaining proprietary rights including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6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currently depend on proprietary technology licensed from MSK and may depend on other third-party licensors in the future. If we lose our existing licenses or are unable to acquire or license additional proprietary rights from MSK or other third parties, we may not be able to continue developing our products.</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6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comparable foreign regulatory authorities to provide a companion diagnostic test or tests with our product candidates. These diagnostic test or tests may be covered by intellectual property rights held by others. We may not own, or may have to share, the intellectual property rights obtained in corroboration with any other party, or intellectual property rights obtained relating to improvements of in-licensed products or processes.</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78"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as well as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and may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980" w:right="30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170" w:lineRule="exact"/>
        <w:rPr>
          <w:rFonts w:ascii="Arial" w:cs="Arial" w:eastAsia="Arial" w:hAnsi="Arial"/>
          <w:sz w:val="18"/>
          <w:szCs w:val="18"/>
          <w:color w:val="auto"/>
        </w:rPr>
      </w:pPr>
    </w:p>
    <w:p>
      <w:pPr>
        <w:jc w:val="both"/>
        <w:ind w:left="980" w:right="400" w:hanging="329"/>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method of manufacture or method of use;</w:t>
      </w:r>
    </w:p>
    <w:p>
      <w:pPr>
        <w:spacing w:after="0" w:line="181"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70" w:lineRule="exact"/>
        <w:rPr>
          <w:rFonts w:ascii="Arial" w:cs="Arial" w:eastAsia="Arial" w:hAnsi="Arial"/>
          <w:sz w:val="18"/>
          <w:szCs w:val="18"/>
          <w:color w:val="auto"/>
        </w:rPr>
      </w:pPr>
    </w:p>
    <w:p>
      <w:pPr>
        <w:ind w:left="980" w:right="120" w:hanging="329"/>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81" w:lineRule="exact"/>
        <w:rPr>
          <w:rFonts w:ascii="Arial" w:cs="Arial" w:eastAsia="Arial" w:hAnsi="Arial"/>
          <w:sz w:val="18"/>
          <w:szCs w:val="18"/>
          <w:color w:val="auto"/>
        </w:rPr>
      </w:pPr>
    </w:p>
    <w:p>
      <w:pPr>
        <w:ind w:left="980" w:right="56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980" w:right="100" w:hanging="329"/>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980" w:right="10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ind w:left="980" w:right="40" w:hanging="329"/>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146" w:lineRule="exact"/>
        <w:rPr>
          <w:rFonts w:ascii="Arial" w:cs="Arial" w:eastAsia="Arial" w:hAnsi="Arial"/>
          <w:sz w:val="17"/>
          <w:szCs w:val="17"/>
          <w:color w:val="auto"/>
        </w:rPr>
      </w:pPr>
    </w:p>
    <w:p>
      <w:pPr>
        <w:jc w:val="both"/>
        <w:ind w:left="980" w:hanging="329"/>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81" w:lineRule="exact"/>
        <w:rPr>
          <w:rFonts w:ascii="Arial" w:cs="Arial" w:eastAsia="Arial" w:hAnsi="Arial"/>
          <w:sz w:val="18"/>
          <w:szCs w:val="18"/>
          <w:color w:val="auto"/>
        </w:rPr>
      </w:pPr>
    </w:p>
    <w:p>
      <w:pPr>
        <w:ind w:left="980" w:right="80" w:hanging="329"/>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product candidates or diagnostic tests we develop may be covered by third parties’ patents or other proprietary rights; 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infringed the intellectual property of any third party, we may be liable for damages, enhanced damages or subjected to an injunction, any of which could have a material adverse effect on our business.</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patents and patents in-licensed from MSK relating to our proprietary technologies and our product candidates are expected to expire on various dates from 2021 through 2035, without taking into account any possible patent term adjustments, extensions or supplementary protection. Our earliest patents in-licensed from MSK of relevance for our products may expire before, or soon after, our first product achieves marketing approval in the United States.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covering our proprietary technologies or our product candidates that if issued as patents are expected to expire from 2021 through 2038, without taking into account any possible patent term adjustments, extensions or supplementary protections. However, we cannot be assured that the USPTO or relevant foreign patent offices will grant any of these patent applications.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Similar considerations pertains to patents granted outside of the U.S., for which the validity, enforceability and/or scope of protection may be influenced by changing national and/or international legal principles.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8"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1"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 third-party claims that we infringe its intellectual property rights, we may face a number of issues, including, but not limited to:</w:t>
      </w:r>
    </w:p>
    <w:p>
      <w:pPr>
        <w:spacing w:after="0" w:line="170" w:lineRule="exact"/>
        <w:rPr>
          <w:sz w:val="20"/>
          <w:szCs w:val="20"/>
          <w:color w:val="auto"/>
        </w:rPr>
      </w:pPr>
    </w:p>
    <w:p>
      <w:pPr>
        <w:ind w:left="980" w:right="380" w:hanging="329"/>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980" w:right="20" w:hanging="329"/>
        <w:spacing w:after="0" w:line="31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46" w:lineRule="exact"/>
        <w:rPr>
          <w:rFonts w:ascii="Arial" w:cs="Arial" w:eastAsia="Arial" w:hAnsi="Arial"/>
          <w:sz w:val="16"/>
          <w:szCs w:val="16"/>
          <w:color w:val="auto"/>
        </w:rPr>
      </w:pPr>
    </w:p>
    <w:p>
      <w:pPr>
        <w:jc w:val="both"/>
        <w:ind w:left="980" w:right="40" w:hanging="329"/>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1" w:lineRule="exact"/>
        <w:rPr>
          <w:rFonts w:ascii="Arial" w:cs="Arial" w:eastAsia="Arial" w:hAnsi="Arial"/>
          <w:sz w:val="18"/>
          <w:szCs w:val="18"/>
          <w:color w:val="auto"/>
        </w:rPr>
      </w:pPr>
    </w:p>
    <w:p>
      <w:pPr>
        <w:jc w:val="both"/>
        <w:ind w:left="980" w:right="280" w:hanging="329"/>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81"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70"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54"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6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Other than our corporate name Y-mAbs, we have not yet registered our trademarks in the United States. Failure to secure such registrations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-45085</wp:posOffset>
            </wp:positionV>
            <wp:extent cx="285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Other than our corporate name Y-mAbs, 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w:t>
      </w:r>
    </w:p>
    <w:p>
      <w:pPr>
        <w:spacing w:after="0" w:line="269" w:lineRule="auto"/>
        <w:rPr>
          <w:sz w:val="20"/>
          <w:szCs w:val="20"/>
          <w:color w:val="auto"/>
        </w:rPr>
      </w:pPr>
      <w:r>
        <w:rPr>
          <w:rFonts w:ascii="Arial" w:cs="Arial" w:eastAsia="Arial" w:hAnsi="Arial"/>
          <w:sz w:val="17"/>
          <w:szCs w:val="17"/>
          <w:color w:val="auto"/>
        </w:rPr>
        <w:t>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any proprietary name we propose to use with any of our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6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6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We have a sublicense agreement with MabVax Therapeutics Holding, Inc., or MabVax, covering our GD2- GD3 Vaccine. MabVax has filed a voluntary petition in bankruptcy. Bankruptcy proceedings are inherently unpredictable. If the MabVax sublicense or our rights thereunder covering our GD2-GD3 Vaccine are adversely affected by the MabVax bankruptcy proceedings, we may not be able to continue developing our GD2-GD3 Vaccine program.</w:t>
      </w:r>
    </w:p>
    <w:p>
      <w:pPr>
        <w:spacing w:after="0" w:line="154" w:lineRule="exact"/>
        <w:rPr>
          <w:sz w:val="20"/>
          <w:szCs w:val="20"/>
          <w:color w:val="auto"/>
        </w:rPr>
      </w:pPr>
    </w:p>
    <w:p>
      <w:pPr>
        <w:ind w:right="20" w:firstLine="638"/>
        <w:spacing w:after="0" w:line="293" w:lineRule="auto"/>
        <w:rPr>
          <w:sz w:val="20"/>
          <w:szCs w:val="20"/>
          <w:color w:val="auto"/>
        </w:rPr>
      </w:pPr>
      <w:r>
        <w:rPr>
          <w:rFonts w:ascii="Arial" w:cs="Arial" w:eastAsia="Arial" w:hAnsi="Arial"/>
          <w:sz w:val="16"/>
          <w:szCs w:val="16"/>
          <w:color w:val="auto"/>
        </w:rPr>
        <w:t>We have entered into a sublicense agreement, or the MabVax Sublicense, with MabVax pursuant to which MabVax granted us a sublicense to all of the exclusive license rights granted to MabVax under its license agreement with MSK relating to our GD2-GD3 Vaccine. On March 21, 2019, MabVax filed a voluntary petition for relief under Chapter 11 of Title 11 of the United States Bankruptcy Code, or the Bankruptcy Code. MabVax has communicated that it continues to manage and operate its business as a debtor in possession pursuant to the Bankruptcy Code. Bankruptcy proceedings are inherently unpredictable and we cannot be certain that our MabVax Sublicense and our rights thereunder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relating to our GD2-GD3 Vaccine will not be adversely affected by the MabVax bankruptcy proceedings. For example, MSK has objected to the continuation of its license to MabVax, which may, in turn, impact our rights under the MabVax Sublicense. Alternately, MabVax may seek to reject its sublicense agreement with us, subject to any protections available under the Bankruptcy Code for rights in licensed intellectual property; and we may not be able to immediately enforce our rights with respect to any breaches by MabVax of its sublicense agreement with us due to the automatic stay in MabVax’s bankruptcy. If the MabVax Sublicense or any of the rights granted to us thereunder are adversely affected by the MabVax bankruptcy proceedings, we may not be able to continue developing our GD2-GD3 Vaccine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Chief Technical Officer;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2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September 30, 2019, our executive officers, directors and our stockholders, which own more than 5% of our outstanding common stock beneficially own shares representing approximately 54% of our common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980" w:hanging="329"/>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right="60" w:hanging="329"/>
        <w:spacing w:after="0" w:line="286"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65" w:lineRule="exact"/>
        <w:rPr>
          <w:rFonts w:ascii="Arial" w:cs="Arial" w:eastAsia="Arial" w:hAnsi="Arial"/>
          <w:sz w:val="17"/>
          <w:szCs w:val="17"/>
          <w:color w:val="auto"/>
        </w:rPr>
      </w:pPr>
    </w:p>
    <w:p>
      <w:pPr>
        <w:ind w:left="980" w:right="2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21, 2018, our stock has traded at prices as low as $15.17 per share and as high as $32.90 per share through November 1, 2019. As a result of this volatility, you may not be able to sell your common stock at or above the price your paid for 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and product candidates;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980" w:right="500" w:hanging="329"/>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level of revenues and expenses related to any of our product candidates or development programs;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980" w:right="20" w:hanging="329"/>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reduced disclosure obligations regarding executive compensation and exemptions from the requirements of holding a nonbinding advisory vote on executive compensation and shareholder approval of any golden parachute payments not previously approved. We cannot predict whether investors will find our common stock less attractive if we rely on these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color w:val="auto"/>
        </w:rPr>
        <w:t>exemptions. If some investors find our common stock less attractive as a result, there may be a less active trading market for our common stock and our stock price may be more volatile.</w:t>
      </w:r>
    </w:p>
    <w:p>
      <w:pPr>
        <w:spacing w:after="0" w:line="170" w:lineRule="exact"/>
        <w:rPr>
          <w:sz w:val="20"/>
          <w:szCs w:val="20"/>
          <w:color w:val="auto"/>
        </w:rPr>
      </w:pPr>
    </w:p>
    <w:p>
      <w:pPr>
        <w:ind w:right="59" w:firstLine="648"/>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93"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170" w:lineRule="exact"/>
        <w:rPr>
          <w:sz w:val="20"/>
          <w:szCs w:val="20"/>
          <w:color w:val="auto"/>
        </w:rPr>
      </w:pPr>
    </w:p>
    <w:p>
      <w:pPr>
        <w:ind w:right="59" w:firstLine="648"/>
        <w:spacing w:after="0" w:line="271"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79" w:lineRule="exact"/>
        <w:rPr>
          <w:sz w:val="20"/>
          <w:szCs w:val="20"/>
          <w:color w:val="auto"/>
        </w:rPr>
      </w:pPr>
    </w:p>
    <w:p>
      <w:pPr>
        <w:ind w:right="19" w:firstLine="648"/>
        <w:spacing w:after="0" w:line="268"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9" w:firstLine="648"/>
        <w:spacing w:after="0" w:line="218" w:lineRule="exact"/>
        <w:rPr>
          <w:sz w:val="20"/>
          <w:szCs w:val="20"/>
          <w:color w:val="auto"/>
        </w:rPr>
      </w:pPr>
      <w:r>
        <w:rPr>
          <w:rFonts w:ascii="Arial" w:cs="Arial" w:eastAsia="Arial" w:hAnsi="Arial"/>
          <w:sz w:val="17"/>
          <w:szCs w:val="17"/>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 year period), the corporation’s ability to use its pre change net operating loss carryforwards and other pre change tax attributes to offset its post</w:t>
      </w:r>
      <w:r>
        <w:rPr>
          <w:rFonts w:ascii="MS PGothic" w:cs="MS PGothic" w:eastAsia="MS PGothic" w:hAnsi="MS PGothic"/>
          <w:sz w:val="17"/>
          <w:szCs w:val="17"/>
          <w:color w:val="auto"/>
        </w:rPr>
        <w:t>‑</w:t>
      </w:r>
      <w:r>
        <w:rPr>
          <w:rFonts w:ascii="Arial" w:cs="Arial" w:eastAsia="Arial" w:hAnsi="Arial"/>
          <w:sz w:val="17"/>
          <w:szCs w:val="17"/>
          <w:color w:val="auto"/>
        </w:rPr>
        <w:t>change taxable income or taxes may be limited. The Company has performed an analysis of its Section 382 ownership changes through December 31, 2018. Due to the large annual limitation, the Company believes that it is more likely than not that none of the net operating loss carryforwards will expire as a result of the limitation from the ownership change under Section 382.</w:t>
      </w:r>
    </w:p>
    <w:p>
      <w:pPr>
        <w:spacing w:after="0" w:line="204" w:lineRule="exact"/>
        <w:rPr>
          <w:sz w:val="20"/>
          <w:szCs w:val="20"/>
          <w:color w:val="auto"/>
        </w:rPr>
      </w:pPr>
    </w:p>
    <w:p>
      <w:pPr>
        <w:ind w:right="859"/>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7" w:lineRule="exact"/>
        <w:rPr>
          <w:sz w:val="20"/>
          <w:szCs w:val="20"/>
          <w:color w:val="auto"/>
        </w:rPr>
      </w:pPr>
    </w:p>
    <w:p>
      <w:pPr>
        <w:ind w:right="219" w:firstLine="648"/>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the terms of any future debt</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agreements may preclude us from paying dividends. As a result, capital appreciation, if any, of our common stock will be your sole source of gain for the foreseeable future.</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Sales of our common stock may be made by holders of our public float or by holders of restricted securities in compliance with the provisions of Rule 144 of the Securities Act of 1933, or the Securities Act. There were 34,593,666 shares of common stock outstanding as of September 30, 2019. Of these shares of our common stock, 6,900,000 shares sold in our initial public offering in 2018 are freely tradable, without restriction, in the public market. As of September 30, 2019 holders of approximately 2,950,000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6,200,000 shares of common stock that we may issue under our equity compensation plans.</w:t>
      </w:r>
    </w:p>
    <w:p>
      <w:pPr>
        <w:spacing w:after="0" w:line="18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November 2019, we completed a follow-on shelf public offering and issued 5,134,750 shares of common stock. 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favorable for disputes with us or our directors, officers or employees, which may discourage such lawsuits against us and our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-45085</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August 20, 2019, we issued 400,000 shares of our common stock under a stock grant agreement. The issuance did not result in proceeds to the Company. We have deemed this issuance to be exempt from registration under the Securities Act in reliance on Section 4(a)(2), as a transaction by an issuer not involving a public offering. No underwriters were involved in the foregoing issuance of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of Our Initial Public Offering</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On September 20, 2018, the SEC declared effective our registration statement on Form S-1 (File No. 333-226999), as amended (the “Registration Statement”), filed in connection with our initial public offering, or IPO. The IPO closed on September 25, 2018 and we issued and sold 6,900,000 shares of our common stock, at a price to the public of $16.00 per share, which included 900,000 shares of common stock sold pursuant to the underwriters’ full exercise of their option to purchase additional shares. We received gross proceeds from the IPO of $110.4 million, before deducting underwriting discounts and commissions of approximately $7.7 million and estimated offering expenses of approximately $2.9 million. The managing underwriters of the offering were Merrill Lynch, Pierce, Fenner &amp; Smith Incorporated and Cowen and Company, LLC. No offering expenses were paid or are payable, directly or indirectly, to our directors or officers, to persons owning 10% or more of any class of our equity securities or to any of our affiliates.</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March 31, 2019 and June 30, 2019, we had not used any of the proceeds from the IPO. As of September 30, 2019, we had used approximately $1.6 million of the proceeds from the IPO net proceeds primarily to advance the research and development of our product candidates and for working capital and general corporate purposes. We are holding a significant portion of the balance of the net proceeds from the offering in interest-bearing money market fund. There has been no material change in our planned use of the balance of the net proceeds from what was described in our Prospectus that forms a part of our Registration Statement, which was filed with the SEC on September 24, 2018, pursuant to Rule 424(b)(4)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5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180"/>
              <w:spacing w:after="0"/>
              <w:rPr>
                <w:sz w:val="20"/>
                <w:szCs w:val="20"/>
                <w:color w:val="auto"/>
              </w:rPr>
            </w:pPr>
            <w:r>
              <w:rPr>
                <w:rFonts w:ascii="Arial" w:cs="Arial" w:eastAsia="Arial" w:hAnsi="Arial"/>
                <w:sz w:val="18"/>
                <w:szCs w:val="18"/>
                <w:color w:val="auto"/>
              </w:rPr>
              <w:t>3.1</w:t>
            </w:r>
          </w:p>
        </w:tc>
        <w:tc>
          <w:tcPr>
            <w:tcW w:w="7920" w:type="dxa"/>
            <w:vAlign w:val="bottom"/>
            <w:tcBorders>
              <w:bottom w:val="single" w:sz="8" w:color="0000EE"/>
            </w:tcBorders>
            <w:gridSpan w:val="25"/>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Amended and Restated Certificate of Incorporation of the Registrant (incorporated by reference to Exhibit 3.3</w:t>
              </w:r>
            </w:hyperlink>
          </w:p>
        </w:tc>
      </w:tr>
      <w:tr>
        <w:trPr>
          <w:trHeight w:val="196"/>
        </w:trPr>
        <w:tc>
          <w:tcPr>
            <w:tcW w:w="1140" w:type="dxa"/>
            <w:vAlign w:val="bottom"/>
          </w:tcPr>
          <w:p>
            <w:pPr>
              <w:spacing w:after="0"/>
              <w:rPr>
                <w:sz w:val="17"/>
                <w:szCs w:val="17"/>
                <w:color w:val="auto"/>
              </w:rPr>
            </w:pPr>
          </w:p>
        </w:tc>
        <w:tc>
          <w:tcPr>
            <w:tcW w:w="78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to the Registrant’s Current Report on Form 8-K (File No. 001-38650) filed with the Securities and Exchange</w:t>
              </w:r>
            </w:hyperlink>
          </w:p>
        </w:tc>
        <w:tc>
          <w:tcPr>
            <w:tcW w:w="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Commission on September 26, 2018)</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Arial" w:cs="Arial" w:eastAsia="Arial" w:hAnsi="Arial"/>
                <w:sz w:val="18"/>
                <w:szCs w:val="18"/>
                <w:color w:val="auto"/>
              </w:rPr>
              <w:t>3.2</w:t>
            </w:r>
          </w:p>
        </w:tc>
        <w:tc>
          <w:tcPr>
            <w:tcW w:w="7840" w:type="dxa"/>
            <w:vAlign w:val="bottom"/>
            <w:tcBorders>
              <w:bottom w:val="single" w:sz="8" w:color="0000EE"/>
            </w:tcBorders>
            <w:gridSpan w:val="21"/>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Amended and Restated Bylaws of the Registrant (incorporated by reference to Exhibit 3.4 to the Registrant’s</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Current Report on Form 8-K (File No. 001-38650) filed with the Securities and Exchange Commission on</w:t>
              </w:r>
            </w:hyperlink>
          </w:p>
        </w:tc>
      </w:tr>
      <w:tr>
        <w:trPr>
          <w:trHeight w:val="196"/>
        </w:trPr>
        <w:tc>
          <w:tcPr>
            <w:tcW w:w="1140" w:type="dxa"/>
            <w:vAlign w:val="bottom"/>
          </w:tcPr>
          <w:p>
            <w:pPr>
              <w:spacing w:after="0"/>
              <w:rPr>
                <w:sz w:val="17"/>
                <w:szCs w:val="17"/>
                <w:color w:val="auto"/>
              </w:rPr>
            </w:pPr>
          </w:p>
        </w:tc>
        <w:tc>
          <w:tcPr>
            <w:tcW w:w="7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September 26, 2018)</w:t>
              </w:r>
            </w:hyperlink>
          </w:p>
        </w:tc>
        <w:tc>
          <w:tcPr>
            <w:tcW w:w="280" w:type="dxa"/>
            <w:vAlign w:val="bottom"/>
            <w:gridSpan w:val="8"/>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10.1</w:t>
            </w:r>
          </w:p>
        </w:tc>
        <w:tc>
          <w:tcPr>
            <w:tcW w:w="7320" w:type="dxa"/>
            <w:vAlign w:val="bottom"/>
            <w:tcBorders>
              <w:bottom w:val="single" w:sz="8" w:color="0000EE"/>
            </w:tcBorders>
            <w:gridSpan w:val="13"/>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2018 Equity Incentive Plan (incorporated by reference to Exhibit 10.9 to the Registrant’s Registration</w:t>
              </w:r>
            </w:hyperlink>
          </w:p>
        </w:tc>
        <w:tc>
          <w:tcPr>
            <w:tcW w:w="60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Statement on Form S-1 (File No. 333-226999)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19">
              <w:r>
                <w:rPr>
                  <w:rFonts w:ascii="Arial" w:cs="Arial" w:eastAsia="Arial" w:hAnsi="Arial"/>
                  <w:sz w:val="18"/>
                  <w:szCs w:val="18"/>
                  <w:color w:val="0000EE"/>
                  <w:w w:val="86"/>
                </w:rPr>
                <w:t>24, 2018)</w:t>
              </w:r>
            </w:hyperlink>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10.2</w:t>
            </w:r>
          </w:p>
        </w:tc>
        <w:tc>
          <w:tcPr>
            <w:tcW w:w="7920" w:type="dxa"/>
            <w:vAlign w:val="bottom"/>
            <w:gridSpan w:val="25"/>
          </w:tcPr>
          <w:p>
            <w:pPr>
              <w:spacing w:after="0"/>
              <w:rPr>
                <w:rFonts w:ascii="Arial" w:cs="Arial" w:eastAsia="Arial" w:hAnsi="Arial"/>
                <w:sz w:val="18"/>
                <w:szCs w:val="18"/>
                <w:color w:val="0000EE"/>
                <w:w w:val="97"/>
              </w:rPr>
            </w:pPr>
            <w:hyperlink r:id="rId120">
              <w:r>
                <w:rPr>
                  <w:rFonts w:ascii="Arial" w:cs="Arial" w:eastAsia="Arial" w:hAnsi="Arial"/>
                  <w:sz w:val="18"/>
                  <w:szCs w:val="18"/>
                  <w:color w:val="0000EE"/>
                  <w:w w:val="97"/>
                </w:rPr>
                <w:t>Form of Stock Option Grant Notice and Stock Option Agreement under the 2018 Equity Incentive Plan</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(incorporated by reference to Exhibit 10.10 to the Registrant’s Registration Statement on Form S-1 (File No.</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333-226999) filed with the Securities and Exchange Commission on August 24, 2018)</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10.3</w:t>
            </w:r>
          </w:p>
        </w:tc>
        <w:tc>
          <w:tcPr>
            <w:tcW w:w="7880" w:type="dxa"/>
            <w:vAlign w:val="bottom"/>
            <w:tcBorders>
              <w:bottom w:val="single" w:sz="8" w:color="0000EE"/>
            </w:tcBorders>
            <w:gridSpan w:val="23"/>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Form of Restricted Stock Award Grant Notice and Restricted Stock Award Agreement under the 2018 Equity</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Incentive Plan (incorporated by reference to Exhibit 10.16 to the Registrant’s Registration Statement on Form</w:t>
              </w:r>
            </w:hyperlink>
          </w:p>
        </w:tc>
      </w:tr>
      <w:tr>
        <w:trPr>
          <w:trHeight w:val="196"/>
        </w:trPr>
        <w:tc>
          <w:tcPr>
            <w:tcW w:w="114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S-1 (File No. 333-226999) filed with the Securities and Exchange Commission on August 24, 2018)</w:t>
              </w:r>
            </w:hyperlink>
          </w:p>
        </w:tc>
        <w:tc>
          <w:tcPr>
            <w:tcW w:w="6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10.4</w:t>
            </w:r>
          </w:p>
        </w:tc>
        <w:tc>
          <w:tcPr>
            <w:tcW w:w="7680" w:type="dxa"/>
            <w:vAlign w:val="bottom"/>
            <w:tcBorders>
              <w:bottom w:val="single" w:sz="8" w:color="0000EE"/>
            </w:tcBorders>
            <w:gridSpan w:val="19"/>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Form of Restricted Stock Unit Award Grant Notice and Restricted Stock Unit Award Agreement under the</w:t>
              </w:r>
            </w:hyperlink>
          </w:p>
        </w:tc>
        <w:tc>
          <w:tcPr>
            <w:tcW w:w="2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2018 Equity Incentive Plan (incorporated by reference to Exhibit 10.17 to the Registrant’s Registration</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Statement on Form S-1 (File No. 333-226999)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2">
              <w:r>
                <w:rPr>
                  <w:rFonts w:ascii="Arial" w:cs="Arial" w:eastAsia="Arial" w:hAnsi="Arial"/>
                  <w:sz w:val="18"/>
                  <w:szCs w:val="18"/>
                  <w:color w:val="0000EE"/>
                  <w:w w:val="86"/>
                </w:rPr>
                <w:t>24, 2018)</w:t>
              </w:r>
            </w:hyperlink>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10.5</w:t>
            </w:r>
          </w:p>
        </w:tc>
        <w:tc>
          <w:tcPr>
            <w:tcW w:w="7860" w:type="dxa"/>
            <w:vAlign w:val="bottom"/>
            <w:tcBorders>
              <w:bottom w:val="single" w:sz="8" w:color="0000EE"/>
            </w:tcBorders>
            <w:gridSpan w:val="22"/>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Non-Employee Director Compensation Policy (incorporated by reference to Exhibit 10.18 to the Registrant’s</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Registration Statement on Form S-1 (File No. 333-226999) filed with the Securities and Exchange</w:t>
              </w:r>
            </w:hyperlink>
          </w:p>
        </w:tc>
      </w:tr>
      <w:tr>
        <w:trPr>
          <w:trHeight w:val="196"/>
        </w:trPr>
        <w:tc>
          <w:tcPr>
            <w:tcW w:w="11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Commission on August 24, 2018) 2018</w:t>
              </w:r>
            </w:hyperlink>
          </w:p>
        </w:tc>
        <w:tc>
          <w:tcPr>
            <w:tcW w:w="4240" w:type="dxa"/>
            <w:vAlign w:val="bottom"/>
            <w:tcBorders>
              <w:top w:val="single" w:sz="8" w:color="0000EE"/>
            </w:tcBorders>
            <w:gridSpan w:val="5"/>
          </w:tcPr>
          <w:p>
            <w:pPr>
              <w:spacing w:after="0"/>
              <w:rPr>
                <w:sz w:val="17"/>
                <w:szCs w:val="17"/>
                <w:color w:val="auto"/>
              </w:rPr>
            </w:pPr>
          </w:p>
        </w:tc>
        <w:tc>
          <w:tcPr>
            <w:tcW w:w="840" w:type="dxa"/>
            <w:vAlign w:val="bottom"/>
            <w:gridSpan w:val="15"/>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10.6</w:t>
            </w:r>
          </w:p>
        </w:tc>
        <w:tc>
          <w:tcPr>
            <w:tcW w:w="7920" w:type="dxa"/>
            <w:vAlign w:val="bottom"/>
            <w:gridSpan w:val="25"/>
          </w:tcPr>
          <w:p>
            <w:pPr>
              <w:spacing w:after="0"/>
              <w:rPr>
                <w:rFonts w:ascii="Arial" w:cs="Arial" w:eastAsia="Arial" w:hAnsi="Arial"/>
                <w:sz w:val="18"/>
                <w:szCs w:val="18"/>
                <w:color w:val="0000EE"/>
                <w:w w:val="99"/>
              </w:rPr>
            </w:pPr>
            <w:hyperlink r:id="rId124">
              <w:r>
                <w:rPr>
                  <w:rFonts w:ascii="Arial" w:cs="Arial" w:eastAsia="Arial" w:hAnsi="Arial"/>
                  <w:sz w:val="18"/>
                  <w:szCs w:val="18"/>
                  <w:color w:val="0000EE"/>
                  <w:w w:val="99"/>
                </w:rPr>
                <w:t>2018 Employee Stock Purchase Plan (incorporated by reference to Exhibit 10.19 to the Registrant’s</w:t>
              </w:r>
            </w:hyperlink>
          </w:p>
        </w:tc>
      </w:tr>
      <w:tr>
        <w:trPr>
          <w:trHeight w:val="196"/>
        </w:trPr>
        <w:tc>
          <w:tcPr>
            <w:tcW w:w="114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Registration Statement on Form S-1 (File No. 333-226999) filed with the Securities and Exchange</w:t>
              </w:r>
            </w:hyperlink>
          </w:p>
        </w:tc>
        <w:tc>
          <w:tcPr>
            <w:tcW w:w="76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Commission on August 24, 2018)</w:t>
              </w:r>
            </w:hyperlink>
          </w:p>
        </w:tc>
        <w:tc>
          <w:tcPr>
            <w:tcW w:w="4640" w:type="dxa"/>
            <w:vAlign w:val="bottom"/>
            <w:tcBorders>
              <w:top w:val="single" w:sz="8" w:color="0000EE"/>
            </w:tcBorders>
            <w:gridSpan w:val="7"/>
          </w:tcPr>
          <w:p>
            <w:pPr>
              <w:spacing w:after="0"/>
              <w:rPr>
                <w:sz w:val="17"/>
                <w:szCs w:val="17"/>
                <w:color w:val="auto"/>
              </w:rPr>
            </w:pPr>
          </w:p>
        </w:tc>
        <w:tc>
          <w:tcPr>
            <w:tcW w:w="840" w:type="dxa"/>
            <w:vAlign w:val="bottom"/>
            <w:gridSpan w:val="15"/>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76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Certification of Principal Executive Officer pursuant to Rule 13a-14(a) or Rule 15d-14(a) of the Securities</w:t>
              </w:r>
            </w:hyperlink>
          </w:p>
        </w:tc>
        <w:tc>
          <w:tcPr>
            <w:tcW w:w="2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7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Exchange Act of 1934, as adopted pursuant to Section 302 of the Sarbanes-Oxley Act of 2002</w:t>
              </w:r>
            </w:hyperlink>
          </w:p>
        </w:tc>
        <w:tc>
          <w:tcPr>
            <w:tcW w:w="1140" w:type="dxa"/>
            <w:vAlign w:val="bottom"/>
            <w:gridSpan w:val="16"/>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7920" w:type="dxa"/>
            <w:vAlign w:val="bottom"/>
            <w:gridSpan w:val="25"/>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Certification of Principal Financial Officer pursuant to Rule 13a-14(a) or Rule 15d-14(a) of the Securities</w:t>
              </w:r>
            </w:hyperlink>
          </w:p>
        </w:tc>
      </w:tr>
      <w:tr>
        <w:trPr>
          <w:trHeight w:val="196"/>
        </w:trPr>
        <w:tc>
          <w:tcPr>
            <w:tcW w:w="114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Exchange Act of 1934, as adopted pursuant to Section 302 of the Sarbanes-Oxley Act of 2002</w:t>
              </w:r>
            </w:hyperlink>
          </w:p>
        </w:tc>
        <w:tc>
          <w:tcPr>
            <w:tcW w:w="820" w:type="dxa"/>
            <w:vAlign w:val="bottom"/>
            <w:tcBorders>
              <w:top w:val="single" w:sz="8" w:color="0000EE"/>
            </w:tcBorders>
            <w:gridSpan w:val="7"/>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7920" w:type="dxa"/>
            <w:vAlign w:val="bottom"/>
            <w:gridSpan w:val="25"/>
          </w:tcPr>
          <w:p>
            <w:pPr>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Certification of Principal Executive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Section 906 of the Sarbanes-Oxley Act of 2002</w:t>
              </w:r>
            </w:hyperlink>
          </w:p>
        </w:tc>
        <w:tc>
          <w:tcPr>
            <w:tcW w:w="4000" w:type="dxa"/>
            <w:vAlign w:val="bottom"/>
            <w:tcBorders>
              <w:top w:val="single" w:sz="8" w:color="0000EE"/>
            </w:tcBorders>
            <w:gridSpan w:val="8"/>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740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of Principal Financial Officer pursuant to 18 U.S.C. Section 1350, as adopted pursuant to</w:t>
              </w:r>
            </w:hyperlink>
          </w:p>
        </w:tc>
        <w:tc>
          <w:tcPr>
            <w:tcW w:w="52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Section 906 of the Sarbanes-Oxley Act of 2002</w:t>
              </w:r>
            </w:hyperlink>
          </w:p>
        </w:tc>
        <w:tc>
          <w:tcPr>
            <w:tcW w:w="4500" w:type="dxa"/>
            <w:vAlign w:val="bottom"/>
            <w:gridSpan w:val="19"/>
          </w:tcPr>
          <w:p>
            <w:pPr>
              <w:spacing w:after="0"/>
              <w:rPr>
                <w:sz w:val="17"/>
                <w:szCs w:val="17"/>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92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648"/>
        </w:trPr>
        <w:tc>
          <w:tcPr>
            <w:tcW w:w="1140" w:type="dxa"/>
            <w:vAlign w:val="bottom"/>
          </w:tcPr>
          <w:p>
            <w:pPr>
              <w:spacing w:after="0"/>
              <w:rPr>
                <w:sz w:val="24"/>
                <w:szCs w:val="24"/>
                <w:color w:val="auto"/>
              </w:rPr>
            </w:pPr>
          </w:p>
        </w:tc>
        <w:tc>
          <w:tcPr>
            <w:tcW w:w="6220" w:type="dxa"/>
            <w:vAlign w:val="bottom"/>
            <w:gridSpan w:val="8"/>
          </w:tcPr>
          <w:p>
            <w:pPr>
              <w:ind w:left="3300"/>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9"/>
        </w:trPr>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660" w:type="dxa"/>
            <w:vAlign w:val="bottom"/>
          </w:tcPr>
          <w:p>
            <w:pPr>
              <w:ind w:left="1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660" w:type="dxa"/>
            <w:vAlign w:val="bottom"/>
          </w:tcPr>
          <w:p>
            <w:pPr>
              <w:ind w:left="1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66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60" w:type="dxa"/>
            <w:vAlign w:val="bottom"/>
          </w:tcPr>
          <w:p>
            <w:pPr>
              <w:ind w:left="1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9" w:lineRule="exact"/>
        <w:rPr>
          <w:sz w:val="20"/>
          <w:szCs w:val="20"/>
          <w:color w:val="auto"/>
        </w:rPr>
      </w:pPr>
    </w:p>
    <w:p>
      <w:pPr>
        <w:ind w:left="360" w:hanging="357"/>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360" w:hanging="357"/>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860" w:type="dxa"/>
            <w:vAlign w:val="bottom"/>
            <w:gridSpan w:val="2"/>
          </w:tcPr>
          <w:p>
            <w:pPr>
              <w:ind w:left="1340"/>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Dated: November 13, 2019</w:t>
            </w:r>
          </w:p>
        </w:tc>
        <w:tc>
          <w:tcPr>
            <w:tcW w:w="5860" w:type="dxa"/>
            <w:vAlign w:val="bottom"/>
            <w:gridSpan w:val="2"/>
          </w:tcPr>
          <w:p>
            <w:pPr>
              <w:ind w:left="1340"/>
              <w:spacing w:after="0"/>
              <w:rPr>
                <w:sz w:val="20"/>
                <w:szCs w:val="20"/>
                <w:color w:val="auto"/>
              </w:rPr>
            </w:pPr>
            <w:r>
              <w:rPr>
                <w:rFonts w:ascii="Arial" w:cs="Arial" w:eastAsia="Arial" w:hAnsi="Arial"/>
                <w:sz w:val="18"/>
                <w:szCs w:val="18"/>
                <w:color w:val="auto"/>
              </w:rPr>
              <w:t>By:/s/ Claus Juan Møller San Pedro</w:t>
            </w:r>
          </w:p>
        </w:tc>
      </w:tr>
      <w:tr>
        <w:trPr>
          <w:trHeight w:val="195"/>
        </w:trPr>
        <w:tc>
          <w:tcPr>
            <w:tcW w:w="3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40" w:type="dxa"/>
            <w:vAlign w:val="bottom"/>
          </w:tcPr>
          <w:p>
            <w:pPr>
              <w:jc w:val="right"/>
              <w:ind w:right="171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200" w:type="dxa"/>
            <w:vAlign w:val="bottom"/>
          </w:tcPr>
          <w:p>
            <w:pPr>
              <w:spacing w:after="0"/>
              <w:rPr>
                <w:sz w:val="20"/>
                <w:szCs w:val="20"/>
                <w:color w:val="auto"/>
              </w:rPr>
            </w:pPr>
            <w:r>
              <w:rPr>
                <w:rFonts w:ascii="Arial" w:cs="Arial" w:eastAsia="Arial" w:hAnsi="Arial"/>
                <w:sz w:val="18"/>
                <w:szCs w:val="18"/>
                <w:color w:val="auto"/>
              </w:rPr>
              <w:t>Dated: November 13, 2019</w:t>
            </w:r>
          </w:p>
        </w:tc>
        <w:tc>
          <w:tcPr>
            <w:tcW w:w="5860" w:type="dxa"/>
            <w:vAlign w:val="bottom"/>
            <w:gridSpan w:val="2"/>
          </w:tcPr>
          <w:p>
            <w:pPr>
              <w:ind w:left="1340"/>
              <w:spacing w:after="0"/>
              <w:rPr>
                <w:sz w:val="20"/>
                <w:szCs w:val="20"/>
                <w:color w:val="auto"/>
              </w:rPr>
            </w:pPr>
            <w:r>
              <w:rPr>
                <w:rFonts w:ascii="Arial" w:cs="Arial" w:eastAsia="Arial" w:hAnsi="Arial"/>
                <w:sz w:val="18"/>
                <w:szCs w:val="18"/>
                <w:color w:val="auto"/>
              </w:rPr>
              <w:t>By:/s/ Bo Kruse</w:t>
            </w:r>
          </w:p>
        </w:tc>
      </w:tr>
      <w:tr>
        <w:trPr>
          <w:trHeight w:val="195"/>
        </w:trPr>
        <w:tc>
          <w:tcPr>
            <w:tcW w:w="3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40" w:type="dxa"/>
            <w:vAlign w:val="bottom"/>
          </w:tcPr>
          <w:p>
            <w:pPr>
              <w:jc w:val="right"/>
              <w:ind w:right="1710"/>
              <w:spacing w:after="0"/>
              <w:rPr>
                <w:sz w:val="20"/>
                <w:szCs w:val="20"/>
                <w:color w:val="auto"/>
              </w:rPr>
            </w:pPr>
            <w:r>
              <w:rPr>
                <w:rFonts w:ascii="Arial" w:cs="Arial" w:eastAsia="Arial" w:hAnsi="Arial"/>
                <w:sz w:val="18"/>
                <w:szCs w:val="18"/>
                <w:color w:val="auto"/>
              </w:rPr>
              <w:t>(Principal Financial Officer)</w:t>
            </w:r>
          </w:p>
        </w:tc>
      </w:tr>
      <w:tr>
        <w:trPr>
          <w:trHeight w:val="648"/>
        </w:trPr>
        <w:tc>
          <w:tcPr>
            <w:tcW w:w="320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4240" w:type="dxa"/>
            <w:vAlign w:val="bottom"/>
          </w:tcPr>
          <w:p>
            <w:pPr>
              <w:spacing w:after="0"/>
              <w:rPr>
                <w:sz w:val="24"/>
                <w:szCs w:val="24"/>
                <w:color w:val="auto"/>
              </w:rPr>
            </w:pPr>
          </w:p>
        </w:tc>
      </w:tr>
      <w:tr>
        <w:trPr>
          <w:trHeight w:val="1209"/>
        </w:trPr>
        <w:tc>
          <w:tcPr>
            <w:tcW w:w="3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Claus Juan Møller San Pedro certify that:</w:t>
      </w:r>
    </w:p>
    <w:p>
      <w:pPr>
        <w:spacing w:after="0" w:line="225" w:lineRule="exact"/>
        <w:rPr>
          <w:sz w:val="20"/>
          <w:szCs w:val="20"/>
          <w:color w:val="auto"/>
        </w:rPr>
      </w:pPr>
    </w:p>
    <w:p>
      <w:pPr>
        <w:ind w:left="660" w:hanging="333"/>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660" w:right="380" w:hanging="333"/>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333"/>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60" w:right="100" w:hanging="333"/>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400" w:right="60" w:hanging="384"/>
        <w:spacing w:after="0" w:line="259" w:lineRule="auto"/>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00" w:hanging="384"/>
        <w:spacing w:after="0"/>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1400" w:right="160" w:hanging="384"/>
        <w:spacing w:after="0" w:line="264" w:lineRule="auto"/>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00" w:hanging="384"/>
        <w:spacing w:after="0" w:line="259" w:lineRule="auto"/>
        <w:tabs>
          <w:tab w:leader="none" w:pos="14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right="420" w:hanging="333"/>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520" w:right="180" w:hanging="504"/>
        <w:spacing w:after="0" w:line="264" w:lineRule="auto"/>
        <w:tabs>
          <w:tab w:leader="none" w:pos="15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520" w:right="760" w:hanging="504"/>
        <w:spacing w:after="0" w:line="277" w:lineRule="auto"/>
        <w:tabs>
          <w:tab w:leader="none" w:pos="15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Dated: November 13, 2019</w:t>
            </w:r>
          </w:p>
        </w:tc>
        <w:tc>
          <w:tcPr>
            <w:tcW w:w="5780" w:type="dxa"/>
            <w:vAlign w:val="bottom"/>
            <w:gridSpan w:val="2"/>
          </w:tcPr>
          <w:p>
            <w:pPr>
              <w:ind w:left="1260"/>
              <w:spacing w:after="0"/>
              <w:rPr>
                <w:sz w:val="20"/>
                <w:szCs w:val="20"/>
                <w:color w:val="auto"/>
              </w:rPr>
            </w:pPr>
            <w:r>
              <w:rPr>
                <w:rFonts w:ascii="Arial" w:cs="Arial" w:eastAsia="Arial" w:hAnsi="Arial"/>
                <w:sz w:val="18"/>
                <w:szCs w:val="18"/>
                <w:color w:val="auto"/>
              </w:rPr>
              <w:t>By: /s/ Claus Juan Møller San Pedro</w:t>
            </w:r>
          </w:p>
        </w:tc>
      </w:tr>
      <w:tr>
        <w:trPr>
          <w:trHeight w:val="195"/>
        </w:trPr>
        <w:tc>
          <w:tcPr>
            <w:tcW w:w="3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777"/>
        </w:trPr>
        <w:tc>
          <w:tcPr>
            <w:tcW w:w="3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 Kruse, certify that:</w:t>
      </w:r>
    </w:p>
    <w:p>
      <w:pPr>
        <w:spacing w:after="0" w:line="225" w:lineRule="exact"/>
        <w:rPr>
          <w:sz w:val="20"/>
          <w:szCs w:val="20"/>
          <w:color w:val="auto"/>
        </w:rPr>
      </w:pPr>
    </w:p>
    <w:p>
      <w:pPr>
        <w:ind w:left="660" w:hanging="333"/>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660" w:right="380" w:hanging="333"/>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333"/>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60" w:right="100" w:hanging="333"/>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400" w:right="60" w:hanging="317"/>
        <w:spacing w:after="0" w:line="259"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00" w:hanging="317"/>
        <w:spacing w:after="0"/>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1400" w:right="160" w:hanging="317"/>
        <w:spacing w:after="0" w:line="264"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00" w:right="80" w:hanging="317"/>
        <w:spacing w:after="0" w:line="259"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right="420" w:hanging="333"/>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400" w:right="300" w:hanging="317"/>
        <w:spacing w:after="0" w:line="264"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400" w:right="60" w:hanging="317"/>
        <w:spacing w:after="0" w:line="277"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November 13, 2019</w:t>
            </w:r>
          </w:p>
        </w:tc>
        <w:tc>
          <w:tcPr>
            <w:tcW w:w="5760" w:type="dxa"/>
            <w:vAlign w:val="bottom"/>
            <w:gridSpan w:val="2"/>
          </w:tcPr>
          <w:p>
            <w:pPr>
              <w:ind w:left="1240"/>
              <w:spacing w:after="0"/>
              <w:rPr>
                <w:sz w:val="20"/>
                <w:szCs w:val="20"/>
                <w:color w:val="auto"/>
              </w:rPr>
            </w:pPr>
            <w:r>
              <w:rPr>
                <w:rFonts w:ascii="Arial" w:cs="Arial" w:eastAsia="Arial" w:hAnsi="Arial"/>
                <w:sz w:val="18"/>
                <w:szCs w:val="18"/>
                <w:color w:val="auto"/>
              </w:rPr>
              <w:t>By: /s/ Bo Kruse</w:t>
            </w:r>
          </w:p>
        </w:tc>
      </w:tr>
      <w:tr>
        <w:trPr>
          <w:trHeight w:val="195"/>
        </w:trPr>
        <w:tc>
          <w:tcPr>
            <w:tcW w:w="3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777"/>
        </w:trPr>
        <w:tc>
          <w:tcPr>
            <w:tcW w:w="3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00" w:right="460" w:hanging="384"/>
        <w:spacing w:after="0" w:line="286" w:lineRule="auto"/>
        <w:tabs>
          <w:tab w:leader="none" w:pos="14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fiscal quarter ended September 30, 2019 (the “Report”) fully complies with the requirements of Section 13(a) or Section 15(d), as applicable, of the Securities Exchange Act of 1934, as amended; and</w:t>
      </w:r>
    </w:p>
    <w:p>
      <w:pPr>
        <w:spacing w:after="0" w:line="165" w:lineRule="exact"/>
        <w:rPr>
          <w:rFonts w:ascii="Arial" w:cs="Arial" w:eastAsia="Arial" w:hAnsi="Arial"/>
          <w:sz w:val="17"/>
          <w:szCs w:val="17"/>
          <w:color w:val="auto"/>
        </w:rPr>
      </w:pPr>
    </w:p>
    <w:p>
      <w:pPr>
        <w:ind w:left="1400" w:right="20" w:hanging="384"/>
        <w:spacing w:after="0" w:line="277"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November 13, 2019</w:t>
            </w:r>
          </w:p>
        </w:tc>
        <w:tc>
          <w:tcPr>
            <w:tcW w:w="5760" w:type="dxa"/>
            <w:vAlign w:val="bottom"/>
            <w:gridSpan w:val="2"/>
          </w:tcPr>
          <w:p>
            <w:pPr>
              <w:ind w:left="1240"/>
              <w:spacing w:after="0"/>
              <w:rPr>
                <w:sz w:val="20"/>
                <w:szCs w:val="20"/>
                <w:color w:val="auto"/>
              </w:rPr>
            </w:pPr>
            <w:r>
              <w:rPr>
                <w:rFonts w:ascii="Arial" w:cs="Arial" w:eastAsia="Arial" w:hAnsi="Arial"/>
                <w:sz w:val="18"/>
                <w:szCs w:val="18"/>
                <w:color w:val="auto"/>
              </w:rPr>
              <w:t>By: /s/ Claus Juan Møller San Pedro</w:t>
            </w:r>
          </w:p>
        </w:tc>
      </w:tr>
      <w:tr>
        <w:trPr>
          <w:trHeight w:val="195"/>
        </w:trPr>
        <w:tc>
          <w:tcPr>
            <w:tcW w:w="3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777"/>
        </w:trPr>
        <w:tc>
          <w:tcPr>
            <w:tcW w:w="3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00" w:hanging="384"/>
        <w:spacing w:after="0" w:line="264" w:lineRule="auto"/>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September 30, 2019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00" w:right="20" w:hanging="384"/>
        <w:spacing w:after="0" w:line="277" w:lineRule="auto"/>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November 13, 2019</w:t>
            </w:r>
          </w:p>
        </w:tc>
        <w:tc>
          <w:tcPr>
            <w:tcW w:w="5760" w:type="dxa"/>
            <w:vAlign w:val="bottom"/>
            <w:gridSpan w:val="2"/>
          </w:tcPr>
          <w:p>
            <w:pPr>
              <w:ind w:left="1240"/>
              <w:spacing w:after="0"/>
              <w:rPr>
                <w:sz w:val="20"/>
                <w:szCs w:val="20"/>
                <w:color w:val="auto"/>
              </w:rPr>
            </w:pPr>
            <w:r>
              <w:rPr>
                <w:rFonts w:ascii="Arial" w:cs="Arial" w:eastAsia="Arial" w:hAnsi="Arial"/>
                <w:sz w:val="18"/>
                <w:szCs w:val="18"/>
                <w:color w:val="auto"/>
              </w:rPr>
              <w:t>By: /s/ Bo Kruse</w:t>
            </w:r>
          </w:p>
        </w:tc>
      </w:tr>
      <w:tr>
        <w:trPr>
          <w:trHeight w:val="195"/>
        </w:trPr>
        <w:tc>
          <w:tcPr>
            <w:tcW w:w="3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777"/>
        </w:trPr>
        <w:tc>
          <w:tcPr>
            <w:tcW w:w="3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lowerRoman"/>
      <w:start w:val="1"/>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17" Type="http://schemas.openxmlformats.org/officeDocument/2006/relationships/hyperlink" Target="http://www.sec.gov/Archives/edgar/data/1722964/000110465918058483/a18-5676_14ex3d1.htm" TargetMode="External"/><Relationship Id="rId118" Type="http://schemas.openxmlformats.org/officeDocument/2006/relationships/hyperlink" Target="http://www.sec.gov/Archives/edgar/data/1722964/000104746918005786/a2236551zex-3_4.htm" TargetMode="External"/><Relationship Id="rId119" Type="http://schemas.openxmlformats.org/officeDocument/2006/relationships/hyperlink" Target="http://www.sec.gov/Archives/edgar/data/1722964/000104746918005786/a2236551zex-10_9.htm" TargetMode="External"/><Relationship Id="rId120" Type="http://schemas.openxmlformats.org/officeDocument/2006/relationships/hyperlink" Target="http://www.sec.gov/Archives/edgar/data/1722964/000104746918005786/a2236551zex-10_10.htm" TargetMode="External"/><Relationship Id="rId121" Type="http://schemas.openxmlformats.org/officeDocument/2006/relationships/hyperlink" Target="http://www.sec.gov/Archives/edgar/data/1722964/000104746918005786/a2236551zex-10_16.htm" TargetMode="External"/><Relationship Id="rId122" Type="http://schemas.openxmlformats.org/officeDocument/2006/relationships/hyperlink" Target="http://www.sec.gov/Archives/edgar/data/1722964/000104746918005786/a2236551zex-10_17.htm" TargetMode="External"/><Relationship Id="rId123" Type="http://schemas.openxmlformats.org/officeDocument/2006/relationships/hyperlink" Target="http://www.sec.gov/Archives/edgar/data/1722964/000104746918005786/a2236551zex-10_18.htm" TargetMode="External"/><Relationship Id="rId124" Type="http://schemas.openxmlformats.org/officeDocument/2006/relationships/hyperlink" Target="http://www.sec.gov/Archives/edgar/data/1722964/000104746918005786/a2236551z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2019-12-28T01:45:00Z</dcterms:created>
  <dcterms:modified xsi:type="dcterms:W3CDTF">2019-12-28T01:45:00Z</dcterms:modified>
</cp:coreProperties>
</file>