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12,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0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July 12, 2022, Y-mAbs Therapeutics, Inc., (the “Company”) issued a press release announcing initiation of the Company’s first clinical trial with a SADA construct. A copy of the press release is attached hereto as Exhibit 99.1.</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 Exhibits</w:t>
            </w:r>
          </w:p>
        </w:tc>
      </w:tr>
      <w:tr>
        <w:trPr>
          <w:trHeight w:val="439"/>
        </w:trPr>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July 12, 2022,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56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July 12, 2022</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By:/s/ Thomas Gad</w:t>
            </w:r>
          </w:p>
        </w:tc>
      </w:tr>
      <w:tr>
        <w:trPr>
          <w:trHeight w:val="191"/>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156845</wp:posOffset>
            </wp:positionV>
            <wp:extent cx="291465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Y-mAbs’ Announces Clearance of IND for GD2-SADA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York, NY, July 12, 2022 (GLOBE NEWSWIRE) – Y-mAbs Therapeutics, Inc. (the “Company” or “Y-mAbs”) (Nasdaq: YMAB) a commercial-stage biopharmaceutical company focused on the development and commercialization of novel, antibody-based therapeutic products for the treatment of cancer, today announced initiation of its first clinical trial with a SADA construct. This Phase 1 multicenter basket trial targets malignant melanoma, sarcoma and small cell lung cancer. The trial will have three parts: Part A with dose-finding for the SADA molecule and testing of dosing intervals between the protein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and the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 xml:space="preserve">Lu-DOTA payload, Part B will determine the optimal dose of </w:t>
      </w:r>
      <w:r>
        <w:rPr>
          <w:rFonts w:ascii="Times New Roman" w:cs="Times New Roman" w:eastAsia="Times New Roman" w:hAnsi="Times New Roman"/>
          <w:sz w:val="29"/>
          <w:szCs w:val="29"/>
          <w:color w:val="auto"/>
          <w:vertAlign w:val="superscript"/>
        </w:rPr>
        <w:t>177</w:t>
      </w:r>
      <w:r>
        <w:rPr>
          <w:rFonts w:ascii="Times New Roman" w:cs="Times New Roman" w:eastAsia="Times New Roman" w:hAnsi="Times New Roman"/>
          <w:sz w:val="18"/>
          <w:szCs w:val="18"/>
          <w:color w:val="auto"/>
        </w:rPr>
        <w:t>Lu-DOTA, and Part C will be evaluating safety and initial signals of efficacy using repeated dosing. The Company expects a total of approximately 59 patients at 6-10 U.S. sites to be included in the trial.</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GD2-SADA construct was created using our SADA technology, which was licensed by the Company from Memorial Sloan Kettering Cancer Center (“MSK”) and Massachusetts Institute of Technology (“MIT”) in April 2020. The SADA technology utilizes a pre-targeted payload delivery method where antibody constructs assemble in tetramers and bind to the tumor target. Unbound constructs predictably disassemble into smaller antibody fragments and are excreted through the kidneys within hours after administration. In a second infusion, a radioactive payload binds to the antibody constructs attached to the tumor target in order to radiate the tumor. This provides the possibility of targeting tumors with precision while minimizing radiation of normal tissues. We believe that the SADA technology platform can deliver a variety of payloads and could potentially be developed against multiple tumor targets, as well as for theragnostic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acceptance of the IND for GD2-SADA marks an important milestone towards our mission of developing novel SADA treatments as we continue to execute our clinical development strategy for our pipeline of SADA constructs for the treatment of cancers with unmet medical need,” said Thomas Gad, founder, President and Interim CEO. “We are seeing significant partnership interest for the SADA technology and we believe we are well-positioned to leverage the SADA platform as we move forward. We are truly excited about the potential of the SADA technology, which has already shown great promise, and we believe that it can further unlock the potential of radiolabeled therapeutics in tumors that have not historically demonstrated meaningful responses to radiolabeled agents.”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Researchers at MSK, including Dr. Cheung, developed the SADA technology for radioimmunotherapy, which is exclusively licensed by MSK to Y-mAbs. Dr. Cheung has intellectual property rights and interests in the technology, and as a result of this licensing arrangement, MSK has institutional financial interests in the technology and in Y-mAbs.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OMBLASTYS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4399915</wp:posOffset>
            </wp:positionH>
            <wp:positionV relativeFrom="page">
              <wp:posOffset>586105</wp:posOffset>
            </wp:positionV>
            <wp:extent cx="291465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914650" cy="48006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its variants such as Delta and Omicron, risks associated with Russia’s recent invasion of Ukraine and other risks and uncertainties affecting the Company including those described in the "Risk Factors" section included in our Annual Report on Form 10-K for the year ended December 31, 2021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OMBLASTYS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and Y-mAbs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62785" cy="1114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2785" cy="111442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2022-07-12T08:22:30Z</dcterms:created>
  <dcterms:modified xsi:type="dcterms:W3CDTF">2022-07-12T08:22:30Z</dcterms:modified>
</cp:coreProperties>
</file>