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77470</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15"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89535</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28" w:lineRule="exact"/>
        <w:rPr>
          <w:sz w:val="24"/>
          <w:szCs w:val="24"/>
          <w:color w:val="auto"/>
        </w:rPr>
      </w:pPr>
    </w:p>
    <w:p>
      <w:pPr>
        <w:ind w:left="400" w:hanging="397"/>
        <w:spacing w:after="0"/>
        <w:tabs>
          <w:tab w:leader="none" w:pos="4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2" w:lineRule="exact"/>
        <w:rPr>
          <w:sz w:val="24"/>
          <w:szCs w:val="24"/>
          <w:color w:val="auto"/>
        </w:rPr>
      </w:pPr>
    </w:p>
    <w:p>
      <w:pPr>
        <w:ind w:left="400" w:hanging="397"/>
        <w:spacing w:after="0"/>
        <w:tabs>
          <w:tab w:leader="none" w:pos="4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220"/>
        <w:spacing w:after="0"/>
        <w:tabs>
          <w:tab w:leader="none" w:pos="5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84455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1"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Y</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mAbs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77470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p>
      <w:pPr>
        <w:spacing w:after="0" w:line="257" w:lineRule="exact"/>
        <w:rPr>
          <w:sz w:val="24"/>
          <w:szCs w:val="24"/>
          <w:color w:val="auto"/>
        </w:rPr>
      </w:pPr>
    </w:p>
    <w:p>
      <w:pPr>
        <w:ind w:left="19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47</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4619612</w:t>
      </w:r>
    </w:p>
    <w:p>
      <w:pPr>
        <w:spacing w:after="0" w:line="211" w:lineRule="exact"/>
        <w:rPr>
          <w:sz w:val="24"/>
          <w:szCs w:val="24"/>
          <w:color w:val="auto"/>
        </w:rPr>
      </w:pPr>
    </w:p>
    <w:p>
      <w:pPr>
        <w:sectPr>
          <w:pgSz w:w="11900" w:h="16838" w:orient="portrait"/>
          <w:cols w:equalWidth="0" w:num="2">
            <w:col w:w="5740" w:space="720"/>
            <w:col w:w="2600"/>
          </w:cols>
          <w:pgMar w:left="1420" w:top="233" w:right="1419" w:bottom="1440" w:gutter="0" w:footer="0" w:header="0"/>
          <w:type w:val="continuous"/>
        </w:sectPr>
      </w:pPr>
    </w:p>
    <w:p>
      <w:pPr>
        <w:spacing w:after="0" w:line="37" w:lineRule="exact"/>
        <w:rPr>
          <w:sz w:val="24"/>
          <w:szCs w:val="24"/>
          <w:color w:val="auto"/>
        </w:rPr>
      </w:pPr>
    </w:p>
    <w:p>
      <w:pPr>
        <w:ind w:left="1300"/>
        <w:spacing w:after="0"/>
        <w:rPr>
          <w:sz w:val="20"/>
          <w:szCs w:val="20"/>
          <w:color w:val="auto"/>
        </w:rPr>
      </w:pPr>
      <w:r>
        <w:rPr>
          <w:rFonts w:ascii="Arial" w:cs="Arial" w:eastAsia="Arial" w:hAnsi="Arial"/>
          <w:sz w:val="15"/>
          <w:szCs w:val="15"/>
          <w:color w:val="auto"/>
        </w:rPr>
        <w:t>(State or other jurisdiction of</w:t>
      </w:r>
    </w:p>
    <w:p>
      <w:pPr>
        <w:spacing w:after="0" w:line="34" w:lineRule="exact"/>
        <w:rPr>
          <w:sz w:val="24"/>
          <w:szCs w:val="24"/>
          <w:color w:val="auto"/>
        </w:rPr>
      </w:pPr>
    </w:p>
    <w:p>
      <w:pPr>
        <w:ind w:left="12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ind w:left="6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117" w:lineRule="exact"/>
        <w:rPr>
          <w:sz w:val="24"/>
          <w:szCs w:val="24"/>
          <w:color w:val="auto"/>
        </w:rPr>
      </w:pPr>
    </w:p>
    <w:p>
      <w:pPr>
        <w:sectPr>
          <w:pgSz w:w="11900" w:h="16838" w:orient="portrait"/>
          <w:cols w:equalWidth="0" w:num="2">
            <w:col w:w="5520" w:space="720"/>
            <w:col w:w="2820"/>
          </w:cols>
          <w:pgMar w:left="1420" w:top="233" w:right="14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230 Park Avenue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w:t>
      </w:r>
      <w:r>
        <w:rPr>
          <w:rFonts w:ascii="Arial" w:cs="Arial" w:eastAsia="Arial" w:hAnsi="Arial"/>
          <w:sz w:val="8"/>
          <w:szCs w:val="8"/>
          <w:b w:val="1"/>
          <w:bCs w:val="1"/>
          <w:color w:val="auto"/>
        </w:rPr>
        <w:t>rd</w:t>
      </w:r>
      <w:r>
        <w:rPr>
          <w:rFonts w:ascii="Arial" w:cs="Arial" w:eastAsia="Arial" w:hAnsi="Arial"/>
          <w:sz w:val="16"/>
          <w:szCs w:val="16"/>
          <w:b w:val="1"/>
          <w:bCs w:val="1"/>
          <w:color w:val="auto"/>
        </w:rPr>
        <w:t xml:space="preserve"> Floor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10169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9060"/>
          </w:cols>
          <w:pgMar w:left="1420" w:top="233" w:right="1419" w:bottom="1440" w:gutter="0" w:footer="0" w:header="0"/>
          <w:type w:val="continuous"/>
        </w:sectPr>
      </w:pPr>
    </w:p>
    <w:p>
      <w:pPr>
        <w:spacing w:after="0" w:line="92"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b w:val="1"/>
          <w:bCs w:val="1"/>
          <w:color w:val="auto"/>
        </w:rPr>
        <w:t>(646)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885</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8505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273050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0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360"/>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9060"/>
          </w:cols>
          <w:pgMar w:left="1420" w:top="233" w:right="1419" w:bottom="1440" w:gutter="0" w:footer="0" w:header="0"/>
          <w:type w:val="continuous"/>
        </w:sectPr>
      </w:pPr>
    </w:p>
    <w:p>
      <w:pPr>
        <w:spacing w:after="0" w:line="63" w:lineRule="exact"/>
        <w:rPr>
          <w:sz w:val="24"/>
          <w:szCs w:val="24"/>
          <w:color w:val="auto"/>
        </w:rPr>
      </w:pPr>
    </w:p>
    <w:p>
      <w:pPr>
        <w:ind w:left="14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5500" w:space="720"/>
            <w:col w:w="2840"/>
          </w:cols>
          <w:pgMar w:left="1420" w:top="233" w:right="1419" w:bottom="1440" w:gutter="0" w:footer="0" w:header="0"/>
          <w:type w:val="continuous"/>
        </w:sectPr>
      </w:pPr>
    </w:p>
    <w:p>
      <w:pPr>
        <w:spacing w:after="0" w:line="44" w:lineRule="exact"/>
        <w:rPr>
          <w:sz w:val="24"/>
          <w:szCs w:val="24"/>
          <w:color w:val="auto"/>
        </w:rPr>
      </w:pPr>
    </w:p>
    <w:p>
      <w:pPr>
        <w:ind w:left="14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5140" w:space="720"/>
            <w:col w:w="3200"/>
          </w:cols>
          <w:pgMar w:left="1420" w:top="233" w:right="141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4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There were 34,193,666 shares of Common Stock ($0.0001 par value) outstanding as of November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189865</wp:posOffset>
            </wp:positionV>
            <wp:extent cx="57543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498475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79" w:firstLine="648"/>
        <w:spacing w:after="0" w:line="272"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25" w:lineRule="exact"/>
        <w:rPr>
          <w:sz w:val="20"/>
          <w:szCs w:val="20"/>
          <w:color w:val="auto"/>
        </w:rPr>
      </w:pPr>
    </w:p>
    <w:p>
      <w:pPr>
        <w:ind w:left="980" w:right="599" w:hanging="329"/>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our plans to develop and commercialize our lead product candidates and other product candidates, including the potential benefits thereof;</w:t>
      </w:r>
    </w:p>
    <w:p>
      <w:pPr>
        <w:spacing w:after="0" w:line="146" w:lineRule="exact"/>
        <w:rPr>
          <w:rFonts w:ascii="Arial" w:cs="Arial" w:eastAsia="Arial" w:hAnsi="Arial"/>
          <w:sz w:val="17"/>
          <w:szCs w:val="17"/>
          <w:color w:val="auto"/>
        </w:rPr>
      </w:pPr>
    </w:p>
    <w:p>
      <w:pPr>
        <w:ind w:left="980" w:right="5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future clinical trials for our lead product candidates, whether conducted by us or by any of our collaborators, including the timing of initiation of these trials and of the anticipated results;</w:t>
      </w:r>
    </w:p>
    <w:p>
      <w:pPr>
        <w:spacing w:after="0" w:line="170" w:lineRule="exact"/>
        <w:rPr>
          <w:rFonts w:ascii="Arial" w:cs="Arial" w:eastAsia="Arial" w:hAnsi="Arial"/>
          <w:sz w:val="18"/>
          <w:szCs w:val="18"/>
          <w:color w:val="auto"/>
        </w:rPr>
      </w:pPr>
    </w:p>
    <w:p>
      <w:pPr>
        <w:ind w:left="980" w:right="599" w:hanging="329"/>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and of the anticipated results;</w:t>
      </w:r>
    </w:p>
    <w:p>
      <w:pPr>
        <w:spacing w:after="0" w:line="181" w:lineRule="exact"/>
        <w:rPr>
          <w:rFonts w:ascii="Arial" w:cs="Arial" w:eastAsia="Arial" w:hAnsi="Arial"/>
          <w:sz w:val="18"/>
          <w:szCs w:val="18"/>
          <w:color w:val="auto"/>
        </w:rPr>
      </w:pPr>
    </w:p>
    <w:p>
      <w:pPr>
        <w:ind w:left="980" w:right="63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and marketing approvals for our product candidates;</w:t>
      </w:r>
    </w:p>
    <w:p>
      <w:pPr>
        <w:spacing w:after="0" w:line="170" w:lineRule="exact"/>
        <w:rPr>
          <w:rFonts w:ascii="Arial" w:cs="Arial" w:eastAsia="Arial" w:hAnsi="Arial"/>
          <w:sz w:val="18"/>
          <w:szCs w:val="18"/>
          <w:color w:val="auto"/>
        </w:rPr>
      </w:pPr>
    </w:p>
    <w:p>
      <w:pPr>
        <w:ind w:left="980" w:right="2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980" w:right="51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980" w:right="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70" w:lineRule="exact"/>
        <w:rPr>
          <w:rFonts w:ascii="Arial" w:cs="Arial" w:eastAsia="Arial" w:hAnsi="Arial"/>
          <w:sz w:val="18"/>
          <w:szCs w:val="18"/>
          <w:color w:val="auto"/>
        </w:rPr>
      </w:pPr>
    </w:p>
    <w:p>
      <w:pPr>
        <w:ind w:left="980" w:right="11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170" w:lineRule="exact"/>
        <w:rPr>
          <w:rFonts w:ascii="Arial" w:cs="Arial" w:eastAsia="Arial" w:hAnsi="Arial"/>
          <w:sz w:val="18"/>
          <w:szCs w:val="18"/>
          <w:color w:val="auto"/>
        </w:rPr>
      </w:pPr>
    </w:p>
    <w:p>
      <w:pPr>
        <w:ind w:left="980" w:right="103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expenses, future revenue,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requirements and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w:t>
      </w:r>
    </w:p>
    <w:p>
      <w:pPr>
        <w:spacing w:after="0" w:line="2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Borders>
              <w:bottom w:val="single" w:sz="8" w:color="0000EE"/>
            </w:tcBorders>
            <w:gridSpan w:val="9"/>
          </w:tcPr>
          <w:p>
            <w:pPr>
              <w:jc w:val="center"/>
              <w:spacing w:after="0" w:line="170"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000" w:type="dxa"/>
            <w:vAlign w:val="bottom"/>
            <w:gridSpan w:val="5"/>
          </w:tcPr>
          <w:p>
            <w:pPr>
              <w:spacing w:after="0"/>
              <w:rPr>
                <w:sz w:val="14"/>
                <w:szCs w:val="14"/>
                <w:color w:val="auto"/>
              </w:rPr>
            </w:pPr>
          </w:p>
        </w:tc>
        <w:tc>
          <w:tcPr>
            <w:tcW w:w="660" w:type="dxa"/>
            <w:vAlign w:val="bottom"/>
          </w:tcPr>
          <w:p>
            <w:pPr>
              <w:spacing w:after="0"/>
              <w:rPr>
                <w:sz w:val="14"/>
                <w:szCs w:val="1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7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w:t>
              </w:r>
            </w:hyperlink>
            <w:r>
              <w:rPr>
                <w:rFonts w:ascii="Arial" w:cs="Arial" w:eastAsia="Arial" w:hAnsi="Arial"/>
                <w:sz w:val="18"/>
                <w:szCs w:val="18"/>
                <w:color w:val="000000"/>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September 30, 2018 (unaudited) and December 31, 2017</w:t>
              </w:r>
            </w:hyperlink>
          </w:p>
        </w:tc>
        <w:tc>
          <w:tcPr>
            <w:tcW w:w="8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Net Loss and Comprehensive Loss for the three and nine months ended</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2018 and 2017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Stockholders’ Equity</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nine months ended September 30, 2018 and 2017</w:t>
              </w:r>
            </w:hyperlink>
          </w:p>
        </w:tc>
        <w:tc>
          <w:tcPr>
            <w:tcW w:w="4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440" w:type="dxa"/>
            <w:vAlign w:val="bottom"/>
            <w:gridSpan w:val="2"/>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440" w:type="dxa"/>
            <w:vAlign w:val="bottom"/>
            <w:gridSpan w:val="2"/>
          </w:tcPr>
          <w:p>
            <w:pPr>
              <w:spacing w:after="0"/>
              <w:rPr>
                <w:sz w:val="17"/>
                <w:szCs w:val="17"/>
                <w:color w:val="auto"/>
              </w:rPr>
            </w:pPr>
          </w:p>
        </w:tc>
        <w:tc>
          <w:tcPr>
            <w:tcW w:w="44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3"/>
          </w:tcPr>
          <w:p>
            <w:pPr>
              <w:spacing w:after="0"/>
              <w:rPr>
                <w:sz w:val="17"/>
                <w:szCs w:val="17"/>
                <w:color w:val="auto"/>
              </w:rPr>
            </w:pPr>
          </w:p>
        </w:tc>
        <w:tc>
          <w:tcPr>
            <w:tcW w:w="9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74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2"/>
          </w:tcPr>
          <w:p>
            <w:pPr>
              <w:jc w:val="center"/>
              <w:ind w:right="216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1000" w:type="dxa"/>
            <w:vAlign w:val="bottom"/>
            <w:gridSpan w:val="4"/>
          </w:tcPr>
          <w:p>
            <w:pPr>
              <w:spacing w:after="0"/>
              <w:rPr>
                <w:sz w:val="24"/>
                <w:szCs w:val="24"/>
                <w:color w:val="auto"/>
              </w:rPr>
            </w:pPr>
          </w:p>
        </w:tc>
        <w:tc>
          <w:tcPr>
            <w:tcW w:w="2940" w:type="dxa"/>
            <w:vAlign w:val="bottom"/>
            <w:tcBorders>
              <w:top w:val="single" w:sz="8" w:color="0000EE"/>
            </w:tcBorders>
            <w:gridSpan w:val="6"/>
          </w:tcPr>
          <w:p>
            <w:pPr>
              <w:spacing w:after="0"/>
              <w:rPr>
                <w:sz w:val="24"/>
                <w:szCs w:val="24"/>
                <w:color w:val="auto"/>
              </w:rPr>
            </w:pPr>
          </w:p>
        </w:tc>
        <w:tc>
          <w:tcPr>
            <w:tcW w:w="21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74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Unregistered Sales of Equity Securities and Use of Proceeds</w:t>
              </w:r>
            </w:hyperlink>
          </w:p>
        </w:tc>
        <w:tc>
          <w:tcPr>
            <w:tcW w:w="308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Item 3.</w:t>
              </w:r>
            </w:hyperlink>
          </w:p>
        </w:tc>
        <w:tc>
          <w:tcPr>
            <w:tcW w:w="440" w:type="dxa"/>
            <w:vAlign w:val="bottom"/>
            <w:gridSpan w:val="2"/>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Defaults Upon Senior Securities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Item 4.</w:t>
              </w:r>
            </w:hyperlink>
          </w:p>
        </w:tc>
        <w:tc>
          <w:tcPr>
            <w:tcW w:w="44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12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Item 5.</w:t>
              </w:r>
            </w:hyperlink>
          </w:p>
        </w:tc>
        <w:tc>
          <w:tcPr>
            <w:tcW w:w="440" w:type="dxa"/>
            <w:vAlign w:val="bottom"/>
            <w:gridSpan w:val="2"/>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Other Information</w:t>
              </w:r>
            </w:hyperlink>
          </w:p>
        </w:tc>
        <w:tc>
          <w:tcPr>
            <w:tcW w:w="61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Item 6.</w:t>
              </w:r>
            </w:hyperlink>
          </w:p>
        </w:tc>
        <w:tc>
          <w:tcPr>
            <w:tcW w:w="440" w:type="dxa"/>
            <w:vAlign w:val="bottom"/>
            <w:gridSpan w:val="2"/>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r>
      <w:tr>
        <w:trPr>
          <w:trHeight w:val="142"/>
        </w:trPr>
        <w:tc>
          <w:tcPr>
            <w:tcW w:w="6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10"/>
        </w:trPr>
        <w:tc>
          <w:tcPr>
            <w:tcW w:w="68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166,044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91,355</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166,394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milestone and royalty payments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3"/>
              </w:rPr>
              <w:t>Preferred stock, $0.0001 par value, 5,500,000 shares authorized at September 30, 2018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December 31, 2017; None issued at September 30, 2018 and December 31, 2017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$0.0001 par value, 100,000,000 and 50,000,000 shares authorized at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0"/>
              </w:rPr>
              <w:t>September 30, 2018 and December 31, 2017, respectively; 34,193,666 and 26,749,666 shares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issued at September 30, 2018, and December 31, 2017, respectively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225,848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123,879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(70,775)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(41,561)</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r>
      <w:tr>
        <w:trPr>
          <w:trHeight w:val="217"/>
        </w:trPr>
        <w:tc>
          <w:tcPr>
            <w:tcW w:w="68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166,394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 September 30,</w:t>
            </w:r>
          </w:p>
        </w:tc>
        <w:tc>
          <w:tcPr>
            <w:tcW w:w="20" w:type="dxa"/>
            <w:vAlign w:val="bottom"/>
          </w:tcPr>
          <w:p>
            <w:pPr>
              <w:spacing w:after="0"/>
              <w:rPr>
                <w:sz w:val="14"/>
                <w:szCs w:val="14"/>
                <w:color w:val="auto"/>
              </w:rPr>
            </w:pPr>
          </w:p>
        </w:tc>
        <w:tc>
          <w:tcPr>
            <w:tcW w:w="228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42"/>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8,731</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3,076</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23,228</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7,682</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60" w:type="dxa"/>
            <w:vAlign w:val="bottom"/>
            <w:shd w:val="clear" w:color="auto" w:fill="CCEEFF"/>
          </w:tcPr>
          <w:p>
            <w:pPr>
              <w:spacing w:after="0"/>
              <w:rPr>
                <w:sz w:val="18"/>
                <w:szCs w:val="18"/>
                <w:color w:val="auto"/>
              </w:rPr>
            </w:pPr>
          </w:p>
        </w:tc>
      </w:tr>
      <w:tr>
        <w:trPr>
          <w:trHeight w:val="210"/>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29,152</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6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60" w:type="dxa"/>
            <w:vAlign w:val="bottom"/>
            <w:shd w:val="clear" w:color="auto" w:fill="CCEEFF"/>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OTHER INCOME/(EXPENSES)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r>
      <w:tr>
        <w:trPr>
          <w:trHeight w:val="217"/>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(11,426)</w:t>
            </w: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60" w:type="dxa"/>
            <w:vAlign w:val="bottom"/>
            <w:tcBorders>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75"/>
        </w:trPr>
        <w:tc>
          <w:tcPr>
            <w:tcW w:w="4280" w:type="dxa"/>
            <w:vAlign w:val="bottom"/>
          </w:tcPr>
          <w:p>
            <w:pPr>
              <w:spacing w:after="0" w:line="176" w:lineRule="exact"/>
              <w:rPr>
                <w:sz w:val="20"/>
                <w:szCs w:val="20"/>
                <w:color w:val="auto"/>
              </w:rPr>
            </w:pPr>
            <w:r>
              <w:rPr>
                <w:rFonts w:ascii="Arial" w:cs="Arial" w:eastAsia="Arial" w:hAnsi="Arial"/>
                <w:sz w:val="18"/>
                <w:szCs w:val="18"/>
                <w:color w:val="auto"/>
                <w:w w:val="95"/>
              </w:rPr>
              <w:t>Net loss per share attributable to common stockholders,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basic and 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r>
      <w:tr>
        <w:trPr>
          <w:trHeight w:val="182"/>
        </w:trPr>
        <w:tc>
          <w:tcPr>
            <w:tcW w:w="4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Weighted average common shares outstanding, basic and</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27,330,579</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17,945,198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26,945,432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17,745,854</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9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0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(Loss)/Income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26,749,666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(41,561)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182"/>
        </w:trPr>
        <w:tc>
          <w:tcPr>
            <w:tcW w:w="3140" w:type="dxa"/>
            <w:vAlign w:val="bottom"/>
          </w:tcPr>
          <w:p>
            <w:pPr>
              <w:ind w:left="220"/>
              <w:spacing w:after="0" w:line="182" w:lineRule="exact"/>
              <w:rPr>
                <w:sz w:val="20"/>
                <w:szCs w:val="20"/>
                <w:color w:val="auto"/>
              </w:rPr>
            </w:pPr>
            <w:r>
              <w:rPr>
                <w:rFonts w:ascii="Arial" w:cs="Arial" w:eastAsia="Arial" w:hAnsi="Arial"/>
                <w:sz w:val="18"/>
                <w:szCs w:val="18"/>
                <w:color w:val="auto"/>
              </w:rPr>
              <w:t>Issuance of common stock in initial</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20"/>
              <w:spacing w:after="0"/>
              <w:rPr>
                <w:sz w:val="20"/>
                <w:szCs w:val="20"/>
                <w:color w:val="auto"/>
              </w:rPr>
            </w:pPr>
            <w:r>
              <w:rPr>
                <w:rFonts w:ascii="Arial" w:cs="Arial" w:eastAsia="Arial" w:hAnsi="Arial"/>
                <w:sz w:val="18"/>
                <w:szCs w:val="18"/>
                <w:color w:val="auto"/>
                <w:w w:val="99"/>
              </w:rPr>
              <w:t>public offering,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100,498</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w w:val="99"/>
              </w:rPr>
              <w:t>Stock-based compensation 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(29,214)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(29,214)</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34,193,666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(70,775)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155,028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3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7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(29,214)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(9,907)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Foreign currency transactions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r>
      <w:tr>
        <w:trPr>
          <w:trHeight w:val="217"/>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120" w:type="dxa"/>
            <w:vAlign w:val="bottom"/>
            <w:tcBorders>
              <w:bottom w:val="single" w:sz="8" w:color="CCEEFF"/>
            </w:tcBorders>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24,458</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Payment of offering costs for private placement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3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tcBorders>
              <w:bottom w:val="single" w:sz="8" w:color="CCEEFF"/>
            </w:tcBorders>
          </w:tcPr>
          <w:p>
            <w:pPr>
              <w:spacing w:after="0"/>
              <w:rPr>
                <w:sz w:val="18"/>
                <w:szCs w:val="18"/>
                <w:color w:val="auto"/>
              </w:rPr>
            </w:pPr>
          </w:p>
        </w:tc>
      </w:tr>
      <w:tr>
        <w:trPr>
          <w:trHeight w:val="21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163,323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issuance cost in accounts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18"/>
                <w:szCs w:val="18"/>
                <w:color w:val="auto"/>
              </w:rPr>
            </w:pPr>
          </w:p>
        </w:tc>
      </w:tr>
      <w:tr>
        <w:trPr>
          <w:trHeight w:val="182"/>
        </w:trPr>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offering costs included in other assets and accounts payable and accrued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right="600" w:firstLine="648"/>
        <w:spacing w:after="0" w:line="221" w:lineRule="exact"/>
        <w:rPr>
          <w:sz w:val="20"/>
          <w:szCs w:val="20"/>
          <w:color w:val="auto"/>
        </w:rPr>
      </w:pPr>
      <w:r>
        <w:rPr>
          <w:rFonts w:ascii="Arial" w:cs="Arial" w:eastAsia="Arial" w:hAnsi="Arial"/>
          <w:sz w:val="18"/>
          <w:szCs w:val="18"/>
          <w:color w:val="auto"/>
        </w:rPr>
        <w:t>Y</w:t>
      </w:r>
      <w:r>
        <w:rPr>
          <w:rFonts w:ascii="MS PGothic" w:cs="MS PGothic" w:eastAsia="MS PGothic" w:hAnsi="MS PGothic"/>
          <w:sz w:val="18"/>
          <w:szCs w:val="18"/>
          <w:color w:val="auto"/>
        </w:rPr>
        <w:t>‑</w:t>
      </w:r>
      <w:r>
        <w:rPr>
          <w:rFonts w:ascii="Arial" w:cs="Arial" w:eastAsia="Arial" w:hAnsi="Arial"/>
          <w:sz w:val="18"/>
          <w:szCs w:val="18"/>
          <w:color w:val="auto"/>
        </w:rPr>
        <w:t>mAbs Therapeutics, Inc. (“we,” “us,” “our,” the “Company,” or “Y</w:t>
      </w:r>
      <w:r>
        <w:rPr>
          <w:rFonts w:ascii="MS PGothic" w:cs="MS PGothic" w:eastAsia="MS PGothic" w:hAnsi="MS PGothic"/>
          <w:sz w:val="18"/>
          <w:szCs w:val="18"/>
          <w:color w:val="auto"/>
        </w:rPr>
        <w:t>‑</w:t>
      </w:r>
      <w:r>
        <w:rPr>
          <w:rFonts w:ascii="Arial" w:cs="Arial" w:eastAsia="Arial" w:hAnsi="Arial"/>
          <w:sz w:val="18"/>
          <w:szCs w:val="18"/>
          <w:color w:val="auto"/>
        </w:rPr>
        <w:t>mAbs”) is a late-stage clinical biopharmaceutical company focused on the development and commercialization of novel, antibody-based therapeutic products for the treatment of cancer.</w:t>
      </w:r>
    </w:p>
    <w:p>
      <w:pPr>
        <w:spacing w:after="0" w:line="202" w:lineRule="exact"/>
        <w:rPr>
          <w:sz w:val="20"/>
          <w:szCs w:val="20"/>
          <w:color w:val="auto"/>
        </w:rPr>
      </w:pPr>
    </w:p>
    <w:p>
      <w:pPr>
        <w:ind w:right="220" w:firstLine="648"/>
        <w:spacing w:after="0" w:line="218" w:lineRule="exact"/>
        <w:rPr>
          <w:sz w:val="20"/>
          <w:szCs w:val="20"/>
          <w:color w:val="auto"/>
        </w:rPr>
      </w:pPr>
      <w:r>
        <w:rPr>
          <w:rFonts w:ascii="Arial" w:cs="Arial" w:eastAsia="Arial" w:hAnsi="Arial"/>
          <w:sz w:val="16"/>
          <w:szCs w:val="16"/>
          <w:color w:val="auto"/>
        </w:rPr>
        <w:t>We have entered into a worldwide license and research collaboration agreement (the “MSK License Agreement”) with Memorial Sloan</w:t>
      </w:r>
      <w:r>
        <w:rPr>
          <w:rFonts w:ascii="MS PGothic" w:cs="MS PGothic" w:eastAsia="MS PGothic" w:hAnsi="MS PGothic"/>
          <w:sz w:val="16"/>
          <w:szCs w:val="16"/>
          <w:color w:val="auto"/>
        </w:rPr>
        <w:t>‑</w:t>
      </w:r>
      <w:r>
        <w:rPr>
          <w:rFonts w:ascii="Arial" w:cs="Arial" w:eastAsia="Arial" w:hAnsi="Arial"/>
          <w:sz w:val="16"/>
          <w:szCs w:val="16"/>
          <w:color w:val="auto"/>
        </w:rPr>
        <w:t>Kettering Cancer Center (“MSK”) our strategic partner, under which we have obtained the exclusive rights to MSK’s rights to two clinical stage antibody</w:t>
      </w:r>
      <w:r>
        <w:rPr>
          <w:rFonts w:ascii="MS PGothic" w:cs="MS PGothic" w:eastAsia="MS PGothic" w:hAnsi="MS PGothic"/>
          <w:sz w:val="16"/>
          <w:szCs w:val="16"/>
          <w:color w:val="auto"/>
        </w:rPr>
        <w:t>‑</w:t>
      </w:r>
      <w:r>
        <w:rPr>
          <w:rFonts w:ascii="Arial" w:cs="Arial" w:eastAsia="Arial" w:hAnsi="Arial"/>
          <w:sz w:val="16"/>
          <w:szCs w:val="16"/>
          <w:color w:val="auto"/>
        </w:rPr>
        <w:t>based product development programs for the treatment of neuroblastoma and other oncology indications. The MSK License Agreement also includes a protein Multimerization Platform Technology—MULTI TAG</w:t>
      </w:r>
      <w:r>
        <w:rPr>
          <w:rFonts w:ascii="Arial" w:cs="Arial" w:eastAsia="Arial" w:hAnsi="Arial"/>
          <w:sz w:val="7"/>
          <w:szCs w:val="7"/>
          <w:color w:val="auto"/>
        </w:rPr>
        <w:t>TM</w:t>
      </w:r>
      <w:r>
        <w:rPr>
          <w:rFonts w:ascii="Arial" w:cs="Arial" w:eastAsia="Arial" w:hAnsi="Arial"/>
          <w:sz w:val="16"/>
          <w:szCs w:val="16"/>
          <w:color w:val="auto"/>
        </w:rPr>
        <w:t>, and an option to obtain the rights to certain chimeric antigen receptor T</w:t>
      </w:r>
      <w:r>
        <w:rPr>
          <w:rFonts w:ascii="MS PGothic" w:cs="MS PGothic" w:eastAsia="MS PGothic" w:hAnsi="MS PGothic"/>
          <w:sz w:val="16"/>
          <w:szCs w:val="16"/>
          <w:color w:val="auto"/>
        </w:rPr>
        <w:t>‑</w:t>
      </w:r>
      <w:r>
        <w:rPr>
          <w:rFonts w:ascii="Arial" w:cs="Arial" w:eastAsia="Arial" w:hAnsi="Arial"/>
          <w:sz w:val="16"/>
          <w:szCs w:val="16"/>
          <w:color w:val="auto"/>
        </w:rPr>
        <w:t>cell, or CAR</w:t>
      </w:r>
      <w:r>
        <w:rPr>
          <w:rFonts w:ascii="MS PGothic" w:cs="MS PGothic" w:eastAsia="MS PGothic" w:hAnsi="MS PGothic"/>
          <w:sz w:val="16"/>
          <w:szCs w:val="16"/>
          <w:color w:val="auto"/>
        </w:rPr>
        <w:t>‑</w:t>
      </w:r>
      <w:r>
        <w:rPr>
          <w:rFonts w:ascii="Arial" w:cs="Arial" w:eastAsia="Arial" w:hAnsi="Arial"/>
          <w:sz w:val="16"/>
          <w:szCs w:val="16"/>
          <w:color w:val="auto"/>
        </w:rPr>
        <w:t>T, technologies, as well as rights to next</w:t>
      </w:r>
      <w:r>
        <w:rPr>
          <w:rFonts w:ascii="MS PGothic" w:cs="MS PGothic" w:eastAsia="MS PGothic" w:hAnsi="MS PGothic"/>
          <w:sz w:val="16"/>
          <w:szCs w:val="16"/>
          <w:color w:val="auto"/>
        </w:rPr>
        <w:t>‑</w:t>
      </w:r>
      <w:r>
        <w:rPr>
          <w:rFonts w:ascii="Arial" w:cs="Arial" w:eastAsia="Arial" w:hAnsi="Arial"/>
          <w:sz w:val="16"/>
          <w:szCs w:val="16"/>
          <w:color w:val="auto"/>
        </w:rPr>
        <w:t>generation humanized, affinity matured bispecific antibodies.</w:t>
      </w:r>
    </w:p>
    <w:p>
      <w:pPr>
        <w:spacing w:after="0" w:line="20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w:t>
      </w:r>
      <w:r>
        <w:rPr>
          <w:rFonts w:ascii="MS PGothic" w:cs="MS PGothic" w:eastAsia="MS PGothic" w:hAnsi="MS PGothic"/>
          <w:sz w:val="17"/>
          <w:szCs w:val="17"/>
          <w:color w:val="auto"/>
        </w:rPr>
        <w:t>‑</w:t>
      </w:r>
      <w:r>
        <w:rPr>
          <w:rFonts w:ascii="Arial" w:cs="Arial" w:eastAsia="Arial" w:hAnsi="Arial"/>
          <w:sz w:val="17"/>
          <w:szCs w:val="17"/>
          <w:color w:val="auto"/>
        </w:rPr>
        <w:t>reporting capabilities.</w:t>
      </w:r>
    </w:p>
    <w:p>
      <w:pPr>
        <w:spacing w:after="0" w:line="20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$70.8 million as of September 30, 2018 and $41.6 million as of December 31, 2017. Through September 30, 2018, the Company has funded its operations through proceeds from sales of shares of its common stock, including its initial public offering, or IPO, in September 2018. As of September 30, 2018, the Company had cash and cash equivalents of $163.3 million, and as of December 31, 2017 the Company had cash and cash equivalents of $90.5 million. As of the issuance date of the quarterly financial statements for the three and nine months ended September 30, 2018, the Company expects that its cash and cash equivalents at September 30, 2018 will be sufficient to fund its operating expenses and capital expenditure requirements through at least the next twelve months. The future viability of the Company, until such time that the Company has commercialized any of its products, is dependent on its ability to raise additional capital to finance its operations. The Company’s failure to raise capital as and when needed could have a negative impact on its financial condition and ability to pursue its business strategies.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accompanying unaudited consolidated financial statements reflect the accounts of the Company and its wholly</w:t>
      </w:r>
      <w:r>
        <w:rPr>
          <w:rFonts w:ascii="MS PGothic" w:cs="MS PGothic" w:eastAsia="MS PGothic" w:hAnsi="MS PGothic"/>
          <w:sz w:val="17"/>
          <w:szCs w:val="17"/>
          <w:color w:val="auto"/>
        </w:rPr>
        <w:t>‑</w:t>
      </w:r>
      <w:r>
        <w:rPr>
          <w:rFonts w:ascii="Arial" w:cs="Arial" w:eastAsia="Arial" w:hAnsi="Arial"/>
          <w:sz w:val="17"/>
          <w:szCs w:val="17"/>
          <w:color w:val="auto"/>
        </w:rPr>
        <w:t>owned subsidiary and have been prepared in accordance with accounting principles generally accepted in the United States of America (“GAAP”) for interim financial information, Accounting Standards Codification (ASC) Topic 270-10 and with the instructions to Form 10-Q. Accordingly, these financial statements do not include all of the information and notes required by GAAP for complete financial statements. The unaudited interim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nine-month periods ended September 30, 2018 are not necessarily indicative of the results that may be expected for the year ended December 31, 2018, any other interim periods, or any future year or period. The December 31, 2017 consolidated balance sheet data was derived from audited financial statements, but does not include all disclosures required by GAAP. You should read these unaudited interim condensed consolidated financial statements in conjunction with the consolidated financial statements and notes included in our final prospectus for our initial public offering, or IPO, filed pursuant to Rule 424(b)(4) under the Securities Act with the SEC on September 24,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ind w:right="120" w:firstLine="648"/>
        <w:spacing w:after="0" w:line="223" w:lineRule="exact"/>
        <w:rPr>
          <w:sz w:val="20"/>
          <w:szCs w:val="20"/>
          <w:color w:val="auto"/>
        </w:rPr>
      </w:pPr>
      <w:r>
        <w:rPr>
          <w:rFonts w:ascii="Arial" w:cs="Arial" w:eastAsia="Arial" w:hAnsi="Arial"/>
          <w:sz w:val="18"/>
          <w:szCs w:val="18"/>
          <w:color w:val="auto"/>
        </w:rPr>
        <w:t>The Company considers all highly</w:t>
      </w:r>
      <w:r>
        <w:rPr>
          <w:rFonts w:ascii="MS PGothic" w:cs="MS PGothic" w:eastAsia="MS PGothic" w:hAnsi="MS PGothic"/>
          <w:sz w:val="18"/>
          <w:szCs w:val="18"/>
          <w:color w:val="auto"/>
        </w:rPr>
        <w:t>‑</w:t>
      </w:r>
      <w:r>
        <w:rPr>
          <w:rFonts w:ascii="Arial" w:cs="Arial" w:eastAsia="Arial" w:hAnsi="Arial"/>
          <w:sz w:val="18"/>
          <w:szCs w:val="18"/>
          <w:color w:val="auto"/>
        </w:rPr>
        <w:t>liquid investments with maturities of three months or less from date of purchase to be cash equivalents.</w:t>
      </w:r>
    </w:p>
    <w:p>
      <w:pPr>
        <w:spacing w:after="0" w:line="20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Restricted cash represents a bank account with funds to cover the Company’s corporate credit card availability.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00" w:firstLine="648"/>
        <w:spacing w:after="0" w:line="224" w:lineRule="exact"/>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 is recognized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life of each asset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5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980" w:type="dxa"/>
            <w:vAlign w:val="bottom"/>
            <w:gridSpan w:val="2"/>
          </w:tcPr>
          <w:p>
            <w:pPr>
              <w:ind w:left="1440"/>
              <w:spacing w:after="0"/>
              <w:rPr>
                <w:sz w:val="20"/>
                <w:szCs w:val="20"/>
                <w:color w:val="auto"/>
              </w:rPr>
            </w:pPr>
            <w:r>
              <w:rPr>
                <w:rFonts w:ascii="Arial" w:cs="Arial" w:eastAsia="Arial" w:hAnsi="Arial"/>
                <w:sz w:val="18"/>
                <w:szCs w:val="18"/>
                <w:color w:val="auto"/>
                <w:w w:val="93"/>
              </w:rPr>
              <w:t>Shorter of life of lease or 15 years</w:t>
            </w:r>
          </w:p>
        </w:tc>
      </w:tr>
    </w:tbl>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225"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ASC 360, Property, Plant and Equipment, addresses the financial accounting and reporting for impairment or disposal of long</w:t>
      </w:r>
      <w:r>
        <w:rPr>
          <w:rFonts w:ascii="MS PGothic" w:cs="MS PGothic" w:eastAsia="MS PGothic" w:hAnsi="MS PGothic"/>
          <w:sz w:val="18"/>
          <w:szCs w:val="18"/>
          <w:color w:val="auto"/>
        </w:rPr>
        <w:t>‑</w:t>
      </w:r>
      <w:r>
        <w:rPr>
          <w:rFonts w:ascii="Arial" w:cs="Arial" w:eastAsia="Arial" w:hAnsi="Arial"/>
          <w:sz w:val="18"/>
          <w:szCs w:val="18"/>
          <w:color w:val="auto"/>
        </w:rPr>
        <w:t>lived assets. The Company reviews the recorded values of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changes in business circumstance indicate that the carrying amount of an asset or group of assets may not be fully recoverable.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Company capitalizes certain legal, professional accounting and other third</w:t>
      </w:r>
      <w:r>
        <w:rPr>
          <w:rFonts w:ascii="MS PGothic" w:cs="MS PGothic" w:eastAsia="MS PGothic" w:hAnsi="MS PGothic"/>
          <w:sz w:val="16"/>
          <w:szCs w:val="16"/>
          <w:color w:val="auto"/>
        </w:rPr>
        <w:t>‑</w:t>
      </w:r>
      <w:r>
        <w:rPr>
          <w:rFonts w:ascii="Arial" w:cs="Arial" w:eastAsia="Arial" w:hAnsi="Arial"/>
          <w:sz w:val="16"/>
          <w:szCs w:val="16"/>
          <w:color w:val="auto"/>
        </w:rPr>
        <w:t>party fees that are directly associated with in</w:t>
      </w:r>
      <w:r>
        <w:rPr>
          <w:rFonts w:ascii="MS PGothic" w:cs="MS PGothic" w:eastAsia="MS PGothic" w:hAnsi="MS PGothic"/>
          <w:sz w:val="16"/>
          <w:szCs w:val="16"/>
          <w:color w:val="auto"/>
        </w:rPr>
        <w:t>‑</w:t>
      </w:r>
      <w:r>
        <w:rPr>
          <w:rFonts w:ascii="Arial" w:cs="Arial" w:eastAsia="Arial" w:hAnsi="Arial"/>
          <w:sz w:val="16"/>
          <w:szCs w:val="16"/>
          <w:color w:val="auto"/>
        </w:rPr>
        <w:t>process equity financings as deferred offering costs within other assets until such financings are consummated. After consummation of the equity financing, these costs are recorded in shareholders’ equity as a reduction of proceeds generated as a result of the offering. Should the planned equity financing be abandoned, the deferred offering costs will be expensed immediately as a charge to operating expenses in the consolidated statement of comprehensive loss. The Company did not record any deferred offering costs as of September 30, 2018. The Company recorded deferred offering costs of $0.8 million as of December 31, 2017. Accounts payable and accrued liabilities at December 31, 2017 included $0.2 million of deferred offering costs. These deferred offering costs were reclassified to shareholders’ equity upon the successful completion of the Company’s IPO during the quarter ended September 30,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170"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In accordance with guidance issued by Financial Accounting Standards Board (“FASB”), companies should make and disclose a policy election as to whether they will recognize deferred taxes for basis differences expected to reverse as Global Intangible Low</w:t>
      </w:r>
      <w:r>
        <w:rPr>
          <w:rFonts w:ascii="MS PGothic" w:cs="MS PGothic" w:eastAsia="MS PGothic" w:hAnsi="MS PGothic"/>
          <w:sz w:val="17"/>
          <w:szCs w:val="17"/>
          <w:color w:val="auto"/>
        </w:rPr>
        <w:t>‑</w:t>
      </w:r>
      <w:r>
        <w:rPr>
          <w:rFonts w:ascii="Arial" w:cs="Arial" w:eastAsia="Arial" w:hAnsi="Arial"/>
          <w:sz w:val="17"/>
          <w:szCs w:val="17"/>
          <w:color w:val="auto"/>
        </w:rPr>
        <w:t>Taxed Income (“GILTI”) or whether they will account for GILTI as period costs if and when incurred. The Company has elected to recognize the resulting tax with respect to the GILTI provision as a period cost. No costs were incurred by the Company through September 30, 2018 as a result of GILTI.</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88" w:lineRule="auto"/>
        <w:rPr>
          <w:sz w:val="20"/>
          <w:szCs w:val="20"/>
          <w:color w:val="auto"/>
        </w:rPr>
      </w:pPr>
      <w:r>
        <w:rPr>
          <w:rFonts w:ascii="Arial" w:cs="Arial" w:eastAsia="Arial" w:hAnsi="Arial"/>
          <w:sz w:val="16"/>
          <w:szCs w:val="16"/>
          <w:color w:val="auto"/>
        </w:rPr>
        <w:t>manufacturing and clinical research organizations and additional product development,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and MabVax based upon the resolution of certain contingencies. The Company records the milestone and royalty payment when the achievement of the milestone or payment of the milestone or royalty is probable and the amount of the payment is reasonably estimable. Research and development costs were $8.7 million and $3.1 million for the three months ended September 30, 2018 and 2017, respectively, and $23.2 million and $7.7 million for the nine months ended September 30, 2018 and 2017,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expenses the costs of obtaining and maintaining patents as general and administrative expenses.</w:t>
      </w:r>
    </w:p>
    <w:p>
      <w:pPr>
        <w:spacing w:after="0" w:line="24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jc w:val="both"/>
        <w:ind w:right="59" w:firstLine="648"/>
        <w:spacing w:after="0" w:line="220" w:lineRule="exact"/>
        <w:rPr>
          <w:sz w:val="20"/>
          <w:szCs w:val="20"/>
          <w:color w:val="auto"/>
        </w:rPr>
      </w:pPr>
      <w:r>
        <w:rPr>
          <w:rFonts w:ascii="Arial" w:cs="Arial" w:eastAsia="Arial" w:hAnsi="Arial"/>
          <w:sz w:val="16"/>
          <w:szCs w:val="16"/>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w:t>
      </w:r>
      <w:r>
        <w:rPr>
          <w:rFonts w:ascii="MS PGothic" w:cs="MS PGothic" w:eastAsia="MS PGothic" w:hAnsi="MS PGothic"/>
          <w:sz w:val="16"/>
          <w:szCs w:val="16"/>
          <w:color w:val="auto"/>
        </w:rPr>
        <w:t>‑</w:t>
      </w:r>
      <w:r>
        <w:rPr>
          <w:rFonts w:ascii="Arial" w:cs="Arial" w:eastAsia="Arial" w:hAnsi="Arial"/>
          <w:sz w:val="16"/>
          <w:szCs w:val="16"/>
          <w:color w:val="auto"/>
        </w:rPr>
        <w:t>based vesting conditions and records the expense for these awards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requisite service period.</w:t>
      </w:r>
    </w:p>
    <w:p>
      <w:pPr>
        <w:spacing w:after="0" w:line="203" w:lineRule="exact"/>
        <w:rPr>
          <w:sz w:val="20"/>
          <w:szCs w:val="20"/>
          <w:color w:val="auto"/>
        </w:rPr>
      </w:pPr>
    </w:p>
    <w:p>
      <w:pPr>
        <w:ind w:right="239" w:firstLine="648"/>
        <w:spacing w:after="0" w:line="220"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the Company’s common shares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w:t>
      </w:r>
    </w:p>
    <w:p>
      <w:pPr>
        <w:spacing w:after="0" w:line="204" w:lineRule="exact"/>
        <w:rPr>
          <w:sz w:val="20"/>
          <w:szCs w:val="20"/>
          <w:color w:val="auto"/>
        </w:rPr>
      </w:pPr>
    </w:p>
    <w:p>
      <w:pPr>
        <w:ind w:right="19" w:firstLine="648"/>
        <w:spacing w:after="0" w:line="217"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Company historically has been a private company and lacks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information for its shares. Therefore, it estimates its expected share price volatility based on the historical volatility of a group of publicly</w:t>
      </w:r>
      <w:r>
        <w:rPr>
          <w:rFonts w:ascii="MS PGothic" w:cs="MS PGothic" w:eastAsia="MS PGothic" w:hAnsi="MS PGothic"/>
          <w:sz w:val="17"/>
          <w:szCs w:val="17"/>
          <w:color w:val="auto"/>
        </w:rPr>
        <w:t>‑</w:t>
      </w:r>
      <w:r>
        <w:rPr>
          <w:rFonts w:ascii="Arial" w:cs="Arial" w:eastAsia="Arial" w:hAnsi="Arial"/>
          <w:sz w:val="17"/>
          <w:szCs w:val="17"/>
          <w:color w:val="auto"/>
        </w:rPr>
        <w:t>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is equal to the contractual term of the option award.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59" w:firstLine="648"/>
        <w:spacing w:after="0" w:line="342" w:lineRule="auto"/>
        <w:rPr>
          <w:sz w:val="20"/>
          <w:szCs w:val="20"/>
          <w:color w:val="auto"/>
        </w:rPr>
      </w:pPr>
      <w:r>
        <w:rPr>
          <w:rFonts w:ascii="Arial" w:cs="Arial" w:eastAsia="Arial" w:hAnsi="Arial"/>
          <w:sz w:val="16"/>
          <w:szCs w:val="16"/>
          <w:color w:val="auto"/>
        </w:rPr>
        <w:t>The Company is engaged solely in the discovery and development of novel antibody-based therapeutic products for the treatment of cancer. Accordingly, the Company has determined that it operates in one operating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159" w:firstLine="648"/>
        <w:spacing w:after="0" w:line="312" w:lineRule="auto"/>
        <w:rPr>
          <w:sz w:val="20"/>
          <w:szCs w:val="20"/>
          <w:color w:val="auto"/>
        </w:rPr>
      </w:pPr>
      <w:r>
        <w:rPr>
          <w:rFonts w:ascii="Arial" w:cs="Arial" w:eastAsia="Arial" w:hAnsi="Arial"/>
          <w:sz w:val="16"/>
          <w:szCs w:val="16"/>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w:t>
      </w:r>
      <w:r>
        <w:rPr>
          <w:rFonts w:ascii="MS PGothic" w:cs="MS PGothic" w:eastAsia="MS PGothic" w:hAnsi="MS PGothic"/>
          <w:sz w:val="18"/>
          <w:szCs w:val="18"/>
          <w:color w:val="auto"/>
        </w:rPr>
        <w:t>‑</w:t>
      </w:r>
      <w:r>
        <w:rPr>
          <w:rFonts w:ascii="Arial" w:cs="Arial" w:eastAsia="Arial" w:hAnsi="Arial"/>
          <w:sz w:val="18"/>
          <w:szCs w:val="18"/>
          <w:color w:val="auto"/>
        </w:rPr>
        <w:t>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In June 2018, the FASB issued ASU No. 2018</w:t>
      </w:r>
      <w:r>
        <w:rPr>
          <w:rFonts w:ascii="MS PGothic" w:cs="MS PGothic" w:eastAsia="MS PGothic" w:hAnsi="MS PGothic"/>
          <w:sz w:val="16"/>
          <w:szCs w:val="16"/>
          <w:color w:val="auto"/>
        </w:rPr>
        <w:t>‑</w:t>
      </w:r>
      <w:r>
        <w:rPr>
          <w:rFonts w:ascii="Arial" w:cs="Arial" w:eastAsia="Arial" w:hAnsi="Arial"/>
          <w:sz w:val="16"/>
          <w:szCs w:val="16"/>
          <w:color w:val="auto"/>
        </w:rPr>
        <w:t>07, Compensation—Stock Compensation (Topic 718), Improvements to Nonemployee Share</w:t>
      </w:r>
      <w:r>
        <w:rPr>
          <w:rFonts w:ascii="MS PGothic" w:cs="MS PGothic" w:eastAsia="MS PGothic" w:hAnsi="MS PGothic"/>
          <w:sz w:val="16"/>
          <w:szCs w:val="16"/>
          <w:color w:val="auto"/>
        </w:rPr>
        <w:t>‑</w:t>
      </w:r>
      <w:r>
        <w:rPr>
          <w:rFonts w:ascii="Arial" w:cs="Arial" w:eastAsia="Arial" w:hAnsi="Arial"/>
          <w:sz w:val="16"/>
          <w:szCs w:val="16"/>
          <w:color w:val="auto"/>
        </w:rPr>
        <w:t>Based Payment Accounting (“ASU 2018</w:t>
      </w:r>
      <w:r>
        <w:rPr>
          <w:rFonts w:ascii="MS PGothic" w:cs="MS PGothic" w:eastAsia="MS PGothic" w:hAnsi="MS PGothic"/>
          <w:sz w:val="16"/>
          <w:szCs w:val="16"/>
          <w:color w:val="auto"/>
        </w:rPr>
        <w:t>‑</w:t>
      </w:r>
      <w:r>
        <w:rPr>
          <w:rFonts w:ascii="Arial" w:cs="Arial" w:eastAsia="Arial" w:hAnsi="Arial"/>
          <w:sz w:val="16"/>
          <w:szCs w:val="16"/>
          <w:color w:val="auto"/>
        </w:rPr>
        <w:t>07”). ASU 2018</w:t>
      </w:r>
      <w:r>
        <w:rPr>
          <w:rFonts w:ascii="MS PGothic" w:cs="MS PGothic" w:eastAsia="MS PGothic" w:hAnsi="MS PGothic"/>
          <w:sz w:val="16"/>
          <w:szCs w:val="16"/>
          <w:color w:val="auto"/>
        </w:rPr>
        <w:t>‑</w:t>
      </w:r>
      <w:r>
        <w:rPr>
          <w:rFonts w:ascii="Arial" w:cs="Arial" w:eastAsia="Arial" w:hAnsi="Arial"/>
          <w:sz w:val="16"/>
          <w:szCs w:val="16"/>
          <w:color w:val="auto"/>
        </w:rPr>
        <w:t>07 is intended to simplify aspects of share</w:t>
      </w:r>
      <w:r>
        <w:rPr>
          <w:rFonts w:ascii="MS PGothic" w:cs="MS PGothic" w:eastAsia="MS PGothic" w:hAnsi="MS PGothic"/>
          <w:sz w:val="16"/>
          <w:szCs w:val="16"/>
          <w:color w:val="auto"/>
        </w:rPr>
        <w:t>‑</w:t>
      </w:r>
      <w:r>
        <w:rPr>
          <w:rFonts w:ascii="Arial" w:cs="Arial" w:eastAsia="Arial" w:hAnsi="Arial"/>
          <w:sz w:val="16"/>
          <w:szCs w:val="16"/>
          <w:color w:val="auto"/>
        </w:rPr>
        <w:t>based compensation issued to non</w:t>
      </w:r>
      <w:r>
        <w:rPr>
          <w:rFonts w:ascii="MS PGothic" w:cs="MS PGothic" w:eastAsia="MS PGothic" w:hAnsi="MS PGothic"/>
          <w:sz w:val="16"/>
          <w:szCs w:val="16"/>
          <w:color w:val="auto"/>
        </w:rPr>
        <w:t>‑</w:t>
      </w:r>
      <w:r>
        <w:rPr>
          <w:rFonts w:ascii="Arial" w:cs="Arial" w:eastAsia="Arial" w:hAnsi="Arial"/>
          <w:sz w:val="16"/>
          <w:szCs w:val="16"/>
          <w:color w:val="auto"/>
        </w:rPr>
        <w:t>employees by making the guidance consistent with the accounting for employee share</w:t>
      </w:r>
      <w:r>
        <w:rPr>
          <w:rFonts w:ascii="MS PGothic" w:cs="MS PGothic" w:eastAsia="MS PGothic" w:hAnsi="MS PGothic"/>
          <w:sz w:val="16"/>
          <w:szCs w:val="16"/>
          <w:color w:val="auto"/>
        </w:rPr>
        <w:t>‑</w:t>
      </w:r>
      <w:r>
        <w:rPr>
          <w:rFonts w:ascii="Arial" w:cs="Arial" w:eastAsia="Arial" w:hAnsi="Arial"/>
          <w:sz w:val="16"/>
          <w:szCs w:val="16"/>
          <w:color w:val="auto"/>
        </w:rPr>
        <w:t>based compensation. ASU 2018</w:t>
      </w:r>
      <w:r>
        <w:rPr>
          <w:rFonts w:ascii="MS PGothic" w:cs="MS PGothic" w:eastAsia="MS PGothic" w:hAnsi="MS PGothic"/>
          <w:sz w:val="16"/>
          <w:szCs w:val="16"/>
          <w:color w:val="auto"/>
        </w:rPr>
        <w:t>‑</w:t>
      </w:r>
      <w:r>
        <w:rPr>
          <w:rFonts w:ascii="Arial" w:cs="Arial" w:eastAsia="Arial" w:hAnsi="Arial"/>
          <w:sz w:val="16"/>
          <w:szCs w:val="16"/>
          <w:color w:val="auto"/>
        </w:rPr>
        <w:t>07 is required to be adopted for annual periods beginning after December 15, 2018, including interim periods within those fiscal years. Early adoption is permitted. The Company does not expect the adoption of ASU 2018</w:t>
      </w:r>
      <w:r>
        <w:rPr>
          <w:rFonts w:ascii="MS PGothic" w:cs="MS PGothic" w:eastAsia="MS PGothic" w:hAnsi="MS PGothic"/>
          <w:sz w:val="16"/>
          <w:szCs w:val="16"/>
          <w:color w:val="auto"/>
        </w:rPr>
        <w:t>‑</w:t>
      </w:r>
      <w:r>
        <w:rPr>
          <w:rFonts w:ascii="Arial" w:cs="Arial" w:eastAsia="Arial" w:hAnsi="Arial"/>
          <w:sz w:val="16"/>
          <w:szCs w:val="16"/>
          <w:color w:val="auto"/>
        </w:rPr>
        <w:t>07 to have a material effect on its consolidated financial statements.</w:t>
      </w:r>
    </w:p>
    <w:p>
      <w:pPr>
        <w:spacing w:after="0" w:line="206"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In May 2017, the FASB issued Accounting Standards Update 2017</w:t>
      </w:r>
      <w:r>
        <w:rPr>
          <w:rFonts w:ascii="MS PGothic" w:cs="MS PGothic" w:eastAsia="MS PGothic" w:hAnsi="MS PGothic"/>
          <w:sz w:val="18"/>
          <w:szCs w:val="18"/>
          <w:color w:val="auto"/>
        </w:rPr>
        <w:t>‑</w:t>
      </w:r>
      <w:r>
        <w:rPr>
          <w:rFonts w:ascii="Arial" w:cs="Arial" w:eastAsia="Arial" w:hAnsi="Arial"/>
          <w:sz w:val="18"/>
          <w:szCs w:val="18"/>
          <w:color w:val="auto"/>
        </w:rPr>
        <w:t>09 (“ASU 2017</w:t>
      </w:r>
      <w:r>
        <w:rPr>
          <w:rFonts w:ascii="MS PGothic" w:cs="MS PGothic" w:eastAsia="MS PGothic" w:hAnsi="MS PGothic"/>
          <w:sz w:val="18"/>
          <w:szCs w:val="18"/>
          <w:color w:val="auto"/>
        </w:rPr>
        <w:t>‑</w:t>
      </w:r>
      <w:r>
        <w:rPr>
          <w:rFonts w:ascii="Arial" w:cs="Arial" w:eastAsia="Arial" w:hAnsi="Arial"/>
          <w:sz w:val="18"/>
          <w:szCs w:val="18"/>
          <w:color w:val="auto"/>
        </w:rPr>
        <w:t>09”), Compensation—Stock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adopted ASU 2017</w:t>
      </w:r>
      <w:r>
        <w:rPr>
          <w:rFonts w:ascii="MS PGothic" w:cs="MS PGothic" w:eastAsia="MS PGothic" w:hAnsi="MS PGothic"/>
          <w:sz w:val="18"/>
          <w:szCs w:val="18"/>
          <w:color w:val="auto"/>
        </w:rPr>
        <w:t>‑</w:t>
      </w:r>
      <w:r>
        <w:rPr>
          <w:rFonts w:ascii="Arial" w:cs="Arial" w:eastAsia="Arial" w:hAnsi="Arial"/>
          <w:sz w:val="18"/>
          <w:szCs w:val="18"/>
          <w:color w:val="auto"/>
        </w:rPr>
        <w:t>09 on January 1, 2018 and will account for any modifications in accordance with ASU 2017</w:t>
      </w:r>
      <w:r>
        <w:rPr>
          <w:rFonts w:ascii="MS PGothic" w:cs="MS PGothic" w:eastAsia="MS PGothic" w:hAnsi="MS PGothic"/>
          <w:sz w:val="18"/>
          <w:szCs w:val="18"/>
          <w:color w:val="auto"/>
        </w:rPr>
        <w:t>‑</w:t>
      </w:r>
      <w:r>
        <w:rPr>
          <w:rFonts w:ascii="Arial" w:cs="Arial" w:eastAsia="Arial" w:hAnsi="Arial"/>
          <w:sz w:val="18"/>
          <w:szCs w:val="18"/>
          <w:color w:val="auto"/>
        </w:rPr>
        <w:t>09 subsequent to the effective date.</w:t>
      </w:r>
    </w:p>
    <w:p>
      <w:pPr>
        <w:spacing w:after="0" w:line="203"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In November 2016, the FASB issued Accounting Standards Update 2016</w:t>
      </w:r>
      <w:r>
        <w:rPr>
          <w:rFonts w:ascii="MS PGothic" w:cs="MS PGothic" w:eastAsia="MS PGothic" w:hAnsi="MS PGothic"/>
          <w:sz w:val="16"/>
          <w:szCs w:val="16"/>
          <w:color w:val="auto"/>
        </w:rPr>
        <w:t>‑</w:t>
      </w:r>
      <w:r>
        <w:rPr>
          <w:rFonts w:ascii="Arial" w:cs="Arial" w:eastAsia="Arial" w:hAnsi="Arial"/>
          <w:sz w:val="16"/>
          <w:szCs w:val="16"/>
          <w:color w:val="auto"/>
        </w:rPr>
        <w:t>18 (“ASU 2016</w:t>
      </w:r>
      <w:r>
        <w:rPr>
          <w:rFonts w:ascii="MS PGothic" w:cs="MS PGothic" w:eastAsia="MS PGothic" w:hAnsi="MS PGothic"/>
          <w:sz w:val="16"/>
          <w:szCs w:val="16"/>
          <w:color w:val="auto"/>
        </w:rPr>
        <w:t>‑</w:t>
      </w:r>
      <w:r>
        <w:rPr>
          <w:rFonts w:ascii="Arial" w:cs="Arial" w:eastAsia="Arial" w:hAnsi="Arial"/>
          <w:sz w:val="16"/>
          <w:szCs w:val="16"/>
          <w:color w:val="auto"/>
        </w:rPr>
        <w:t>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period and 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period total amounts shown on the statement of cash flows. This amendment is effective for fiscal years beginning after December 15, 2017, including interim periods within those fiscal years. Early adoption is permitted, including adoption in an interim period. The adoption of this standard on January 1, 2018 did not have a material impact on our consolidated financial statements and related disclosures.</w:t>
      </w:r>
    </w:p>
    <w:p>
      <w:pPr>
        <w:spacing w:after="0" w:line="205"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8"/>
          <w:szCs w:val="18"/>
          <w:color w:val="auto"/>
        </w:rPr>
        <w:t>In August 2016, the FASB issued Accounting Standards Update 2016</w:t>
      </w:r>
      <w:r>
        <w:rPr>
          <w:rFonts w:ascii="MS PGothic" w:cs="MS PGothic" w:eastAsia="MS PGothic" w:hAnsi="MS PGothic"/>
          <w:sz w:val="18"/>
          <w:szCs w:val="18"/>
          <w:color w:val="auto"/>
        </w:rPr>
        <w:t>‑</w:t>
      </w:r>
      <w:r>
        <w:rPr>
          <w:rFonts w:ascii="Arial" w:cs="Arial" w:eastAsia="Arial" w:hAnsi="Arial"/>
          <w:sz w:val="18"/>
          <w:szCs w:val="18"/>
          <w:color w:val="auto"/>
        </w:rPr>
        <w:t>15 (“ASU 2016</w:t>
      </w:r>
      <w:r>
        <w:rPr>
          <w:rFonts w:ascii="MS PGothic" w:cs="MS PGothic" w:eastAsia="MS PGothic" w:hAnsi="MS PGothic"/>
          <w:sz w:val="18"/>
          <w:szCs w:val="18"/>
          <w:color w:val="auto"/>
        </w:rPr>
        <w:t>‑</w:t>
      </w:r>
      <w:r>
        <w:rPr>
          <w:rFonts w:ascii="Arial" w:cs="Arial" w:eastAsia="Arial" w:hAnsi="Arial"/>
          <w:sz w:val="18"/>
          <w:szCs w:val="18"/>
          <w:color w:val="auto"/>
        </w:rPr>
        <w:t>15”), Classification of Certain Cash Receipts and Cash Payments. ASU 2016</w:t>
      </w:r>
      <w:r>
        <w:rPr>
          <w:rFonts w:ascii="MS PGothic" w:cs="MS PGothic" w:eastAsia="MS PGothic" w:hAnsi="MS PGothic"/>
          <w:sz w:val="18"/>
          <w:szCs w:val="18"/>
          <w:color w:val="auto"/>
        </w:rPr>
        <w:t>‑</w:t>
      </w:r>
      <w:r>
        <w:rPr>
          <w:rFonts w:ascii="Arial" w:cs="Arial" w:eastAsia="Arial" w:hAnsi="Arial"/>
          <w:sz w:val="18"/>
          <w:szCs w:val="18"/>
          <w:color w:val="auto"/>
        </w:rPr>
        <w:t>15 clarifies how certain cash receipts and payments should be presented in the statement of cash flows. The guidance is effective in 2018 with early adoption permitted. The adoption of this standard on January 1, 2018 did not have a material impact on our consolidated financial statements and related disclosures.</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February 2016, the FASB issued Accounting Standards Update No. 2016</w:t>
      </w:r>
      <w:r>
        <w:rPr>
          <w:rFonts w:ascii="MS PGothic" w:cs="MS PGothic" w:eastAsia="MS PGothic" w:hAnsi="MS PGothic"/>
          <w:sz w:val="16"/>
          <w:szCs w:val="16"/>
          <w:color w:val="auto"/>
        </w:rPr>
        <w:t>‑</w:t>
      </w:r>
      <w:r>
        <w:rPr>
          <w:rFonts w:ascii="Arial" w:cs="Arial" w:eastAsia="Arial" w:hAnsi="Arial"/>
          <w:sz w:val="16"/>
          <w:szCs w:val="16"/>
          <w:color w:val="auto"/>
        </w:rPr>
        <w:t>02 (“ASU 2016</w:t>
      </w:r>
      <w:r>
        <w:rPr>
          <w:rFonts w:ascii="MS PGothic" w:cs="MS PGothic" w:eastAsia="MS PGothic" w:hAnsi="MS PGothic"/>
          <w:sz w:val="16"/>
          <w:szCs w:val="16"/>
          <w:color w:val="auto"/>
        </w:rPr>
        <w:t>‑</w:t>
      </w:r>
      <w:r>
        <w:rPr>
          <w:rFonts w:ascii="Arial" w:cs="Arial" w:eastAsia="Arial" w:hAnsi="Arial"/>
          <w:sz w:val="16"/>
          <w:szCs w:val="16"/>
          <w:color w:val="auto"/>
        </w:rPr>
        <w:t>02”), Leases, which is effective for fiscal years, and interim periods within those years, beginning after December 15, 2018 with early adoption permitted. Under ASU 2016</w:t>
      </w:r>
      <w:r>
        <w:rPr>
          <w:rFonts w:ascii="MS PGothic" w:cs="MS PGothic" w:eastAsia="MS PGothic" w:hAnsi="MS PGothic"/>
          <w:sz w:val="16"/>
          <w:szCs w:val="16"/>
          <w:color w:val="auto"/>
        </w:rPr>
        <w:t>‑</w:t>
      </w:r>
      <w:r>
        <w:rPr>
          <w:rFonts w:ascii="Arial" w:cs="Arial" w:eastAsia="Arial" w:hAnsi="Arial"/>
          <w:sz w:val="16"/>
          <w:szCs w:val="16"/>
          <w:color w:val="auto"/>
        </w:rPr>
        <w:t>02, lessees will be required to recognize for all leases, at the commencement date of the lease, a lease liability, which is a lessee’s obligation to make lease payments arising from a lease measured on a discounted basis, and a right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use asset, which is an asset that represents the lessee’s right to use or control the use of a specified asset for the lease term. For leases with a term of twelve months or less, the lessee is permitted to make an accounting policy election by class of underlying asset not to recognize lease assets and lease liabilities. The Company is currently evaluating the effect that the new guidance will have on its financial statements and related disclosures.</w:t>
      </w:r>
    </w:p>
    <w:p>
      <w:pPr>
        <w:spacing w:after="0" w:line="20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July 2018, the FASB issued Accounting Standards Update No. 2018-11 which permits an entity to elect an optional transitional practical expedient to continue to apply ASC 840, Leases, including its disclosure requirements, in the comparative periods presented in the year of adoption of ASU 2016-02. Under this optional practical expedient, which the Company expects to elect, the Company will apply the transition provisions on January 1, 2019 (the date 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adoption). Upon adoption, the Company will be required to recognize a cumulative-effect adjustment to the opening accumulated deficit balance in the year of adoption.</w:t>
      </w:r>
    </w:p>
    <w:p>
      <w:pPr>
        <w:spacing w:after="0" w:line="170"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8"/>
          <w:szCs w:val="18"/>
          <w:color w:val="auto"/>
        </w:rPr>
        <w:t>In November 2015, the FASB issued Accounting Standards Update 2015</w:t>
      </w:r>
      <w:r>
        <w:rPr>
          <w:rFonts w:ascii="MS PGothic" w:cs="MS PGothic" w:eastAsia="MS PGothic" w:hAnsi="MS PGothic"/>
          <w:sz w:val="18"/>
          <w:szCs w:val="18"/>
          <w:color w:val="auto"/>
        </w:rPr>
        <w:t>‑</w:t>
      </w:r>
      <w:r>
        <w:rPr>
          <w:rFonts w:ascii="Arial" w:cs="Arial" w:eastAsia="Arial" w:hAnsi="Arial"/>
          <w:sz w:val="18"/>
          <w:szCs w:val="18"/>
          <w:color w:val="auto"/>
        </w:rPr>
        <w:t>17 (“ASU 2015</w:t>
      </w:r>
      <w:r>
        <w:rPr>
          <w:rFonts w:ascii="MS PGothic" w:cs="MS PGothic" w:eastAsia="MS PGothic" w:hAnsi="MS PGothic"/>
          <w:sz w:val="18"/>
          <w:szCs w:val="18"/>
          <w:color w:val="auto"/>
        </w:rPr>
        <w:t>‑</w:t>
      </w:r>
      <w:r>
        <w:rPr>
          <w:rFonts w:ascii="Arial" w:cs="Arial" w:eastAsia="Arial" w:hAnsi="Arial"/>
          <w:sz w:val="18"/>
          <w:szCs w:val="18"/>
          <w:color w:val="auto"/>
        </w:rPr>
        <w:t>17”), Income Taxes (Topic 740): Balance Sheet Classification of Deferred Taxes. ASU 2015</w:t>
      </w:r>
      <w:r>
        <w:rPr>
          <w:rFonts w:ascii="MS PGothic" w:cs="MS PGothic" w:eastAsia="MS PGothic" w:hAnsi="MS PGothic"/>
          <w:sz w:val="18"/>
          <w:szCs w:val="18"/>
          <w:color w:val="auto"/>
        </w:rPr>
        <w:t>‑</w:t>
      </w:r>
      <w:r>
        <w:rPr>
          <w:rFonts w:ascii="Arial" w:cs="Arial" w:eastAsia="Arial" w:hAnsi="Arial"/>
          <w:sz w:val="18"/>
          <w:szCs w:val="18"/>
          <w:color w:val="auto"/>
        </w:rPr>
        <w:t>17 simplifies current guidance and requires companies to classify all deferred tax assets and liabilities as noncurrent on the balance sheet. ASU 2015</w:t>
      </w:r>
      <w:r>
        <w:rPr>
          <w:rFonts w:ascii="MS PGothic" w:cs="MS PGothic" w:eastAsia="MS PGothic" w:hAnsi="MS PGothic"/>
          <w:sz w:val="18"/>
          <w:szCs w:val="18"/>
          <w:color w:val="auto"/>
        </w:rPr>
        <w:t>‑</w:t>
      </w:r>
      <w:r>
        <w:rPr>
          <w:rFonts w:ascii="Arial" w:cs="Arial" w:eastAsia="Arial" w:hAnsi="Arial"/>
          <w:sz w:val="18"/>
          <w:szCs w:val="18"/>
          <w:color w:val="auto"/>
        </w:rPr>
        <w:t>17 can be applied either prospectively or retrospectively and is effective for periods beginning after December 15, 2016, with early adoption permitted. The adoption of this standard on January 1, 2017 did not have a material impact on our consolidated financial statements and related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4—EARNINGS (LOSS) PER SHARE</w:t>
      </w:r>
    </w:p>
    <w:p>
      <w:pPr>
        <w:spacing w:after="0" w:line="22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Basic earnings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8"/>
          </w:tcPr>
          <w:p>
            <w:pPr>
              <w:ind w:left="42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(29,214)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Weighted-average shares (denominator)</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8"/>
                <w:szCs w:val="18"/>
                <w:color w:val="auto"/>
              </w:rPr>
              <w:t>27,331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8"/>
                <w:szCs w:val="18"/>
                <w:color w:val="auto"/>
              </w:rPr>
              <w:t>26,945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Potentially dilutive securities excluded from the computation of diluted earnings per share relate to stock options outstanding and totaled 2,799,373 shares as of September 30, 2018 and 2,219,000 shares as of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LIABILITIES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Accrued short</w:t>
      </w:r>
      <w:r>
        <w:rPr>
          <w:rFonts w:ascii="MS PGothic" w:cs="MS PGothic" w:eastAsia="MS PGothic" w:hAnsi="MS PGothic"/>
          <w:sz w:val="18"/>
          <w:szCs w:val="18"/>
          <w:color w:val="auto"/>
        </w:rPr>
        <w:t>‑</w:t>
      </w:r>
      <w:r>
        <w:rPr>
          <w:rFonts w:ascii="Arial" w:cs="Arial" w:eastAsia="Arial" w:hAnsi="Arial"/>
          <w:sz w:val="18"/>
          <w:szCs w:val="18"/>
          <w:color w:val="auto"/>
        </w:rPr>
        <w:t>term liabilities at September 30, 2018 and December 31, 2017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340" w:type="dxa"/>
            <w:vAlign w:val="bottom"/>
            <w:gridSpan w:val="4"/>
          </w:tcPr>
          <w:p>
            <w:pPr>
              <w:ind w:left="12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5"/>
          </w:tcPr>
          <w:p>
            <w:pPr>
              <w:jc w:val="right"/>
              <w:ind w:right="453"/>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milestone payments</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costs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compensation and board fees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the consolidated balance sheets for accrued milestone and royalty payments are inclusive of obligations under the MSK License Agreement and CD33 License Agreement, collectively.</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w:t>
      </w:r>
      <w:r>
        <w:rPr>
          <w:rFonts w:ascii="MS PGothic" w:cs="MS PGothic" w:eastAsia="MS PGothic" w:hAnsi="MS PGothic"/>
          <w:sz w:val="18"/>
          <w:szCs w:val="18"/>
          <w:color w:val="auto"/>
        </w:rPr>
        <w:t>‑</w:t>
      </w:r>
      <w:r>
        <w:rPr>
          <w:rFonts w:ascii="Arial" w:cs="Arial" w:eastAsia="Arial" w:hAnsi="Arial"/>
          <w:sz w:val="18"/>
          <w:szCs w:val="18"/>
          <w:color w:val="auto"/>
        </w:rPr>
        <w:t>how to develop, make, and commercialize licensed products and to perform services for all therapeutic and diagnostic uses in the field of cancer diagnostics and cancer treatments.</w:t>
      </w:r>
    </w:p>
    <w:p>
      <w:pPr>
        <w:spacing w:after="0" w:line="204"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The patents and patent applications covered by this agreement are directed, in part, to naxitamab, an anti GD2 antibody, and omburtamab, which is an anti B7</w:t>
      </w:r>
      <w:r>
        <w:rPr>
          <w:rFonts w:ascii="MS PGothic" w:cs="MS PGothic" w:eastAsia="MS PGothic" w:hAnsi="MS PGothic"/>
          <w:sz w:val="17"/>
          <w:szCs w:val="17"/>
          <w:color w:val="auto"/>
        </w:rPr>
        <w:t>‑</w:t>
      </w:r>
      <w:r>
        <w:rPr>
          <w:rFonts w:ascii="Arial" w:cs="Arial" w:eastAsia="Arial" w:hAnsi="Arial"/>
          <w:sz w:val="17"/>
          <w:szCs w:val="17"/>
          <w:color w:val="auto"/>
        </w:rPr>
        <w:t>H3 antibody, as well as affinity matured versions of certain antibodies and certain single chain variable fragments (Fv) constructs, and their use for immunotherapy, targeting the treatment of neuroblastoma and other oncology indications. Upon entering into the MSK License Agreement in 2015 and in exchange for the licenses, we paid MSK an upfront payment, issued 1,428,500 shares of our common stock to MSK and agreed to provide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to MSK. In addition, we are required to pay to MSK certain royalty and milestone payments. We expensed the upfront payment and the issuance of shares to MSK in 2015. We also recorded expense related to common stock issued related to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held by MSK.</w:t>
      </w: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MSK License Agreement requires us to pay to MSK mid to 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w:t>
      </w:r>
    </w:p>
    <w:p>
      <w:pPr>
        <w:spacing w:after="0" w:line="216" w:lineRule="exact"/>
        <w:rPr>
          <w:sz w:val="20"/>
          <w:szCs w:val="20"/>
          <w:color w:val="auto"/>
        </w:rPr>
      </w:pPr>
      <w:r>
        <w:rPr>
          <w:rFonts w:ascii="Arial" w:cs="Arial" w:eastAsia="Arial" w:hAnsi="Arial"/>
          <w:sz w:val="16"/>
          <w:szCs w:val="16"/>
          <w:color w:val="auto"/>
        </w:rPr>
        <w:t>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MSK License Agreement. Total expensed minimum royalty payments in 2016 under the MSK License Agreement were $1,200,000, upon determination that the payment of such minimum royalties was probable and the amount was estimable in 2016. The accrued minimum royalties were recorded as long</w:t>
      </w:r>
      <w:r>
        <w:rPr>
          <w:rFonts w:ascii="MS PGothic" w:cs="MS PGothic" w:eastAsia="MS PGothic" w:hAnsi="MS PGothic"/>
          <w:sz w:val="16"/>
          <w:szCs w:val="16"/>
          <w:color w:val="auto"/>
        </w:rPr>
        <w:t>‑</w:t>
      </w:r>
      <w:r>
        <w:rPr>
          <w:rFonts w:ascii="Arial" w:cs="Arial" w:eastAsia="Arial" w:hAnsi="Arial"/>
          <w:sz w:val="16"/>
          <w:szCs w:val="16"/>
          <w:color w:val="auto"/>
        </w:rPr>
        <w:t>term accrued liabilities as of September 30, 2018 and December 31, 2017. We are also obligated to pay MSK certain clinical, regulatory and sales</w:t>
      </w:r>
      <w:r>
        <w:rPr>
          <w:rFonts w:ascii="MS PGothic" w:cs="MS PGothic" w:eastAsia="MS PGothic" w:hAnsi="MS PGothic"/>
          <w:sz w:val="16"/>
          <w:szCs w:val="16"/>
          <w:color w:val="auto"/>
        </w:rPr>
        <w:t>‑</w:t>
      </w:r>
      <w:r>
        <w:rPr>
          <w:rFonts w:ascii="Arial" w:cs="Arial" w:eastAsia="Arial" w:hAnsi="Arial"/>
          <w:sz w:val="16"/>
          <w:szCs w:val="16"/>
          <w:color w:val="auto"/>
        </w:rPr>
        <w:t>based milestone payments under the MSK License Agreement. Certain of the clinical and regulatory milestone payments become due at the earlier of completion of the related milestone activity or the date indicated in the MSK License Agreement. Total clinical and regulatory milestones potentially due under the MSK License Agreement are $2,450,000 and $9,000,000,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the Company achieve certain amounts of sales of licensed products resulting from the license arrangement with MSK,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$20,000,000.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MSK License Agreement. Failure by the Company to meet certain conditions under the arrangement could cause the related license to such licensed product to be canceled and could result in termination of the entire arrangement with MSK. In addition, the Company may terminate the MSK License Agreement with prior written notice to MSK.</w:t>
      </w:r>
    </w:p>
    <w:p>
      <w:pPr>
        <w:spacing w:after="0" w:line="213"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color w:val="auto"/>
        </w:rPr>
        <w:t>No milestones were expensed in the three and nine months ended September 30, 2018 and the three months ended 2017. The Company expensed $150,000 in milestones in the nine months ended September 30, 2017. As of both September 30, 2018 and December 31, 2017, $875,000 of accrued milestone obligations were recorded in accrued short term liabilities and $300,000 was recorded within long-term liabilities. These milestone</w:t>
      </w:r>
      <w:r>
        <w:rPr>
          <w:rFonts w:ascii="MS PGothic" w:cs="MS PGothic" w:eastAsia="MS PGothic" w:hAnsi="MS PGothic"/>
          <w:sz w:val="17"/>
          <w:szCs w:val="17"/>
          <w:color w:val="auto"/>
        </w:rPr>
        <w:t>‑</w:t>
      </w:r>
      <w:r>
        <w:rPr>
          <w:rFonts w:ascii="Arial" w:cs="Arial" w:eastAsia="Arial" w:hAnsi="Arial"/>
          <w:sz w:val="17"/>
          <w:szCs w:val="17"/>
          <w:color w:val="auto"/>
        </w:rPr>
        <w:t>related charges were recorded as research and development expense in 2016, upon determination that payment of these clinical milestone obligations was probable after satisfying the financing requirements described herein.</w:t>
      </w:r>
    </w:p>
    <w:p>
      <w:pPr>
        <w:spacing w:after="0" w:line="20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r>
        <w:rPr>
          <w:rFonts w:ascii="MS PGothic" w:cs="MS PGothic" w:eastAsia="MS PGothic" w:hAnsi="MS PGothic"/>
          <w:sz w:val="18"/>
          <w:szCs w:val="18"/>
          <w:color w:val="auto"/>
        </w:rPr>
        <w:t>‑</w:t>
      </w:r>
      <w:r>
        <w:rPr>
          <w:rFonts w:ascii="Arial" w:cs="Arial" w:eastAsia="Arial" w:hAnsi="Arial"/>
          <w:sz w:val="18"/>
          <w:szCs w:val="18"/>
          <w:color w:val="auto"/>
        </w:rPr>
        <w:t>based milestone payments, certain of which also contain time</w:t>
      </w:r>
      <w:r>
        <w:rPr>
          <w:rFonts w:ascii="MS PGothic" w:cs="MS PGothic" w:eastAsia="MS PGothic" w:hAnsi="MS PGothic"/>
          <w:sz w:val="18"/>
          <w:szCs w:val="18"/>
          <w:color w:val="auto"/>
        </w:rPr>
        <w:t>‑</w:t>
      </w:r>
      <w:r>
        <w:rPr>
          <w:rFonts w:ascii="Arial" w:cs="Arial" w:eastAsia="Arial" w:hAnsi="Arial"/>
          <w:sz w:val="18"/>
          <w:szCs w:val="18"/>
          <w:color w:val="auto"/>
        </w:rPr>
        <w:t>based payment requirements, were probable. Given the uncertainty associated with research and development and the Company’s ability to cancel the MSK License Agreement, such regulatory</w:t>
      </w:r>
      <w:r>
        <w:rPr>
          <w:rFonts w:ascii="MS PGothic" w:cs="MS PGothic" w:eastAsia="MS PGothic" w:hAnsi="MS PGothic"/>
          <w:sz w:val="18"/>
          <w:szCs w:val="18"/>
          <w:color w:val="auto"/>
        </w:rPr>
        <w:t>‑</w:t>
      </w:r>
      <w:r>
        <w:rPr>
          <w:rFonts w:ascii="Arial" w:cs="Arial" w:eastAsia="Arial" w:hAnsi="Arial"/>
          <w:sz w:val="18"/>
          <w:szCs w:val="18"/>
          <w:color w:val="auto"/>
        </w:rPr>
        <w:t>based obligations were determined not to be probable as of September 30, 2018 and December 31, 2017 and therefore have not been accrued.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On November 13, 2017, we entered into an exclusive license agreement for certain MSK rights in connection with certain CD33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w:t>
      </w:r>
      <w:r>
        <w:rPr>
          <w:rFonts w:ascii="MS PGothic" w:cs="MS PGothic" w:eastAsia="MS PGothic" w:hAnsi="MS PGothic"/>
          <w:sz w:val="16"/>
          <w:szCs w:val="16"/>
          <w:color w:val="auto"/>
        </w:rPr>
        <w:t>‑</w:t>
      </w:r>
      <w:r>
        <w:rPr>
          <w:rFonts w:ascii="Arial" w:cs="Arial" w:eastAsia="Arial" w:hAnsi="Arial"/>
          <w:sz w:val="16"/>
          <w:szCs w:val="16"/>
          <w:color w:val="auto"/>
        </w:rPr>
        <w:t>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the Company achieve certain amounts of sales of licensed products resulting from the CD33 License Agreement with MSK,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w:t>
      </w:r>
    </w:p>
    <w:p>
      <w:pPr>
        <w:spacing w:after="0" w:line="1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which percentage will be based upon the achievement of certain clinical milestones. The Company has not entered into any sublicenses related to the CD33 License Agreement.</w:t>
      </w:r>
    </w:p>
    <w:p>
      <w:pPr>
        <w:spacing w:after="0" w:line="18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No milestones were expensed in the three or nine months ended September 30, 2018 or 2017. None of the clinical milestone obligations previously accrued were paid in the nine months ended September 30, 2018 or 2017, and the total amount accrued in prior periods of $550,000 was recorded as accrued long</w:t>
      </w:r>
      <w:r>
        <w:rPr>
          <w:rFonts w:ascii="MS PGothic" w:cs="MS PGothic" w:eastAsia="MS PGothic" w:hAnsi="MS PGothic"/>
          <w:sz w:val="17"/>
          <w:szCs w:val="17"/>
          <w:color w:val="auto"/>
        </w:rPr>
        <w:t>‑</w:t>
      </w:r>
      <w:r>
        <w:rPr>
          <w:rFonts w:ascii="Arial" w:cs="Arial" w:eastAsia="Arial" w:hAnsi="Arial"/>
          <w:sz w:val="17"/>
          <w:szCs w:val="17"/>
          <w:color w:val="auto"/>
        </w:rPr>
        <w:t>term liabilities as of September 30, 2018 and December 31, 2017. These milestone</w:t>
      </w:r>
      <w:r>
        <w:rPr>
          <w:rFonts w:ascii="MS PGothic" w:cs="MS PGothic" w:eastAsia="MS PGothic" w:hAnsi="MS PGothic"/>
          <w:sz w:val="17"/>
          <w:szCs w:val="17"/>
          <w:color w:val="auto"/>
        </w:rPr>
        <w:t>‑</w:t>
      </w:r>
      <w:r>
        <w:rPr>
          <w:rFonts w:ascii="Arial" w:cs="Arial" w:eastAsia="Arial" w:hAnsi="Arial"/>
          <w:sz w:val="17"/>
          <w:szCs w:val="17"/>
          <w:color w:val="auto"/>
        </w:rPr>
        <w:t>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w:t>
      </w:r>
      <w:r>
        <w:rPr>
          <w:rFonts w:ascii="MS PGothic" w:cs="MS PGothic" w:eastAsia="MS PGothic" w:hAnsi="MS PGothic"/>
          <w:sz w:val="17"/>
          <w:szCs w:val="17"/>
          <w:color w:val="auto"/>
        </w:rPr>
        <w:t>‑</w:t>
      </w:r>
      <w:r>
        <w:rPr>
          <w:rFonts w:ascii="Arial" w:cs="Arial" w:eastAsia="Arial" w:hAnsi="Arial"/>
          <w:sz w:val="17"/>
          <w:szCs w:val="17"/>
          <w:color w:val="auto"/>
        </w:rPr>
        <w:t>based milestone payments and minimum royalty payments, certain of which also contain time</w:t>
      </w:r>
      <w:r>
        <w:rPr>
          <w:rFonts w:ascii="MS PGothic" w:cs="MS PGothic" w:eastAsia="MS PGothic" w:hAnsi="MS PGothic"/>
          <w:sz w:val="17"/>
          <w:szCs w:val="17"/>
          <w:color w:val="auto"/>
        </w:rPr>
        <w:t>‑</w:t>
      </w:r>
      <w:r>
        <w:rPr>
          <w:rFonts w:ascii="Arial" w:cs="Arial" w:eastAsia="Arial" w:hAnsi="Arial"/>
          <w:sz w:val="17"/>
          <w:szCs w:val="17"/>
          <w:color w:val="auto"/>
        </w:rPr>
        <w:t>based payment requirements, were probable. Given the uncertainty associated with research and development and the Company’s ability to cancel the CD33 License Agreement, such obligations were determined not to be probable as of September 30, 2018 and December 31, 2017 and therefore have not been accrued.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MabVax sublicense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27, 2018, the Company has entered a sublicense agreement with MabVax Therapeutics Holding,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(“MabVax”) pursuant to which MabVax has sublicensed to the Company certain of MabVax’s patent rights and know-how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of products for the prevention or treatment of neuroblastoma by means of administering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bi-valent ganglioside vaccine, granted to MabVax pursuant to an exclusive license agreement between MabVax and MSK.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sublicense agreement, the Company has paid a license fee of $700,000 to MabVax and will pay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$600,000 at the first anniversary of the sublicense agreement, provided that no notice of termination has been made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before such date. The initial license fee of $700,000 was expensed and paid upon execution of the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2018, and no expense was recorded in the three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The Company has agreed to become solely responsible for future amounts payable to MSK and to handle other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MabVax’ obligations applicable to the licensed indication towards MSK. This includes the obligation to pay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milestones totaling $1,400,000 and mid single-digit royalty payments to MSK. Research and development is inherently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 and as described above, should such research and development fail, the MabVax sublicense agreement is cancelable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the Company’s option. The Company considered risks as well as each party’s termination rights under the MabVax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sublicense agreement when considering whether any milestone payments and minimum royalty payments were probable.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the uncertainty associated with research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development and the Company’s ability to cancel the MabVax sublicense agreement, such obligations were determined not to be probable as of September 30, 2018 and therefore have not been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Agreement. For the three month periods ended September 30, 2018 and 2017, we incurred research and development expenses of $297,000 and $288,000, respectively, under the SRA. In the nine months ended September 30, 2018 and 2017, we incurred research and development expenses of $891,000 and $865,000, respectively, under the SRA.</w:t>
      </w:r>
    </w:p>
    <w:p>
      <w:pPr>
        <w:spacing w:after="0" w:line="193"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 transferring clinical data, databases, regulatory files and other know</w:t>
      </w:r>
      <w:r>
        <w:rPr>
          <w:rFonts w:ascii="MS PGothic" w:cs="MS PGothic" w:eastAsia="MS PGothic" w:hAnsi="MS PGothic"/>
          <w:sz w:val="16"/>
          <w:szCs w:val="16"/>
          <w:color w:val="auto"/>
        </w:rPr>
        <w:t>‑</w:t>
      </w:r>
      <w:r>
        <w:rPr>
          <w:rFonts w:ascii="Arial" w:cs="Arial" w:eastAsia="Arial" w:hAnsi="Arial"/>
          <w:sz w:val="16"/>
          <w:szCs w:val="16"/>
          <w:color w:val="auto"/>
        </w:rPr>
        <w:t>how included in the MSK License Agreement to the Company. On October 11, 2017 the MDSA was amended to increase the resources to approximately three full time employees. During the three months ended September 30, 2018 and 2017, we incurred expenses of $60,000 and $36,000, respectively, under the MDSA, and in the nine months ended September 30, 2018 and 2017, we incurred expenses of $273,000 and $219,000, respectively, under the MDSA.</w:t>
      </w:r>
    </w:p>
    <w:p>
      <w:pPr>
        <w:spacing w:after="0" w:line="2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 year period. During the three months ended September 30, 2018 and 2017, we incurred expenses of $363,000 and $47,000, respectively, under the CTA, and in the nine months ended September 30, 2018 and 2017, we incurred expenses of $2,504,000 and $47,000, respectively, under the CTA.</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June 27, 2017, we entered into two separate core facility service agreements, which we refer to as the CFAs, with MSK pursuant to which we committed to obtaining certain laboratory services from MSK. During the three months ended September 30, 2018 and 2017, we incurred expenses of $28,000 and $56,000, respectively, under the CFAs, and in the nine months ended September 30, 2018 and 2017, we incurred expenses of $223,000 and $126,000, respectively, under the CTA.</w:t>
      </w:r>
    </w:p>
    <w:p>
      <w:pPr>
        <w:spacing w:after="0" w:line="188" w:lineRule="exact"/>
        <w:rPr>
          <w:sz w:val="20"/>
          <w:szCs w:val="20"/>
          <w:color w:val="auto"/>
        </w:rPr>
      </w:pPr>
    </w:p>
    <w:p>
      <w:pPr>
        <w:ind w:right="360" w:firstLine="648"/>
        <w:spacing w:after="0" w:line="219" w:lineRule="exact"/>
        <w:rPr>
          <w:sz w:val="20"/>
          <w:szCs w:val="20"/>
          <w:color w:val="auto"/>
        </w:rPr>
      </w:pPr>
      <w:r>
        <w:rPr>
          <w:rFonts w:ascii="Arial" w:cs="Arial" w:eastAsia="Arial" w:hAnsi="Arial"/>
          <w:sz w:val="18"/>
          <w:szCs w:val="18"/>
          <w:color w:val="auto"/>
        </w:rPr>
        <w:t>On November 13, 2017, we entered into a CD33</w:t>
      </w:r>
      <w:r>
        <w:rPr>
          <w:rFonts w:ascii="MS PGothic" w:cs="MS PGothic" w:eastAsia="MS PGothic" w:hAnsi="MS PGothic"/>
          <w:sz w:val="18"/>
          <w:szCs w:val="18"/>
          <w:color w:val="auto"/>
        </w:rPr>
        <w:t>‑</w:t>
      </w:r>
      <w:r>
        <w:rPr>
          <w:rFonts w:ascii="Arial" w:cs="Arial" w:eastAsia="Arial" w:hAnsi="Arial"/>
          <w:sz w:val="18"/>
          <w:szCs w:val="18"/>
          <w:color w:val="auto"/>
        </w:rPr>
        <w:t>sponsored research agreement, which we refer to as the CD33</w:t>
      </w:r>
      <w:r>
        <w:rPr>
          <w:rFonts w:ascii="MS PGothic" w:cs="MS PGothic" w:eastAsia="MS PGothic" w:hAnsi="MS PGothic"/>
          <w:sz w:val="18"/>
          <w:szCs w:val="18"/>
          <w:color w:val="auto"/>
        </w:rPr>
        <w:t>‑</w:t>
      </w:r>
      <w:r>
        <w:rPr>
          <w:rFonts w:ascii="Arial" w:cs="Arial" w:eastAsia="Arial" w:hAnsi="Arial"/>
          <w:sz w:val="18"/>
          <w:szCs w:val="18"/>
          <w:color w:val="auto"/>
        </w:rPr>
        <w:t>SRA, with MSK pursuant to which we agreed to pay MSK to provide research services over a period of two years related to the intellectual property licensed under the CD33 License Agreement. During the three and nine months ended September 30, 2018 we incurred research and development expenses of $167,000 and $501,000, respectively, under the CD33</w:t>
      </w:r>
      <w:r>
        <w:rPr>
          <w:rFonts w:ascii="MS PGothic" w:cs="MS PGothic" w:eastAsia="MS PGothic" w:hAnsi="MS PGothic"/>
          <w:sz w:val="18"/>
          <w:szCs w:val="18"/>
          <w:color w:val="auto"/>
        </w:rPr>
        <w:t>‑</w:t>
      </w:r>
      <w:r>
        <w:rPr>
          <w:rFonts w:ascii="Arial" w:cs="Arial" w:eastAsia="Arial" w:hAnsi="Arial"/>
          <w:sz w:val="18"/>
          <w:szCs w:val="18"/>
          <w:color w:val="auto"/>
        </w:rPr>
        <w:t>SRA.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The term of the lease is five years from date the Company begins to occupy the premises. Fixed rent payable under the lease is approximately $384,000 per annum and is payable in equal monthly installments of approximately $32,000, which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w:t>
      </w:r>
    </w:p>
    <w:p>
      <w:pPr>
        <w:spacing w:after="0" w:line="204"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Additionally, the Company entered into a three</w:t>
      </w:r>
      <w:r>
        <w:rPr>
          <w:rFonts w:ascii="MS PGothic" w:cs="MS PGothic" w:eastAsia="MS PGothic" w:hAnsi="MS PGothic"/>
          <w:sz w:val="18"/>
          <w:szCs w:val="18"/>
          <w:color w:val="auto"/>
        </w:rPr>
        <w:t>‑</w:t>
      </w:r>
      <w:r>
        <w:rPr>
          <w:rFonts w:ascii="Arial" w:cs="Arial" w:eastAsia="Arial" w:hAnsi="Arial"/>
          <w:sz w:val="18"/>
          <w:szCs w:val="18"/>
          <w:color w:val="auto"/>
        </w:rPr>
        <w:t>year lease agreement for the lease of certain office space in Denmark in February 2018. The lease is payable in monthly installments of approximately $10,000, which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Until the end of March 2018, the Company, maintained a lease for certain office space in Denmark as further described in Note 9, Related Party Transactions.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of September 30, 2018, the Company has authorized a total of 105,500,000 shares, 100,000,000 of which are to be common stock, par value $0.0001 per stock, and 5,500,000 of which are to preferred stock, par value $0.0001 per share.</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of December 31, 2017, the Company has authorized a total of 55,500,000 shares, 50,000,000 of which are to be common stock, par value $0.0001 per stock, and 5,500,000 of which are to preferred stock, par value $0.0001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34,193,666 shares of its common stock as of September 30, 2018 and 26,749,666 shares of its common stock as of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September 30, 2018 or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common stock for MSK License Agreement</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In connection with the MSK License Agreement, in August 2015 we issued to MSK 1,428,500 shares of our common stock. We also agreed to provide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In 2016, our aggregate equity financing reached $25,000,000 since inception, and we issued to MSK an additional 999,929 shares of our common stock in order to maintain MSK’s 12.5% ownership of the Company. The additional shares were issued at the estimated fair market value of such shares at the time of issuance of $4.38 per share, and the total value of $4,380,000 was charged to expense in the period when the anti</w:t>
      </w:r>
      <w:r>
        <w:rPr>
          <w:rFonts w:ascii="MS PGothic" w:cs="MS PGothic" w:eastAsia="MS PGothic" w:hAnsi="MS PGothic"/>
          <w:sz w:val="17"/>
          <w:szCs w:val="17"/>
          <w:color w:val="auto"/>
        </w:rPr>
        <w:t>‑</w:t>
      </w:r>
      <w:r>
        <w:rPr>
          <w:rFonts w:ascii="Arial" w:cs="Arial" w:eastAsia="Arial" w:hAnsi="Arial"/>
          <w:sz w:val="17"/>
          <w:szCs w:val="17"/>
          <w:color w:val="auto"/>
        </w:rPr>
        <w:t>dilution rights were triggered, with $2,280,000 recognized in 2016. Subsequent to the issuance of such shares and upon achievement of the financing requirement, there are no further anti</w:t>
      </w:r>
      <w:r>
        <w:rPr>
          <w:rFonts w:ascii="MS PGothic" w:cs="MS PGothic" w:eastAsia="MS PGothic" w:hAnsi="MS PGothic"/>
          <w:sz w:val="17"/>
          <w:szCs w:val="17"/>
          <w:color w:val="auto"/>
        </w:rPr>
        <w:t>‑</w:t>
      </w:r>
      <w:r>
        <w:rPr>
          <w:rFonts w:ascii="Arial" w:cs="Arial" w:eastAsia="Arial" w:hAnsi="Arial"/>
          <w:sz w:val="17"/>
          <w:szCs w:val="17"/>
          <w:color w:val="auto"/>
        </w:rPr>
        <w:t>dilution rights due to MSK.</w:t>
      </w:r>
    </w:p>
    <w:p>
      <w:pPr>
        <w:spacing w:after="0" w:line="21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 grant agreements with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August 2015, we entered into certain stock grant agreements with non</w:t>
      </w:r>
      <w:r>
        <w:rPr>
          <w:rFonts w:ascii="MS PGothic" w:cs="MS PGothic" w:eastAsia="MS PGothic" w:hAnsi="MS PGothic"/>
          <w:sz w:val="16"/>
          <w:szCs w:val="16"/>
          <w:color w:val="auto"/>
        </w:rPr>
        <w:t>‑</w:t>
      </w:r>
      <w:r>
        <w:rPr>
          <w:rFonts w:ascii="Arial" w:cs="Arial" w:eastAsia="Arial" w:hAnsi="Arial"/>
          <w:sz w:val="16"/>
          <w:szCs w:val="16"/>
          <w:color w:val="auto"/>
        </w:rPr>
        <w:t>employees of the Company. We agreed to issue a total of 2,800,000 shares to two non</w:t>
      </w:r>
      <w:r>
        <w:rPr>
          <w:rFonts w:ascii="MS PGothic" w:cs="MS PGothic" w:eastAsia="MS PGothic" w:hAnsi="MS PGothic"/>
          <w:sz w:val="16"/>
          <w:szCs w:val="16"/>
          <w:color w:val="auto"/>
        </w:rPr>
        <w:t>‑</w:t>
      </w:r>
      <w:r>
        <w:rPr>
          <w:rFonts w:ascii="Arial" w:cs="Arial" w:eastAsia="Arial" w:hAnsi="Arial"/>
          <w:sz w:val="16"/>
          <w:szCs w:val="16"/>
          <w:color w:val="auto"/>
        </w:rPr>
        <w:t>employee researchers who were involved in the development of technology licensed from MSK in consideration for their prior service. These two researchers were employees of MSK. The shares are released according to a vesting schedule. A total of 560,000 shares were issued in 2015, and a total of 448,000 shares issued in each of 2016 and 2017. In 2018 a total of 448,000 shares were issued to the two researchers, and upon completion of the IPO we issued an additional 96,000 shares. The issuance was made pursuant to a stock grant agreement and did not result in proceeds to the Company. A total of 400,000 shares are to be issued each year thereafter until 2020, such that the total grant will have been issued. The total award was expensed at its estimated fair value in 2015, as no future service was required to continue to vest in and receive the shares of common stock. In August 2016, the Company repurchased and retired a total of 83,600 shares from the two non</w:t>
      </w:r>
      <w:r>
        <w:rPr>
          <w:rFonts w:ascii="MS PGothic" w:cs="MS PGothic" w:eastAsia="MS PGothic" w:hAnsi="MS PGothic"/>
          <w:sz w:val="16"/>
          <w:szCs w:val="16"/>
          <w:color w:val="auto"/>
        </w:rPr>
        <w:t>‑</w:t>
      </w:r>
      <w:r>
        <w:rPr>
          <w:rFonts w:ascii="Arial" w:cs="Arial" w:eastAsia="Arial" w:hAnsi="Arial"/>
          <w:sz w:val="16"/>
          <w:szCs w:val="16"/>
          <w:color w:val="auto"/>
        </w:rPr>
        <w:t>employees of the Company at an amount equal to the estimated fair value of $4.38 per share. The transaction reduced the Company’s shareholders’ equity by $366,000.</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In April 2018, the Company granted 72,373 common stock options to a non</w:t>
      </w:r>
      <w:r>
        <w:rPr>
          <w:rFonts w:ascii="MS PGothic" w:cs="MS PGothic" w:eastAsia="MS PGothic" w:hAnsi="MS PGothic"/>
          <w:sz w:val="16"/>
          <w:szCs w:val="16"/>
          <w:color w:val="auto"/>
        </w:rPr>
        <w:t>‑</w:t>
      </w:r>
      <w:r>
        <w:rPr>
          <w:rFonts w:ascii="Arial" w:cs="Arial" w:eastAsia="Arial" w:hAnsi="Arial"/>
          <w:sz w:val="16"/>
          <w:szCs w:val="16"/>
          <w:color w:val="auto"/>
        </w:rPr>
        <w:t>employee physician employed by MSK</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under our 2015 Equity Incentive Plan (the 2015 Plan). The options become exercisable over a four</w:t>
      </w:r>
      <w:r>
        <w:rPr>
          <w:rFonts w:ascii="MS PGothic" w:cs="MS PGothic" w:eastAsia="MS PGothic" w:hAnsi="MS PGothic"/>
          <w:sz w:val="16"/>
          <w:szCs w:val="16"/>
          <w:color w:val="auto"/>
        </w:rPr>
        <w:t>‑</w:t>
      </w:r>
      <w:r>
        <w:rPr>
          <w:rFonts w:ascii="Arial" w:cs="Arial" w:eastAsia="Arial" w:hAnsi="Arial"/>
          <w:sz w:val="16"/>
          <w:szCs w:val="16"/>
          <w:color w:val="auto"/>
        </w:rPr>
        <w:t>year period, with the first</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twenty</w:t>
      </w:r>
      <w:r>
        <w:rPr>
          <w:rFonts w:ascii="MS PGothic" w:cs="MS PGothic" w:eastAsia="MS PGothic" w:hAnsi="MS PGothic"/>
          <w:sz w:val="17"/>
          <w:szCs w:val="17"/>
          <w:color w:val="auto"/>
        </w:rPr>
        <w:t>‑</w:t>
      </w:r>
      <w:r>
        <w:rPr>
          <w:rFonts w:ascii="Arial" w:cs="Arial" w:eastAsia="Arial" w:hAnsi="Arial"/>
          <w:sz w:val="17"/>
          <w:szCs w:val="17"/>
          <w:color w:val="auto"/>
        </w:rPr>
        <w:t>five percent (25%) exercisable twelve (months) from the date of grant and the remainder becoming exercisable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ratably each month over the three years thereafter. The contractual term of the option award is 10 years from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grant. The total award was expensed at its estimated fair value in April 2018, as no future service was required by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employee to continue to vest in the option grant. The shares will become immediately exercisable upon the occurrence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as defined in the 2015 Plan as further described in Note 8,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2018, we completed an initial public offering and issued 6,900,000 shares of Common Stock at a purchase price of $16.00 per share for an aggregate consideration of $100,498,000, net of issuance costs. Upon completion of the IPO we also issued 96,000 shares of our common stock. The issuance was made pursuant to a stock grant agreement and did not result in proceeds to the Company.</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August 2018, we issued 448,000 shares of our common stock. The issuance was made pursuant to stock grant agreements and did not result in proceeds to the Company.</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November 2017, we issued 3,208,552 shares of Common Stock at a purchase price of $9.35 per share for an aggregate consideration of $28,887,000, net of issuance costs.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October 2017, we issued 5,347,568 shares of Common Stock at a purchase price of $9.35 per share for an aggregate consideration of $49,812,000, net of issuance costs.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August 2017, we issued 448,000 shares of our common stock. The issuance was made pursuant to stock grant agreements and did not result in proceeds to the Company.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January and February 2017, we issued 1,192,662 shares of Common Stock at a purchase price of $8.50 per share for an aggregate consideration of $10,137,000, net of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Incentive Plan</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Our board of directors and stockholders have approved and adopted the 2015 Equity Incentive Plan,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Plan. In addition, the number of shares available for issuance under the 2015 Plan will also include an annual increase on the first day of each fiscal year beginning in 2016, equal to 6%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Plan vest according to the schedule specified in the grant agreements, which is generally a four year period and generally become immediately exercisable upon the occurrence of a change in control, as defined. Upon the adoption of the 2018 Equity Incentive Plan in September 2018, no further grants are allowed under the 2015 Equity Incentive Plan.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the nine month periods ended September 30, 2018 and 2017, stock-based compensation expenses for stock option grants were $1,471,000 and $446,000, respectively, for options granted to employees and non-employees under the 2015 Equity Incentive Plan. During the nine months ended September 30, 2018 the expenses were recorded as $192,000 in research and development expense and $694,000 in general and administrative expense for options granted to employees and $585,000 in research and development expense for options granted to non-employees. During the nine months ended September 30, 2017 the expenses were recorded as $114,000 in research and development expense and $332,000 in general and administrative expenses for options granted to employees.</w:t>
      </w:r>
    </w:p>
    <w:p>
      <w:pPr>
        <w:spacing w:after="0" w:line="17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During the three-month periods ended September 30, 2018 and 2017, stock-based compensation expenses for stock option grants were $395,000 and $151,000, respectively, for options granted to employees and non-employees under the 2015 Equity Incentive Plan. During the three months ended September 30, 2018 the expenses were recorded as $67,000 in research and development expense and $328,000 in general and administrative expense for options granted to employees. During the three months ended September 30, 2017 the expenses were recorded as $40,000 in research and development expense and $111,000 in general and administrative expenses for options granted to employees.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common stock options issued and outstanding under the 2015 Equity Incentive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Weighted</w:t>
            </w: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Aggregate</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intrinsic</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remaining</w:t>
            </w:r>
          </w:p>
        </w:tc>
      </w:tr>
      <w:tr>
        <w:trPr>
          <w:trHeight w:val="216"/>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exercise</w:t>
            </w: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value</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contractual</w:t>
            </w:r>
          </w:p>
        </w:tc>
      </w:tr>
      <w:tr>
        <w:trPr>
          <w:trHeight w:val="230"/>
        </w:trPr>
        <w:tc>
          <w:tcPr>
            <w:tcW w:w="51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2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life (years)</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2,219,000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September 30,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2,799,373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10"/>
        </w:trPr>
        <w:tc>
          <w:tcPr>
            <w:tcW w:w="5140" w:type="dxa"/>
            <w:vAlign w:val="bottom"/>
          </w:tcPr>
          <w:p>
            <w:pPr>
              <w:spacing w:after="0" w:line="203" w:lineRule="exact"/>
              <w:rPr>
                <w:sz w:val="20"/>
                <w:szCs w:val="20"/>
                <w:color w:val="auto"/>
              </w:rPr>
            </w:pPr>
            <w:r>
              <w:rPr>
                <w:rFonts w:ascii="Arial" w:cs="Arial" w:eastAsia="Arial" w:hAnsi="Arial"/>
                <w:sz w:val="18"/>
                <w:szCs w:val="18"/>
                <w:color w:val="auto"/>
              </w:rPr>
              <w:t>Exercisable at September 30, 2018</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1,533,014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36,292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7.11</w:t>
            </w: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year ended December 31, 2017 was $5.59 per share. The weighted average grant-date fair value of stock options granted during the nine months ended September 30, 2018 was $6.77.</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December 31, 2017 we had $1,903,000 of unrecognized compensation related to employee stock options that are expected to vest over a period of 2.19 years. As of September 30, 2018 we had $4,360,000 of unrecognized compensation related to employee stock options that is expected to vest over a period of 2.39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board of directors and stockholders approved and adopted the 2018 Equity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a four year period and generally become immediately exercisable upon the occurrence of a change in control, as defined. No awards have been issued under the 2018 Equity Incentive Plan as of September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MSK is a shareholder of the Company and under the MSK License Agreement, the CD33 License Agreement, CTA, CFAs, SRA and MDSA, we have expensed costs in the total amount of $914,000 and $434,000 in the three months ended September 30, 2018 and 2017, respectively, for milestones, minimum royalties, research and development costs and patent activities. We expensed costs in the total amounts of $4,526,000 and $1,395,000 in the nine months ended September 30, 2018 and 2017, respectively. Please refer to Note 6 for additional details on our various agreements with MSK. As of September 30, 2018 and December 31, 2017, we had a total of $4,052,000 and $4,587,000, respectively, recorded as accounts payable and accrued liabilities related to amounts due to MSK.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2016, the Company entered into a lease agreement with a shareholder of the Company, Weco Group,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subsidiary in Denmark. The lease payable thereunder is approximately $4,000 per month and,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 can be terminated with three months’ notice, any future rent commitment thereunder will amount to approximately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$12,000. The lease terminated in April 2018, when the Company moved to a new third</w:t>
      </w:r>
      <w:r>
        <w:rPr>
          <w:rFonts w:ascii="MS PGothic" w:cs="MS PGothic" w:eastAsia="MS PGothic" w:hAnsi="MS PGothic"/>
          <w:sz w:val="16"/>
          <w:szCs w:val="16"/>
          <w:color w:val="auto"/>
        </w:rPr>
        <w:t>‑</w:t>
      </w:r>
      <w:r>
        <w:rPr>
          <w:rFonts w:ascii="Arial" w:cs="Arial" w:eastAsia="Arial" w:hAnsi="Arial"/>
          <w:sz w:val="16"/>
          <w:szCs w:val="16"/>
          <w:color w:val="auto"/>
        </w:rPr>
        <w:t>party lease. In addition,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reimbursed Weco Group for certain administrative expenses. The total expenses, including rent, equaled $6,000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$44,000 during the three and nine months ended September 30, 2018, respectively, and $44,000 and $65,000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nine months ended September 30, 2017,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 provided no current and deferred income taxes on net losses of $19,161,000 and $17,057,000 for years ended December 31, 2017 and 2016, respectively.</w:t>
      </w:r>
    </w:p>
    <w:p>
      <w:pPr>
        <w:spacing w:after="0" w:line="170"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7"/>
          <w:szCs w:val="17"/>
          <w:color w:val="auto"/>
        </w:rPr>
        <w:t>The Tax Cuts and Jobs Act (TCJA) was enacted on December 22, 2017. The TCJA contains significant changes to corporate taxation, including but not limited to, a reduction in the U.S. federal corporate tax rate from a top marginal rate of 35% to 21%, a one</w:t>
      </w:r>
      <w:r>
        <w:rPr>
          <w:rFonts w:ascii="MS PGothic" w:cs="MS PGothic" w:eastAsia="MS PGothic" w:hAnsi="MS PGothic"/>
          <w:sz w:val="17"/>
          <w:szCs w:val="17"/>
          <w:color w:val="auto"/>
        </w:rPr>
        <w:t>‑</w:t>
      </w:r>
      <w:r>
        <w:rPr>
          <w:rFonts w:ascii="Arial" w:cs="Arial" w:eastAsia="Arial" w:hAnsi="Arial"/>
          <w:sz w:val="17"/>
          <w:szCs w:val="17"/>
          <w:color w:val="auto"/>
        </w:rPr>
        <w:t>time mandatory transition tax on accumulated foreign earnings, limitation of the deduction for net operating losses to 80% of annual taxable income while providing that the net operating loss carryovers for years after 2017 will not expire, limitation on the amount of research and development expenses deductible per year beginning in years after 2021 and reduction of the Orphan Drug Credit from 50% to 25% of qualified clinical testing expenditures. The TCJA also made changes to the U.S. federal taxation of foreign earnings and to the timing of recognition of certain revenue and expenses and the deductibility of certain business expenses.</w:t>
      </w:r>
    </w:p>
    <w:p>
      <w:pPr>
        <w:spacing w:after="0" w:line="20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response to the TCJA, the staff of the Securities and Exchange Commission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TCJA.</w:t>
      </w:r>
    </w:p>
    <w:p>
      <w:pPr>
        <w:spacing w:after="0" w:line="187"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As a result of the TCJA being signed into law, the Company recognized a provisional charge of $4,394,000 in the fourth quarter of 2017 related to the re</w:t>
      </w:r>
      <w:r>
        <w:rPr>
          <w:rFonts w:ascii="MS PGothic" w:cs="MS PGothic" w:eastAsia="MS PGothic" w:hAnsi="MS PGothic"/>
          <w:sz w:val="17"/>
          <w:szCs w:val="17"/>
          <w:color w:val="auto"/>
        </w:rPr>
        <w:t>‑</w:t>
      </w:r>
      <w:r>
        <w:rPr>
          <w:rFonts w:ascii="Arial" w:cs="Arial" w:eastAsia="Arial" w:hAnsi="Arial"/>
          <w:sz w:val="17"/>
          <w:szCs w:val="17"/>
          <w:color w:val="auto"/>
        </w:rPr>
        <w:t>measurement of its U.S. deferred tax assets at the lower enacted corporate tax rate. Due to the history of net operating losses, the Company is in a full valuation allowance position. As a result, the additional tax expense due to the TCJA was offset by an equal reduction to the valuation allowance, resulting in no net tax impact from the TCJA to the overall financial condition and results of operations of the Company.</w:t>
      </w:r>
    </w:p>
    <w:p>
      <w:pPr>
        <w:spacing w:after="0" w:line="20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is still in the process of analyzing the impact to the Company of the TCJA. Where the Company has been able to make reasonable estimates of the effects the Company has recorded provisional amounts. The ultimate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impact to the Company’s financial statements of the TCJA may differ from the provisional amounts due to, among other things, additional analysis, changes in interpretations and assumptions the Company has made, additional regulatory guidance that may be issued, and actions the Company may take as a result of the TCJA. The accounting is expected to be completed in the fourth quarter of 2018.</w:t>
      </w:r>
    </w:p>
    <w:p>
      <w:pPr>
        <w:spacing w:after="0" w:line="187"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8"/>
          <w:szCs w:val="18"/>
          <w:color w:val="auto"/>
        </w:rPr>
        <w:t>As a result of the enactment of the Tax Cuts and Jobs Act, there was no impact to our financial position or results associated with a write</w:t>
      </w:r>
      <w:r>
        <w:rPr>
          <w:rFonts w:ascii="MS PGothic" w:cs="MS PGothic" w:eastAsia="MS PGothic" w:hAnsi="MS PGothic"/>
          <w:sz w:val="18"/>
          <w:szCs w:val="18"/>
          <w:color w:val="auto"/>
        </w:rPr>
        <w:t>‑</w:t>
      </w:r>
      <w:r>
        <w:rPr>
          <w:rFonts w:ascii="Arial" w:cs="Arial" w:eastAsia="Arial" w:hAnsi="Arial"/>
          <w:sz w:val="18"/>
          <w:szCs w:val="18"/>
          <w:color w:val="auto"/>
        </w:rPr>
        <w:t>off of deferred tax assets due to the rate change from 34% to 21% and their associated valuation allowance, and a one</w:t>
      </w:r>
      <w:r>
        <w:rPr>
          <w:rFonts w:ascii="MS PGothic" w:cs="MS PGothic" w:eastAsia="MS PGothic" w:hAnsi="MS PGothic"/>
          <w:sz w:val="18"/>
          <w:szCs w:val="18"/>
          <w:color w:val="auto"/>
        </w:rPr>
        <w:t>‑</w:t>
      </w:r>
      <w:r>
        <w:rPr>
          <w:rFonts w:ascii="Arial" w:cs="Arial" w:eastAsia="Arial" w:hAnsi="Arial"/>
          <w:sz w:val="18"/>
          <w:szCs w:val="18"/>
          <w:color w:val="auto"/>
        </w:rPr>
        <w:t>time mandatory transition tax.</w:t>
      </w:r>
    </w:p>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recognizes income tax benefits for tax positions determined more likely than not to be sustained upon examination, based on the technical merits of the positions. As of September 30, 2018 and December 31, 2017, the Company has determined that there were no uncertain tax positions. The Company’s tax returns for years 2018, 2017, and 2016 are open for tax examination by U.S. federal and state, and the Danish tax authorities.</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Company maintains a full valuation allowance on its U.S. and foreign deferred tax assets. The assessment regarding whether a valuation allowance is required considers both positive and negative evidence when determining whether it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that deferred tax assets are recoverable. In making this assessment, significant weight is given to evidence that can be objectively verified. In its evaluation, the Company considered its cumulative loss in recent years and its forecasted losses in the near</w:t>
      </w:r>
      <w:r>
        <w:rPr>
          <w:rFonts w:ascii="MS PGothic" w:cs="MS PGothic" w:eastAsia="MS PGothic" w:hAnsi="MS PGothic"/>
          <w:sz w:val="17"/>
          <w:szCs w:val="17"/>
          <w:color w:val="auto"/>
        </w:rPr>
        <w:t>‑</w:t>
      </w:r>
      <w:r>
        <w:rPr>
          <w:rFonts w:ascii="Arial" w:cs="Arial" w:eastAsia="Arial" w:hAnsi="Arial"/>
          <w:sz w:val="17"/>
          <w:szCs w:val="17"/>
          <w:color w:val="auto"/>
        </w:rPr>
        <w:t>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three and nine months ended September 30, 2018 and 2017. In addition, health insurance benefits for our Danish employees are fully paid for by such employees. Our Danish subsidiary does not incur any costs for these health insurance benefits.</w:t>
      </w:r>
    </w:p>
    <w:p>
      <w:pPr>
        <w:spacing w:after="0" w:line="15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October 1, 2018, the Company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three or 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Quarterly Report on Form 10-Q and our final prospectus for our initial public offering filed pursuant to Rule 424(b)(4) under the Securities Act with the SEC on September 24, 2018. Some of the information contained in this discussion and analysis or set forth elsewhere in this Quarterly Report on Form 10-Q, including information with respect to our plans and strategy for our business and related financing, includes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contained in the following discussion and analysis. For convenience of presentation some of the numbers have been rounded in the text below.</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6"/>
          <w:szCs w:val="16"/>
          <w:color w:val="auto"/>
        </w:rPr>
        <w:t>We are a late</w:t>
      </w:r>
      <w:r>
        <w:rPr>
          <w:rFonts w:ascii="MS PGothic" w:cs="MS PGothic" w:eastAsia="MS PGothic" w:hAnsi="MS PGothic"/>
          <w:sz w:val="16"/>
          <w:szCs w:val="16"/>
          <w:color w:val="auto"/>
        </w:rPr>
        <w:t>‑</w:t>
      </w:r>
      <w:r>
        <w:rPr>
          <w:rFonts w:ascii="Arial" w:cs="Arial" w:eastAsia="Arial" w:hAnsi="Arial"/>
          <w:sz w:val="16"/>
          <w:szCs w:val="16"/>
          <w:color w:val="auto"/>
        </w:rPr>
        <w:t>stage clinical biopharmaceutical company focused on the development and commercialization of novel, antibody</w:t>
      </w:r>
      <w:r>
        <w:rPr>
          <w:rFonts w:ascii="MS PGothic" w:cs="MS PGothic" w:eastAsia="MS PGothic" w:hAnsi="MS PGothic"/>
          <w:sz w:val="16"/>
          <w:szCs w:val="16"/>
          <w:color w:val="auto"/>
        </w:rPr>
        <w:t>‑</w:t>
      </w:r>
      <w:r>
        <w:rPr>
          <w:rFonts w:ascii="Arial" w:cs="Arial" w:eastAsia="Arial" w:hAnsi="Arial"/>
          <w:sz w:val="16"/>
          <w:szCs w:val="16"/>
          <w:color w:val="auto"/>
        </w:rPr>
        <w:t>based therapeutic products for the treatment of cancer. We have a broad and advanced product pipeline, including two pivotal</w:t>
      </w:r>
      <w:r>
        <w:rPr>
          <w:rFonts w:ascii="MS PGothic" w:cs="MS PGothic" w:eastAsia="MS PGothic" w:hAnsi="MS PGothic"/>
          <w:sz w:val="16"/>
          <w:szCs w:val="16"/>
          <w:color w:val="auto"/>
        </w:rPr>
        <w:t>‑</w:t>
      </w:r>
      <w:r>
        <w:rPr>
          <w:rFonts w:ascii="Arial" w:cs="Arial" w:eastAsia="Arial" w:hAnsi="Arial"/>
          <w:sz w:val="16"/>
          <w:szCs w:val="16"/>
          <w:color w:val="auto"/>
        </w:rPr>
        <w:t>stage product candidates—naxitamab and omburtamab—which target tumors that express GD2 and</w:t>
      </w:r>
    </w:p>
    <w:p>
      <w:pPr>
        <w:ind w:right="20"/>
        <w:spacing w:after="0" w:line="216" w:lineRule="exact"/>
        <w:rPr>
          <w:sz w:val="20"/>
          <w:szCs w:val="20"/>
          <w:color w:val="auto"/>
        </w:rPr>
      </w:pPr>
      <w:r>
        <w:rPr>
          <w:rFonts w:ascii="Arial" w:cs="Arial" w:eastAsia="Arial" w:hAnsi="Arial"/>
          <w:sz w:val="17"/>
          <w:szCs w:val="17"/>
          <w:color w:val="auto"/>
        </w:rPr>
        <w:t>B7</w:t>
      </w:r>
      <w:r>
        <w:rPr>
          <w:rFonts w:ascii="MS PGothic" w:cs="MS PGothic" w:eastAsia="MS PGothic" w:hAnsi="MS PGothic"/>
          <w:sz w:val="17"/>
          <w:szCs w:val="17"/>
          <w:color w:val="auto"/>
        </w:rPr>
        <w:t>‑</w:t>
      </w:r>
      <w:r>
        <w:rPr>
          <w:rFonts w:ascii="Arial" w:cs="Arial" w:eastAsia="Arial" w:hAnsi="Arial"/>
          <w:sz w:val="17"/>
          <w:szCs w:val="17"/>
          <w:color w:val="auto"/>
        </w:rPr>
        <w:t>H3, respectively. We are developing naxitamab for the treatment of pediatric patients with relapsed or refractory, or R/R, high</w:t>
      </w:r>
      <w:r>
        <w:rPr>
          <w:rFonts w:ascii="MS PGothic" w:cs="MS PGothic" w:eastAsia="MS PGothic" w:hAnsi="MS PGothic"/>
          <w:sz w:val="17"/>
          <w:szCs w:val="17"/>
          <w:color w:val="auto"/>
        </w:rPr>
        <w:t>‑</w:t>
      </w:r>
      <w:r>
        <w:rPr>
          <w:rFonts w:ascii="Arial" w:cs="Arial" w:eastAsia="Arial" w:hAnsi="Arial"/>
          <w:sz w:val="17"/>
          <w:szCs w:val="17"/>
          <w:color w:val="auto"/>
        </w:rPr>
        <w:t>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to submit a Biologic License Application or BLA for each of our two lead product candidates in 2019,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with a goal of receiving approval by the U.S. Food and Drug Administration, or FDA in 2020. We plan to commercialize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both of our lead product candidates in the United States as soon as possible after obtaining FDA approval, if such approval</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occurs. Additionally, we have two omburtamab follow</w:t>
      </w:r>
      <w:r>
        <w:rPr>
          <w:rFonts w:ascii="MS PGothic" w:cs="MS PGothic" w:eastAsia="MS PGothic" w:hAnsi="MS PGothic"/>
          <w:sz w:val="18"/>
          <w:szCs w:val="18"/>
          <w:color w:val="auto"/>
        </w:rPr>
        <w:t>‑</w:t>
      </w:r>
      <w:r>
        <w:rPr>
          <w:rFonts w:ascii="Arial" w:cs="Arial" w:eastAsia="Arial" w:hAnsi="Arial"/>
          <w:sz w:val="18"/>
          <w:szCs w:val="18"/>
          <w:color w:val="auto"/>
        </w:rPr>
        <w:t>on product candidates in pre</w:t>
      </w:r>
      <w:r>
        <w:rPr>
          <w:rFonts w:ascii="MS PGothic" w:cs="MS PGothic" w:eastAsia="MS PGothic" w:hAnsi="MS PGothic"/>
          <w:sz w:val="18"/>
          <w:szCs w:val="18"/>
          <w:color w:val="auto"/>
        </w:rPr>
        <w:t>‑</w:t>
      </w:r>
      <w:r>
        <w:rPr>
          <w:rFonts w:ascii="Arial" w:cs="Arial" w:eastAsia="Arial" w:hAnsi="Arial"/>
          <w:sz w:val="18"/>
          <w:szCs w:val="18"/>
          <w:color w:val="auto"/>
        </w:rPr>
        <w:t>clinical development,</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omburtamab</w:t>
      </w:r>
      <w:r>
        <w:rPr>
          <w:rFonts w:ascii="MS PGothic" w:cs="MS PGothic" w:eastAsia="MS PGothic" w:hAnsi="MS PGothic"/>
          <w:sz w:val="16"/>
          <w:szCs w:val="16"/>
          <w:color w:val="auto"/>
        </w:rPr>
        <w:t>‑</w:t>
      </w:r>
      <w:r>
        <w:rPr>
          <w:rFonts w:ascii="Arial" w:cs="Arial" w:eastAsia="Arial" w:hAnsi="Arial"/>
          <w:sz w:val="16"/>
          <w:szCs w:val="16"/>
          <w:color w:val="auto"/>
        </w:rPr>
        <w:t>DTPA (diethylenetriamine pentaacetate) and huB7</w:t>
      </w:r>
      <w:r>
        <w:rPr>
          <w:rFonts w:ascii="MS PGothic" w:cs="MS PGothic" w:eastAsia="MS PGothic" w:hAnsi="MS PGothic"/>
          <w:sz w:val="16"/>
          <w:szCs w:val="16"/>
          <w:color w:val="auto"/>
        </w:rPr>
        <w:t>‑</w:t>
      </w:r>
      <w:r>
        <w:rPr>
          <w:rFonts w:ascii="Arial" w:cs="Arial" w:eastAsia="Arial" w:hAnsi="Arial"/>
          <w:sz w:val="16"/>
          <w:szCs w:val="16"/>
          <w:color w:val="auto"/>
        </w:rPr>
        <w:t>H3, a humanized version of omburtamab, each targeting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indications with large adult patient populations. We are also advancing a pipeline of novel bispecific antibodies, or BsAbs,</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through late pre</w:t>
      </w:r>
      <w:r>
        <w:rPr>
          <w:rFonts w:ascii="MS PGothic" w:cs="MS PGothic" w:eastAsia="MS PGothic" w:hAnsi="MS PGothic"/>
          <w:sz w:val="18"/>
          <w:szCs w:val="18"/>
          <w:color w:val="auto"/>
        </w:rPr>
        <w:t>‑</w:t>
      </w:r>
      <w:r>
        <w:rPr>
          <w:rFonts w:ascii="Arial" w:cs="Arial" w:eastAsia="Arial" w:hAnsi="Arial"/>
          <w:sz w:val="18"/>
          <w:szCs w:val="18"/>
          <w:color w:val="auto"/>
        </w:rPr>
        <w:t>clinical development, including our huGD2</w:t>
      </w:r>
      <w:r>
        <w:rPr>
          <w:rFonts w:ascii="MS PGothic" w:cs="MS PGothic" w:eastAsia="MS PGothic" w:hAnsi="MS PGothic"/>
          <w:sz w:val="18"/>
          <w:szCs w:val="18"/>
          <w:color w:val="auto"/>
        </w:rPr>
        <w:t>‑</w:t>
      </w:r>
      <w:r>
        <w:rPr>
          <w:rFonts w:ascii="Arial" w:cs="Arial" w:eastAsia="Arial" w:hAnsi="Arial"/>
          <w:sz w:val="18"/>
          <w:szCs w:val="18"/>
          <w:color w:val="auto"/>
        </w:rPr>
        <w:t>BsAb product candidate for the treatment of refractory</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GD2</w:t>
      </w:r>
      <w:r>
        <w:rPr>
          <w:rFonts w:ascii="MS PGothic" w:cs="MS PGothic" w:eastAsia="MS PGothic" w:hAnsi="MS PGothic"/>
          <w:sz w:val="16"/>
          <w:szCs w:val="16"/>
          <w:color w:val="auto"/>
        </w:rPr>
        <w:t>‑</w:t>
      </w:r>
      <w:r>
        <w:rPr>
          <w:rFonts w:ascii="Arial" w:cs="Arial" w:eastAsia="Arial" w:hAnsi="Arial"/>
          <w:sz w:val="16"/>
          <w:szCs w:val="16"/>
          <w:color w:val="auto"/>
        </w:rPr>
        <w:t>positive adult and pediatric solid tumors and our huCD33</w:t>
      </w:r>
      <w:r>
        <w:rPr>
          <w:rFonts w:ascii="MS PGothic" w:cs="MS PGothic" w:eastAsia="MS PGothic" w:hAnsi="MS PGothic"/>
          <w:sz w:val="16"/>
          <w:szCs w:val="16"/>
          <w:color w:val="auto"/>
        </w:rPr>
        <w:t>‑</w:t>
      </w:r>
      <w:r>
        <w:rPr>
          <w:rFonts w:ascii="Arial" w:cs="Arial" w:eastAsia="Arial" w:hAnsi="Arial"/>
          <w:sz w:val="16"/>
          <w:szCs w:val="16"/>
          <w:color w:val="auto"/>
        </w:rPr>
        <w:t>BsAb product candidate for the treatment of hematological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cancers expressing CD33, a transmembrane receptor expressed on cells of myeloid lineage. We believe our BsAbs have the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potential to result in improved tumor</w:t>
      </w:r>
      <w:r>
        <w:rPr>
          <w:rFonts w:ascii="MS PGothic" w:cs="MS PGothic" w:eastAsia="MS PGothic" w:hAnsi="MS PGothic"/>
          <w:sz w:val="17"/>
          <w:szCs w:val="17"/>
          <w:color w:val="auto"/>
        </w:rPr>
        <w:t>‑</w:t>
      </w:r>
      <w:r>
        <w:rPr>
          <w:rFonts w:ascii="Arial" w:cs="Arial" w:eastAsia="Arial" w:hAnsi="Arial"/>
          <w:sz w:val="17"/>
          <w:szCs w:val="17"/>
          <w:color w:val="auto"/>
        </w:rPr>
        <w:t>binding, longer serum half</w:t>
      </w:r>
      <w:r>
        <w:rPr>
          <w:rFonts w:ascii="MS PGothic" w:cs="MS PGothic" w:eastAsia="MS PGothic" w:hAnsi="MS PGothic"/>
          <w:sz w:val="17"/>
          <w:szCs w:val="17"/>
          <w:color w:val="auto"/>
        </w:rPr>
        <w:t>‑</w:t>
      </w:r>
      <w:r>
        <w:rPr>
          <w:rFonts w:ascii="Arial" w:cs="Arial" w:eastAsia="Arial" w:hAnsi="Arial"/>
          <w:sz w:val="17"/>
          <w:szCs w:val="17"/>
          <w:color w:val="auto"/>
        </w:rPr>
        <w:t>life and significantly greater T</w:t>
      </w:r>
      <w:r>
        <w:rPr>
          <w:rFonts w:ascii="MS PGothic" w:cs="MS PGothic" w:eastAsia="MS PGothic" w:hAnsi="MS PGothic"/>
          <w:sz w:val="17"/>
          <w:szCs w:val="17"/>
          <w:color w:val="auto"/>
        </w:rPr>
        <w:t>‑</w:t>
      </w:r>
      <w:r>
        <w:rPr>
          <w:rFonts w:ascii="Arial" w:cs="Arial" w:eastAsia="Arial" w:hAnsi="Arial"/>
          <w:sz w:val="17"/>
          <w:szCs w:val="17"/>
          <w:color w:val="auto"/>
        </w:rPr>
        <w:t>cell mediated killing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tumor cells without the need for continuous infusion. Our mission is to become the world leader in developing better and</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safer antibody</w:t>
      </w:r>
      <w:r>
        <w:rPr>
          <w:rFonts w:ascii="MS PGothic" w:cs="MS PGothic" w:eastAsia="MS PGothic" w:hAnsi="MS PGothic"/>
          <w:sz w:val="16"/>
          <w:szCs w:val="16"/>
          <w:color w:val="auto"/>
        </w:rPr>
        <w:t>‑</w:t>
      </w:r>
      <w:r>
        <w:rPr>
          <w:rFonts w:ascii="Arial" w:cs="Arial" w:eastAsia="Arial" w:hAnsi="Arial"/>
          <w:sz w:val="16"/>
          <w:szCs w:val="16"/>
          <w:color w:val="auto"/>
        </w:rPr>
        <w:t>based pediatric oncology products addressing clear unmet medical needs and, as such, have a transformational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on the lives of patients. We intend to advance and expand our product pipeline into certain adult cancer indications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either independently or in collaboration with potential partners.</w:t>
      </w:r>
    </w:p>
    <w:p>
      <w:pPr>
        <w:spacing w:after="0" w:line="211"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8"/>
          <w:szCs w:val="18"/>
          <w:color w:val="auto"/>
        </w:rPr>
        <w:t>Since our inception in April 2015, we have devoted substantially all of our resources to organizing and staffing our company, business planning, identifying potential product candidates,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w:t>
      </w:r>
    </w:p>
    <w:p>
      <w:pPr>
        <w:spacing w:after="0" w:line="20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 date, we have financed our operations primarily through private placements of our securities. In addition, on September 25, 2018, we completed the initial public offering, or IPO, of our common stock pursuant to which we issued and sold 6,900,000 shares at a price to the public of $16.00 per share which included the exercise in full of the underwriters’ option to purchase additional shares for gross proceeds of approximately $ 110.4 million, before deducting underwriting discounts and commissions and estimated offering expenses. We have received aggregate gross proceeds of approximately $230.0 million through September 30, 2018 from the sale and issuance of our common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2018, we had an accumulated deficit of $70.8 million. Our net losses were $11.4 million and $3.8 million for the three months ended September 30, 2018 and 2017, respectively, and $29.2 million and $9.9 million for the nine months ended September 30, 2018 and 2017, respectively.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93"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advance our lead product candidates through pivotal stage development towards registration;</w:t>
      </w:r>
    </w:p>
    <w:p>
      <w:pPr>
        <w:spacing w:after="0" w:line="23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w:t>
      </w:r>
    </w:p>
    <w:p>
      <w:pPr>
        <w:spacing w:after="0" w:line="225"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any additional product candidates we identify;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980" w:right="42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We believe that our cash on hand will be sufficient to fund our operations through the fourth quarter of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w:t>
      </w:r>
      <w:r>
        <w:rPr>
          <w:rFonts w:ascii="MS PGothic" w:cs="MS PGothic" w:eastAsia="MS PGothic" w:hAnsi="MS PGothic"/>
          <w:sz w:val="16"/>
          <w:szCs w:val="16"/>
          <w:color w:val="auto"/>
        </w:rPr>
        <w:t>‑</w:t>
      </w:r>
      <w:r>
        <w:rPr>
          <w:rFonts w:ascii="Arial" w:cs="Arial" w:eastAsia="Arial" w:hAnsi="Arial"/>
          <w:sz w:val="16"/>
          <w:szCs w:val="16"/>
          <w:color w:val="auto"/>
        </w:rPr>
        <w:t>risk NB, and omburtamab for the treatment of CNS/LM from NB, by the end of 2019. Additionally, we currently use Contract Research Organizations or CROs and Contract Manufacturing Organizations or CMOs to carry out our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development activities and we do not yet have a sales organization.</w:t>
      </w:r>
    </w:p>
    <w:p>
      <w:pPr>
        <w:spacing w:after="0" w:line="20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CFAs. Also, under our CTA with MSK, we will provide drug product and funding for certain clinical trials at MSK. These MSK agreements are important to our business. For a more detailed discussion of the terms and conditions of these agreements, see note 6 “License Agreements and Commitments.”</w:t>
      </w:r>
    </w:p>
    <w:p>
      <w:pPr>
        <w:spacing w:after="0" w:line="16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Research and development expenses consist of expenses incurred in connection with the discovery and development of our product candidates. We expense research and development costs as incurred. These expenses include:</w:t>
      </w:r>
    </w:p>
    <w:p>
      <w:pPr>
        <w:spacing w:after="0" w:line="124" w:lineRule="exact"/>
        <w:rPr>
          <w:sz w:val="20"/>
          <w:szCs w:val="20"/>
          <w:color w:val="auto"/>
        </w:rPr>
      </w:pPr>
    </w:p>
    <w:p>
      <w:pPr>
        <w:ind w:left="980" w:right="14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our SRA, our two CFAs, our CTA, and our MDSA, with MSK;</w:t>
      </w:r>
    </w:p>
    <w:p>
      <w:pPr>
        <w:spacing w:after="0" w:line="170" w:lineRule="exact"/>
        <w:rPr>
          <w:rFonts w:ascii="Arial" w:cs="Arial" w:eastAsia="Arial" w:hAnsi="Arial"/>
          <w:sz w:val="18"/>
          <w:szCs w:val="18"/>
          <w:color w:val="auto"/>
        </w:rPr>
      </w:pPr>
    </w:p>
    <w:p>
      <w:pPr>
        <w:ind w:left="980" w:right="100" w:hanging="329"/>
        <w:spacing w:after="0" w:line="22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w:t>
      </w:r>
      <w:r>
        <w:rPr>
          <w:rFonts w:ascii="MS PGothic" w:cs="MS PGothic" w:eastAsia="MS PGothic" w:hAnsi="MS PGothic"/>
          <w:sz w:val="18"/>
          <w:szCs w:val="18"/>
          <w:color w:val="auto"/>
        </w:rPr>
        <w:t>‑</w:t>
      </w:r>
      <w:r>
        <w:rPr>
          <w:rFonts w:ascii="Arial" w:cs="Arial" w:eastAsia="Arial" w:hAnsi="Arial"/>
          <w:sz w:val="18"/>
          <w:szCs w:val="18"/>
          <w:color w:val="auto"/>
        </w:rPr>
        <w:t>clinical studies and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trials;</w:t>
      </w:r>
    </w:p>
    <w:p>
      <w:pPr>
        <w:spacing w:after="0" w:line="203" w:lineRule="exact"/>
        <w:rPr>
          <w:rFonts w:ascii="Arial" w:cs="Arial" w:eastAsia="Arial" w:hAnsi="Arial"/>
          <w:sz w:val="18"/>
          <w:szCs w:val="18"/>
          <w:color w:val="auto"/>
        </w:rPr>
      </w:pPr>
    </w:p>
    <w:p>
      <w:pPr>
        <w:ind w:left="980" w:right="320" w:hanging="329"/>
        <w:spacing w:after="0" w:line="221"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w:t>
      </w:r>
      <w:r>
        <w:rPr>
          <w:rFonts w:ascii="MS PGothic" w:cs="MS PGothic" w:eastAsia="MS PGothic" w:hAnsi="MS PGothic"/>
          <w:sz w:val="18"/>
          <w:szCs w:val="18"/>
          <w:color w:val="auto"/>
        </w:rPr>
        <w:t>‑</w:t>
      </w:r>
      <w:r>
        <w:rPr>
          <w:rFonts w:ascii="Arial" w:cs="Arial" w:eastAsia="Arial" w:hAnsi="Arial"/>
          <w:sz w:val="18"/>
          <w:szCs w:val="18"/>
          <w:color w:val="auto"/>
        </w:rPr>
        <w:t>up expenses and the cost of acquiring and manufacturing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 materials, including manufacturing validation batches;</w:t>
      </w:r>
    </w:p>
    <w:p>
      <w:pPr>
        <w:spacing w:after="0" w:line="20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upfront and milestone and other payments due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salaries, benefits, travel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980" w:right="800" w:hanging="329"/>
        <w:spacing w:after="0" w:line="22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w:t>
      </w:r>
      <w:r>
        <w:rPr>
          <w:rFonts w:ascii="MS PGothic" w:cs="MS PGothic" w:eastAsia="MS PGothic" w:hAnsi="MS PGothic"/>
          <w:sz w:val="18"/>
          <w:szCs w:val="18"/>
          <w:color w:val="auto"/>
        </w:rPr>
        <w:t>‑</w:t>
      </w:r>
      <w:r>
        <w:rPr>
          <w:rFonts w:ascii="Arial" w:cs="Arial" w:eastAsia="Arial" w:hAnsi="Arial"/>
          <w:sz w:val="18"/>
          <w:szCs w:val="18"/>
          <w:color w:val="auto"/>
        </w:rPr>
        <w:t>related costs, including rent, insurance, supplies and maintenance expenses, and other operating costs.</w:t>
      </w:r>
    </w:p>
    <w:p>
      <w:pPr>
        <w:spacing w:after="0" w:line="20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naxitamab and omburtamab or any future product candidates we may develop. This uncertainty is due to the numerous risks and uncertainties associated with the duration and cost of clinical trials, which vary significantly over the life of a project as a result of many factors, including:</w:t>
      </w:r>
    </w:p>
    <w:p>
      <w:pPr>
        <w:spacing w:after="0" w:line="158"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and length of time required to enroll a sufficient number of suitable patients in our clinical trials;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clinical trials and pre</w:t>
      </w:r>
      <w:r>
        <w:rPr>
          <w:rFonts w:ascii="MS PGothic" w:cs="MS PGothic" w:eastAsia="MS PGothic" w:hAnsi="MS PGothic"/>
          <w:sz w:val="18"/>
          <w:szCs w:val="18"/>
          <w:color w:val="auto"/>
        </w:rPr>
        <w:t>‑</w:t>
      </w:r>
      <w:r>
        <w:rPr>
          <w:rFonts w:ascii="Arial" w:cs="Arial" w:eastAsia="Arial" w:hAnsi="Arial"/>
          <w:sz w:val="18"/>
          <w:szCs w:val="18"/>
          <w:color w:val="auto"/>
        </w:rPr>
        <w:t>clinical studies;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w:t>
      </w:r>
      <w:r>
        <w:rPr>
          <w:rFonts w:ascii="MS PGothic" w:cs="MS PGothic" w:eastAsia="MS PGothic" w:hAnsi="MS PGothic"/>
          <w:sz w:val="18"/>
          <w:szCs w:val="18"/>
          <w:color w:val="auto"/>
        </w:rPr>
        <w:t>‑</w:t>
      </w:r>
      <w:r>
        <w:rPr>
          <w:rFonts w:ascii="Arial" w:cs="Arial" w:eastAsia="Arial" w:hAnsi="Arial"/>
          <w:sz w:val="18"/>
          <w:szCs w:val="18"/>
          <w:color w:val="auto"/>
        </w:rPr>
        <w:t>U.S. regulatory authority;</w:t>
      </w:r>
    </w:p>
    <w:p>
      <w:pPr>
        <w:spacing w:after="0" w:line="203"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development, like naxitamab and omburtamab, generally have higher development costs than those in earlier stages of</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clinical development, primarily due to the increased size and duration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 We expect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expenses to increase significantly over the next several years as we increase personnel costs, including</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conduct clinical trials and potentially prepare regulatory filings for naxitamab and omburtamab.</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320" w:firstLine="648"/>
        <w:spacing w:after="0" w:line="220" w:lineRule="exact"/>
        <w:rPr>
          <w:sz w:val="20"/>
          <w:szCs w:val="20"/>
          <w:color w:val="auto"/>
        </w:rPr>
      </w:pPr>
      <w:r>
        <w:rPr>
          <w:rFonts w:ascii="Arial" w:cs="Arial" w:eastAsia="Arial" w:hAnsi="Arial"/>
          <w:sz w:val="17"/>
          <w:szCs w:val="17"/>
          <w:color w:val="auto"/>
        </w:rPr>
        <w:t>General and administrative expenses consist primarily of employee related expenses, including salaries, bonus,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w:t>
      </w:r>
      <w:r>
        <w:rPr>
          <w:rFonts w:ascii="MS PGothic" w:cs="MS PGothic" w:eastAsia="MS PGothic" w:hAnsi="MS PGothic"/>
          <w:sz w:val="16"/>
          <w:szCs w:val="16"/>
          <w:color w:val="auto"/>
        </w:rPr>
        <w:t>‑</w:t>
      </w:r>
      <w:r>
        <w:rPr>
          <w:rFonts w:ascii="Arial" w:cs="Arial" w:eastAsia="Arial" w:hAnsi="Arial"/>
          <w:sz w:val="16"/>
          <w:szCs w:val="16"/>
          <w:color w:val="auto"/>
        </w:rPr>
        <w:t>related expenses as a result of our preparation for commercial operations, especially as it relates to the sales and marketing of that product candidate.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w:t>
      </w:r>
      <w:r>
        <w:rPr>
          <w:rFonts w:ascii="MS PGothic" w:cs="MS PGothic" w:eastAsia="MS PGothic" w:hAnsi="MS PGothic"/>
          <w:sz w:val="17"/>
          <w:szCs w:val="17"/>
          <w:color w:val="auto"/>
        </w:rPr>
        <w:t>‑</w:t>
      </w:r>
      <w:r>
        <w:rPr>
          <w:rFonts w:ascii="Arial" w:cs="Arial" w:eastAsia="Arial" w:hAnsi="Arial"/>
          <w:sz w:val="17"/>
          <w:szCs w:val="17"/>
          <w:color w:val="auto"/>
        </w:rPr>
        <w: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220" w:firstLine="648"/>
        <w:spacing w:after="0" w:line="219" w:lineRule="exact"/>
        <w:rPr>
          <w:sz w:val="20"/>
          <w:szCs w:val="20"/>
          <w:color w:val="auto"/>
        </w:rPr>
      </w:pPr>
      <w:r>
        <w:rPr>
          <w:rFonts w:ascii="Arial" w:cs="Arial" w:eastAsia="Arial" w:hAnsi="Arial"/>
          <w:sz w:val="18"/>
          <w:szCs w:val="18"/>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to employees and directors with only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and record the expense for these awards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requisite service period.</w:t>
      </w:r>
    </w:p>
    <w:p>
      <w:pPr>
        <w:spacing w:after="0" w:line="206" w:lineRule="exact"/>
        <w:rPr>
          <w:sz w:val="20"/>
          <w:szCs w:val="20"/>
          <w:color w:val="auto"/>
        </w:rPr>
      </w:pPr>
    </w:p>
    <w:p>
      <w:pPr>
        <w:ind w:right="240" w:firstLine="648"/>
        <w:spacing w:after="0" w:line="220"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our shares of common stock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w:t>
      </w:r>
    </w:p>
    <w:p>
      <w:pPr>
        <w:spacing w:after="0" w:line="20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Historically, we have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our shares. Therefore, we estimate our expected share price volatility based on the historical volatility of a group of publicly</w:t>
      </w:r>
      <w:r>
        <w:rPr>
          <w:rFonts w:ascii="MS PGothic" w:cs="MS PGothic" w:eastAsia="MS PGothic" w:hAnsi="MS PGothic"/>
          <w:sz w:val="16"/>
          <w:szCs w:val="16"/>
          <w:color w:val="auto"/>
        </w:rPr>
        <w:t>‑</w:t>
      </w:r>
      <w:r>
        <w:rPr>
          <w:rFonts w:ascii="Arial" w:cs="Arial" w:eastAsia="Arial" w:hAnsi="Arial"/>
          <w:sz w:val="16"/>
          <w:szCs w:val="16"/>
          <w:color w:val="auto"/>
        </w:rPr>
        <w:t>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is equal to the contractual term of the option award.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As there has been no public market for our common stock prior to September 21, 2018, the estimated fair value of our common stock has been determined by our board of directors as of the date of each award grant, with input from management, considering our most recently completed or ongoing private placement activities and most recently available third</w:t>
      </w:r>
      <w:r>
        <w:rPr>
          <w:rFonts w:ascii="MS PGothic" w:cs="MS PGothic" w:eastAsia="MS PGothic" w:hAnsi="MS PGothic"/>
          <w:sz w:val="17"/>
          <w:szCs w:val="17"/>
          <w:color w:val="auto"/>
        </w:rPr>
        <w:t>‑</w:t>
      </w:r>
      <w:r>
        <w:rPr>
          <w:rFonts w:ascii="Arial" w:cs="Arial" w:eastAsia="Arial" w:hAnsi="Arial"/>
          <w:sz w:val="17"/>
          <w:szCs w:val="17"/>
          <w:color w:val="auto"/>
        </w:rPr>
        <w:t>party valuation of our common stock. Third</w:t>
      </w:r>
      <w:r>
        <w:rPr>
          <w:rFonts w:ascii="MS PGothic" w:cs="MS PGothic" w:eastAsia="MS PGothic" w:hAnsi="MS PGothic"/>
          <w:sz w:val="17"/>
          <w:szCs w:val="17"/>
          <w:color w:val="auto"/>
        </w:rPr>
        <w:t>‑</w:t>
      </w:r>
      <w:r>
        <w:rPr>
          <w:rFonts w:ascii="Arial" w:cs="Arial" w:eastAsia="Arial" w:hAnsi="Arial"/>
          <w:sz w:val="17"/>
          <w:szCs w:val="17"/>
          <w:color w:val="auto"/>
        </w:rPr>
        <w:t>party valuations were performed in accordance with the guidance outlined in the American Institute of Certified Public Accountants’ Accounting and Valuation Guide,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18" w:lineRule="exact"/>
        <w:rPr>
          <w:sz w:val="20"/>
          <w:szCs w:val="20"/>
          <w:color w:val="auto"/>
        </w:rPr>
      </w:pPr>
      <w:r>
        <w:rPr>
          <w:rFonts w:ascii="Arial" w:cs="Arial" w:eastAsia="Arial" w:hAnsi="Arial"/>
          <w:sz w:val="18"/>
          <w:szCs w:val="18"/>
          <w:color w:val="auto"/>
        </w:rPr>
        <w:t>Valuation of Privately</w:t>
      </w:r>
      <w:r>
        <w:rPr>
          <w:rFonts w:ascii="MS PGothic" w:cs="MS PGothic" w:eastAsia="MS PGothic" w:hAnsi="MS PGothic"/>
          <w:sz w:val="18"/>
          <w:szCs w:val="18"/>
          <w:color w:val="auto"/>
        </w:rPr>
        <w:t>‑</w:t>
      </w:r>
      <w:r>
        <w:rPr>
          <w:rFonts w:ascii="Arial" w:cs="Arial" w:eastAsia="Arial" w:hAnsi="Arial"/>
          <w:sz w:val="18"/>
          <w:szCs w:val="18"/>
          <w:color w:val="auto"/>
        </w:rPr>
        <w:t>Held</w:t>
      </w:r>
      <w:r>
        <w:rPr>
          <w:rFonts w:ascii="MS PGothic" w:cs="MS PGothic" w:eastAsia="MS PGothic" w:hAnsi="MS PGothic"/>
          <w:sz w:val="18"/>
          <w:szCs w:val="18"/>
          <w:color w:val="auto"/>
        </w:rPr>
        <w:t>‑</w:t>
      </w:r>
      <w:r>
        <w:rPr>
          <w:rFonts w:ascii="Arial" w:cs="Arial" w:eastAsia="Arial" w:hAnsi="Arial"/>
          <w:sz w:val="18"/>
          <w:szCs w:val="18"/>
          <w:color w:val="auto"/>
        </w:rPr>
        <w:t>Company Equity Securities issued as Compensation. This process resulted in estimated fair value of our common stock of $0.20 per share as of June 6, 2015; $4.38 per share as of May 20, 2016; $4.38 per share as of October 21, 2016; $4.38 per share as of August 22, 2016; $8.50 per share as of December 14, 2016; $9.35 per share as of September 13, 2017; $9.35 per share as of December 5, 2017; $11.16 per share as of April 24, 2018 and $13.11 per share as of July 10, 2018.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207" w:lineRule="exact"/>
        <w:rPr>
          <w:sz w:val="20"/>
          <w:szCs w:val="20"/>
          <w:color w:val="auto"/>
        </w:rPr>
      </w:pPr>
    </w:p>
    <w:p>
      <w:pPr>
        <w:ind w:left="980" w:right="100" w:hanging="329"/>
        <w:spacing w:after="0" w:line="223"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our product candidates;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external market conditions affecting the biotechnology industry, and trends within the biotechnology industry;</w:t>
      </w:r>
    </w:p>
    <w:p>
      <w:pPr>
        <w:spacing w:after="0" w:line="248" w:lineRule="exact"/>
        <w:rPr>
          <w:rFonts w:ascii="Arial" w:cs="Arial" w:eastAsia="Arial" w:hAnsi="Arial"/>
          <w:sz w:val="16"/>
          <w:szCs w:val="16"/>
          <w:color w:val="auto"/>
        </w:rPr>
      </w:pPr>
    </w:p>
    <w:p>
      <w:pPr>
        <w:ind w:left="980" w:right="36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analysis of IPOs and the market performance of similar companies in the biopharmaceutical industry.</w:t>
      </w:r>
    </w:p>
    <w:p>
      <w:pPr>
        <w:spacing w:after="0" w:line="237" w:lineRule="exact"/>
        <w:rPr>
          <w:sz w:val="20"/>
          <w:szCs w:val="20"/>
          <w:color w:val="auto"/>
        </w:rPr>
      </w:pPr>
    </w:p>
    <w:p>
      <w:pPr>
        <w:ind w:right="240" w:firstLine="648"/>
        <w:spacing w:after="0" w:line="221" w:lineRule="exact"/>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could be materially different.</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From the completion of the Company’s initial public offering on September 25, 2018, the fair value of our common stock will be determined based on the quoted market price of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following table sets forth by grant date the number of shares of common stock subject to options granted in 2016, 2017 and 2018, the per share exercise price of the options, the fair value per share of common stock on each grant date, and the per share estimated fair value of the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Type of</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Per Share on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Award</w:t>
            </w: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4"/>
                <w:szCs w:val="14"/>
                <w:b w:val="1"/>
                <w:bCs w:val="1"/>
                <w:color w:val="auto"/>
                <w:w w:val="97"/>
              </w:rPr>
              <w:t>Grant Date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 2016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August 22, 2016</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December 14, 2016</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13, 2017</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December 5, 2017</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April 24, 2018</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520,373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6.42 - $8.09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July 10, 2018</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4"/>
              </w:rPr>
              <w:t>Option</w:t>
            </w: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0" w:type="dxa"/>
            <w:vAlign w:val="bottom"/>
            <w:gridSpan w:val="2"/>
          </w:tcPr>
          <w:p>
            <w:pPr>
              <w:jc w:val="right"/>
              <w:ind w:right="322"/>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model.</w:t>
      </w:r>
    </w:p>
    <w:p>
      <w:pPr>
        <w:spacing w:after="0" w:line="211" w:lineRule="exact"/>
        <w:rPr>
          <w:sz w:val="20"/>
          <w:szCs w:val="20"/>
          <w:color w:val="auto"/>
        </w:rPr>
      </w:pPr>
    </w:p>
    <w:p>
      <w:pPr>
        <w:jc w:val="both"/>
        <w:ind w:right="179" w:firstLine="648"/>
        <w:spacing w:after="0" w:line="342" w:lineRule="auto"/>
        <w:rPr>
          <w:sz w:val="20"/>
          <w:szCs w:val="20"/>
          <w:color w:val="auto"/>
        </w:rPr>
      </w:pPr>
      <w:r>
        <w:rPr>
          <w:rFonts w:ascii="Arial" w:cs="Arial" w:eastAsia="Arial" w:hAnsi="Arial"/>
          <w:sz w:val="16"/>
          <w:szCs w:val="16"/>
          <w:color w:val="auto"/>
        </w:rPr>
        <w:t>The assumptions that the Company used to determine the fair value of the stock options granted to employees and directors for the nine months ended September 30, 2018 and 2017 were as follows, presented on a weighted average basis:</w:t>
      </w:r>
    </w:p>
    <w:p>
      <w:pPr>
        <w:spacing w:after="0" w:line="129"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Nine months ended</w:t>
            </w:r>
          </w:p>
        </w:tc>
        <w:tc>
          <w:tcPr>
            <w:tcW w:w="14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Nine months ended</w:t>
            </w:r>
          </w:p>
        </w:tc>
      </w:tr>
      <w:tr>
        <w:trPr>
          <w:trHeight w:val="119"/>
        </w:trPr>
        <w:tc>
          <w:tcPr>
            <w:tcW w:w="442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0"/>
                <w:szCs w:val="10"/>
                <w:color w:val="auto"/>
              </w:rPr>
            </w:pPr>
          </w:p>
        </w:tc>
      </w:tr>
      <w:tr>
        <w:trPr>
          <w:trHeight w:val="171"/>
        </w:trPr>
        <w:tc>
          <w:tcPr>
            <w:tcW w:w="44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2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right="259" w:firstLine="648"/>
        <w:spacing w:after="0" w:line="221" w:lineRule="exact"/>
        <w:rPr>
          <w:sz w:val="20"/>
          <w:szCs w:val="20"/>
          <w:color w:val="auto"/>
        </w:rPr>
      </w:pPr>
      <w:r>
        <w:rPr>
          <w:rFonts w:ascii="Arial" w:cs="Arial" w:eastAsia="Arial" w:hAnsi="Arial"/>
          <w:sz w:val="17"/>
          <w:szCs w:val="17"/>
          <w:color w:val="auto"/>
        </w:rPr>
        <w:t>There were no stock options granted to non-employees for the nine months ended September 30, 2017. The assumptions that the Company used to determine the fair value of the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for the nine months ended September 30, 2018 were as follows, presented on a weighted average basis:</w:t>
      </w:r>
    </w:p>
    <w:p>
      <w:pPr>
        <w:spacing w:after="0" w:line="207"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6760"/>
        <w:spacing w:after="0"/>
        <w:rPr>
          <w:sz w:val="20"/>
          <w:szCs w:val="20"/>
          <w:color w:val="auto"/>
        </w:rPr>
      </w:pPr>
      <w:r>
        <w:rPr>
          <w:rFonts w:ascii="Arial" w:cs="Arial" w:eastAsia="Arial" w:hAnsi="Arial"/>
          <w:sz w:val="14"/>
          <w:szCs w:val="14"/>
          <w:b w:val="1"/>
          <w:bCs w:val="1"/>
          <w:u w:val="single" w:color="auto"/>
          <w:color w:val="auto"/>
        </w:rPr>
        <w:t>September 30, 2018</w:t>
      </w:r>
    </w:p>
    <w:p>
      <w:pPr>
        <w:ind w:left="7020"/>
        <w:spacing w:after="0" w:line="233" w:lineRule="auto"/>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980" w:right="179" w:hanging="329"/>
        <w:spacing w:after="0" w:line="223"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assumption is based on the U.S. Treasury instruments whose terms were consistent with the expected option term of our stock options.</w:t>
      </w:r>
    </w:p>
    <w:p>
      <w:pPr>
        <w:spacing w:after="0" w:line="203" w:lineRule="exact"/>
        <w:rPr>
          <w:rFonts w:ascii="Arial" w:cs="Arial" w:eastAsia="Arial" w:hAnsi="Arial"/>
          <w:sz w:val="18"/>
          <w:szCs w:val="18"/>
          <w:color w:val="auto"/>
        </w:rPr>
      </w:pPr>
    </w:p>
    <w:p>
      <w:pPr>
        <w:ind w:left="980" w:right="59" w:hanging="329"/>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1" w:lineRule="exact"/>
        <w:rPr>
          <w:rFonts w:ascii="Arial" w:cs="Arial" w:eastAsia="Arial" w:hAnsi="Arial"/>
          <w:sz w:val="18"/>
          <w:szCs w:val="18"/>
          <w:color w:val="auto"/>
        </w:rPr>
      </w:pPr>
    </w:p>
    <w:p>
      <w:pPr>
        <w:ind w:left="980" w:right="179" w:hanging="329"/>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65" w:lineRule="exact"/>
        <w:rPr>
          <w:rFonts w:ascii="Arial" w:cs="Arial" w:eastAsia="Arial" w:hAnsi="Arial"/>
          <w:sz w:val="17"/>
          <w:szCs w:val="17"/>
          <w:color w:val="auto"/>
        </w:rPr>
      </w:pPr>
    </w:p>
    <w:p>
      <w:pPr>
        <w:ind w:left="980" w:right="99" w:hanging="329"/>
        <w:spacing w:after="0" w:line="279"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Expected Term: We determine the average expected life of stock options based on the simplified method in accordance with SEC Staff Accounting Bulletin Nos. 107 and 110, as our common stock to date has not been publicly traded. We expect to continue to use the simplified method until we have sufficient historical exercise data to provide a reasonable basis upon which to estimate expected term.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results of operations for the three months ended September 30, 2018 and 2017:</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$ 3,076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$ 5,655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37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11,415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3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(3,827)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(7,599)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7"/>
          <w:szCs w:val="17"/>
          <w:color w:val="auto"/>
        </w:rPr>
        <w:t>We do not record our research and development expenses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or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as they primarily relate to personnel, research, manufacturing, license fees, non</w:t>
      </w:r>
      <w:r>
        <w:rPr>
          <w:rFonts w:ascii="MS PGothic" w:cs="MS PGothic" w:eastAsia="MS PGothic" w:hAnsi="MS PGothic"/>
          <w:sz w:val="17"/>
          <w:szCs w:val="17"/>
          <w:color w:val="auto"/>
        </w:rPr>
        <w:t>‑</w:t>
      </w:r>
      <w:r>
        <w:rPr>
          <w:rFonts w:ascii="Arial" w:cs="Arial" w:eastAsia="Arial" w:hAnsi="Arial"/>
          <w:sz w:val="17"/>
          <w:szCs w:val="17"/>
          <w:color w:val="auto"/>
        </w:rPr>
        <w:t>cash expense in connection with equity issuances to strategic partner and consumable costs, which are simultaneously deployed across multiple projects under development. These costs are included in the table below.</w:t>
      </w:r>
    </w:p>
    <w:p>
      <w:pPr>
        <w:spacing w:after="0" w:line="209"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Three Months Ended</w:t>
      </w:r>
    </w:p>
    <w:p>
      <w:pPr>
        <w:ind w:left="69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5"/>
          </w:tcPr>
          <w:p>
            <w:pPr>
              <w:jc w:val="right"/>
              <w:ind w:right="27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Clinical trials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Personnel costs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7"/>
        </w:trPr>
        <w:tc>
          <w:tcPr>
            <w:tcW w:w="4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Research and development expenses increased by $5.6 million from $3.1 million for the three months ended September 30, 2017, to $8.7 million for the three months ended September 30, 2018. This was primarily due to a $3.4 million increase in outsourced manufacturing expenses for our lead product candidates, naxitamab and omburtamab. In addition, expenses for outsourced research and supplies increased by $1.3 million for the three months ended September 30, 2018, due to our increased need for clinical trial support. Employee-related costs including salary, benefits and non-cash stock-based compensation for personnel related to our research activities, increased by $0.7 million for the three months ended September 30, 2018, due to our expanding work force.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General and administrative expenses increased by $1.9 million, from $0.8 million for the three months ended September 30, 2017, to $2.7 million for the three months ended September 30, 2018. The increase in general and administrative expenses was primarily attributable to a $1.1 million increase in employee related costs, including salary, benefits and non-cash stock-based compensation for personnel related to our business activities. In addition, fees for auditors, legal advice and other consultancy services increased by $0.5 million for the three months ended September 30,</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2018. The increase in general and administrative expenses primarily relates to the infrastructure and administrative costs of becoming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for the three months ended September 30, 2017 were $15,000 as compared to other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$11,000 for the three months ended September 30, 2018. Our interest income has not been significant due to low investment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balances and low interest earned on those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results of operations for the nine months ended September 30, 2018 and 2017:</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tcPr>
          <w:p>
            <w:pPr>
              <w:jc w:val="right"/>
              <w:ind w:right="4"/>
              <w:spacing w:after="0"/>
              <w:rPr>
                <w:sz w:val="20"/>
                <w:szCs w:val="20"/>
                <w:color w:val="auto"/>
              </w:rPr>
            </w:pPr>
            <w:r>
              <w:rPr>
                <w:rFonts w:ascii="Arial" w:cs="Arial" w:eastAsia="Arial" w:hAnsi="Arial"/>
                <w:sz w:val="18"/>
                <w:szCs w:val="18"/>
                <w:color w:val="auto"/>
              </w:rPr>
              <w:t>$ 23,228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$ 7,682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$ 15,546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5,924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37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80" w:type="dxa"/>
            <w:vAlign w:val="bottom"/>
            <w:gridSpan w:val="2"/>
          </w:tcPr>
          <w:p>
            <w:pPr>
              <w:jc w:val="right"/>
              <w:ind w:right="4"/>
              <w:spacing w:after="0"/>
              <w:rPr>
                <w:sz w:val="20"/>
                <w:szCs w:val="20"/>
                <w:color w:val="auto"/>
              </w:rPr>
            </w:pPr>
            <w:r>
              <w:rPr>
                <w:rFonts w:ascii="Arial" w:cs="Arial" w:eastAsia="Arial" w:hAnsi="Arial"/>
                <w:sz w:val="18"/>
                <w:szCs w:val="18"/>
                <w:color w:val="auto"/>
              </w:rPr>
              <w:t>29,152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19,183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7"/>
        </w:trPr>
        <w:tc>
          <w:tcPr>
            <w:tcW w:w="3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(29,214)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(9,907)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9" w:firstLine="648"/>
        <w:spacing w:after="0" w:line="220" w:lineRule="exact"/>
        <w:rPr>
          <w:sz w:val="20"/>
          <w:szCs w:val="20"/>
          <w:color w:val="auto"/>
        </w:rPr>
      </w:pPr>
      <w:r>
        <w:rPr>
          <w:rFonts w:ascii="Arial" w:cs="Arial" w:eastAsia="Arial" w:hAnsi="Arial"/>
          <w:sz w:val="17"/>
          <w:szCs w:val="17"/>
          <w:color w:val="auto"/>
        </w:rPr>
        <w:t>We do not record our research and development expenses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or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as they primarily relate to personnel, research, manufacturing, license fees, non</w:t>
      </w:r>
      <w:r>
        <w:rPr>
          <w:rFonts w:ascii="MS PGothic" w:cs="MS PGothic" w:eastAsia="MS PGothic" w:hAnsi="MS PGothic"/>
          <w:sz w:val="17"/>
          <w:szCs w:val="17"/>
          <w:color w:val="auto"/>
        </w:rPr>
        <w:t>‑</w:t>
      </w:r>
      <w:r>
        <w:rPr>
          <w:rFonts w:ascii="Arial" w:cs="Arial" w:eastAsia="Arial" w:hAnsi="Arial"/>
          <w:sz w:val="17"/>
          <w:szCs w:val="17"/>
          <w:color w:val="auto"/>
        </w:rPr>
        <w:t>cash expense in connection with equity issuances to strategic partner and consumable costs, which are simultaneously deployed across multiple projects under development. These costs are included in the table below.</w:t>
      </w:r>
    </w:p>
    <w:p>
      <w:pPr>
        <w:spacing w:after="0" w:line="209"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Nine Months Ended</w:t>
      </w:r>
    </w:p>
    <w:p>
      <w:pPr>
        <w:ind w:left="69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17"/>
        </w:trPr>
        <w:tc>
          <w:tcPr>
            <w:tcW w:w="48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23,228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r>
    </w:tbl>
    <w:p>
      <w:pPr>
        <w:spacing w:after="0" w:line="202" w:lineRule="exact"/>
        <w:rPr>
          <w:sz w:val="20"/>
          <w:szCs w:val="20"/>
          <w:color w:val="auto"/>
        </w:rPr>
      </w:pPr>
    </w:p>
    <w:p>
      <w:pPr>
        <w:ind w:right="39" w:firstLine="648"/>
        <w:spacing w:after="0" w:line="290" w:lineRule="auto"/>
        <w:rPr>
          <w:sz w:val="20"/>
          <w:szCs w:val="20"/>
          <w:color w:val="auto"/>
        </w:rPr>
      </w:pPr>
      <w:r>
        <w:rPr>
          <w:rFonts w:ascii="Arial" w:cs="Arial" w:eastAsia="Arial" w:hAnsi="Arial"/>
          <w:sz w:val="16"/>
          <w:szCs w:val="16"/>
          <w:color w:val="auto"/>
        </w:rPr>
        <w:t>Research and development expenses increased by $15.5 million, from $7.7 million for the nine months ended September 30, 2017, to $23.2 million for the nine months ended September 30, 2018. This was primarily due to a $6.4 million increase in outsourced manufacturing expenses for our lead product candidates, naxitamab and omburtamab, and an increase of $3.5 million in outsourced research and supplies, primarily obtained from MSK and CROs for our lead product candidates, naxitamab and omburtamab. Other clinical trial costs increased by $2.1 million for the nine-month ended September 30, 2018. Employee-related costs including salary, benefits and non-cash stock-based compensation for personnel related to our research activities, increased by $2.4 million for the nine-month ended September 30, 2018. The costs for license arrangements increased by $0.6 million due to the entering of the MabVax Sublicense.</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General and administrative expenses increased by $3.6 million, from $2.3 million for the nine-month ended September 30, 2017, to $5.9 million for the nine-month ended September 30, 2018. The increase in general and administrative expenses was primarily attributable to a $1.4 million increase in employee related costs, including salary, benefits and non-cash stock-based compensation for personnel related to our business activities. In addition, fees for auditors, legal advice and other consultancy services increased by $1.3 million for the nine-month ended September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Other income for the nine-month period ended September 30, 2017 was $62,000 as compared to other expense of $62,000 for the nine-month period ended September 30, 2018. Our interest income has not been significant due to low average investment balances and low interest earned on those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 operations through September 30, 2018 primarily through gross proceeds of approximately $230.0 million from the sale of our common stock, including the completion of our IPO on September 25, 2018, in which we issued and sold 6,900,000 shares of our common stock at a public offering price of $16.00 per share, resulting in gross proceeds of approximately $110.4 million before deducting underwriters discounts, commissions and estimated offering costs.</w:t>
      </w:r>
    </w:p>
    <w:p>
      <w:pPr>
        <w:spacing w:after="0" w:line="192"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As of September 30, 2018, we had cash and cash equivalents of approximately $163.3 million. We will need additional capital to continue funding our operations, which we may obtain from additional equity or debt financings, collaborations, licensing arrangements, or other 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2018 and 2017:</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100,605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 Net cash used in operating activities was $9.6 million for the nine months ended September 30, 2017, as compared to $27.7 million for the nine months ended September 30, 2018. The $18.1 million increase in net cash used in operations was primarily due to an increase of $19.3 million in our net loss for the nine months ended September 30, 2018. This increase was primarily due to our operational expenses in connection with the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our lead product candidates, naxitamab and omburtamab, and the expansion of our other business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Non-cash expenses also included stock-based compensation to employees, which increased by $1.0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Net cash used in investing activities was $0.2 million for the nine months ended September 30, 2018, as compared to no investment activities for the nine months ended September 30, 2017. The $0.2 million increase in net cash used in investing activities was primarily caused by a $0.2 million investment in furniture for our new office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Net cash provided by financing activities was $24.4 million during the nine-month period ended September 30, 2017, as compared to $100.6 million during the nine-month period ended September 30, 2018. The increase in cash provided by financing activities was attributable to net proceeds of $102.7 million (after deducting underwriters discounts and commissions but before deducting estimated offering costs) related to the issuance of common stock from the Company’s IPO in September 2018, which compares to net proceeds of $24.4 million related to the issuance of common stock from a private placement in the nine-month period ended September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6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believe that our existing cash and cash equivalents as of September 30, 2018, will enable us to fund our operating expenses and capital expenditure requirements through the fourth quarter of 2020. 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78" w:lineRule="exact"/>
        <w:rPr>
          <w:sz w:val="20"/>
          <w:szCs w:val="20"/>
          <w:color w:val="auto"/>
        </w:rPr>
      </w:pPr>
    </w:p>
    <w:p>
      <w:pPr>
        <w:ind w:left="980" w:right="520" w:hanging="329"/>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25"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70" w:lineRule="exact"/>
        <w:rPr>
          <w:rFonts w:ascii="Arial" w:cs="Arial" w:eastAsia="Arial" w:hAnsi="Arial"/>
          <w:sz w:val="18"/>
          <w:szCs w:val="18"/>
          <w:color w:val="auto"/>
        </w:rPr>
      </w:pPr>
    </w:p>
    <w:p>
      <w:pPr>
        <w:ind w:left="980" w:right="86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980" w:right="219" w:hanging="329"/>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980" w:right="319"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Priority Review Vouchers, or PRVs;</w:t>
      </w:r>
    </w:p>
    <w:p>
      <w:pPr>
        <w:spacing w:after="0" w:line="225" w:lineRule="exact"/>
        <w:rPr>
          <w:rFonts w:ascii="Arial" w:cs="Arial" w:eastAsia="Arial" w:hAnsi="Arial"/>
          <w:sz w:val="18"/>
          <w:szCs w:val="18"/>
          <w:color w:val="auto"/>
        </w:rPr>
      </w:pPr>
    </w:p>
    <w:p>
      <w:pPr>
        <w:ind w:left="980" w:right="659"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980" w:right="279"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99" w:firstLine="648"/>
        <w:spacing w:after="0" w:line="259"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w:t>
      </w:r>
    </w:p>
    <w:p>
      <w:pPr>
        <w:spacing w:after="0" w:line="187"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6"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right="59" w:firstLine="648"/>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the applicable regulations of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79" w:firstLine="648"/>
        <w:spacing w:after="0" w:line="277" w:lineRule="auto"/>
        <w:rPr>
          <w:sz w:val="20"/>
          <w:szCs w:val="20"/>
          <w:color w:val="auto"/>
        </w:rPr>
      </w:pPr>
      <w:r>
        <w:rPr>
          <w:rFonts w:ascii="Arial" w:cs="Arial" w:eastAsia="Arial" w:hAnsi="Arial"/>
          <w:sz w:val="18"/>
          <w:szCs w:val="18"/>
          <w:color w:val="auto"/>
        </w:rPr>
        <w:t>A summary of our minimum contractual obligations related to our material outstanding contractual commitments is included in Note 6 of our enclosed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As further described below, under various licensing and related agreements with third parties, we have agreed to make milestone and royalty payments to third parties.</w:t>
      </w:r>
    </w:p>
    <w:p>
      <w:pPr>
        <w:spacing w:after="0" w:line="1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have not included the contingent payment of certain milestones, which timing cannot be determined because they are not date certain. In addition, we have other contingent payment obligations, such as such as royalties or other third-party milestones, which are not included in the table above as the amount, timing and likelihood of such payments are not known. We have entered into two license agreements and certain other agreements with MSK. The license agreements are further described below as the MSK License and the MSK CD33 License. Under the MSK License and MSK CD33 License we are obligated to (i) make certain payments to MSK, which become due based upon the achievement of the related milestone activities or the passage of time in the event such milestone activities are not achieved, as well as certain sales 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Total expensed minimum royalty payments in 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clinical, regulatory and sales-based milestones potentially due under the MSK License are $2,450,000,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$9,000,000 and $20,000,000, respectively. In addition, under the MSK CD33 License, we are obligated to make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$550,000, $500,000 and $7,500,000 for clinical, regulatory and sales-based milestone, respectively. We record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milestones in the period in which the contingent liability is probable and the amount is reasonably estimable.</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MSK CD33 License. Our failure to meet certain conditions under such arrangements could cause the related license to such licensed product to be canceled and could result in termination of the entire respective arrangement with MSK. In addition, we may terminate the MSK License or MSK CD33 License with prior written notice to MSK. Total milestones expensed in the nine months periods ending September 30, 2017 amounted to $150,000. No milestones were expensed nine months periods ending September 30, 2018.</w:t>
      </w:r>
    </w:p>
    <w:p>
      <w:pPr>
        <w:spacing w:after="0" w:line="17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On June 27, 2018, we entered into a sublicense agreement, the MabVax Sublicense, with MabVax Therapeutics Holdings, Inc., or MabVax, pursuant to which MabVax granted us all of the exclusive rights granted to MabVax under its license agreement with MSK, or the MabVax-MSK License, for a bi-valent ganglioside-based vaccine intended to treat NB, or the NB vaccine. MSK originally developed the NB vaccine and licensed to MabVax as part of a portfolio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anti-cancer vaccines. Under the terms of the MabVax Sublicense, we paid MabVax an upfront payment of $700,000, and, if we decide to move forward with the development of the vaccine, we have agreed to make an additional payment of $600,000 on the first anniversary of the Mabvax Sublicense, provided that no notice of termination has been made by us before such date. We will also be responsible for any potential downstream payment obligations to MSK related to the NB vaccine that were specified in the MabVax-MSK license agreement. This includes the obligation to pay development milestones totaling $1,400,000 and mid single-digit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MabVax-MSK License.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so long as we are an emerging growth company we expect that:</w:t>
      </w:r>
    </w:p>
    <w:p>
      <w:pPr>
        <w:spacing w:after="0" w:line="225" w:lineRule="exact"/>
        <w:rPr>
          <w:sz w:val="20"/>
          <w:szCs w:val="20"/>
          <w:color w:val="auto"/>
        </w:rPr>
      </w:pPr>
    </w:p>
    <w:p>
      <w:pPr>
        <w:ind w:left="980" w:right="32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financial statements, in addition to any required unaudited financial statements, with correspondingly reduced Management’s Discussion and Analysis of Financial Condition and Results of Operations disclosure;</w:t>
      </w:r>
    </w:p>
    <w:p>
      <w:pPr>
        <w:spacing w:after="0" w:line="181" w:lineRule="exact"/>
        <w:rPr>
          <w:rFonts w:ascii="Arial" w:cs="Arial" w:eastAsia="Arial" w:hAnsi="Arial"/>
          <w:sz w:val="18"/>
          <w:szCs w:val="18"/>
          <w:color w:val="auto"/>
        </w:rPr>
      </w:pPr>
    </w:p>
    <w:p>
      <w:pPr>
        <w:jc w:val="both"/>
        <w:ind w:left="980" w:right="30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81" w:lineRule="exact"/>
        <w:rPr>
          <w:rFonts w:ascii="Arial" w:cs="Arial" w:eastAsia="Arial" w:hAnsi="Arial"/>
          <w:sz w:val="18"/>
          <w:szCs w:val="18"/>
          <w:color w:val="auto"/>
        </w:rPr>
      </w:pPr>
    </w:p>
    <w:p>
      <w:pPr>
        <w:ind w:left="980" w:right="140" w:hanging="329"/>
        <w:spacing w:after="0" w:line="221"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w:t>
      </w:r>
    </w:p>
    <w:p>
      <w:pPr>
        <w:spacing w:after="0" w:line="201"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right="20" w:firstLine="648"/>
        <w:spacing w:after="0" w:line="220" w:lineRule="exact"/>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 (i) the last day of the fiscal year following the fifth anniversary of our initial public offering, (ii) the last day of the first fiscal year in which our annual gross revenues are $1.07 billion or more, which amount is periodically updated, (iii) the date on which we have, during the previous rolling three</w:t>
      </w:r>
      <w:r>
        <w:rPr>
          <w:rFonts w:ascii="MS PGothic" w:cs="MS PGothic" w:eastAsia="MS PGothic" w:hAnsi="MS PGothic"/>
          <w:sz w:val="16"/>
          <w:szCs w:val="16"/>
          <w:color w:val="auto"/>
        </w:rPr>
        <w:t>‑</w:t>
      </w:r>
      <w:r>
        <w:rPr>
          <w:rFonts w:ascii="Arial" w:cs="Arial" w:eastAsia="Arial" w:hAnsi="Arial"/>
          <w:sz w:val="16"/>
          <w:szCs w:val="16"/>
          <w:color w:val="auto"/>
        </w:rPr>
        <w:t>year period, issued more than</w:t>
      </w:r>
    </w:p>
    <w:p>
      <w:pPr>
        <w:spacing w:after="0" w:line="2" w:lineRule="exact"/>
        <w:rPr>
          <w:sz w:val="20"/>
          <w:szCs w:val="20"/>
          <w:color w:val="auto"/>
        </w:rPr>
      </w:pPr>
    </w:p>
    <w:p>
      <w:pPr>
        <w:ind w:right="360"/>
        <w:spacing w:after="0" w:line="216" w:lineRule="exact"/>
        <w:rPr>
          <w:sz w:val="20"/>
          <w:szCs w:val="20"/>
          <w:color w:val="auto"/>
        </w:rPr>
      </w:pPr>
      <w:r>
        <w:rPr>
          <w:rFonts w:ascii="Arial" w:cs="Arial" w:eastAsia="Arial" w:hAnsi="Arial"/>
          <w:sz w:val="18"/>
          <w:szCs w:val="18"/>
          <w:color w:val="auto"/>
        </w:rPr>
        <w:t>$1.0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or (iv) the date on which we are deemed to be a “large accelerated filer” as defined in the Exchange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are exposed to market risk related to changes in interest rates. As of September 30, 2018 and December 31, 2017, we had cash and cash equivalents of $163.3 million and $90.5 million, respectively, maintained primarily with financial institutions in federally insured accounts. We currently have, and may, from time to time in the future, cash 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banks in excess of FDIC insurance limits. We have not experienced any losses to date resulting from this practice. We mitigate our risk by maintaining the majority of our cash and equivalents with high quality financial institutions.</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primary exposure to market risk is foreign exchange rate sensitivity to the Danish Kroner (DKK), the currency used in the Kingdom of Denmark, where our wholly owned subsidiary, Y-mAbs Therapeutics A/S, is located. As of September 30, 2018, we had cash and cash equivalents denominated in DKK of $0.3 million, and an immediate 5% change in DKK exchange rate would not have any material effect on the fair market value of cash balances with the subsidiary.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We will be required, pursuant to Section 404(a)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2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our initial public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75"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We have not performed an evaluation of our internal control over financial reporting, as required by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 and therefore, our management is not presently required to perform an annual assessment of the effectiveness of our internal control over financial reporting. This requirement will first apply to our second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Our independent public registered accounting firm will first be required to attest to the effectiveness of our internal control over financial reporting for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first year we are no longer an “emerging growth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firstLine="648"/>
        <w:spacing w:after="0" w:line="272"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Quarterly Report on Form 10-Q,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right="160" w:firstLine="648"/>
        <w:spacing w:after="0" w:line="340"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3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losses each year. As of September 30, 2018, we had an accumulated deficit of $70.8 million. We have financed our operations principally through private placements and the initial public offering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 Our ability to generate revenue and achieve profitability depends significantly on our success in many factors, including:</w:t>
      </w:r>
    </w:p>
    <w:p>
      <w:pPr>
        <w:spacing w:after="0" w:line="178"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170"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including establishing and maintaining commercially viable supply relationships with third parties and establishing our own manufacturing capabilities and infrastructure;</w:t>
      </w:r>
    </w:p>
    <w:p>
      <w:pPr>
        <w:spacing w:after="0" w:line="181"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addressing any competing products, product candidates, related technologies and/or market developments;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236" w:lineRule="exact"/>
        <w:rPr>
          <w:rFonts w:ascii="Arial" w:cs="Arial" w:eastAsia="Arial" w:hAnsi="Arial"/>
          <w:sz w:val="17"/>
          <w:szCs w:val="17"/>
          <w:color w:val="auto"/>
        </w:rPr>
      </w:pPr>
    </w:p>
    <w:p>
      <w:pPr>
        <w:ind w:left="980" w:right="3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8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 based milestones, respectively.</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MCTA, under which we will provide drug product and funding for certain clinical trials at MSK under separate appendices to be executed. Additionally, we entered into a Sponsored Research Agreement, or the SRA, with MSK pursuant to which we agreed to pay MSK to conduct certain research projects over a period of five years related to the intellectual property licensed under the MSK License. We also entered into a Sponsored Research Agreement, or the CD33 SRA, in connection with the MSK CD33 License, pursuant to which we committed to provide aggregate research funding to MSK annually for a term of two years. We entered into a Manufacturing Agreement with MSK’s Radiochemistry and Molecular Imaging Probes Core Facility, or RMIP, pursuant to which RMIP will complete specified manufacturing activities related to 131I-omburtamab in connection with our Phase 2 trials for Study 101. Additionally, we entered into a Sublicense Agreement, or the MabVax Sublicense, with MabVax Therapeutics Holdings, Inc., or MabVax, pursuant to which MabVax granted us all of the exclusive rights granted to MabVax under its license agreement with MSK, or the MabVax-MSK License, for a bi-valent ganglioside based vaccine intended to treat NB, or the NB vaccine. In addition to the upfront payment of $700,000 that we have made under the terms of MabVax Sublicense, if we decide to move forward with the development of the vaccine, we have agreed to make an additional payment of $600,000 on the first anniversary of the MabVax Sublicense, provided that no notice of termination has been made by us before such date. We will also be responsible for any potential downstream payment obligations to MSK related to the NB vaccine that were specified in the MabVax-MSK license agreement. This includes the obligation to pay development milestones totaling $1,400,000 and mid single-digit royalty payments to MSK. 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1"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4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rFonts w:ascii="Arial" w:cs="Arial" w:eastAsia="Arial" w:hAnsi="Arial"/>
          <w:sz w:val="18"/>
          <w:szCs w:val="18"/>
          <w:color w:val="auto"/>
        </w:rPr>
      </w:pPr>
    </w:p>
    <w:p>
      <w:pPr>
        <w:ind w:left="980" w:right="120" w:hanging="329"/>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4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September 30, 2018, we had approximately $163.3 million in cash and cash equivalents. We believe that our cash and cash equivalents, will be sufficient to fund our operations through the fourth quarter of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product candidates on terms unfavorable to us.</w:t>
      </w:r>
    </w:p>
    <w:p>
      <w:pPr>
        <w:spacing w:after="0" w:line="17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jc w:val="both"/>
        <w:ind w:right="560"/>
        <w:spacing w:after="0" w:line="381" w:lineRule="auto"/>
        <w:rPr>
          <w:sz w:val="20"/>
          <w:szCs w:val="20"/>
          <w:color w:val="auto"/>
        </w:rPr>
      </w:pPr>
      <w:r>
        <w:rPr>
          <w:rFonts w:ascii="Arial" w:cs="Arial" w:eastAsia="Arial" w:hAnsi="Arial"/>
          <w:sz w:val="15"/>
          <w:szCs w:val="15"/>
          <w:b w:val="1"/>
          <w:bCs w:val="1"/>
          <w:i w:val="1"/>
          <w:iCs w:val="1"/>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0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public company, we are required, pursuant to Section 404 of the Sarbanes-Oxley Act, to furnish a report by our management on, among other things, the effectiveness of our internal control over financial reporting beginning with the annual report for our fiscal year 2019.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8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connection with the audit of our financial statements for the years ended December 31, 2016 and 2017, it was determined that we lack a sufficient number of trained professionals with an appropriate level of accounting knowledge,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training and experience to: (a) design and maintain formal accounting policies, procedures and controls over the fair presentation of our financial statements; (b) analyze, record and disclose complex accounting matters timely and accurately, including share 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begun evaluating and implementing additional procedures to address these material weaknesses, however, we cannot assure you that these or other measures will fully remediate the material weaknesses described above in a timely manner. We intend to begin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6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pursuant to Section 404 until the later of our fiscal year 2019,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$700.0 million as of June 30 of 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170"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980" w:right="20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timely receipt of marketing approvals for our lead product candidates from applicable regulatory authorities;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980" w:right="86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980" w:right="46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97"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58" w:lineRule="exact"/>
        <w:rPr>
          <w:sz w:val="20"/>
          <w:szCs w:val="20"/>
          <w:color w:val="auto"/>
        </w:rPr>
      </w:pPr>
    </w:p>
    <w:p>
      <w:pPr>
        <w:ind w:right="99" w:firstLine="64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82" w:lineRule="exact"/>
        <w:rPr>
          <w:sz w:val="20"/>
          <w:szCs w:val="20"/>
          <w:color w:val="auto"/>
        </w:rPr>
      </w:pPr>
    </w:p>
    <w:p>
      <w:pPr>
        <w:ind w:right="79" w:firstLine="648"/>
        <w:spacing w:after="0" w:line="297" w:lineRule="auto"/>
        <w:rPr>
          <w:sz w:val="20"/>
          <w:szCs w:val="20"/>
          <w:color w:val="auto"/>
        </w:rPr>
      </w:pPr>
      <w:r>
        <w:rPr>
          <w:rFonts w:ascii="Arial" w:cs="Arial" w:eastAsia="Arial" w:hAnsi="Arial"/>
          <w:sz w:val="16"/>
          <w:szCs w:val="16"/>
          <w:color w:val="auto"/>
        </w:rPr>
        <w:t>We cannot guarantee that any clinical studies will be conducted as planned or completed on schedule, if at all. In addition, we cannot be sure that we will be able to submit Investigation New Drug Applications (“IND”)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58" w:lineRule="exact"/>
        <w:rPr>
          <w:sz w:val="20"/>
          <w:szCs w:val="20"/>
          <w:color w:val="auto"/>
        </w:rPr>
      </w:pPr>
    </w:p>
    <w:p>
      <w:pPr>
        <w:ind w:right="59"/>
        <w:spacing w:after="0" w:line="264"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w:t>
      </w:r>
    </w:p>
    <w:p>
      <w:pPr>
        <w:spacing w:after="0" w:line="181" w:lineRule="exact"/>
        <w:rPr>
          <w:sz w:val="20"/>
          <w:szCs w:val="20"/>
          <w:color w:val="auto"/>
        </w:rPr>
      </w:pPr>
    </w:p>
    <w:p>
      <w:pPr>
        <w:ind w:right="79" w:firstLine="648"/>
        <w:spacing w:after="0" w:line="269" w:lineRule="auto"/>
        <w:rPr>
          <w:sz w:val="20"/>
          <w:szCs w:val="20"/>
          <w:color w:val="auto"/>
        </w:rPr>
      </w:pPr>
      <w:r>
        <w:rPr>
          <w:rFonts w:ascii="Arial" w:cs="Arial" w:eastAsia="Arial" w:hAnsi="Arial"/>
          <w:sz w:val="17"/>
          <w:szCs w:val="17"/>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indications, including use of our product candidates for front-line and second-line therapy. 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80"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1"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980" w:right="380" w:hanging="329"/>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color w:val="auto"/>
        </w:rPr>
        <w:t>recommended or required for patients who receive treatment using our products, a number of potentially significant negative consequences could result, including:</w:t>
      </w:r>
    </w:p>
    <w:p>
      <w:pPr>
        <w:spacing w:after="0" w:line="170"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980" w:right="759"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980" w:right="179"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980" w:right="659"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 or impose distribution or use restrictions;</w:t>
      </w:r>
    </w:p>
    <w:p>
      <w:pPr>
        <w:spacing w:after="0" w:line="170" w:lineRule="exact"/>
        <w:rPr>
          <w:rFonts w:ascii="Arial" w:cs="Arial" w:eastAsia="Arial" w:hAnsi="Arial"/>
          <w:sz w:val="18"/>
          <w:szCs w:val="18"/>
          <w:color w:val="auto"/>
        </w:rPr>
      </w:pPr>
    </w:p>
    <w:p>
      <w:pPr>
        <w:ind w:left="980" w:right="39" w:hanging="329"/>
        <w:spacing w:after="0" w:line="286"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65" w:lineRule="exact"/>
        <w:rPr>
          <w:rFonts w:ascii="Arial" w:cs="Arial" w:eastAsia="Arial" w:hAnsi="Arial"/>
          <w:sz w:val="17"/>
          <w:szCs w:val="17"/>
          <w:color w:val="auto"/>
        </w:rPr>
      </w:pPr>
    </w:p>
    <w:p>
      <w:pPr>
        <w:ind w:left="980" w:right="539"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179" w:firstLine="648"/>
        <w:spacing w:after="0" w:line="286" w:lineRule="auto"/>
        <w:rPr>
          <w:sz w:val="20"/>
          <w:szCs w:val="20"/>
          <w:color w:val="auto"/>
        </w:rPr>
      </w:pPr>
      <w:r>
        <w:rPr>
          <w:rFonts w:ascii="Arial" w:cs="Arial" w:eastAsia="Arial" w:hAnsi="Arial"/>
          <w:sz w:val="17"/>
          <w:szCs w:val="17"/>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stock.</w:t>
      </w:r>
    </w:p>
    <w:p>
      <w:pPr>
        <w:spacing w:after="0" w:line="166" w:lineRule="exact"/>
        <w:rPr>
          <w:sz w:val="20"/>
          <w:szCs w:val="20"/>
          <w:color w:val="auto"/>
        </w:rPr>
      </w:pPr>
    </w:p>
    <w:p>
      <w:pPr>
        <w:ind w:right="39"/>
        <w:spacing w:after="0" w:line="297"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58"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later-stage clinical trials.</w:t>
      </w:r>
    </w:p>
    <w:p>
      <w:pPr>
        <w:spacing w:after="0" w:line="165"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 dependent cytotoxicity, respectively. We submitted a response to the FDA in March 2018, and met with the FDA on April 24, 2018. Subsequently, we submitted a complete response to the partial clinical hold to the FDA in May 2018 and the partial clinical hold was removed on June 7, 2018. One or more clinical trials of our lead product candidates may be subject to additional clinical holds in the future, which may ultimately delay or otherwise adversely affect the clinical development of our lead product candidates.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we have initiated Study 101 and Study 201 to form the primary basis for our planned BLAs, to establish comparability of study population and phamacokinetics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trials or other pivotal trials. The FDA or non 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the net proceeds from our initial public offering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67" w:lineRule="exact"/>
        <w:rPr>
          <w:sz w:val="20"/>
          <w:szCs w:val="20"/>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rFonts w:ascii="Arial" w:cs="Arial" w:eastAsia="Arial" w:hAnsi="Arial"/>
          <w:sz w:val="18"/>
          <w:szCs w:val="18"/>
          <w:color w:val="auto"/>
        </w:rPr>
      </w:pPr>
    </w:p>
    <w:p>
      <w:pPr>
        <w:ind w:left="980" w:right="360" w:hanging="329"/>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candidates we develop may nevertheless be covered by third parties’ patents or other exclusive rights;</w:t>
      </w:r>
    </w:p>
    <w:p>
      <w:pPr>
        <w:spacing w:after="0" w:line="248" w:lineRule="exact"/>
        <w:rPr>
          <w:rFonts w:ascii="Arial" w:cs="Arial" w:eastAsia="Arial" w:hAnsi="Arial"/>
          <w:sz w:val="16"/>
          <w:szCs w:val="16"/>
          <w:color w:val="auto"/>
        </w:rPr>
      </w:pPr>
    </w:p>
    <w:p>
      <w:pPr>
        <w:ind w:left="980" w:right="180"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European Medicines Agency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78" w:lineRule="exact"/>
        <w:rPr>
          <w:sz w:val="20"/>
          <w:szCs w:val="20"/>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the product is designated under physician treatment guidelines as a first-, second- or third-line therapy;</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or the ability of any potential future collaborators, to offer the product for sale at competitive prices;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w:t>
      </w:r>
    </w:p>
    <w:p>
      <w:pPr>
        <w:spacing w:after="0" w:line="17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significant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do not have a sales or marketing infrastructure and have no significant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70" w:lineRule="exact"/>
        <w:rPr>
          <w:rFonts w:ascii="Arial" w:cs="Arial" w:eastAsia="Arial" w:hAnsi="Arial"/>
          <w:sz w:val="18"/>
          <w:szCs w:val="18"/>
          <w:color w:val="auto"/>
        </w:rPr>
      </w:pPr>
    </w:p>
    <w:p>
      <w:pPr>
        <w:ind w:left="980" w:right="84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obtain sufficient coverage and reimbursement from third-party payors and governmental agencies.</w:t>
      </w:r>
    </w:p>
    <w:p>
      <w:pPr>
        <w:spacing w:after="0" w:line="2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internationally could materially adversely affect our business.</w:t>
      </w:r>
    </w:p>
    <w:p>
      <w:pPr>
        <w:spacing w:after="0" w:line="2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81" w:lineRule="exact"/>
        <w:rPr>
          <w:sz w:val="20"/>
          <w:szCs w:val="20"/>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980" w:right="100" w:hanging="329"/>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81" w:lineRule="exact"/>
        <w:rPr>
          <w:rFonts w:ascii="Arial" w:cs="Arial" w:eastAsia="Arial" w:hAnsi="Arial"/>
          <w:sz w:val="18"/>
          <w:szCs w:val="18"/>
          <w:color w:val="auto"/>
        </w:rPr>
      </w:pPr>
    </w:p>
    <w:p>
      <w:pPr>
        <w:ind w:left="980" w:right="200" w:hanging="329"/>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980" w:right="40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8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Specifically, MacroGenics, Inc. and Daiichi Sankyo Co. are developing antibodies against B7-H3. United Therapeutics Corporation has commercialized Unituxin (dinutuximab), an antibody against GD2, in the United States. In addition, naxitamab may face competition from dinutuximab beta, a similar antibody product against GD2 developed by Apeiron Biologics AG, or Apeiron, that was approved in Europe in May 2017 to treat high-risk NB. Apeiron has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prevent us from obtaining approval from the FDA for such product candidate for the same indication for seven years, except in limited circumstances.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24" w:lineRule="exact"/>
        <w:rPr>
          <w:sz w:val="20"/>
          <w:szCs w:val="20"/>
          <w:color w:val="auto"/>
        </w:rPr>
      </w:pPr>
    </w:p>
    <w:p>
      <w:pPr>
        <w:ind w:left="980" w:right="4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980" w:hanging="329"/>
        <w:spacing w:after="0" w:line="25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8" w:lineRule="exact"/>
        <w:rPr>
          <w:rFonts w:ascii="Arial" w:cs="Arial" w:eastAsia="Arial" w:hAnsi="Arial"/>
          <w:sz w:val="18"/>
          <w:szCs w:val="18"/>
          <w:color w:val="auto"/>
        </w:rPr>
      </w:pPr>
    </w:p>
    <w:p>
      <w:pPr>
        <w:jc w:val="both"/>
        <w:ind w:left="980" w:right="60" w:hanging="329"/>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480" w:hanging="329"/>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third parties or any potential future collaborators could independently develop, or develop with third parties, products that compete directly or indirectly with our products or product candidates;</w:t>
      </w:r>
    </w:p>
    <w:p>
      <w:pPr>
        <w:spacing w:after="0" w:line="146" w:lineRule="exact"/>
        <w:rPr>
          <w:rFonts w:ascii="Arial" w:cs="Arial" w:eastAsia="Arial" w:hAnsi="Arial"/>
          <w:sz w:val="17"/>
          <w:szCs w:val="17"/>
          <w:color w:val="auto"/>
        </w:rPr>
      </w:pPr>
    </w:p>
    <w:p>
      <w:pPr>
        <w:ind w:left="980" w:right="60" w:hanging="329"/>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6"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8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165" w:lineRule="exact"/>
        <w:rPr>
          <w:rFonts w:ascii="Arial" w:cs="Arial" w:eastAsia="Arial" w:hAnsi="Arial"/>
          <w:sz w:val="17"/>
          <w:szCs w:val="17"/>
          <w:color w:val="auto"/>
        </w:rPr>
      </w:pPr>
    </w:p>
    <w:p>
      <w:pPr>
        <w:ind w:left="980" w:right="420" w:hanging="329"/>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140" w:hanging="329"/>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181" w:lineRule="exact"/>
        <w:rPr>
          <w:rFonts w:ascii="Arial" w:cs="Arial" w:eastAsia="Arial" w:hAnsi="Arial"/>
          <w:sz w:val="18"/>
          <w:szCs w:val="18"/>
          <w:color w:val="auto"/>
        </w:rPr>
      </w:pPr>
    </w:p>
    <w:p>
      <w:pPr>
        <w:ind w:left="980" w:hanging="329"/>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1"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9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7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w:t>
      </w:r>
    </w:p>
    <w:p>
      <w:pPr>
        <w:ind w:right="20"/>
        <w:spacing w:after="0" w:line="252" w:lineRule="auto"/>
        <w:rPr>
          <w:sz w:val="20"/>
          <w:szCs w:val="20"/>
          <w:color w:val="auto"/>
        </w:rPr>
      </w:pPr>
      <w:r>
        <w:rPr>
          <w:rFonts w:ascii="Arial" w:cs="Arial" w:eastAsia="Arial" w:hAnsi="Arial"/>
          <w:sz w:val="18"/>
          <w:szCs w:val="18"/>
          <w:color w:val="auto"/>
        </w:rPr>
        <w:t>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4"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collaborators. Although we carry $5.0 million of clinical trial insurance,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Third parties have sponsored all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datas before we may begin our planned trials and/or may not accept such additional data as adequate to begin our planned trials.</w:t>
      </w:r>
    </w:p>
    <w:p>
      <w:pPr>
        <w:spacing w:after="0" w:line="183"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6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9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relationships with our CROs, there can be no assurance that we will not encounter similar challenges in the future or that these challenges will not have a material adverse impact on our business, financial condition and prospects.</w:t>
      </w:r>
    </w:p>
    <w:p>
      <w:pPr>
        <w:spacing w:after="0" w:line="14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8" w:lineRule="exact"/>
        <w:rPr>
          <w:sz w:val="20"/>
          <w:szCs w:val="20"/>
          <w:color w:val="auto"/>
        </w:rPr>
      </w:pPr>
    </w:p>
    <w:p>
      <w:pPr>
        <w:ind w:left="980" w:right="20" w:hanging="329"/>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6"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70" w:lineRule="exact"/>
        <w:rPr>
          <w:rFonts w:ascii="Arial" w:cs="Arial" w:eastAsia="Arial" w:hAnsi="Arial"/>
          <w:sz w:val="18"/>
          <w:szCs w:val="18"/>
          <w:color w:val="auto"/>
        </w:rPr>
      </w:pPr>
    </w:p>
    <w:p>
      <w:pPr>
        <w:ind w:left="980" w:right="32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980" w:right="100" w:hanging="329"/>
        <w:spacing w:after="0" w:line="30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4" w:lineRule="exact"/>
        <w:rPr>
          <w:rFonts w:ascii="Arial" w:cs="Arial" w:eastAsia="Arial" w:hAnsi="Arial"/>
          <w:sz w:val="16"/>
          <w:szCs w:val="16"/>
          <w:color w:val="auto"/>
        </w:rPr>
      </w:pPr>
    </w:p>
    <w:p>
      <w:pPr>
        <w:ind w:left="980" w:right="20" w:hanging="329"/>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6"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3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170" w:lineRule="exact"/>
        <w:rPr>
          <w:rFonts w:ascii="Arial" w:cs="Arial" w:eastAsia="Arial" w:hAnsi="Arial"/>
          <w:sz w:val="18"/>
          <w:szCs w:val="18"/>
          <w:color w:val="auto"/>
        </w:rPr>
      </w:pPr>
    </w:p>
    <w:p>
      <w:pPr>
        <w:ind w:left="980" w:right="200" w:hanging="329"/>
        <w:spacing w:after="0" w:line="31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46" w:lineRule="exact"/>
        <w:rPr>
          <w:rFonts w:ascii="Arial" w:cs="Arial" w:eastAsia="Arial" w:hAnsi="Arial"/>
          <w:sz w:val="16"/>
          <w:szCs w:val="16"/>
          <w:color w:val="auto"/>
        </w:rPr>
      </w:pPr>
    </w:p>
    <w:p>
      <w:pPr>
        <w:ind w:left="980" w:right="12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36" w:lineRule="exact"/>
        <w:rPr>
          <w:rFonts w:ascii="Arial" w:cs="Arial" w:eastAsia="Arial" w:hAnsi="Arial"/>
          <w:sz w:val="17"/>
          <w:szCs w:val="17"/>
          <w:color w:val="auto"/>
        </w:rPr>
      </w:pPr>
    </w:p>
    <w:p>
      <w:pPr>
        <w:ind w:left="980" w:right="140" w:hanging="329"/>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may have unacceptable or inconsistent product quality success rates and yields.</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Each of these risks could delay or prevent the completion of our clinical trials or the approval of any of our product candidates by the FDA, result in higher costs or adversely impact commercialization of our product candidates. For example, we recently experienced a shortage in the supply of Iodine-131, one of the components of our 131I-omburtamab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 of our 131I-omburtamab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after we submit our Biologic License Application, or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5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currently have no internal research and development capabilities and we have not and are not currently conducting any independent clinical trials. Therefore, we currently rely on third-party research institutions for both capabilities. Currently, MSK is conducting clinical trials to address pediatric R/R high-risk NB and a clinical trial to address relapsed osteosarcoma using our naxitamab product candidate. We are also conducting a clinical trial at MSK for CNS/LM from NB and clinical trials for Diffuse Intrinsic Pontine Glioma (“DIPG”) and Desmoplastic Small Round Cell Tumors, (“DSRCT”) for our omburtamab product candidate. Under the terms of the MSK License, we are obligated to pay for the costs associated with these clinical trials. 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another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Although we currently plan to retain all commercial rights to our product candidates, we may enter into strategic collaborations for the development, marketing and commercialization of all or some our product candidates. If those collaborations are not successful, or if we are unable to establish any such collaborations, we may have to alter or delay our development and commercialization plans.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25" w:lineRule="exact"/>
        <w:rPr>
          <w:sz w:val="20"/>
          <w:szCs w:val="20"/>
          <w:color w:val="auto"/>
        </w:rPr>
      </w:pPr>
    </w:p>
    <w:p>
      <w:pPr>
        <w:ind w:left="980" w:right="23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980" w:right="219" w:hanging="329"/>
        <w:spacing w:after="0" w:line="279"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980" w:right="219" w:hanging="329"/>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61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980" w:right="7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980" w:right="39" w:hanging="329"/>
        <w:spacing w:after="0" w:line="30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4" w:lineRule="exact"/>
        <w:rPr>
          <w:rFonts w:ascii="Arial" w:cs="Arial" w:eastAsia="Arial" w:hAnsi="Arial"/>
          <w:sz w:val="16"/>
          <w:szCs w:val="16"/>
          <w:color w:val="auto"/>
        </w:rPr>
      </w:pPr>
    </w:p>
    <w:p>
      <w:pPr>
        <w:ind w:left="980" w:right="119" w:hanging="329"/>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1" w:lineRule="exact"/>
        <w:rPr>
          <w:rFonts w:ascii="Arial" w:cs="Arial" w:eastAsia="Arial" w:hAnsi="Arial"/>
          <w:sz w:val="18"/>
          <w:szCs w:val="18"/>
          <w:color w:val="auto"/>
        </w:rPr>
      </w:pPr>
    </w:p>
    <w:p>
      <w:pPr>
        <w:ind w:left="980" w:right="1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25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980" w:right="35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980" w:right="19" w:hanging="329"/>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marketing and/or commercialization of the applicable product candidates;</w:t>
      </w:r>
    </w:p>
    <w:p>
      <w:pPr>
        <w:spacing w:after="0" w:line="146" w:lineRule="exact"/>
        <w:rPr>
          <w:rFonts w:ascii="Arial" w:cs="Arial" w:eastAsia="Arial" w:hAnsi="Arial"/>
          <w:sz w:val="17"/>
          <w:szCs w:val="17"/>
          <w:color w:val="auto"/>
        </w:rPr>
      </w:pPr>
    </w:p>
    <w:p>
      <w:pPr>
        <w:ind w:left="980" w:right="19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980" w:right="779"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right="379" w:firstLine="648"/>
        <w:spacing w:after="0" w:line="27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2018 and 2019.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therapies for patients with pediatric relapsed or refractory, or R/R, from neuroblastoma, or NB, but the FDA may not agree.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FDA may ultimately require one or multiple Phase 3 clinical trials prior to approval.</w:t>
      </w:r>
    </w:p>
    <w:p>
      <w:pPr>
        <w:spacing w:after="0" w:line="211" w:lineRule="exact"/>
        <w:rPr>
          <w:sz w:val="20"/>
          <w:szCs w:val="20"/>
          <w:color w:val="auto"/>
        </w:rPr>
      </w:pPr>
    </w:p>
    <w:p>
      <w:pPr>
        <w:ind w:right="99" w:firstLine="648"/>
        <w:spacing w:after="0" w:line="288"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69"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67" w:lineRule="exact"/>
        <w:rPr>
          <w:sz w:val="20"/>
          <w:szCs w:val="20"/>
          <w:color w:val="auto"/>
        </w:rPr>
      </w:pPr>
    </w:p>
    <w:p>
      <w:pPr>
        <w:ind w:right="97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980" w:right="139" w:hanging="329"/>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w:t>
      </w:r>
      <w:r>
        <w:rPr>
          <w:rFonts w:ascii="Arial" w:cs="Arial" w:eastAsia="Arial" w:hAnsi="Arial"/>
          <w:sz w:val="16"/>
          <w:szCs w:val="16"/>
          <w:i w:val="1"/>
          <w:iCs w:val="1"/>
          <w:color w:val="auto"/>
        </w:rPr>
        <w:t>The market opportunities for our product candidates may be limited to those patients who are ineligible for</w:t>
      </w:r>
      <w:r>
        <w:rPr>
          <w:rFonts w:ascii="Arial" w:cs="Arial" w:eastAsia="Arial" w:hAnsi="Arial"/>
          <w:sz w:val="16"/>
          <w:szCs w:val="16"/>
          <w:color w:val="auto"/>
        </w:rPr>
        <w:t xml:space="preserve"> </w:t>
      </w:r>
      <w:r>
        <w:rPr>
          <w:rFonts w:ascii="Arial" w:cs="Arial" w:eastAsia="Arial" w:hAnsi="Arial"/>
          <w:sz w:val="16"/>
          <w:szCs w:val="16"/>
          <w:i w:val="1"/>
          <w:iCs w:val="1"/>
          <w:color w:val="auto"/>
        </w:rPr>
        <w:t>or have failed prior treatments and may be small. If we encounter difficulties enrolling patients in our clinical trials, our clinical development activities could be delayed or otherwise adversely affected</w:t>
      </w:r>
      <w:r>
        <w:rPr>
          <w:rFonts w:ascii="Arial" w:cs="Arial" w:eastAsia="Arial" w:hAnsi="Arial"/>
          <w:sz w:val="16"/>
          <w:szCs w:val="16"/>
          <w:color w:val="auto"/>
        </w:rPr>
        <w:t>.” for additional information on risks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2" w:lineRule="exact"/>
        <w:rPr>
          <w:sz w:val="20"/>
          <w:szCs w:val="20"/>
          <w:color w:val="auto"/>
        </w:rPr>
      </w:pPr>
    </w:p>
    <w:p>
      <w:pPr>
        <w:ind w:right="7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980" w:right="2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23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980" w:right="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48" w:lineRule="exact"/>
        <w:rPr>
          <w:rFonts w:ascii="Arial" w:cs="Arial" w:eastAsia="Arial" w:hAnsi="Arial"/>
          <w:sz w:val="16"/>
          <w:szCs w:val="16"/>
          <w:color w:val="auto"/>
        </w:rPr>
      </w:pPr>
    </w:p>
    <w:p>
      <w:pPr>
        <w:ind w:left="980" w:right="27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980" w:right="99" w:hanging="329"/>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marketing approval in the United States or elsewhere;</w:t>
      </w:r>
    </w:p>
    <w:p>
      <w:pPr>
        <w:spacing w:after="0" w:line="123" w:lineRule="exact"/>
        <w:rPr>
          <w:rFonts w:ascii="Arial" w:cs="Arial" w:eastAsia="Arial" w:hAnsi="Arial"/>
          <w:sz w:val="16"/>
          <w:szCs w:val="16"/>
          <w:color w:val="auto"/>
        </w:rPr>
      </w:pPr>
    </w:p>
    <w:p>
      <w:pPr>
        <w:ind w:left="980" w:right="459" w:hanging="329"/>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980" w:right="79" w:hanging="329"/>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980" w:right="1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1"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6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3" w:lineRule="exact"/>
        <w:rPr>
          <w:sz w:val="20"/>
          <w:szCs w:val="20"/>
          <w:color w:val="auto"/>
        </w:rPr>
      </w:pPr>
    </w:p>
    <w:p>
      <w:pPr>
        <w:ind w:left="980" w:right="2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980" w:right="240" w:hanging="329"/>
        <w:spacing w:after="0" w:line="31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46" w:lineRule="exact"/>
        <w:rPr>
          <w:rFonts w:ascii="Arial" w:cs="Arial" w:eastAsia="Arial" w:hAnsi="Arial"/>
          <w:sz w:val="16"/>
          <w:szCs w:val="16"/>
          <w:color w:val="auto"/>
        </w:rPr>
      </w:pPr>
    </w:p>
    <w:p>
      <w:pPr>
        <w:ind w:left="980" w:hanging="329"/>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81"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seek Break-Through Designation, or BTD, for one or more of our other product candidates. We may not receive such designation, and even if we do, such designation may not lead to a faster development or regulatory review or approval process.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June 2017, 131I-omburtamab received BTD for the treatment of pediatric patients with R/R NB who have CNS/LM from NB. In addition, on August 20, 2018, naxitamab received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w:t>
      </w:r>
    </w:p>
    <w:p>
      <w:pPr>
        <w:spacing w:after="0" w:line="188"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may seek BTD for some or all of our other product candidates, but we may never receive such BTD, or, if received, the development of our product candidates may not be expedited or benefited by such designation.</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candidates no longer meet the conditions for qualification or decide that the time period for FDA review or approval will not be shortened.</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Our product candidates may not be able to obtain Orphan Drug Designation or Rare Pediatric Disease Designation (RPDD) or obtain or maintain orphan drug exclusivity. We will not be eligible to receive PRVs in the event that our product candidates are not approved before October 1, 2022.</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Orphan Drug Designation, or ODD, to omburtamab for the treatment of NB. In April 2017, the EMA granted ODD to omburtamab for the treatment of CNS/LM from NB. In October 2018, the Committee for Orphan Medicinal Products of the EMA recommended the granting of orphan medicinal product designation in the EU for naxitamab for the treatment of R/R, high-risk NB.</w:t>
      </w:r>
    </w:p>
    <w:p>
      <w:pPr>
        <w:spacing w:after="0" w:line="18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our MSK License provide that MSK is entitled to receive 40-50% of any income generated from the sale of first such PRV, and 33% of any income generated from the sale of any subsequent PRV or the sale of other comparable incentives provided by any non-U.S. jurisdiction. Additionally, the terms of our MSK CD33 License provide that MSK is entitled to receive 25% of any income generated from the sale of any PRV or the sale of other comparable incentives provided by any non-U.S.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orphan exclusivity is unable to maintain sufficient product quantity. ODD neither shortens the development time or regulatory review time of a drug nor gives the drug any advantage in the regulatory review or approval process.</w:t>
      </w:r>
    </w:p>
    <w:p>
      <w:pPr>
        <w:spacing w:after="0" w:line="124"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3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6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1" w:lineRule="exact"/>
        <w:rPr>
          <w:sz w:val="20"/>
          <w:szCs w:val="20"/>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1"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65"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67" w:lineRule="exact"/>
        <w:rPr>
          <w:sz w:val="20"/>
          <w:szCs w:val="20"/>
          <w:color w:val="auto"/>
        </w:rPr>
      </w:pPr>
    </w:p>
    <w:p>
      <w:pPr>
        <w:ind w:left="980" w:right="159" w:hanging="329"/>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70" w:lineRule="exact"/>
        <w:rPr>
          <w:rFonts w:ascii="Arial" w:cs="Arial" w:eastAsia="Arial" w:hAnsi="Arial"/>
          <w:sz w:val="18"/>
          <w:szCs w:val="18"/>
          <w:color w:val="auto"/>
        </w:rPr>
      </w:pPr>
    </w:p>
    <w:p>
      <w:pPr>
        <w:ind w:left="980" w:right="419" w:hanging="329"/>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81" w:lineRule="exact"/>
        <w:rPr>
          <w:rFonts w:ascii="Arial" w:cs="Arial" w:eastAsia="Arial" w:hAnsi="Arial"/>
          <w:sz w:val="18"/>
          <w:szCs w:val="18"/>
          <w:color w:val="auto"/>
        </w:rPr>
      </w:pPr>
    </w:p>
    <w:p>
      <w:pPr>
        <w:ind w:left="980" w:right="199" w:hanging="329"/>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146" w:lineRule="exact"/>
        <w:rPr>
          <w:rFonts w:ascii="Arial" w:cs="Arial" w:eastAsia="Arial" w:hAnsi="Arial"/>
          <w:sz w:val="17"/>
          <w:szCs w:val="17"/>
          <w:color w:val="auto"/>
        </w:rPr>
      </w:pPr>
    </w:p>
    <w:p>
      <w:pPr>
        <w:ind w:left="980" w:right="59" w:hanging="329"/>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and therapeutic biologics to eligible</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500"/>
        <w:spacing w:after="0" w:line="277" w:lineRule="auto"/>
        <w:rPr>
          <w:sz w:val="20"/>
          <w:szCs w:val="20"/>
          <w:color w:val="auto"/>
        </w:rPr>
      </w:pPr>
      <w:r>
        <w:rPr>
          <w:rFonts w:ascii="Arial" w:cs="Arial" w:eastAsia="Arial" w:hAnsi="Arial"/>
          <w:sz w:val="18"/>
          <w:szCs w:val="18"/>
          <w:color w:val="auto"/>
        </w:rPr>
        <w:t>beneficiaries during their coverage gap period, as a condition for the manufacturer’s outpatient drugs and therapeutic biologics to be covered under Medicare Part D;</w:t>
      </w:r>
    </w:p>
    <w:p>
      <w:pPr>
        <w:spacing w:after="0" w:line="170" w:lineRule="exact"/>
        <w:rPr>
          <w:sz w:val="20"/>
          <w:szCs w:val="20"/>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248" w:lineRule="exact"/>
        <w:rPr>
          <w:rFonts w:ascii="Arial" w:cs="Arial" w:eastAsia="Arial" w:hAnsi="Arial"/>
          <w:sz w:val="16"/>
          <w:szCs w:val="16"/>
          <w:color w:val="auto"/>
        </w:rPr>
      </w:pPr>
    </w:p>
    <w:p>
      <w:pPr>
        <w:ind w:left="980" w:right="240" w:hanging="329"/>
        <w:spacing w:after="0" w:line="286"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248" w:lineRule="exact"/>
        <w:rPr>
          <w:rFonts w:ascii="Arial" w:cs="Arial" w:eastAsia="Arial" w:hAnsi="Arial"/>
          <w:sz w:val="16"/>
          <w:szCs w:val="16"/>
          <w:color w:val="auto"/>
        </w:rPr>
      </w:pPr>
    </w:p>
    <w:p>
      <w:pPr>
        <w:ind w:left="980" w:right="60"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70" w:lineRule="exact"/>
        <w:rPr>
          <w:rFonts w:ascii="Arial" w:cs="Arial" w:eastAsia="Arial" w:hAnsi="Arial"/>
          <w:sz w:val="18"/>
          <w:szCs w:val="18"/>
          <w:color w:val="auto"/>
        </w:rPr>
      </w:pPr>
    </w:p>
    <w:p>
      <w:pPr>
        <w:ind w:left="980" w:right="20" w:hanging="329"/>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81" w:lineRule="exact"/>
        <w:rPr>
          <w:sz w:val="20"/>
          <w:szCs w:val="20"/>
          <w:color w:val="auto"/>
        </w:rPr>
      </w:pPr>
    </w:p>
    <w:p>
      <w:pPr>
        <w:ind w:right="59" w:firstLine="648"/>
        <w:spacing w:after="0" w:line="270" w:lineRule="auto"/>
        <w:rPr>
          <w:sz w:val="20"/>
          <w:szCs w:val="20"/>
          <w:color w:val="auto"/>
        </w:rPr>
      </w:pPr>
      <w:r>
        <w:rPr>
          <w:rFonts w:ascii="Arial" w:cs="Arial" w:eastAsia="Arial" w:hAnsi="Arial"/>
          <w:sz w:val="17"/>
          <w:szCs w:val="17"/>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recently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78" w:lineRule="exact"/>
        <w:rPr>
          <w:sz w:val="20"/>
          <w:szCs w:val="20"/>
          <w:color w:val="auto"/>
        </w:rPr>
      </w:pPr>
    </w:p>
    <w:p>
      <w:pPr>
        <w:jc w:val="both"/>
        <w:ind w:right="499" w:firstLine="648"/>
        <w:spacing w:after="0" w:line="312" w:lineRule="auto"/>
        <w:rPr>
          <w:sz w:val="20"/>
          <w:szCs w:val="20"/>
          <w:color w:val="auto"/>
        </w:rPr>
      </w:pPr>
      <w:r>
        <w:rPr>
          <w:rFonts w:ascii="Arial" w:cs="Arial" w:eastAsia="Arial" w:hAnsi="Arial"/>
          <w:sz w:val="16"/>
          <w:szCs w:val="16"/>
          <w:color w:val="auto"/>
        </w:rPr>
        <w:t>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47" w:lineRule="exact"/>
        <w:rPr>
          <w:sz w:val="20"/>
          <w:szCs w:val="20"/>
          <w:color w:val="auto"/>
        </w:rPr>
      </w:pPr>
    </w:p>
    <w:p>
      <w:pPr>
        <w:jc w:val="both"/>
        <w:ind w:right="11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71" w:lineRule="exact"/>
        <w:rPr>
          <w:sz w:val="20"/>
          <w:szCs w:val="20"/>
          <w:color w:val="auto"/>
        </w:rPr>
      </w:pPr>
    </w:p>
    <w:p>
      <w:pPr>
        <w:ind w:right="3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9" w:lineRule="exact"/>
        <w:rPr>
          <w:sz w:val="20"/>
          <w:szCs w:val="20"/>
          <w:color w:val="auto"/>
        </w:rPr>
      </w:pPr>
    </w:p>
    <w:p>
      <w:pPr>
        <w:ind w:left="980" w:right="19" w:hanging="329"/>
        <w:spacing w:after="0" w:line="273"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—the federal healthcare anti-kickback statute prohibits, among other things, persons from</w:t>
      </w:r>
      <w:r>
        <w:rPr>
          <w:rFonts w:ascii="Arial" w:cs="Arial" w:eastAsia="Arial" w:hAnsi="Arial"/>
          <w:sz w:val="17"/>
          <w:szCs w:val="17"/>
          <w:i w:val="1"/>
          <w:iCs w:val="1"/>
          <w:color w:val="auto"/>
        </w:rPr>
        <w:t xml:space="preserve"> </w:t>
      </w:r>
      <w:r>
        <w:rPr>
          <w:rFonts w:ascii="Arial" w:cs="Arial" w:eastAsia="Arial" w:hAnsi="Arial"/>
          <w:sz w:val="17"/>
          <w:szCs w:val="17"/>
          <w:color w:val="auto"/>
        </w:rPr>
        <w:t>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8" w:lineRule="exact"/>
        <w:rPr>
          <w:rFonts w:ascii="Arial" w:cs="Arial" w:eastAsia="Arial" w:hAnsi="Arial"/>
          <w:sz w:val="17"/>
          <w:szCs w:val="17"/>
          <w:color w:val="auto"/>
        </w:rPr>
      </w:pPr>
    </w:p>
    <w:p>
      <w:pPr>
        <w:ind w:left="980" w:right="59" w:hanging="329"/>
        <w:spacing w:after="0" w:line="29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False Claims Act</w:t>
      </w:r>
      <w:r>
        <w:rPr>
          <w:rFonts w:ascii="Arial" w:cs="Arial" w:eastAsia="Arial" w:hAnsi="Arial"/>
          <w:sz w:val="16"/>
          <w:szCs w:val="16"/>
          <w:color w:val="auto"/>
        </w:rPr>
        <w:t>—the federal False Claims Act imposes criminal and civil penalties, including through civil</w:t>
      </w:r>
      <w:r>
        <w:rPr>
          <w:rFonts w:ascii="Arial" w:cs="Arial" w:eastAsia="Arial" w:hAnsi="Arial"/>
          <w:sz w:val="16"/>
          <w:szCs w:val="16"/>
          <w:i w:val="1"/>
          <w:iCs w:val="1"/>
          <w:color w:val="auto"/>
        </w:rPr>
        <w:t xml:space="preserve"> </w:t>
      </w:r>
      <w:r>
        <w:rPr>
          <w:rFonts w:ascii="Arial" w:cs="Arial" w:eastAsia="Arial" w:hAnsi="Arial"/>
          <w:sz w:val="16"/>
          <w:szCs w:val="16"/>
          <w:color w:val="auto"/>
        </w:rPr>
        <w:t>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 w:hanging="329"/>
        <w:spacing w:after="0" w:line="26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—the federal Health Insurance Portability and Accountability Act of 1996, or HIPAA, imposes criminal</w:t>
      </w:r>
      <w:r>
        <w:rPr>
          <w:rFonts w:ascii="Arial" w:cs="Arial" w:eastAsia="Arial" w:hAnsi="Arial"/>
          <w:sz w:val="17"/>
          <w:szCs w:val="17"/>
          <w:i w:val="1"/>
          <w:iCs w:val="1"/>
          <w:color w:val="auto"/>
        </w:rPr>
        <w:t xml:space="preserve"> </w:t>
      </w:r>
      <w:r>
        <w:rPr>
          <w:rFonts w:ascii="Arial" w:cs="Arial" w:eastAsia="Arial" w:hAnsi="Arial"/>
          <w:sz w:val="17"/>
          <w:szCs w:val="17"/>
          <w:color w:val="auto"/>
        </w:rPr>
        <w:t>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7" w:lineRule="exact"/>
        <w:rPr>
          <w:rFonts w:ascii="Arial" w:cs="Arial" w:eastAsia="Arial" w:hAnsi="Arial"/>
          <w:sz w:val="17"/>
          <w:szCs w:val="17"/>
          <w:color w:val="auto"/>
        </w:rPr>
      </w:pPr>
    </w:p>
    <w:p>
      <w:pPr>
        <w:ind w:left="980" w:hanging="329"/>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HIPAA Privacy Provisions</w:t>
      </w:r>
      <w:r>
        <w:rPr>
          <w:rFonts w:ascii="Arial" w:cs="Arial" w:eastAsia="Arial" w:hAnsi="Arial"/>
          <w:sz w:val="18"/>
          <w:szCs w:val="18"/>
          <w:color w:val="auto"/>
        </w:rPr>
        <w:t>—as amended by HITECH and its implementing regulations, HIPAA also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9" w:lineRule="exact"/>
        <w:rPr>
          <w:rFonts w:ascii="Arial" w:cs="Arial" w:eastAsia="Arial" w:hAnsi="Arial"/>
          <w:sz w:val="18"/>
          <w:szCs w:val="18"/>
          <w:color w:val="auto"/>
        </w:rPr>
      </w:pPr>
    </w:p>
    <w:p>
      <w:pPr>
        <w:ind w:left="980" w:right="60" w:hanging="329"/>
        <w:spacing w:after="0" w:line="290"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w:t>
      </w:r>
      <w:r>
        <w:rPr>
          <w:rFonts w:ascii="Arial" w:cs="Arial" w:eastAsia="Arial" w:hAnsi="Arial"/>
          <w:sz w:val="16"/>
          <w:szCs w:val="16"/>
          <w:i w:val="1"/>
          <w:iCs w:val="1"/>
          <w:color w:val="auto"/>
        </w:rPr>
        <w:t xml:space="preserve"> </w:t>
      </w:r>
      <w:r>
        <w:rPr>
          <w:rFonts w:ascii="Arial" w:cs="Arial" w:eastAsia="Arial" w:hAnsi="Arial"/>
          <w:sz w:val="16"/>
          <w:szCs w:val="16"/>
          <w:color w:val="auto"/>
        </w:rPr>
        <w:t>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6" w:lineRule="exact"/>
        <w:rPr>
          <w:rFonts w:ascii="Arial" w:cs="Arial" w:eastAsia="Arial" w:hAnsi="Arial"/>
          <w:sz w:val="16"/>
          <w:szCs w:val="16"/>
          <w:color w:val="auto"/>
        </w:rPr>
      </w:pPr>
    </w:p>
    <w:p>
      <w:pPr>
        <w:ind w:left="980" w:right="260" w:hanging="329"/>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FDCA</w:t>
      </w:r>
      <w:r>
        <w:rPr>
          <w:rFonts w:ascii="Arial" w:cs="Arial" w:eastAsia="Arial" w:hAnsi="Arial"/>
          <w:sz w:val="18"/>
          <w:szCs w:val="18"/>
          <w:color w:val="auto"/>
        </w:rPr>
        <w:t>—the FDCA, which prohibits, among other things, the adulteration or misbranding of drugs, biologics</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devices; and</w:t>
      </w:r>
    </w:p>
    <w:p>
      <w:pPr>
        <w:spacing w:after="0" w:line="170" w:lineRule="exact"/>
        <w:rPr>
          <w:rFonts w:ascii="Arial" w:cs="Arial" w:eastAsia="Arial" w:hAnsi="Arial"/>
          <w:sz w:val="18"/>
          <w:szCs w:val="18"/>
          <w:color w:val="auto"/>
        </w:rPr>
      </w:pPr>
    </w:p>
    <w:p>
      <w:pPr>
        <w:ind w:left="980" w:right="80" w:hanging="329"/>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4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8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from third-party payors for our product candidates and may be affected by existing and future health care reform measures.</w:t>
      </w:r>
    </w:p>
    <w:p>
      <w:pPr>
        <w:spacing w:after="0" w:line="24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6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w:t>
      </w:r>
    </w:p>
    <w:p>
      <w:pPr>
        <w:spacing w:after="0" w:line="17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78"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inter partes review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6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980" w:right="32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170" w:lineRule="exact"/>
        <w:rPr>
          <w:rFonts w:ascii="Arial" w:cs="Arial" w:eastAsia="Arial" w:hAnsi="Arial"/>
          <w:sz w:val="18"/>
          <w:szCs w:val="18"/>
          <w:color w:val="auto"/>
        </w:rPr>
      </w:pPr>
    </w:p>
    <w:p>
      <w:pPr>
        <w:ind w:left="980" w:right="420" w:hanging="329"/>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APIs in our current product candidates may eventually become commercially available in generic drug products, and no patent protection may be available with regard to formulation or method of use;</w:t>
      </w:r>
    </w:p>
    <w:p>
      <w:pPr>
        <w:spacing w:after="0" w:line="146" w:lineRule="exact"/>
        <w:rPr>
          <w:rFonts w:ascii="Arial" w:cs="Arial" w:eastAsia="Arial" w:hAnsi="Arial"/>
          <w:sz w:val="17"/>
          <w:szCs w:val="17"/>
          <w:color w:val="auto"/>
        </w:rPr>
      </w:pPr>
    </w:p>
    <w:p>
      <w:pPr>
        <w:ind w:left="980" w:right="140" w:hanging="329"/>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81" w:lineRule="exact"/>
        <w:rPr>
          <w:rFonts w:ascii="Arial" w:cs="Arial" w:eastAsia="Arial" w:hAnsi="Arial"/>
          <w:sz w:val="18"/>
          <w:szCs w:val="18"/>
          <w:color w:val="auto"/>
        </w:rPr>
      </w:pPr>
    </w:p>
    <w:p>
      <w:pPr>
        <w:ind w:left="980" w:right="58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980" w:right="120" w:hanging="329"/>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980" w:right="120"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ind w:left="980" w:right="60" w:hanging="329"/>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146" w:lineRule="exact"/>
        <w:rPr>
          <w:rFonts w:ascii="Arial" w:cs="Arial" w:eastAsia="Arial" w:hAnsi="Arial"/>
          <w:sz w:val="17"/>
          <w:szCs w:val="17"/>
          <w:color w:val="auto"/>
        </w:rPr>
      </w:pPr>
    </w:p>
    <w:p>
      <w:pPr>
        <w:jc w:val="both"/>
        <w:ind w:left="980" w:right="20" w:hanging="329"/>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1" w:lineRule="exact"/>
        <w:rPr>
          <w:rFonts w:ascii="Arial" w:cs="Arial" w:eastAsia="Arial" w:hAnsi="Arial"/>
          <w:sz w:val="18"/>
          <w:szCs w:val="18"/>
          <w:color w:val="auto"/>
        </w:rPr>
      </w:pPr>
    </w:p>
    <w:p>
      <w:pPr>
        <w:ind w:left="980" w:right="100" w:hanging="329"/>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we develop may be covered by third parties’ patents or other exclusive rights; 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in-licensed patents covering our proprietary technologies and our product candidates are expected to expire on various dates from 2021 through 2031, without taking into account any possible patent term adjustments or extensions. Our earliest in-licensed patents were only filed in the United States and may expire before, or soon after, our first product achieves marketing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in-license pending patent applications covering our proprietary technologies or our product candidates that if issued as patents are expected to expire from 2021 through 2035 (2038 assuming the future filing of a priority claiming Patent Cooperation Treaty application), without taking into account any possible patent term adjustments or extensions. However, we cannot be assured that the USPTO or relevant foreign patent offices will grant any of these patent applications.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former employees or current employees. In addition, adequate remedies may not be available in the event of an unauthorized access, use, or disclosure of our trade secrets or know-how.</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1"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6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170" w:lineRule="exact"/>
        <w:rPr>
          <w:sz w:val="20"/>
          <w:szCs w:val="20"/>
          <w:color w:val="auto"/>
        </w:rPr>
      </w:pPr>
    </w:p>
    <w:p>
      <w:pPr>
        <w:ind w:left="980" w:right="360" w:hanging="329"/>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980" w:hanging="329"/>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 party’s rights, and, if the court finds that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infringement was willful, we could be ordered to pay treble damages and the patent owner’s attorneys’ fees;</w:t>
      </w:r>
    </w:p>
    <w:p>
      <w:pPr>
        <w:spacing w:after="0" w:line="248" w:lineRule="exact"/>
        <w:rPr>
          <w:sz w:val="20"/>
          <w:szCs w:val="20"/>
          <w:color w:val="auto"/>
        </w:rPr>
      </w:pPr>
    </w:p>
    <w:p>
      <w:pPr>
        <w:jc w:val="both"/>
        <w:ind w:left="980" w:right="20" w:hanging="329"/>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1" w:lineRule="exact"/>
        <w:rPr>
          <w:rFonts w:ascii="Arial" w:cs="Arial" w:eastAsia="Arial" w:hAnsi="Arial"/>
          <w:sz w:val="18"/>
          <w:szCs w:val="18"/>
          <w:color w:val="auto"/>
        </w:rPr>
      </w:pPr>
    </w:p>
    <w:p>
      <w:pPr>
        <w:jc w:val="both"/>
        <w:ind w:left="980" w:right="260" w:hanging="329"/>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1"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5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6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Other than our corporate name Y-mAbs, we have not yet registered our trademarks in the United States. Failure to secure such registrations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-45085</wp:posOffset>
            </wp:positionV>
            <wp:extent cx="285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not yet registered our trademarks in the United States other than our corporate name Y-mAbs.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6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7"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October 31, 2018, our executive officers and directors and our stockholders, which own more than 5% of our outstanding common stock beneficially own shares representing approximately 68% of our common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980" w:hanging="329"/>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right="60" w:hanging="329"/>
        <w:spacing w:after="0" w:line="28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5" w:lineRule="exact"/>
        <w:rPr>
          <w:rFonts w:ascii="Arial" w:cs="Arial" w:eastAsia="Arial" w:hAnsi="Arial"/>
          <w:sz w:val="17"/>
          <w:szCs w:val="17"/>
          <w:color w:val="auto"/>
        </w:rPr>
      </w:pPr>
    </w:p>
    <w:p>
      <w:pPr>
        <w:ind w:left="980" w:right="20" w:hanging="329"/>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General Corporation Law of the State of Delaware, or DGCL, which prohibits a person who owns in excess of 15%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21, 2018, our stock has traded at prices as low as $18 per share and as high as $31 per share through November 9, 2018. As a result of this volatility, you may not be able to sell your common stock at or above the price your paid for it.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and product candidates;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reduced disclosure obligations regarding executive compensation and exemptions from the requirements of holding a nonbinding advisory vote on executive compensation and shareholder approval of any golden parachute payments not previously approved.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6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fund raising activities, we may experience such an “ownership change.” We may also experience ownership changes in the future as a result of subsequent shifts in our stock ownership, some of which changes are outside our control. As a result, our ability to use any pre-change net operating loss carryforwards and other pre-change tax attributes to offset post-change taxable income or taxes may be subject to limitation and may harm our future operating results by effectively increasing our future tax obligations.</w:t>
      </w:r>
    </w:p>
    <w:p>
      <w:pPr>
        <w:spacing w:after="0" w:line="169"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doing well.</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1"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There were 34,193,666 shares of common stock outstanding as of November 12, 2018. Of these shares of our common stock, 6,900,000 shares sold in our initial public offering are freely tradable, without restriction, in the public market.</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our initial public offering, our directors and executive officers and holders of almost all of the remaining 27,293,666 shares of common stock outstanding entered into lock-up agreements with the underwriters pursuant to which they may not, with limited exceptions, for a period of 180 days from the date of the prospectus for the initial public offering, offer, sell or otherwise transfer or dispose of any of our securities, without the prior written consent of Merrill Lynch, Pierce, Fenner &amp; Smith Incorporated and Cowen and Company, LLC. The underwriters may permit our officers, directors and other stockholders and the holders of our outstanding options who are subject to the lock-up agreements to sell shares prior to the expiration of the lock-up agreements, subject to limitations. Sales of these shares, or perceptions that they will be sold, could cause the trading price of our common stock to decline.</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Almost all of the holders of the remaining 27,293,666 shares of common stock or approximately 80 % of our total outstanding common stock as of November 12, 2018 have the right,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above. Any sales of securities by these stockholders could have a material adverse effect on the trading price of our common stock.</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-29210</wp:posOffset>
            </wp:positionV>
            <wp:extent cx="285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On July 10, 2018 we issued to certain of our employees options to purchase an aggregate of 60,000 shares of our common stock at a weighted-average exercise price of $13.11 per share. On August 20, 2018, we issued 448,000 shares of our common stock under stock grant agreements, and the issuance did not result in proceeds to the Company. On September 25, 2018, upon completion of our initial public offering we issued 96,000 shares of our common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issuance was made pursuant to a stock grant agreement and did not result in proceeds to the Company. We have deemed these issuances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All recipients either received adequate information about our company or had access, through employment or other relationships, to such information. No underwriters were involved in the foregoing issuances of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25, 2018, we completed the initial public offering of our common stock, or IPO pursuant to which we issued and sold 6,900,000 shares of our common stock at a price to the public of $16.00 per share which included the exercise in full of the underwriters’ option to purchase additional shares.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offer and sale of all of the shares in our IPO were registered under the Securities Act pursuant to a registration statement on Form S-1 (File No. 333-226999), which was declared effective by the SEC on September 20, 2018, and a registration statement on Form S-1MEF (File No. 333-227453), which was automatically effective upon filing with the SEC on September 20, 2018.</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BofA Merrill Lynch and Cowen acted as joint book-running managers for the offering. Canaccord Genuity acted as lead manager for the offering and BTIG acted as co-manager for the offering.</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received aggregate gross proceeds from our IPO of approximately $110.4 million, or aggregate net proceeds of approximately $102.7 million after deducting underwriting discounts and commissions but before deducting offering costs. None of the underwriting discounts and commissions or offering expenses were incurred or paid to directors or officers of ours or their associates or to persons owning 10% or more of our common stock or to any of our affiliates.</w:t>
      </w:r>
    </w:p>
    <w:p>
      <w:pPr>
        <w:spacing w:after="0" w:line="15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plan to invest the net proceeds from the IPO in a variety of capital preservation investments, including short-term, investment-grade, interest-bearing instruments and U.S. government securities. There has been no material change in our planned use of the net proceeds from the initial public offering as described in our final prospectus filed pursuant to Rule 424(b)(4) under the Securities Act with the SEC on September 24,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5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180"/>
              <w:spacing w:after="0"/>
              <w:rPr>
                <w:sz w:val="20"/>
                <w:szCs w:val="20"/>
                <w:color w:val="auto"/>
              </w:rPr>
            </w:pPr>
            <w:r>
              <w:rPr>
                <w:rFonts w:ascii="Arial" w:cs="Arial" w:eastAsia="Arial" w:hAnsi="Arial"/>
                <w:sz w:val="18"/>
                <w:szCs w:val="18"/>
                <w:color w:val="auto"/>
              </w:rPr>
              <w:t>3.1</w:t>
            </w:r>
          </w:p>
        </w:tc>
        <w:tc>
          <w:tcPr>
            <w:tcW w:w="7920" w:type="dxa"/>
            <w:vAlign w:val="bottom"/>
            <w:tcBorders>
              <w:bottom w:val="single" w:sz="8" w:color="0000EE"/>
            </w:tcBorders>
            <w:gridSpan w:val="24"/>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Amended and Restated Certificate of Incorporation of the Registrant (incorporated by reference to Exhibit 3.3</w:t>
              </w:r>
            </w:hyperlink>
          </w:p>
        </w:tc>
      </w:tr>
      <w:tr>
        <w:trPr>
          <w:trHeight w:val="196"/>
        </w:trPr>
        <w:tc>
          <w:tcPr>
            <w:tcW w:w="1140" w:type="dxa"/>
            <w:vAlign w:val="bottom"/>
          </w:tcPr>
          <w:p>
            <w:pPr>
              <w:spacing w:after="0"/>
              <w:rPr>
                <w:sz w:val="17"/>
                <w:szCs w:val="17"/>
                <w:color w:val="auto"/>
              </w:rPr>
            </w:pPr>
          </w:p>
        </w:tc>
        <w:tc>
          <w:tcPr>
            <w:tcW w:w="78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to the Registrant’s Current Report on Form 8-K (File No. 001-38650) filed with the Securities and Exchange</w:t>
              </w:r>
            </w:hyperlink>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4"/>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Commission on September 26, 2018)</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7840" w:type="dxa"/>
            <w:vAlign w:val="bottom"/>
            <w:tcBorders>
              <w:bottom w:val="single" w:sz="8" w:color="0000EE"/>
            </w:tcBorders>
            <w:gridSpan w:val="20"/>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Bylaws of the Registrant (incorporated by reference to Exhibit 3.4 to the Registrant’s</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4"/>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Current Report on Form 8-K (File No. 001-38650) filed with the Securities and Exchange Commission on</w:t>
              </w:r>
            </w:hyperlink>
          </w:p>
        </w:tc>
      </w:tr>
      <w:tr>
        <w:trPr>
          <w:trHeight w:val="196"/>
        </w:trPr>
        <w:tc>
          <w:tcPr>
            <w:tcW w:w="1140" w:type="dxa"/>
            <w:vAlign w:val="bottom"/>
          </w:tcPr>
          <w:p>
            <w:pPr>
              <w:spacing w:after="0"/>
              <w:rPr>
                <w:sz w:val="17"/>
                <w:szCs w:val="17"/>
                <w:color w:val="auto"/>
              </w:rPr>
            </w:pPr>
          </w:p>
        </w:tc>
        <w:tc>
          <w:tcPr>
            <w:tcW w:w="76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September 26, 2018)</w:t>
              </w:r>
            </w:hyperlink>
          </w:p>
        </w:tc>
        <w:tc>
          <w:tcPr>
            <w:tcW w:w="28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10.1</w:t>
            </w:r>
          </w:p>
        </w:tc>
        <w:tc>
          <w:tcPr>
            <w:tcW w:w="7320" w:type="dxa"/>
            <w:vAlign w:val="bottom"/>
            <w:tcBorders>
              <w:bottom w:val="single" w:sz="8" w:color="0000EE"/>
            </w:tcBorders>
            <w:gridSpan w:val="13"/>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2018 Equity Incentive Plan (incorporated by reference to Exhibit 10.9 to the Registrant’s Registration</w:t>
              </w:r>
            </w:hyperlink>
          </w:p>
        </w:tc>
        <w:tc>
          <w:tcPr>
            <w:tcW w:w="60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Statement on Form S-1 (File No. 333-226999)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16">
              <w:r>
                <w:rPr>
                  <w:rFonts w:ascii="Arial" w:cs="Arial" w:eastAsia="Arial" w:hAnsi="Arial"/>
                  <w:sz w:val="18"/>
                  <w:szCs w:val="18"/>
                  <w:color w:val="0000EE"/>
                  <w:w w:val="86"/>
                </w:rPr>
                <w:t>24, 2018)</w:t>
              </w:r>
            </w:hyperlink>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10.2</w:t>
            </w:r>
          </w:p>
        </w:tc>
        <w:tc>
          <w:tcPr>
            <w:tcW w:w="7920" w:type="dxa"/>
            <w:vAlign w:val="bottom"/>
            <w:gridSpan w:val="24"/>
          </w:tcPr>
          <w:p>
            <w:pPr>
              <w:spacing w:after="0"/>
              <w:rPr>
                <w:rFonts w:ascii="Arial" w:cs="Arial" w:eastAsia="Arial" w:hAnsi="Arial"/>
                <w:sz w:val="18"/>
                <w:szCs w:val="18"/>
                <w:color w:val="0000EE"/>
                <w:w w:val="97"/>
              </w:rPr>
            </w:pPr>
            <w:hyperlink r:id="rId117">
              <w:r>
                <w:rPr>
                  <w:rFonts w:ascii="Arial" w:cs="Arial" w:eastAsia="Arial" w:hAnsi="Arial"/>
                  <w:sz w:val="18"/>
                  <w:szCs w:val="18"/>
                  <w:color w:val="0000EE"/>
                  <w:w w:val="97"/>
                </w:rPr>
                <w:t>Form of Stock Option Grant Notice and Stock Option Agreement under the 2018 Equity Incentive Plan</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(incorporated by reference to Exhibit 10.10 to the Registrant’s Registration Statement on Form S-1 (File No.</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333-226999) filed with the Securities and Exchange Commission on August 24, 2018)</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10.3</w:t>
            </w:r>
          </w:p>
        </w:tc>
        <w:tc>
          <w:tcPr>
            <w:tcW w:w="7880" w:type="dxa"/>
            <w:vAlign w:val="bottom"/>
            <w:tcBorders>
              <w:bottom w:val="single" w:sz="8" w:color="0000EE"/>
            </w:tcBorders>
            <w:gridSpan w:val="22"/>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Restricted Stock Award Grant Notice and Restricted Stock Award Agreement under the 2018 Equity</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4"/>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Incentive Plan (incorporated by reference to Exhibit 10.16 to the Registrant’s Registration Statement on Form</w:t>
              </w:r>
            </w:hyperlink>
          </w:p>
        </w:tc>
      </w:tr>
      <w:tr>
        <w:trPr>
          <w:trHeight w:val="196"/>
        </w:trPr>
        <w:tc>
          <w:tcPr>
            <w:tcW w:w="114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S-1 (File No. 333-226999) filed with the Securities and Exchange Commission on August 24, 2018)</w:t>
              </w:r>
            </w:hyperlink>
          </w:p>
        </w:tc>
        <w:tc>
          <w:tcPr>
            <w:tcW w:w="6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10.4</w:t>
            </w:r>
          </w:p>
        </w:tc>
        <w:tc>
          <w:tcPr>
            <w:tcW w:w="7660" w:type="dxa"/>
            <w:vAlign w:val="bottom"/>
            <w:tcBorders>
              <w:bottom w:val="single" w:sz="8" w:color="0000EE"/>
            </w:tcBorders>
            <w:gridSpan w:val="1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Restricted Stock Unit Award Grant Notice and Restricted Stock Unit Award Agreement under the</w:t>
              </w:r>
            </w:hyperlink>
          </w:p>
        </w:tc>
        <w:tc>
          <w:tcPr>
            <w:tcW w:w="2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4"/>
          </w:tcPr>
          <w:p>
            <w:pPr>
              <w:spacing w:after="0" w:line="196" w:lineRule="exact"/>
              <w:rPr>
                <w:rFonts w:ascii="Arial" w:cs="Arial" w:eastAsia="Arial" w:hAnsi="Arial"/>
                <w:sz w:val="18"/>
                <w:szCs w:val="18"/>
                <w:color w:val="0000EE"/>
                <w:w w:val="97"/>
              </w:rPr>
            </w:pPr>
            <w:hyperlink r:id="rId119">
              <w:r>
                <w:rPr>
                  <w:rFonts w:ascii="Arial" w:cs="Arial" w:eastAsia="Arial" w:hAnsi="Arial"/>
                  <w:sz w:val="18"/>
                  <w:szCs w:val="18"/>
                  <w:color w:val="0000EE"/>
                  <w:w w:val="97"/>
                </w:rPr>
                <w:t>2018 Equity Incentive Plan (incorporated by reference to Exhibit 10.17 to the Registrant’s Registration</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9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Statement on Form S-1 (File No. 333-226999)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19">
              <w:r>
                <w:rPr>
                  <w:rFonts w:ascii="Arial" w:cs="Arial" w:eastAsia="Arial" w:hAnsi="Arial"/>
                  <w:sz w:val="18"/>
                  <w:szCs w:val="18"/>
                  <w:color w:val="0000EE"/>
                  <w:w w:val="86"/>
                </w:rPr>
                <w:t>24, 2018)</w:t>
              </w:r>
            </w:hyperlink>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10.5</w:t>
            </w:r>
          </w:p>
        </w:tc>
        <w:tc>
          <w:tcPr>
            <w:tcW w:w="7860" w:type="dxa"/>
            <w:vAlign w:val="bottom"/>
            <w:tcBorders>
              <w:bottom w:val="single" w:sz="8" w:color="0000EE"/>
            </w:tcBorders>
            <w:gridSpan w:val="21"/>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Non-Employee Director Compensation Policy (incorporated by reference to Exhibit 10.18 to the Registrant’s</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Registration Statement on Form S-1 (File No. 333-226999) filed with the Securities and Exchange</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Commission on August 24, 2018) 2018</w:t>
              </w:r>
            </w:hyperlink>
          </w:p>
        </w:tc>
        <w:tc>
          <w:tcPr>
            <w:tcW w:w="4240" w:type="dxa"/>
            <w:vAlign w:val="bottom"/>
            <w:tcBorders>
              <w:top w:val="single" w:sz="8" w:color="0000EE"/>
            </w:tcBorders>
            <w:gridSpan w:val="5"/>
          </w:tcPr>
          <w:p>
            <w:pPr>
              <w:spacing w:after="0"/>
              <w:rPr>
                <w:sz w:val="17"/>
                <w:szCs w:val="17"/>
                <w:color w:val="auto"/>
              </w:rPr>
            </w:pPr>
          </w:p>
        </w:tc>
        <w:tc>
          <w:tcPr>
            <w:tcW w:w="840" w:type="dxa"/>
            <w:vAlign w:val="bottom"/>
            <w:gridSpan w:val="14"/>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10.6</w:t>
            </w:r>
          </w:p>
        </w:tc>
        <w:tc>
          <w:tcPr>
            <w:tcW w:w="7920" w:type="dxa"/>
            <w:vAlign w:val="bottom"/>
            <w:gridSpan w:val="24"/>
          </w:tcPr>
          <w:p>
            <w:pPr>
              <w:spacing w:after="0"/>
              <w:rPr>
                <w:rFonts w:ascii="Arial" w:cs="Arial" w:eastAsia="Arial" w:hAnsi="Arial"/>
                <w:sz w:val="18"/>
                <w:szCs w:val="18"/>
                <w:color w:val="0000EE"/>
                <w:w w:val="99"/>
              </w:rPr>
            </w:pPr>
            <w:hyperlink r:id="rId121">
              <w:r>
                <w:rPr>
                  <w:rFonts w:ascii="Arial" w:cs="Arial" w:eastAsia="Arial" w:hAnsi="Arial"/>
                  <w:sz w:val="18"/>
                  <w:szCs w:val="18"/>
                  <w:color w:val="0000EE"/>
                  <w:w w:val="99"/>
                </w:rPr>
                <w:t>2018 Employee Stock Purchase Plan (incorporated by reference to Exhibit 10.19 to the Registrant’s</w:t>
              </w:r>
            </w:hyperlink>
          </w:p>
        </w:tc>
      </w:tr>
      <w:tr>
        <w:trPr>
          <w:trHeight w:val="196"/>
        </w:trPr>
        <w:tc>
          <w:tcPr>
            <w:tcW w:w="114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Registration Statement on Form S-1 (File No. 333-226999) filed with the Securities and Exchange</w:t>
              </w:r>
            </w:hyperlink>
          </w:p>
        </w:tc>
        <w:tc>
          <w:tcPr>
            <w:tcW w:w="76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Commission on August 24, 2018)</w:t>
              </w:r>
            </w:hyperlink>
          </w:p>
        </w:tc>
        <w:tc>
          <w:tcPr>
            <w:tcW w:w="4640" w:type="dxa"/>
            <w:vAlign w:val="bottom"/>
            <w:tcBorders>
              <w:top w:val="single" w:sz="8" w:color="0000EE"/>
            </w:tcBorders>
            <w:gridSpan w:val="7"/>
          </w:tcPr>
          <w:p>
            <w:pPr>
              <w:spacing w:after="0"/>
              <w:rPr>
                <w:sz w:val="17"/>
                <w:szCs w:val="17"/>
                <w:color w:val="auto"/>
              </w:rPr>
            </w:pPr>
          </w:p>
        </w:tc>
        <w:tc>
          <w:tcPr>
            <w:tcW w:w="840" w:type="dxa"/>
            <w:vAlign w:val="bottom"/>
            <w:gridSpan w:val="14"/>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770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Certification of Principal Executive Officer pursuant to Rule 13a-14(a) or Rule 15d-14(a) of the Securities</w:t>
              </w:r>
            </w:hyperlink>
          </w:p>
        </w:tc>
        <w:tc>
          <w:tcPr>
            <w:tcW w:w="22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7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Exchange Act of 1934, as adopted pursuant to Section 302 of the Sarbanes-Oxley Act of 2002</w:t>
              </w:r>
            </w:hyperlink>
          </w:p>
        </w:tc>
        <w:tc>
          <w:tcPr>
            <w:tcW w:w="1140" w:type="dxa"/>
            <w:vAlign w:val="bottom"/>
            <w:gridSpan w:val="15"/>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7920" w:type="dxa"/>
            <w:vAlign w:val="bottom"/>
            <w:gridSpan w:val="24"/>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Certification of Principal Financial Officer pursuant to Rule 13a-14(a) or Rule 15d-14(a) of the Securities</w:t>
              </w:r>
            </w:hyperlink>
          </w:p>
        </w:tc>
      </w:tr>
      <w:tr>
        <w:trPr>
          <w:trHeight w:val="196"/>
        </w:trPr>
        <w:tc>
          <w:tcPr>
            <w:tcW w:w="114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Exchange Act of 1934, as adopted pursuant to Section 302 of the Sarbanes-Oxley Act of 2002</w:t>
              </w:r>
            </w:hyperlink>
          </w:p>
        </w:tc>
        <w:tc>
          <w:tcPr>
            <w:tcW w:w="860" w:type="dxa"/>
            <w:vAlign w:val="bottom"/>
            <w:tcBorders>
              <w:top w:val="single" w:sz="8" w:color="0000EE"/>
            </w:tcBorders>
            <w:gridSpan w:val="7"/>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7920" w:type="dxa"/>
            <w:vAlign w:val="bottom"/>
            <w:gridSpan w:val="24"/>
          </w:tcPr>
          <w:p>
            <w:pPr>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Certification of Principal Executive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Section 906 of the Sarbanes-Oxley Act of 2002</w:t>
              </w:r>
            </w:hyperlink>
          </w:p>
        </w:tc>
        <w:tc>
          <w:tcPr>
            <w:tcW w:w="4000" w:type="dxa"/>
            <w:vAlign w:val="bottom"/>
            <w:tcBorders>
              <w:top w:val="single" w:sz="8" w:color="0000EE"/>
            </w:tcBorders>
            <w:gridSpan w:val="8"/>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74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 of Principal Financial Officer pursuant to 18 U.S.C. Section 1350, as adopted pursuant to</w:t>
              </w:r>
            </w:hyperlink>
          </w:p>
        </w:tc>
        <w:tc>
          <w:tcPr>
            <w:tcW w:w="52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Section 906 of the Sarbanes-Oxley Act of 2002</w:t>
              </w:r>
            </w:hyperlink>
          </w:p>
        </w:tc>
        <w:tc>
          <w:tcPr>
            <w:tcW w:w="4500" w:type="dxa"/>
            <w:vAlign w:val="bottom"/>
            <w:gridSpan w:val="18"/>
          </w:tcPr>
          <w:p>
            <w:pPr>
              <w:spacing w:after="0"/>
              <w:rPr>
                <w:sz w:val="17"/>
                <w:szCs w:val="17"/>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92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864"/>
        </w:trPr>
        <w:tc>
          <w:tcPr>
            <w:tcW w:w="1140" w:type="dxa"/>
            <w:vAlign w:val="bottom"/>
          </w:tcPr>
          <w:p>
            <w:pPr>
              <w:spacing w:after="0"/>
              <w:rPr>
                <w:sz w:val="24"/>
                <w:szCs w:val="24"/>
                <w:color w:val="auto"/>
              </w:rPr>
            </w:pPr>
          </w:p>
        </w:tc>
        <w:tc>
          <w:tcPr>
            <w:tcW w:w="6220" w:type="dxa"/>
            <w:vAlign w:val="bottom"/>
            <w:gridSpan w:val="8"/>
          </w:tcPr>
          <w:p>
            <w:pPr>
              <w:ind w:left="330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tcPr>
          <w:p>
            <w:pPr>
              <w:ind w:left="1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60" w:hanging="357"/>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360" w:hanging="357"/>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840" w:type="dxa"/>
            <w:vAlign w:val="bottom"/>
            <w:gridSpan w:val="2"/>
          </w:tcPr>
          <w:p>
            <w:pPr>
              <w:ind w:left="1300"/>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Dated: November 13, 2018</w:t>
            </w:r>
          </w:p>
        </w:tc>
        <w:tc>
          <w:tcPr>
            <w:tcW w:w="5840" w:type="dxa"/>
            <w:vAlign w:val="bottom"/>
            <w:gridSpan w:val="2"/>
          </w:tcPr>
          <w:p>
            <w:pPr>
              <w:ind w:left="1300"/>
              <w:spacing w:after="0"/>
              <w:rPr>
                <w:sz w:val="20"/>
                <w:szCs w:val="20"/>
                <w:color w:val="auto"/>
              </w:rPr>
            </w:pPr>
            <w:r>
              <w:rPr>
                <w:rFonts w:ascii="Arial" w:cs="Arial" w:eastAsia="Arial" w:hAnsi="Arial"/>
                <w:sz w:val="18"/>
                <w:szCs w:val="18"/>
                <w:color w:val="auto"/>
              </w:rPr>
              <w:t>By:/s/ Claus Juan Møller San Pedro</w:t>
            </w:r>
          </w:p>
        </w:tc>
      </w:tr>
      <w:tr>
        <w:trPr>
          <w:trHeight w:val="195"/>
        </w:trPr>
        <w:tc>
          <w:tcPr>
            <w:tcW w:w="3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60" w:type="dxa"/>
            <w:vAlign w:val="bottom"/>
          </w:tcPr>
          <w:p>
            <w:pPr>
              <w:jc w:val="right"/>
              <w:ind w:right="171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220" w:type="dxa"/>
            <w:vAlign w:val="bottom"/>
          </w:tcPr>
          <w:p>
            <w:pPr>
              <w:spacing w:after="0"/>
              <w:rPr>
                <w:sz w:val="20"/>
                <w:szCs w:val="20"/>
                <w:color w:val="auto"/>
              </w:rPr>
            </w:pPr>
            <w:r>
              <w:rPr>
                <w:rFonts w:ascii="Arial" w:cs="Arial" w:eastAsia="Arial" w:hAnsi="Arial"/>
                <w:sz w:val="18"/>
                <w:szCs w:val="18"/>
                <w:color w:val="auto"/>
              </w:rPr>
              <w:t>Dated: November 13, 2018</w:t>
            </w:r>
          </w:p>
        </w:tc>
        <w:tc>
          <w:tcPr>
            <w:tcW w:w="5840" w:type="dxa"/>
            <w:vAlign w:val="bottom"/>
            <w:gridSpan w:val="2"/>
          </w:tcPr>
          <w:p>
            <w:pPr>
              <w:ind w:left="1300"/>
              <w:spacing w:after="0"/>
              <w:rPr>
                <w:sz w:val="20"/>
                <w:szCs w:val="20"/>
                <w:color w:val="auto"/>
              </w:rPr>
            </w:pPr>
            <w:r>
              <w:rPr>
                <w:rFonts w:ascii="Arial" w:cs="Arial" w:eastAsia="Arial" w:hAnsi="Arial"/>
                <w:sz w:val="18"/>
                <w:szCs w:val="18"/>
                <w:color w:val="auto"/>
              </w:rPr>
              <w:t>By:/s/ Bo Kruse</w:t>
            </w:r>
          </w:p>
        </w:tc>
      </w:tr>
      <w:tr>
        <w:trPr>
          <w:trHeight w:val="195"/>
        </w:trPr>
        <w:tc>
          <w:tcPr>
            <w:tcW w:w="3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60" w:type="dxa"/>
            <w:vAlign w:val="bottom"/>
          </w:tcPr>
          <w:p>
            <w:pPr>
              <w:jc w:val="right"/>
              <w:ind w:right="1730"/>
              <w:spacing w:after="0"/>
              <w:rPr>
                <w:sz w:val="20"/>
                <w:szCs w:val="20"/>
                <w:color w:val="auto"/>
              </w:rPr>
            </w:pPr>
            <w:r>
              <w:rPr>
                <w:rFonts w:ascii="Arial" w:cs="Arial" w:eastAsia="Arial" w:hAnsi="Arial"/>
                <w:sz w:val="18"/>
                <w:szCs w:val="18"/>
                <w:color w:val="auto"/>
              </w:rPr>
              <w:t>(Principal Financial Officer)</w:t>
            </w:r>
          </w:p>
        </w:tc>
      </w:tr>
      <w:tr>
        <w:trPr>
          <w:trHeight w:val="864"/>
        </w:trPr>
        <w:tc>
          <w:tcPr>
            <w:tcW w:w="3220" w:type="dxa"/>
            <w:vAlign w:val="bottom"/>
          </w:tcPr>
          <w:p>
            <w:pPr>
              <w:spacing w:after="0"/>
              <w:rPr>
                <w:sz w:val="24"/>
                <w:szCs w:val="24"/>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4260" w:type="dxa"/>
            <w:vAlign w:val="bottom"/>
          </w:tcPr>
          <w:p>
            <w:pPr>
              <w:spacing w:after="0"/>
              <w:rPr>
                <w:sz w:val="24"/>
                <w:szCs w:val="24"/>
                <w:color w:val="auto"/>
              </w:rPr>
            </w:pPr>
          </w:p>
        </w:tc>
      </w:tr>
      <w:tr>
        <w:trPr>
          <w:trHeight w:val="129"/>
        </w:trPr>
        <w:tc>
          <w:tcPr>
            <w:tcW w:w="3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Claus Juan Møller San Pedro certify that:</w:t>
      </w:r>
    </w:p>
    <w:p>
      <w:pPr>
        <w:spacing w:after="0" w:line="225" w:lineRule="exact"/>
        <w:rPr>
          <w:sz w:val="20"/>
          <w:szCs w:val="20"/>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660" w:right="380" w:hanging="333"/>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33"/>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60" w:right="100" w:hanging="333"/>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400" w:right="60" w:hanging="384"/>
        <w:spacing w:after="0" w:line="259"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00" w:hanging="384"/>
        <w:spacing w:after="0"/>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1400" w:right="160" w:hanging="384"/>
        <w:spacing w:after="0" w:line="264"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00" w:hanging="384"/>
        <w:spacing w:after="0" w:line="259"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right="420" w:hanging="333"/>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520" w:right="180" w:hanging="504"/>
        <w:spacing w:after="0" w:line="264" w:lineRule="auto"/>
        <w:tabs>
          <w:tab w:leader="none" w:pos="1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520" w:right="760" w:hanging="504"/>
        <w:spacing w:after="0" w:line="277" w:lineRule="auto"/>
        <w:tabs>
          <w:tab w:leader="none" w:pos="1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November 13, 2018</w:t>
            </w:r>
          </w:p>
        </w:tc>
        <w:tc>
          <w:tcPr>
            <w:tcW w:w="5780" w:type="dxa"/>
            <w:vAlign w:val="bottom"/>
            <w:gridSpan w:val="2"/>
          </w:tcPr>
          <w:p>
            <w:pPr>
              <w:ind w:left="1260"/>
              <w:spacing w:after="0"/>
              <w:rPr>
                <w:sz w:val="20"/>
                <w:szCs w:val="20"/>
                <w:color w:val="auto"/>
              </w:rPr>
            </w:pPr>
            <w:r>
              <w:rPr>
                <w:rFonts w:ascii="Arial" w:cs="Arial" w:eastAsia="Arial" w:hAnsi="Arial"/>
                <w:sz w:val="18"/>
                <w:szCs w:val="18"/>
                <w:color w:val="auto"/>
              </w:rPr>
              <w:t>By: /s/ Claus Juan Møller San Pedro</w:t>
            </w: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453"/>
        </w:trPr>
        <w:tc>
          <w:tcPr>
            <w:tcW w:w="3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 Kruse, certify that:</w:t>
      </w:r>
    </w:p>
    <w:p>
      <w:pPr>
        <w:spacing w:after="0" w:line="225" w:lineRule="exact"/>
        <w:rPr>
          <w:sz w:val="20"/>
          <w:szCs w:val="20"/>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660" w:right="380" w:hanging="333"/>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33"/>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60" w:right="100" w:hanging="333"/>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400" w:right="60" w:hanging="317"/>
        <w:spacing w:after="0" w:line="259"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00" w:hanging="317"/>
        <w:spacing w:after="0"/>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1400" w:right="160" w:hanging="317"/>
        <w:spacing w:after="0" w:line="264"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00" w:right="80" w:hanging="317"/>
        <w:spacing w:after="0" w:line="259"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right="420" w:hanging="333"/>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00" w:right="300" w:hanging="317"/>
        <w:spacing w:after="0" w:line="264"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400" w:right="60" w:hanging="317"/>
        <w:spacing w:after="0" w:line="277"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November 13, 2018</w:t>
            </w:r>
          </w:p>
        </w:tc>
        <w:tc>
          <w:tcPr>
            <w:tcW w:w="5780" w:type="dxa"/>
            <w:vAlign w:val="bottom"/>
            <w:gridSpan w:val="2"/>
          </w:tcPr>
          <w:p>
            <w:pPr>
              <w:ind w:left="1260"/>
              <w:spacing w:after="0"/>
              <w:rPr>
                <w:sz w:val="20"/>
                <w:szCs w:val="20"/>
                <w:color w:val="auto"/>
              </w:rPr>
            </w:pPr>
            <w:r>
              <w:rPr>
                <w:rFonts w:ascii="Arial" w:cs="Arial" w:eastAsia="Arial" w:hAnsi="Arial"/>
                <w:sz w:val="18"/>
                <w:szCs w:val="18"/>
                <w:color w:val="auto"/>
              </w:rPr>
              <w:t>By: /s/ Bo Kruse</w:t>
            </w: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453"/>
        </w:trPr>
        <w:tc>
          <w:tcPr>
            <w:tcW w:w="3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00" w:hanging="384"/>
        <w:spacing w:after="0" w:line="264" w:lineRule="auto"/>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September 30, 2018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00" w:right="20" w:hanging="384"/>
        <w:spacing w:after="0" w:line="277" w:lineRule="auto"/>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November 13, 2018</w:t>
            </w:r>
          </w:p>
        </w:tc>
        <w:tc>
          <w:tcPr>
            <w:tcW w:w="5780" w:type="dxa"/>
            <w:vAlign w:val="bottom"/>
            <w:gridSpan w:val="2"/>
          </w:tcPr>
          <w:p>
            <w:pPr>
              <w:ind w:left="1260"/>
              <w:spacing w:after="0"/>
              <w:rPr>
                <w:sz w:val="20"/>
                <w:szCs w:val="20"/>
                <w:color w:val="auto"/>
              </w:rPr>
            </w:pPr>
            <w:r>
              <w:rPr>
                <w:rFonts w:ascii="Arial" w:cs="Arial" w:eastAsia="Arial" w:hAnsi="Arial"/>
                <w:sz w:val="18"/>
                <w:szCs w:val="18"/>
                <w:color w:val="auto"/>
              </w:rPr>
              <w:t>By: /s/ Claus Juan Møller San Pedro</w:t>
            </w: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453"/>
        </w:trPr>
        <w:tc>
          <w:tcPr>
            <w:tcW w:w="3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00" w:hanging="384"/>
        <w:spacing w:after="0" w:line="264" w:lineRule="auto"/>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September 30, 2018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00" w:right="20" w:hanging="384"/>
        <w:spacing w:after="0" w:line="277" w:lineRule="auto"/>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November 13, 2018</w:t>
            </w:r>
          </w:p>
        </w:tc>
        <w:tc>
          <w:tcPr>
            <w:tcW w:w="5780" w:type="dxa"/>
            <w:vAlign w:val="bottom"/>
            <w:gridSpan w:val="2"/>
          </w:tcPr>
          <w:p>
            <w:pPr>
              <w:ind w:left="1260"/>
              <w:spacing w:after="0"/>
              <w:rPr>
                <w:sz w:val="20"/>
                <w:szCs w:val="20"/>
                <w:color w:val="auto"/>
              </w:rPr>
            </w:pPr>
            <w:r>
              <w:rPr>
                <w:rFonts w:ascii="Arial" w:cs="Arial" w:eastAsia="Arial" w:hAnsi="Arial"/>
                <w:sz w:val="18"/>
                <w:szCs w:val="18"/>
                <w:color w:val="auto"/>
              </w:rPr>
              <w:t>By: /s/ Bo Kruse</w:t>
            </w: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453"/>
        </w:trPr>
        <w:tc>
          <w:tcPr>
            <w:tcW w:w="3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14" Type="http://schemas.openxmlformats.org/officeDocument/2006/relationships/hyperlink" Target="http://www.sec.gov/Archives/edgar/data/1722964/000110465918058483/a18-5676_14ex3d1.htm" TargetMode="External"/><Relationship Id="rId115" Type="http://schemas.openxmlformats.org/officeDocument/2006/relationships/hyperlink" Target="http://www.sec.gov/Archives/edgar/data/1722964/000104746918005786/a2236551zex-3_4.htm" TargetMode="External"/><Relationship Id="rId116" Type="http://schemas.openxmlformats.org/officeDocument/2006/relationships/hyperlink" Target="http://www.sec.gov/Archives/edgar/data/1722964/000104746918005786/a2236551zex-10_9.htm" TargetMode="External"/><Relationship Id="rId117" Type="http://schemas.openxmlformats.org/officeDocument/2006/relationships/hyperlink" Target="http://www.sec.gov/Archives/edgar/data/1722964/000104746918005786/a2236551zex-10_10.htm" TargetMode="External"/><Relationship Id="rId118" Type="http://schemas.openxmlformats.org/officeDocument/2006/relationships/hyperlink" Target="http://www.sec.gov/Archives/edgar/data/1722964/000104746918005786/a2236551zex-10_16.htm" TargetMode="External"/><Relationship Id="rId119" Type="http://schemas.openxmlformats.org/officeDocument/2006/relationships/hyperlink" Target="http://www.sec.gov/Archives/edgar/data/1722964/000104746918005786/a2236551zex-10_17.htm" TargetMode="External"/><Relationship Id="rId120" Type="http://schemas.openxmlformats.org/officeDocument/2006/relationships/hyperlink" Target="http://www.sec.gov/Archives/edgar/data/1722964/000104746918005786/a2236551zex-10_18.htm" TargetMode="External"/><Relationship Id="rId121" Type="http://schemas.openxmlformats.org/officeDocument/2006/relationships/hyperlink" Target="http://www.sec.gov/Archives/edgar/data/1722964/000104746918005786/a2236551z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2019-12-28T17:59:58Z</dcterms:created>
  <dcterms:modified xsi:type="dcterms:W3CDTF">2019-12-28T17:59:58Z</dcterms:modified>
</cp:coreProperties>
</file>