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02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Herman Philip Karl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Y-MABS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230 PARK AVENUE, SUITE 3350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10169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and CCO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10/07/2028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13.11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06/12/2029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21.45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12/10/2029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vested and became exercisable as to 25% of the shares subject to the option on 10/07/2019 and thereafter vests and becomes exercisable by 1/48th in equal monthly instalments, subject to continued employment of the Reporting Person at such times.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as to 25% of the shares subject to the option on 6/12/2020 and thereafter vests and becomes exercisable by 1/48th in equal monthly instalments, subject to continued employment of the Reporting Person at such times.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as to 25% of the shares subject to the option on 12/10/2020 and thereafter vests and becomes exercisable by 1/48th in equal monthly instalments, subject to continued employment of the Reporting Person at such times.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s/s Philip Karl Herman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01/09/2020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9303" TargetMode="External"/><Relationship Id="rId12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2020-01-09T17:03:12Z</dcterms:created>
  <dcterms:modified xsi:type="dcterms:W3CDTF">2020-01-09T17:03:12Z</dcterms:modified>
</cp:coreProperties>
</file>