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7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984241109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47" w:lineRule="exact"/>
        <w:rPr>
          <w:rFonts w:ascii="MS PGothic" w:cs="MS PGothic" w:eastAsia="MS PGothic" w:hAnsi="MS PGothic"/>
          <w:sz w:val="18"/>
          <w:szCs w:val="18"/>
          <w:color w:val="auto"/>
        </w:rPr>
      </w:pPr>
    </w:p>
    <w:p>
      <w:pPr>
        <w:jc w:val="right"/>
        <w:ind w:right="9500" w:firstLine="8"/>
        <w:spacing w:after="0" w:line="243" w:lineRule="exact"/>
        <w:tabs>
          <w:tab w:leader="none" w:pos="67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0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25"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ind w:left="780" w:right="8400" w:hanging="571"/>
        <w:spacing w:after="0" w:line="282" w:lineRule="auto"/>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WG Biotech ApS</w:t>
      </w:r>
    </w:p>
    <w:p>
      <w:pPr>
        <w:spacing w:after="0" w:line="67" w:lineRule="exact"/>
        <w:rPr>
          <w:rFonts w:ascii="Times New Roman" w:cs="Times New Roman" w:eastAsia="Times New Roman" w:hAnsi="Times New Roman"/>
          <w:sz w:val="18"/>
          <w:szCs w:val="18"/>
          <w:color w:val="auto"/>
        </w:rPr>
      </w:pPr>
    </w:p>
    <w:p>
      <w:pPr>
        <w:ind w:left="780" w:hanging="571"/>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1340" w:hanging="560"/>
        <w:spacing w:after="0" w:line="207" w:lineRule="exact"/>
        <w:tabs>
          <w:tab w:leader="none" w:pos="134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340" w:hanging="560"/>
        <w:spacing w:after="0" w:line="207" w:lineRule="exact"/>
        <w:tabs>
          <w:tab w:leader="none" w:pos="134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7" w:lineRule="exact"/>
        <w:rPr>
          <w:rFonts w:ascii="Times New Roman" w:cs="Times New Roman" w:eastAsia="Times New Roman" w:hAnsi="Times New Roman"/>
          <w:sz w:val="18"/>
          <w:szCs w:val="18"/>
          <w:color w:val="auto"/>
        </w:rPr>
      </w:pPr>
    </w:p>
    <w:p>
      <w:pPr>
        <w:ind w:left="780" w:hanging="571"/>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0" w:lineRule="exact"/>
        <w:rPr>
          <w:rFonts w:ascii="Times New Roman" w:cs="Times New Roman" w:eastAsia="Times New Roman" w:hAnsi="Times New Roman"/>
          <w:sz w:val="18"/>
          <w:szCs w:val="18"/>
          <w:color w:val="auto"/>
        </w:rPr>
      </w:pPr>
    </w:p>
    <w:p>
      <w:pPr>
        <w:ind w:left="780" w:right="7840" w:hanging="571"/>
        <w:spacing w:after="0" w:line="282" w:lineRule="auto"/>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Denmark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11430</wp:posOffset>
            </wp:positionV>
            <wp:extent cx="6703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-339725</wp:posOffset>
            </wp:positionV>
            <wp:extent cx="6703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-545465</wp:posOffset>
            </wp:positionV>
            <wp:extent cx="6343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-1102360</wp:posOffset>
            </wp:positionV>
            <wp:extent cx="6703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840" w:type="dxa"/>
            <w:vAlign w:val="bottom"/>
          </w:tcPr>
          <w:p>
            <w:pPr>
              <w:spacing w:after="0"/>
              <w:rPr>
                <w:sz w:val="20"/>
                <w:szCs w:val="20"/>
                <w:color w:val="auto"/>
              </w:rPr>
            </w:pP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4,178,465 shares</w:t>
            </w:r>
          </w:p>
        </w:tc>
        <w:tc>
          <w:tcPr>
            <w:tcW w:w="0" w:type="dxa"/>
            <w:vAlign w:val="bottom"/>
          </w:tcPr>
          <w:p>
            <w:pPr>
              <w:spacing w:after="0"/>
              <w:rPr>
                <w:sz w:val="1"/>
                <w:szCs w:val="1"/>
                <w:color w:val="auto"/>
              </w:rPr>
            </w:pPr>
          </w:p>
        </w:tc>
      </w:tr>
      <w:tr>
        <w:trPr>
          <w:trHeight w:val="54"/>
        </w:trPr>
        <w:tc>
          <w:tcPr>
            <w:tcW w:w="118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840" w:type="dxa"/>
            <w:vAlign w:val="bottom"/>
          </w:tcPr>
          <w:p>
            <w:pPr>
              <w:spacing w:after="0"/>
              <w:rPr>
                <w:sz w:val="18"/>
                <w:szCs w:val="18"/>
                <w:color w:val="auto"/>
              </w:rPr>
            </w:pP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118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8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1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1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84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840" w:type="dxa"/>
            <w:vAlign w:val="bottom"/>
          </w:tcPr>
          <w:p>
            <w:pPr>
              <w:spacing w:after="0"/>
              <w:rPr>
                <w:sz w:val="21"/>
                <w:szCs w:val="21"/>
                <w:color w:val="auto"/>
              </w:rPr>
            </w:pP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4,178,465 shares</w:t>
            </w:r>
          </w:p>
        </w:tc>
        <w:tc>
          <w:tcPr>
            <w:tcW w:w="0" w:type="dxa"/>
            <w:vAlign w:val="bottom"/>
          </w:tcPr>
          <w:p>
            <w:pPr>
              <w:spacing w:after="0"/>
              <w:rPr>
                <w:sz w:val="1"/>
                <w:szCs w:val="1"/>
                <w:color w:val="auto"/>
              </w:rPr>
            </w:pPr>
          </w:p>
        </w:tc>
      </w:tr>
      <w:tr>
        <w:trPr>
          <w:trHeight w:val="32"/>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8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9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1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34290</wp:posOffset>
            </wp:positionV>
            <wp:extent cx="5846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70" w:lineRule="exact"/>
        <w:rPr>
          <w:sz w:val="20"/>
          <w:szCs w:val="20"/>
          <w:color w:val="auto"/>
        </w:rPr>
      </w:pPr>
    </w:p>
    <w:p>
      <w:pPr>
        <w:ind w:left="780" w:right="5660" w:hanging="571"/>
        <w:spacing w:after="0" w:line="282"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4,178,465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11430</wp:posOffset>
            </wp:positionV>
            <wp:extent cx="6703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18" w:lineRule="exact"/>
        <w:rPr>
          <w:sz w:val="20"/>
          <w:szCs w:val="20"/>
          <w:color w:val="auto"/>
        </w:rPr>
      </w:pPr>
    </w:p>
    <w:p>
      <w:pPr>
        <w:ind w:left="200"/>
        <w:spacing w:after="0" w:line="207" w:lineRule="exact"/>
        <w:tabs>
          <w:tab w:leader="none" w:pos="760" w:val="left"/>
          <w:tab w:leader="none" w:pos="72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69850</wp:posOffset>
            </wp:positionV>
            <wp:extent cx="6703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139" w:lineRule="exact"/>
        <w:rPr>
          <w:sz w:val="20"/>
          <w:szCs w:val="20"/>
          <w:color w:val="auto"/>
        </w:rPr>
      </w:pPr>
    </w:p>
    <w:p>
      <w:pPr>
        <w:ind w:left="780" w:hanging="571"/>
        <w:spacing w:after="0"/>
        <w:tabs>
          <w:tab w:leader="none" w:pos="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(1)</w:t>
      </w:r>
    </w:p>
    <w:p>
      <w:pPr>
        <w:spacing w:after="0" w:line="112" w:lineRule="exact"/>
        <w:rPr>
          <w:rFonts w:ascii="Times New Roman" w:cs="Times New Roman" w:eastAsia="Times New Roman" w:hAnsi="Times New Roman"/>
          <w:sz w:val="18"/>
          <w:szCs w:val="18"/>
          <w:color w:val="auto"/>
        </w:rPr>
      </w:pPr>
    </w:p>
    <w:p>
      <w:pPr>
        <w:ind w:left="780" w:hanging="571"/>
        <w:spacing w:after="0"/>
        <w:tabs>
          <w:tab w:leader="none" w:pos="7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is based on 43,669,509 shares of Common Stock of the Issuer outstanding as of December 31, 2022, as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-264795</wp:posOffset>
            </wp:positionV>
            <wp:extent cx="67036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-616585</wp:posOffset>
            </wp:positionV>
            <wp:extent cx="6703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984241109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p>
      <w:pPr>
        <w:ind w:left="780" w:right="8400" w:hanging="571"/>
        <w:spacing w:after="0" w:line="312" w:lineRule="auto"/>
        <w:tabs>
          <w:tab w:leader="none" w:pos="7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Johan Wedell-Wedellsborg</w:t>
      </w:r>
    </w:p>
    <w:p>
      <w:pPr>
        <w:spacing w:after="0" w:line="45" w:lineRule="exact"/>
        <w:rPr>
          <w:rFonts w:ascii="Times New Roman" w:cs="Times New Roman" w:eastAsia="Times New Roman" w:hAnsi="Times New Roman"/>
          <w:sz w:val="17"/>
          <w:szCs w:val="17"/>
          <w:color w:val="auto"/>
        </w:rPr>
      </w:pPr>
    </w:p>
    <w:p>
      <w:pPr>
        <w:ind w:left="780" w:hanging="571"/>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88" w:lineRule="exact"/>
        <w:rPr>
          <w:rFonts w:ascii="Times New Roman" w:cs="Times New Roman" w:eastAsia="Times New Roman" w:hAnsi="Times New Roman"/>
          <w:sz w:val="18"/>
          <w:szCs w:val="18"/>
          <w:color w:val="auto"/>
        </w:rPr>
      </w:pPr>
    </w:p>
    <w:p>
      <w:pPr>
        <w:ind w:left="1340" w:hanging="560"/>
        <w:spacing w:after="0" w:line="207" w:lineRule="exact"/>
        <w:tabs>
          <w:tab w:leader="none" w:pos="134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340" w:hanging="560"/>
        <w:spacing w:after="0" w:line="207" w:lineRule="exact"/>
        <w:tabs>
          <w:tab w:leader="none" w:pos="134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7" w:lineRule="exact"/>
        <w:rPr>
          <w:rFonts w:ascii="Times New Roman" w:cs="Times New Roman" w:eastAsia="Times New Roman" w:hAnsi="Times New Roman"/>
          <w:sz w:val="18"/>
          <w:szCs w:val="18"/>
          <w:color w:val="auto"/>
        </w:rPr>
      </w:pPr>
    </w:p>
    <w:p>
      <w:pPr>
        <w:ind w:left="780" w:hanging="571"/>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30" w:lineRule="exact"/>
        <w:rPr>
          <w:rFonts w:ascii="Times New Roman" w:cs="Times New Roman" w:eastAsia="Times New Roman" w:hAnsi="Times New Roman"/>
          <w:sz w:val="18"/>
          <w:szCs w:val="18"/>
          <w:color w:val="auto"/>
        </w:rPr>
      </w:pPr>
    </w:p>
    <w:p>
      <w:pPr>
        <w:ind w:left="780" w:right="7840" w:hanging="571"/>
        <w:spacing w:after="0" w:line="282"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Denmark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11430</wp:posOffset>
            </wp:positionV>
            <wp:extent cx="67036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-339725</wp:posOffset>
            </wp:positionV>
            <wp:extent cx="67036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-545465</wp:posOffset>
            </wp:positionV>
            <wp:extent cx="6343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-1102360</wp:posOffset>
            </wp:positionV>
            <wp:extent cx="67036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840" w:type="dxa"/>
            <w:vAlign w:val="bottom"/>
          </w:tcPr>
          <w:p>
            <w:pPr>
              <w:spacing w:after="0"/>
              <w:rPr>
                <w:sz w:val="20"/>
                <w:szCs w:val="20"/>
                <w:color w:val="auto"/>
              </w:rPr>
            </w:pP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4,305,131 shares (1)</w:t>
            </w:r>
          </w:p>
        </w:tc>
        <w:tc>
          <w:tcPr>
            <w:tcW w:w="0" w:type="dxa"/>
            <w:vAlign w:val="bottom"/>
          </w:tcPr>
          <w:p>
            <w:pPr>
              <w:spacing w:after="0"/>
              <w:rPr>
                <w:sz w:val="1"/>
                <w:szCs w:val="1"/>
                <w:color w:val="auto"/>
              </w:rPr>
            </w:pPr>
          </w:p>
        </w:tc>
      </w:tr>
      <w:tr>
        <w:trPr>
          <w:trHeight w:val="54"/>
        </w:trPr>
        <w:tc>
          <w:tcPr>
            <w:tcW w:w="118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840" w:type="dxa"/>
            <w:vAlign w:val="bottom"/>
          </w:tcPr>
          <w:p>
            <w:pPr>
              <w:spacing w:after="0"/>
              <w:rPr>
                <w:sz w:val="18"/>
                <w:szCs w:val="18"/>
                <w:color w:val="auto"/>
              </w:rPr>
            </w:pP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08"/>
        </w:trPr>
        <w:tc>
          <w:tcPr>
            <w:tcW w:w="118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Owned by</w:t>
            </w:r>
          </w:p>
        </w:tc>
        <w:tc>
          <w:tcPr>
            <w:tcW w:w="8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1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0"/>
        </w:trPr>
        <w:tc>
          <w:tcPr>
            <w:tcW w:w="1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84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840" w:type="dxa"/>
            <w:vAlign w:val="bottom"/>
          </w:tcPr>
          <w:p>
            <w:pPr>
              <w:spacing w:after="0"/>
              <w:rPr>
                <w:sz w:val="21"/>
                <w:szCs w:val="21"/>
                <w:color w:val="auto"/>
              </w:rPr>
            </w:pP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4,305,131 shares (1)</w:t>
            </w:r>
          </w:p>
        </w:tc>
        <w:tc>
          <w:tcPr>
            <w:tcW w:w="0" w:type="dxa"/>
            <w:vAlign w:val="bottom"/>
          </w:tcPr>
          <w:p>
            <w:pPr>
              <w:spacing w:after="0"/>
              <w:rPr>
                <w:sz w:val="1"/>
                <w:szCs w:val="1"/>
                <w:color w:val="auto"/>
              </w:rPr>
            </w:pPr>
          </w:p>
        </w:tc>
      </w:tr>
      <w:tr>
        <w:trPr>
          <w:trHeight w:val="32"/>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8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1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9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3"/>
        </w:trPr>
        <w:tc>
          <w:tcPr>
            <w:tcW w:w="1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34290</wp:posOffset>
            </wp:positionV>
            <wp:extent cx="58464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70" w:lineRule="exact"/>
        <w:rPr>
          <w:sz w:val="20"/>
          <w:szCs w:val="20"/>
          <w:color w:val="auto"/>
        </w:rPr>
      </w:pPr>
    </w:p>
    <w:p>
      <w:pPr>
        <w:ind w:left="780" w:right="5660" w:hanging="571"/>
        <w:spacing w:after="0" w:line="282"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4,305,131 shares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11430</wp:posOffset>
            </wp:positionV>
            <wp:extent cx="6703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18" w:lineRule="exact"/>
        <w:rPr>
          <w:sz w:val="20"/>
          <w:szCs w:val="20"/>
          <w:color w:val="auto"/>
        </w:rPr>
      </w:pPr>
    </w:p>
    <w:p>
      <w:pPr>
        <w:ind w:left="200"/>
        <w:spacing w:after="0" w:line="207" w:lineRule="exact"/>
        <w:tabs>
          <w:tab w:leader="none" w:pos="760" w:val="left"/>
          <w:tab w:leader="none" w:pos="72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69850</wp:posOffset>
            </wp:positionV>
            <wp:extent cx="67036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139" w:lineRule="exact"/>
        <w:rPr>
          <w:sz w:val="20"/>
          <w:szCs w:val="20"/>
          <w:color w:val="auto"/>
        </w:rPr>
      </w:pPr>
    </w:p>
    <w:p>
      <w:pPr>
        <w:ind w:left="780" w:hanging="571"/>
        <w:spacing w:after="0"/>
        <w:tabs>
          <w:tab w:leader="none" w:pos="7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(2)</w:t>
      </w:r>
    </w:p>
    <w:p>
      <w:pPr>
        <w:spacing w:after="0" w:line="112" w:lineRule="exact"/>
        <w:rPr>
          <w:rFonts w:ascii="Times New Roman" w:cs="Times New Roman" w:eastAsia="Times New Roman" w:hAnsi="Times New Roman"/>
          <w:sz w:val="18"/>
          <w:szCs w:val="18"/>
          <w:color w:val="auto"/>
        </w:rPr>
      </w:pPr>
    </w:p>
    <w:p>
      <w:pPr>
        <w:ind w:left="780" w:hanging="571"/>
        <w:spacing w:after="0"/>
        <w:tabs>
          <w:tab w:leader="none" w:pos="7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4" w:lineRule="exact"/>
        <w:rPr>
          <w:rFonts w:ascii="Times New Roman" w:cs="Times New Roman" w:eastAsia="Times New Roman" w:hAnsi="Times New Roman"/>
          <w:sz w:val="18"/>
          <w:szCs w:val="18"/>
          <w:color w:val="auto"/>
        </w:rPr>
      </w:pPr>
    </w:p>
    <w:p>
      <w:pPr>
        <w:ind w:left="340" w:right="100" w:hanging="332"/>
        <w:spacing w:after="0" w:line="257"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Johan Wedell-Wedellsborg directly owns 126,666 shares of Common Stock issuable to Mr. Wedell-Wedellsborg upon exercise of stock options exercisable within 60 days after December 31, 2022. In addition, Mr. Wedell-Wedellsborg may be deemed to beneficially own the 4,178,465 shares of Common Stock directly owned by WG Biotech ApS, of which entity Mr. Wedell-Wedellsborg is the majority owner.</w:t>
      </w:r>
    </w:p>
    <w:p>
      <w:pPr>
        <w:spacing w:after="0" w:line="1" w:lineRule="exact"/>
        <w:rPr>
          <w:rFonts w:ascii="Times New Roman" w:cs="Times New Roman" w:eastAsia="Times New Roman" w:hAnsi="Times New Roman"/>
          <w:sz w:val="18"/>
          <w:szCs w:val="18"/>
          <w:color w:val="auto"/>
        </w:rPr>
      </w:pPr>
    </w:p>
    <w:p>
      <w:pPr>
        <w:ind w:left="340" w:right="220" w:hanging="332"/>
        <w:spacing w:after="0" w:line="253"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is based on dividing (a) the aggregate number of shares of Common Stock with respect to which Mr. Wedell-Wedellsborg may be deemed to beneficially own as of December 31, 2022, as set forth in Row 9 by (b) the sum of (i) 43,669,509 shares of Common Stock of the Issuer outstanding as of December 31, 2022, as provided by the Issuer, and (ii) 126,666 shares of Common Stock issuable to Mr. Wedell-Wedellsborg upon exercise of stock options exercisable within 60 days after December 31, 2022 which are deemed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-1110615</wp:posOffset>
            </wp:positionV>
            <wp:extent cx="67036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-1462405</wp:posOffset>
            </wp:positionV>
            <wp:extent cx="6703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Schedule 13G discloses securities beneficially owned by certain Reporting Persons (defined below) as of December 31, 2022 and includes disclosures for which a Schedule 13G and Amendment No. 1 thereto were previously inadvertently not filed by the Reporting Persons as of the years ended December 31, 2019 and 2021,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392"/>
        </w:trPr>
        <w:tc>
          <w:tcPr>
            <w:tcW w:w="1040" w:type="dxa"/>
            <w:vAlign w:val="bottom"/>
          </w:tcPr>
          <w:p>
            <w:pPr>
              <w:spacing w:after="0"/>
              <w:rPr>
                <w:sz w:val="24"/>
                <w:szCs w:val="24"/>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Y-mAbs Therapeutics, Inc., a Delaware corporation (the “Issuer”)</w:t>
            </w:r>
          </w:p>
        </w:tc>
      </w:tr>
      <w:tr>
        <w:trPr>
          <w:trHeight w:val="453"/>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44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c>
          <w:tcPr>
            <w:tcW w:w="420" w:type="dxa"/>
            <w:vAlign w:val="bottom"/>
            <w:tcBorders>
              <w:top w:val="single" w:sz="8" w:color="auto"/>
            </w:tcBorders>
            <w:gridSpan w:val="2"/>
          </w:tcPr>
          <w:p>
            <w:pPr>
              <w:spacing w:after="0"/>
              <w:rPr>
                <w:sz w:val="24"/>
                <w:szCs w:val="24"/>
                <w:color w:val="auto"/>
              </w:rPr>
            </w:pPr>
          </w:p>
        </w:tc>
        <w:tc>
          <w:tcPr>
            <w:tcW w:w="5340" w:type="dxa"/>
            <w:vAlign w:val="bottom"/>
            <w:gridSpan w:val="3"/>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230 Park Avenue, Suite 3350</w:t>
            </w:r>
          </w:p>
        </w:tc>
      </w:tr>
      <w:tr>
        <w:trPr>
          <w:trHeight w:val="234"/>
        </w:trPr>
        <w:tc>
          <w:tcPr>
            <w:tcW w:w="1040" w:type="dxa"/>
            <w:vAlign w:val="bottom"/>
          </w:tcPr>
          <w:p>
            <w:pPr>
              <w:spacing w:after="0"/>
              <w:rPr>
                <w:sz w:val="20"/>
                <w:szCs w:val="20"/>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New York, New York 10169</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Items 2(a)</w:t>
            </w: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Name of Reporting Persons filing:</w:t>
            </w:r>
          </w:p>
        </w:tc>
      </w:tr>
      <w:tr>
        <w:trPr>
          <w:trHeight w:val="392"/>
        </w:trPr>
        <w:tc>
          <w:tcPr>
            <w:tcW w:w="1040" w:type="dxa"/>
            <w:vAlign w:val="bottom"/>
          </w:tcPr>
          <w:p>
            <w:pPr>
              <w:spacing w:after="0"/>
              <w:rPr>
                <w:sz w:val="24"/>
                <w:szCs w:val="24"/>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This statement is filed by the following reporting persons (collectively referred to as the “Reporting Persons”):</w:t>
            </w:r>
          </w:p>
        </w:tc>
      </w:tr>
      <w:tr>
        <w:trPr>
          <w:trHeight w:val="434"/>
        </w:trPr>
        <w:tc>
          <w:tcPr>
            <w:tcW w:w="1040" w:type="dxa"/>
            <w:vAlign w:val="bottom"/>
          </w:tcPr>
          <w:p>
            <w:pPr>
              <w:spacing w:after="0"/>
              <w:rPr>
                <w:sz w:val="24"/>
                <w:szCs w:val="24"/>
                <w:color w:val="auto"/>
              </w:rPr>
            </w:pPr>
          </w:p>
        </w:tc>
        <w:tc>
          <w:tcPr>
            <w:tcW w:w="672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WG Biotech ApS</w:t>
            </w:r>
          </w:p>
        </w:tc>
        <w:tc>
          <w:tcPr>
            <w:tcW w:w="132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Johan Wedell-Wedellsborg</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or principal business office or, if none, residence:</w:t>
            </w:r>
          </w:p>
        </w:tc>
      </w:tr>
      <w:tr>
        <w:trPr>
          <w:trHeight w:val="414"/>
        </w:trPr>
        <w:tc>
          <w:tcPr>
            <w:tcW w:w="1040" w:type="dxa"/>
            <w:vAlign w:val="bottom"/>
          </w:tcPr>
          <w:p>
            <w:pPr>
              <w:spacing w:after="0"/>
              <w:rPr>
                <w:sz w:val="24"/>
                <w:szCs w:val="24"/>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The address of the principal business office of the Reporting Persons is c/o WG Biotech ApS, Rungsted Strandvej 113, Rungsted Kyst,</w:t>
            </w:r>
          </w:p>
        </w:tc>
      </w:tr>
      <w:tr>
        <w:trPr>
          <w:trHeight w:val="234"/>
        </w:trPr>
        <w:tc>
          <w:tcPr>
            <w:tcW w:w="1040" w:type="dxa"/>
            <w:vAlign w:val="bottom"/>
          </w:tcPr>
          <w:p>
            <w:pPr>
              <w:spacing w:after="0"/>
              <w:rPr>
                <w:sz w:val="20"/>
                <w:szCs w:val="20"/>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G7, 2960.</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32"/>
        </w:trPr>
        <w:tc>
          <w:tcPr>
            <w:tcW w:w="1040" w:type="dxa"/>
            <w:vAlign w:val="bottom"/>
          </w:tcPr>
          <w:p>
            <w:pPr>
              <w:spacing w:after="0"/>
              <w:rPr>
                <w:sz w:val="24"/>
                <w:szCs w:val="24"/>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The citizenship of each of the Reporting Persons is Denmark.</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391"/>
        </w:trPr>
        <w:tc>
          <w:tcPr>
            <w:tcW w:w="1040" w:type="dxa"/>
            <w:vAlign w:val="bottom"/>
          </w:tcPr>
          <w:p>
            <w:pPr>
              <w:spacing w:after="0"/>
              <w:rPr>
                <w:sz w:val="24"/>
                <w:szCs w:val="24"/>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 per share (“Common Stock”)</w:t>
            </w:r>
          </w:p>
        </w:tc>
      </w:tr>
      <w:tr>
        <w:trPr>
          <w:trHeight w:val="453"/>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1120" w:type="dxa"/>
            <w:vAlign w:val="bottom"/>
            <w:tcBorders>
              <w:top w:val="single" w:sz="8" w:color="auto"/>
            </w:tcBorders>
            <w:gridSpan w:val="2"/>
          </w:tcPr>
          <w:p>
            <w:pPr>
              <w:spacing w:after="0"/>
              <w:rPr>
                <w:sz w:val="24"/>
                <w:szCs w:val="24"/>
                <w:color w:val="auto"/>
              </w:rPr>
            </w:pPr>
          </w:p>
        </w:tc>
        <w:tc>
          <w:tcPr>
            <w:tcW w:w="5420" w:type="dxa"/>
            <w:vAlign w:val="bottom"/>
            <w:gridSpan w:val="4"/>
          </w:tcPr>
          <w:p>
            <w:pPr>
              <w:spacing w:after="0"/>
              <w:rPr>
                <w:sz w:val="24"/>
                <w:szCs w:val="24"/>
                <w:color w:val="auto"/>
              </w:rPr>
            </w:pPr>
          </w:p>
        </w:tc>
      </w:tr>
      <w:tr>
        <w:trPr>
          <w:trHeight w:val="432"/>
        </w:trPr>
        <w:tc>
          <w:tcPr>
            <w:tcW w:w="1040" w:type="dxa"/>
            <w:vAlign w:val="bottom"/>
          </w:tcPr>
          <w:p>
            <w:pPr>
              <w:spacing w:after="0"/>
              <w:rPr>
                <w:sz w:val="24"/>
                <w:szCs w:val="24"/>
                <w:color w:val="auto"/>
              </w:rPr>
            </w:pPr>
          </w:p>
        </w:tc>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984241109</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tc>
      </w:tr>
      <w:tr>
        <w:trPr>
          <w:trHeight w:val="432"/>
        </w:trPr>
        <w:tc>
          <w:tcPr>
            <w:tcW w:w="1040" w:type="dxa"/>
            <w:vAlign w:val="bottom"/>
          </w:tcPr>
          <w:p>
            <w:pPr>
              <w:spacing w:after="0"/>
              <w:rPr>
                <w:sz w:val="24"/>
                <w:szCs w:val="24"/>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This statement is not filed pursuant to §§240.13d-1(b) or 240.13d-2(b) or (c).</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414"/>
        </w:trPr>
        <w:tc>
          <w:tcPr>
            <w:tcW w:w="1040" w:type="dxa"/>
            <w:vAlign w:val="bottom"/>
          </w:tcPr>
          <w:p>
            <w:pPr>
              <w:spacing w:after="0"/>
              <w:rPr>
                <w:sz w:val="24"/>
                <w:szCs w:val="24"/>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w w:val="99"/>
              </w:rPr>
              <w:t>The information contained in Rows 5 through 9 and 11 on each of the cover pages of this Schedule 13G is incorporated by reference in its</w:t>
            </w:r>
          </w:p>
        </w:tc>
      </w:tr>
      <w:tr>
        <w:trPr>
          <w:trHeight w:val="234"/>
        </w:trPr>
        <w:tc>
          <w:tcPr>
            <w:tcW w:w="1040" w:type="dxa"/>
            <w:vAlign w:val="bottom"/>
          </w:tcPr>
          <w:p>
            <w:pPr>
              <w:spacing w:after="0"/>
              <w:rPr>
                <w:sz w:val="20"/>
                <w:szCs w:val="20"/>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entirety into this Item 4.</w:t>
            </w:r>
          </w:p>
        </w:tc>
      </w:tr>
      <w:tr>
        <w:trPr>
          <w:trHeight w:val="432"/>
        </w:trPr>
        <w:tc>
          <w:tcPr>
            <w:tcW w:w="1040" w:type="dxa"/>
            <w:vAlign w:val="bottom"/>
          </w:tcPr>
          <w:p>
            <w:pPr>
              <w:spacing w:after="0"/>
              <w:rPr>
                <w:sz w:val="24"/>
                <w:szCs w:val="24"/>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(a)           Amount beneficially owned:</w:t>
            </w:r>
          </w:p>
        </w:tc>
      </w:tr>
      <w:tr>
        <w:trPr>
          <w:trHeight w:val="414"/>
        </w:trPr>
        <w:tc>
          <w:tcPr>
            <w:tcW w:w="1040" w:type="dxa"/>
            <w:vAlign w:val="bottom"/>
          </w:tcPr>
          <w:p>
            <w:pPr>
              <w:spacing w:after="0"/>
              <w:rPr>
                <w:sz w:val="24"/>
                <w:szCs w:val="24"/>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As of December 31, 2022, WG Biotech ApS directly held 4,178,465 shares of Common Stock, representing approximately 9.6% of the</w:t>
            </w:r>
          </w:p>
        </w:tc>
      </w:tr>
      <w:tr>
        <w:trPr>
          <w:trHeight w:val="216"/>
        </w:trPr>
        <w:tc>
          <w:tcPr>
            <w:tcW w:w="1040" w:type="dxa"/>
            <w:vAlign w:val="bottom"/>
          </w:tcPr>
          <w:p>
            <w:pPr>
              <w:spacing w:after="0"/>
              <w:rPr>
                <w:sz w:val="18"/>
                <w:szCs w:val="18"/>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outstanding shares of Common Stock. This percentage of beneficial ownership is based on 43,669,509 shares of Common Stock of the</w:t>
            </w:r>
          </w:p>
        </w:tc>
      </w:tr>
      <w:tr>
        <w:trPr>
          <w:trHeight w:val="234"/>
        </w:trPr>
        <w:tc>
          <w:tcPr>
            <w:tcW w:w="1040" w:type="dxa"/>
            <w:vAlign w:val="bottom"/>
          </w:tcPr>
          <w:p>
            <w:pPr>
              <w:spacing w:after="0"/>
              <w:rPr>
                <w:sz w:val="20"/>
                <w:szCs w:val="20"/>
                <w:color w:val="auto"/>
              </w:rPr>
            </w:pPr>
          </w:p>
        </w:tc>
        <w:tc>
          <w:tcPr>
            <w:tcW w:w="102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Issuer outstanding as of December 31, 2022, as provided by the Issuer.</w:t>
            </w:r>
          </w:p>
        </w:tc>
      </w:tr>
      <w:tr>
        <w:trPr>
          <w:trHeight w:val="648"/>
        </w:trPr>
        <w:tc>
          <w:tcPr>
            <w:tcW w:w="10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3"/>
          </w:tcPr>
          <w:p>
            <w:pPr>
              <w:ind w:left="45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80"/>
        <w:spacing w:after="0" w:line="253" w:lineRule="auto"/>
        <w:rPr>
          <w:sz w:val="20"/>
          <w:szCs w:val="20"/>
          <w:color w:val="auto"/>
        </w:rPr>
      </w:pPr>
      <w:r>
        <w:rPr>
          <w:rFonts w:ascii="Times New Roman" w:cs="Times New Roman" w:eastAsia="Times New Roman" w:hAnsi="Times New Roman"/>
          <w:sz w:val="18"/>
          <w:szCs w:val="18"/>
          <w:color w:val="auto"/>
        </w:rPr>
        <w:t>As of December 31, 2022, Mr. Wedell-Wedellsborg directly held 126,666 shares of Common Stock issuable to Mr. Wedell-Wedellsborg upon exercise of stock options exercisable within 60 days after December 31, 2022. In addition, Mr. Wedell-Wedellsborg may be deemed to beneficially own the 4,178,465 shares of Common Stock directly owned by WG Biotech ApS, of which entity Mr. Wedell-Wedellsborg is the majority owner. The aggregate of 4,305,131 shares of Common Stock with respect to which Mr. Wedell-Wedellsborg may be deemed to beneficially own represents approximately 9.8% of the outstanding shares of Common Stock. This percentage of beneficial ownership is based on dividing (a) the aggregate 4,305,131 shares of Common Stock that Mr. Wedell-Wedellsborg may be deemed to beneficially own as of December 31, 2022, by (b) the sum of (i) 43,669,509 shares of Common Stock outstanding as of December 31, 2022, as provided by the Issuer, and (ii) 126,666 shares of Common Stock issuable to Mr. Wedell-Wedellsborg upon exercise of stock options exercisable within 60 days after December 31, 2022 which are deemed outstanding for purposes of this calculation. Mr. Wedell-Wedellsborg disclaims beneficial ownership over the shares held by WG Biotech ApS for purposes of Section 13(d) of the Securities Exchange Act of 1934,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this Schedule 13G shall not be deemed an admission that Mr. Wedell-Wedellsborg is the beneficial owner of such shares for Section 13(d) of the Act or any other purpose.</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(b)           Percent of Class: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responses to Item 11 on each cover page and Item 4(a) above.</w:t>
      </w:r>
    </w:p>
    <w:p>
      <w:pPr>
        <w:spacing w:after="0" w:line="221" w:lineRule="exact"/>
        <w:rPr>
          <w:sz w:val="20"/>
          <w:szCs w:val="20"/>
          <w:color w:val="auto"/>
        </w:rPr>
      </w:pPr>
    </w:p>
    <w:p>
      <w:pPr>
        <w:jc w:val="center"/>
        <w:ind w:right="4980"/>
        <w:spacing w:after="0"/>
        <w:rPr>
          <w:sz w:val="20"/>
          <w:szCs w:val="20"/>
          <w:color w:val="auto"/>
        </w:rPr>
      </w:pPr>
      <w:r>
        <w:rPr>
          <w:rFonts w:ascii="Times New Roman" w:cs="Times New Roman" w:eastAsia="Times New Roman" w:hAnsi="Times New Roman"/>
          <w:sz w:val="17"/>
          <w:szCs w:val="17"/>
          <w:b w:val="1"/>
          <w:bCs w:val="1"/>
          <w:color w:val="auto"/>
        </w:rPr>
        <w:t>(c)           Number of shares as to which the Reporting Person has:</w:t>
      </w:r>
    </w:p>
    <w:p>
      <w:pPr>
        <w:spacing w:after="0" w:line="2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(i)            Sole power to vote or to direct the vote:</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See response to Item 5 on each cover page.</w:t>
      </w:r>
    </w:p>
    <w:p>
      <w:pPr>
        <w:spacing w:after="0" w:line="2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(ii)          Shared power to vote or to direct the vote:</w:t>
      </w:r>
    </w:p>
    <w:p>
      <w:pPr>
        <w:spacing w:after="0" w:line="229" w:lineRule="exact"/>
        <w:rPr>
          <w:sz w:val="20"/>
          <w:szCs w:val="20"/>
          <w:color w:val="auto"/>
        </w:rPr>
      </w:pPr>
    </w:p>
    <w:p>
      <w:pPr>
        <w:jc w:val="center"/>
        <w:ind w:right="4040"/>
        <w:spacing w:after="0"/>
        <w:rPr>
          <w:sz w:val="20"/>
          <w:szCs w:val="20"/>
          <w:color w:val="auto"/>
        </w:rPr>
      </w:pPr>
      <w:r>
        <w:rPr>
          <w:rFonts w:ascii="Times New Roman" w:cs="Times New Roman" w:eastAsia="Times New Roman" w:hAnsi="Times New Roman"/>
          <w:sz w:val="18"/>
          <w:szCs w:val="18"/>
          <w:color w:val="auto"/>
        </w:rPr>
        <w:t>See response to Item 6 on each cover page.</w:t>
      </w:r>
    </w:p>
    <w:p>
      <w:pPr>
        <w:spacing w:after="0" w:line="221" w:lineRule="exact"/>
        <w:rPr>
          <w:sz w:val="20"/>
          <w:szCs w:val="20"/>
          <w:color w:val="auto"/>
        </w:rPr>
      </w:pPr>
    </w:p>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(iii)         Sole power to dispose or to direct the disposition of:</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See response to Item 7 on each cover page.</w:t>
      </w:r>
    </w:p>
    <w:p>
      <w:pPr>
        <w:spacing w:after="0" w:line="2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(iv)          Shared power to dispose or to direct the disposition of:</w:t>
      </w:r>
    </w:p>
    <w:p>
      <w:pPr>
        <w:spacing w:after="0" w:line="2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See response to Item 8 on each cover page.</w:t>
      </w:r>
    </w:p>
    <w:p>
      <w:pPr>
        <w:spacing w:after="0" w:line="225" w:lineRule="exact"/>
        <w:rPr>
          <w:sz w:val="20"/>
          <w:szCs w:val="20"/>
          <w:color w:val="auto"/>
        </w:rPr>
      </w:pPr>
    </w:p>
    <w:p>
      <w:pPr>
        <w:ind w:left="180" w:right="240"/>
        <w:spacing w:after="0" w:line="282" w:lineRule="auto"/>
        <w:rPr>
          <w:sz w:val="20"/>
          <w:szCs w:val="20"/>
          <w:color w:val="auto"/>
        </w:rPr>
      </w:pPr>
      <w:r>
        <w:rPr>
          <w:rFonts w:ascii="Times New Roman" w:cs="Times New Roman" w:eastAsia="Times New Roman" w:hAnsi="Times New Roman"/>
          <w:sz w:val="18"/>
          <w:szCs w:val="18"/>
          <w:color w:val="auto"/>
        </w:rPr>
        <w:t>A Schedule 13G and Amendment No. 1 thereto were previously inadvertently not filed pursuant to Rule 13d-1(d) under the Act by the Reporting Persons as of the years ended December 31, 2019 and 2021, respectively, as described below.</w:t>
      </w:r>
    </w:p>
    <w:p>
      <w:pPr>
        <w:spacing w:after="0" w:line="162" w:lineRule="exact"/>
        <w:rPr>
          <w:sz w:val="20"/>
          <w:szCs w:val="20"/>
          <w:color w:val="auto"/>
        </w:rPr>
      </w:pPr>
    </w:p>
    <w:p>
      <w:pPr>
        <w:ind w:left="180"/>
        <w:spacing w:after="0" w:line="253" w:lineRule="auto"/>
        <w:rPr>
          <w:sz w:val="20"/>
          <w:szCs w:val="20"/>
          <w:color w:val="auto"/>
        </w:rPr>
      </w:pPr>
      <w:r>
        <w:rPr>
          <w:rFonts w:ascii="Times New Roman" w:cs="Times New Roman" w:eastAsia="Times New Roman" w:hAnsi="Times New Roman"/>
          <w:sz w:val="18"/>
          <w:szCs w:val="18"/>
          <w:color w:val="auto"/>
        </w:rPr>
        <w:t>The Reporting Persons inadvertently failed to file an initial Schedule 13G as of the year ended December 31, 2019. As of December 31, 2019, WG Biotech ApS directly held 5,508,392 shares of Common Stock, representing approximately 13.9% of the outstanding shares of Common Stock on such date. As of December 31, 2019, Mr. Wedell-Wedellsborg directly held 68,444 shares of Common Stock issuable to Mr. Wedell-Wedellsborg upon exercise of stock options exercisable within 60 days after December 31, 2019, and Mr. Wedell-Wedellsborg may have been deemed to beneficially own the 5,508,392 shares of Common Stock directly held by WG Biotech ApS, of which entity Mr. Wedell-Wedellsborg was the majority owner at such time. The aggregate of 5,576,836 shares of Common Stock with respect to which Mr. Wedell-Wedellsborg may have been deemed to beneficially own represented approximately 14.0% of the outstanding shares of Common Stock as of December 31, 2019. This percentage of beneficial ownership is based on dividing (a) the aggregate 5,576,836 shares of Common Stock that Mr. Wedell-Wedellsborg may be deemed to beneficially own as of December 31, 2022, by (b) the sum of (i) 39,728,416 shares of Common Stock outstanding as of December 31, 2019, and (ii) 68,444 shares of Common Stock issuable to Mr. Wedell-Wedellsborg upon exercise of stock options exercisable within 60 days after December 31, 2019 which are deemed outstanding for purposes of this calculation.</w:t>
      </w:r>
    </w:p>
    <w:p>
      <w:pPr>
        <w:spacing w:after="0" w:line="200" w:lineRule="exact"/>
        <w:rPr>
          <w:sz w:val="20"/>
          <w:szCs w:val="20"/>
          <w:color w:val="auto"/>
        </w:rPr>
      </w:pPr>
    </w:p>
    <w:p>
      <w:pPr>
        <w:spacing w:after="0" w:line="2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Reporting Persons also inadvertently failed to file an Amendment No. 1 to Schedule 13G as of the year ended December 31, 2021.</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 of December 31, 2021, WG Biotech ApS directly held 4,178,465 shares of Common Stock, representing approximately 9.6% of the</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shares of Common Stock on such date. As of December 31, 2021, Mr. Wedell-Wedellsborg directly held 92,888 shares of</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issuable to Mr. Wedell-Wedellsborg upon exercise of stock options exercisable within 60 days after December 31, 2021,</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Mr. Wedell-Wedellsborg may have been deemed to beneficially own the 4,178,465 shares of Common Stock directly held by WG</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Biotech ApS, of which entity Mr. Wedell-Wedellsborg was the majority owner at such time. The aggregate of 4,271,353 shares of</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with respect to which Mr. Wedell-Wedellsborg may have been deemed to beneficially own represented approximately</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9.8% of the outstanding shares of Common Stock as of December 31, 2021. This percentage of beneficial ownership is based on dividing</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 the aggregate 4,271,353 shares of Common Stock that Mr. Wedell-Wedellsborg may be deemed to beneficially own as of</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2022, by (b) sum of (i) 43,694,716 shares of Common Stock outstanding as of December 31, 2021, and (ii) 92,888 shares</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Common Stock issuable to Mr. Wedell-Wedellsborg upon exercise of stock options exercisable within 60 days after December 31,</w:t>
            </w:r>
          </w:p>
        </w:tc>
      </w:tr>
      <w:tr>
        <w:trPr>
          <w:trHeight w:val="234"/>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 which are deemed outstanding for purposes of this calculation.</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0"/>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64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04" w:right="339" w:bottom="1440" w:gutter="0" w:footer="0" w:header="0"/>
        </w:sectPr>
      </w:pPr>
    </w:p>
    <w:bookmarkStart w:id="6" w:name="page7"/>
    <w:bookmarkEnd w:id="6"/>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WG Biotech ApS</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Johan 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Johan Wedell-Wedellsborg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Johan 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Johan Wedell-Wedellsborg</w:t>
      </w: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7" w:name="page8"/>
    <w:bookmarkEnd w:id="7"/>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Joint Filing Agreement, dated as of 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This Joint Filing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February 14, 2023, by and among WG Biotech ApS and Johan Wedell-Wedellsborg (collectively referred to herein as the “</w:t>
      </w:r>
      <w:r>
        <w:rPr>
          <w:rFonts w:ascii="Times New Roman" w:cs="Times New Roman" w:eastAsia="Times New Roman" w:hAnsi="Times New Roman"/>
          <w:sz w:val="18"/>
          <w:szCs w:val="18"/>
          <w:u w:val="single" w:color="auto"/>
          <w:color w:val="auto"/>
        </w:rPr>
        <w:t>Filers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Pursuant to and in accordance with Rule 13d-1(k) under the Securities Exchange Act of 1934, as amended, the Filers hereby agree to the joint filing on behalf of each of them all filings on Schedule 13D or Schedule 13G, and any and all amendments thereto and any other document relating thereto (collectively, the “</w:t>
      </w: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with respect to the Common Stock, $0.0001 par value per share, of Y-mAbs Therapeutics, Inc., and hereby further agree that this Agreement be included as an exhibit to such statement, as required by such rule. The Filers further agree that they will fully cooperate in the preparation and timely filing (and other delivery) of all such Filings.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Filers hereto have executed this Agreement as of the date first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WG Biotech ApS</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Johan 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Johan Wedell-Wedellsborg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Johan 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Johan Wedell-Wedellsborg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9"/>
    </w:lvl>
  </w:abstractNum>
  <w:abstractNum w:abstractNumId="3">
    <w:nsid w:val="2EB141F2"/>
    <w:multiLevelType w:val="hybridMultilevel"/>
    <w:lvl w:ilvl="0">
      <w:lvlJc w:val="left"/>
      <w:lvlText w:val="%1"/>
      <w:numFmt w:val="decimal"/>
      <w:start w:val="1"/>
    </w:lvl>
    <w:lvl w:ilvl="1">
      <w:lvlJc w:val="left"/>
      <w:lvlText w:val="%2."/>
      <w:numFmt w:val="decimal"/>
      <w:start w:val="11"/>
    </w:lvl>
  </w:abstractNum>
  <w:abstractNum w:abstractNumId="4">
    <w:nsid w:val="41B71EFB"/>
    <w:multiLevelType w:val="hybridMultilevel"/>
    <w:lvl w:ilvl="0">
      <w:lvlJc w:val="left"/>
      <w:lvlText w:val="(%1)"/>
      <w:numFmt w:val="decimal"/>
      <w:start w:val="1"/>
    </w:lvl>
    <w:lvl w:ilvl="1">
      <w:lvlJc w:val="left"/>
      <w:lvlText w:val="%2"/>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9"/>
    </w:lvl>
  </w:abstractNum>
  <w:abstractNum w:abstractNumId="7">
    <w:nsid w:val="515F007C"/>
    <w:multiLevelType w:val="hybridMultilevel"/>
    <w:lvl w:ilvl="0">
      <w:lvlJc w:val="left"/>
      <w:lvlText w:val="%1"/>
      <w:numFmt w:val="decimal"/>
      <w:start w:val="1"/>
    </w:lvl>
    <w:lvl w:ilvl="1">
      <w:lvlJc w:val="left"/>
      <w:lvlText w:val="%2."/>
      <w:numFmt w:val="decimal"/>
      <w:start w:val="11"/>
    </w:lvl>
  </w:abstractNum>
  <w:abstractNum w:abstractNumId="8">
    <w:nsid w:val="5BD062C2"/>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2023-02-14T12:52:22Z</dcterms:created>
  <dcterms:modified xsi:type="dcterms:W3CDTF">2023-02-14T12:52:22Z</dcterms:modified>
</cp:coreProperties>
</file>