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Gad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President and Chairman</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97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97167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Arial" w:cs="Arial" w:eastAsia="Arial" w:hAnsi="Arial"/>
                <w:sz w:val="17"/>
                <w:szCs w:val="17"/>
                <w:color w:val="0000FF"/>
                <w:w w:val="96"/>
              </w:rPr>
              <w:t>06/04/2020</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18"/>
                <w:szCs w:val="18"/>
                <w:color w:val="auto"/>
              </w:rPr>
            </w:pPr>
          </w:p>
        </w:tc>
        <w:tc>
          <w:tcPr>
            <w:tcW w:w="760" w:type="dxa"/>
            <w:vAlign w:val="bottom"/>
          </w:tcPr>
          <w:p>
            <w:pPr>
              <w:ind w:left="140"/>
              <w:spacing w:after="0" w:line="213" w:lineRule="exact"/>
              <w:rPr>
                <w:sz w:val="20"/>
                <w:szCs w:val="20"/>
                <w:color w:val="auto"/>
              </w:rPr>
            </w:pPr>
            <w:r>
              <w:rPr>
                <w:rFonts w:ascii="Arial" w:cs="Arial" w:eastAsia="Arial" w:hAnsi="Arial"/>
                <w:sz w:val="17"/>
                <w:szCs w:val="17"/>
                <w:color w:val="0000FF"/>
                <w:w w:val="99"/>
              </w:rPr>
              <w:t>4,000</w:t>
            </w:r>
            <w:r>
              <w:rPr>
                <w:rFonts w:ascii="Arial" w:cs="Arial" w:eastAsia="Arial" w:hAnsi="Arial"/>
                <w:sz w:val="22"/>
                <w:szCs w:val="22"/>
                <w:color w:val="008000"/>
                <w:w w:val="99"/>
                <w:vertAlign w:val="superscript"/>
              </w:rPr>
              <w:t>(1)</w:t>
            </w:r>
          </w:p>
        </w:tc>
        <w:tc>
          <w:tcPr>
            <w:tcW w:w="360" w:type="dxa"/>
            <w:vAlign w:val="bottom"/>
          </w:tcPr>
          <w:p>
            <w:pPr>
              <w:ind w:left="20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41.6109</w:t>
            </w:r>
            <w:r>
              <w:rPr>
                <w:rFonts w:ascii="Arial" w:cs="Arial" w:eastAsia="Arial" w:hAnsi="Arial"/>
                <w:sz w:val="22"/>
                <w:szCs w:val="22"/>
                <w:color w:val="008000"/>
                <w:w w:val="94"/>
                <w:vertAlign w:val="superscript"/>
              </w:rPr>
              <w:t>(2)</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0000FF"/>
              </w:rPr>
              <w:t>720,000</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By WG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0000FF"/>
              </w:rPr>
              <w:t>1,030,356</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Biotech</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5"/>
          </w:tcPr>
          <w:p>
            <w:pPr>
              <w:ind w:left="60"/>
              <w:spacing w:after="0"/>
              <w:rPr>
                <w:sz w:val="20"/>
                <w:szCs w:val="20"/>
                <w:color w:val="auto"/>
              </w:rPr>
            </w:pPr>
            <w:r>
              <w:rPr>
                <w:rFonts w:ascii="Arial" w:cs="Arial" w:eastAsia="Arial" w:hAnsi="Arial"/>
                <w:sz w:val="17"/>
                <w:szCs w:val="17"/>
                <w:color w:val="0000FF"/>
              </w:rPr>
              <w:t>ApS</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pursuant to a Rule 10b5-1 trading plan adopted by the Reporting Person on March 30, 2020.</w:t>
      </w:r>
    </w:p>
    <w:p>
      <w:pPr>
        <w:spacing w:after="0" w:line="50"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$42.81 to $40.69.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1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WG Biotech ApS owns 5,508,392 shares of the Issuer's common stock. GAD Enterprises, LLC (of which Reporting Person is sole member) owns approximately 18.71% of WG Biotech ApS but has no voting or dispositive power over the shares of common stock held by WG Biotech ApS.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06/05/2020</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3224" TargetMode="External"/><Relationship Id="rId14"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2020-06-05T15:17:30Z</dcterms:created>
  <dcterms:modified xsi:type="dcterms:W3CDTF">2020-06-05T15:17:30Z</dcterms:modified>
</cp:coreProperties>
</file>