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1022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Gad Thomas</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Y-MABS THERAPEUTICS,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230 PARK AVENUE, SUITE 3350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Y-mAbs Therapeutics,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YMAB</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08/03/2021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5" w:type="dxa"/>
        <w:tblCellMar>
          <w:top w:w="0" w:type="dxa"/>
          <w:left w:w="0" w:type="dxa"/>
          <w:bottom w:w="0" w:type="dxa"/>
          <w:right w:w="0" w:type="dxa"/>
        </w:tblCellMar>
      </w:tblPr>
      <w:tr>
        <w:trPr>
          <w:trHeight w:val="220"/>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145"/>
        <w:spacing w:after="0"/>
        <w:rPr>
          <w:sz w:val="20"/>
          <w:szCs w:val="20"/>
          <w:color w:val="auto"/>
        </w:rPr>
      </w:pPr>
      <w:r>
        <w:rPr>
          <w:rFonts w:ascii="Arial" w:cs="Arial" w:eastAsia="Arial" w:hAnsi="Arial"/>
          <w:sz w:val="17"/>
          <w:szCs w:val="17"/>
          <w:color w:val="0000FF"/>
        </w:rPr>
        <w:t>See remarks</w:t>
      </w:r>
    </w:p>
    <w:p>
      <w:pPr>
        <w:spacing w:after="0" w:line="422" w:lineRule="exact"/>
        <w:rPr>
          <w:sz w:val="24"/>
          <w:szCs w:val="24"/>
          <w:color w:val="auto"/>
        </w:rPr>
      </w:pPr>
    </w:p>
    <w:p>
      <w:pPr>
        <w:sectPr>
          <w:pgSz w:w="11900" w:h="16838" w:orient="portrait"/>
          <w:cols w:equalWidth="0" w:num="3">
            <w:col w:w="3200" w:space="720"/>
            <w:col w:w="3100" w:space="715"/>
            <w:col w:w="3345"/>
          </w:cols>
          <w:pgMar w:left="460" w:top="225" w:right="359" w:bottom="1440" w:gutter="0" w:footer="0" w:header="0"/>
          <w:type w:val="continuous"/>
        </w:sectPr>
      </w:pPr>
    </w:p>
    <w:p>
      <w:pPr>
        <w:spacing w:after="0" w:line="216"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7"/>
                <w:szCs w:val="17"/>
                <w:color w:val="0000FF"/>
              </w:rPr>
              <w:t>NEW YORK</w:t>
            </w:r>
          </w:p>
        </w:tc>
        <w:tc>
          <w:tcPr>
            <w:tcW w:w="960" w:type="dxa"/>
            <w:vAlign w:val="bottom"/>
          </w:tcPr>
          <w:p>
            <w:pPr>
              <w:ind w:left="140"/>
              <w:spacing w:after="0"/>
              <w:rPr>
                <w:sz w:val="20"/>
                <w:szCs w:val="20"/>
                <w:color w:val="auto"/>
              </w:rPr>
            </w:pPr>
            <w:r>
              <w:rPr>
                <w:rFonts w:ascii="Arial" w:cs="Arial" w:eastAsia="Arial" w:hAnsi="Arial"/>
                <w:sz w:val="17"/>
                <w:szCs w:val="17"/>
                <w:color w:val="0000FF"/>
              </w:rPr>
              <w:t>NY</w:t>
            </w:r>
          </w:p>
        </w:tc>
        <w:tc>
          <w:tcPr>
            <w:tcW w:w="1600" w:type="dxa"/>
            <w:vAlign w:val="bottom"/>
          </w:tcPr>
          <w:p>
            <w:pPr>
              <w:ind w:left="400"/>
              <w:spacing w:after="0"/>
              <w:rPr>
                <w:sz w:val="20"/>
                <w:szCs w:val="20"/>
                <w:color w:val="auto"/>
              </w:rPr>
            </w:pPr>
            <w:r>
              <w:rPr>
                <w:rFonts w:ascii="Arial" w:cs="Arial" w:eastAsia="Arial" w:hAnsi="Arial"/>
                <w:sz w:val="17"/>
                <w:szCs w:val="17"/>
                <w:color w:val="0000FF"/>
              </w:rPr>
              <w:t>10169</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365"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20" w:type="dxa"/>
            <w:vAlign w:val="bottom"/>
          </w:tcPr>
          <w:p>
            <w:pPr>
              <w:ind w:left="22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tcPr>
          <w:p>
            <w:pPr>
              <w:ind w:left="220"/>
              <w:spacing w:after="0"/>
              <w:rPr>
                <w:sz w:val="20"/>
                <w:szCs w:val="20"/>
                <w:color w:val="auto"/>
              </w:rPr>
            </w:pPr>
            <w:r>
              <w:rPr>
                <w:rFonts w:ascii="Arial" w:cs="Arial" w:eastAsia="Arial" w:hAnsi="Arial"/>
                <w:sz w:val="12"/>
                <w:szCs w:val="12"/>
                <w:b w:val="1"/>
                <w:bCs w:val="1"/>
                <w:color w:val="auto"/>
                <w:w w:val="96"/>
              </w:rPr>
              <w:t>2A. Deemed</w:t>
            </w:r>
          </w:p>
        </w:tc>
        <w:tc>
          <w:tcPr>
            <w:tcW w:w="360" w:type="dxa"/>
            <w:vAlign w:val="bottom"/>
          </w:tcPr>
          <w:p>
            <w:pPr>
              <w:spacing w:after="0"/>
              <w:rPr>
                <w:sz w:val="13"/>
                <w:szCs w:val="13"/>
                <w:color w:val="auto"/>
              </w:rPr>
            </w:pPr>
          </w:p>
        </w:tc>
        <w:tc>
          <w:tcPr>
            <w:tcW w:w="34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460" w:type="dxa"/>
            <w:vAlign w:val="bottom"/>
          </w:tcPr>
          <w:p>
            <w:pPr>
              <w:spacing w:after="0"/>
              <w:rPr>
                <w:sz w:val="13"/>
                <w:szCs w:val="13"/>
                <w:color w:val="auto"/>
              </w:rPr>
            </w:pPr>
          </w:p>
        </w:tc>
        <w:tc>
          <w:tcPr>
            <w:tcW w:w="210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4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220"/>
              <w:spacing w:after="0" w:line="131"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22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80" w:type="dxa"/>
            <w:vAlign w:val="bottom"/>
          </w:tcPr>
          <w:p>
            <w:pPr>
              <w:spacing w:after="0"/>
              <w:rPr>
                <w:sz w:val="11"/>
                <w:szCs w:val="11"/>
                <w:color w:val="auto"/>
              </w:rPr>
            </w:pP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7"/>
              </w:rPr>
              <w:t>Securities</w:t>
            </w:r>
          </w:p>
        </w:tc>
        <w:tc>
          <w:tcPr>
            <w:tcW w:w="540" w:type="dxa"/>
            <w:vAlign w:val="bottom"/>
          </w:tcPr>
          <w:p>
            <w:pPr>
              <w:spacing w:after="0"/>
              <w:rPr>
                <w:sz w:val="11"/>
                <w:szCs w:val="11"/>
                <w:color w:val="auto"/>
              </w:rPr>
            </w:pPr>
          </w:p>
        </w:tc>
        <w:tc>
          <w:tcPr>
            <w:tcW w:w="84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104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2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(Month/Day/Year)  if any</w:t>
            </w:r>
          </w:p>
        </w:tc>
        <w:tc>
          <w:tcPr>
            <w:tcW w:w="36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4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 or</w:t>
            </w:r>
          </w:p>
        </w:tc>
        <w:tc>
          <w:tcPr>
            <w:tcW w:w="500" w:type="dxa"/>
            <w:vAlign w:val="bottom"/>
          </w:tcPr>
          <w:p>
            <w:pPr>
              <w:spacing w:after="0"/>
              <w:rPr>
                <w:sz w:val="11"/>
                <w:szCs w:val="11"/>
                <w:color w:val="auto"/>
              </w:rPr>
            </w:pPr>
          </w:p>
        </w:tc>
        <w:tc>
          <w:tcPr>
            <w:tcW w:w="10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6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54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10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740" w:type="dxa"/>
            <w:vAlign w:val="bottom"/>
            <w:tcBorders>
              <w:bottom w:val="single" w:sz="8" w:color="808080"/>
            </w:tcBorders>
          </w:tcPr>
          <w:p>
            <w:pPr>
              <w:spacing w:after="0"/>
              <w:rPr>
                <w:sz w:val="14"/>
                <w:szCs w:val="14"/>
                <w:color w:val="auto"/>
              </w:rPr>
            </w:pPr>
          </w:p>
        </w:tc>
        <w:tc>
          <w:tcPr>
            <w:tcW w:w="36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78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Following</w:t>
            </w:r>
          </w:p>
        </w:tc>
        <w:tc>
          <w:tcPr>
            <w:tcW w:w="540" w:type="dxa"/>
            <w:vAlign w:val="bottom"/>
          </w:tcPr>
          <w:p>
            <w:pPr>
              <w:spacing w:after="0"/>
              <w:rPr>
                <w:sz w:val="14"/>
                <w:szCs w:val="14"/>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4)</w:t>
            </w:r>
          </w:p>
        </w:tc>
        <w:tc>
          <w:tcPr>
            <w:tcW w:w="10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900" w:type="dxa"/>
            <w:vAlign w:val="bottom"/>
          </w:tcPr>
          <w:p>
            <w:pPr>
              <w:spacing w:after="0"/>
              <w:rPr>
                <w:sz w:val="7"/>
                <w:szCs w:val="7"/>
                <w:color w:val="auto"/>
              </w:rPr>
            </w:pPr>
          </w:p>
        </w:tc>
        <w:tc>
          <w:tcPr>
            <w:tcW w:w="360" w:type="dxa"/>
            <w:vAlign w:val="bottom"/>
          </w:tcPr>
          <w:p>
            <w:pPr>
              <w:spacing w:after="0"/>
              <w:rPr>
                <w:sz w:val="7"/>
                <w:szCs w:val="7"/>
                <w:color w:val="auto"/>
              </w:rPr>
            </w:pPr>
          </w:p>
        </w:tc>
        <w:tc>
          <w:tcPr>
            <w:tcW w:w="34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tcPr>
          <w:p>
            <w:pPr>
              <w:spacing w:after="0"/>
              <w:rPr>
                <w:sz w:val="7"/>
                <w:szCs w:val="7"/>
                <w:color w:val="auto"/>
              </w:rPr>
            </w:pPr>
          </w:p>
        </w:tc>
        <w:tc>
          <w:tcPr>
            <w:tcW w:w="740" w:type="dxa"/>
            <w:vAlign w:val="bottom"/>
            <w:tcBorders>
              <w:top w:val="single" w:sz="8" w:color="2C2C2C"/>
            </w:tcBorders>
          </w:tcPr>
          <w:p>
            <w:pPr>
              <w:spacing w:after="0"/>
              <w:rPr>
                <w:sz w:val="7"/>
                <w:szCs w:val="7"/>
                <w:color w:val="auto"/>
              </w:rPr>
            </w:pPr>
          </w:p>
        </w:tc>
        <w:tc>
          <w:tcPr>
            <w:tcW w:w="500" w:type="dxa"/>
            <w:vAlign w:val="bottom"/>
            <w:tcBorders>
              <w:top w:val="single" w:sz="8" w:color="2C2C2C"/>
            </w:tcBorders>
            <w:gridSpan w:val="2"/>
            <w:vMerge w:val="restart"/>
          </w:tcPr>
          <w:p>
            <w:pPr>
              <w:ind w:left="100"/>
              <w:spacing w:after="0"/>
              <w:rPr>
                <w:sz w:val="20"/>
                <w:szCs w:val="20"/>
                <w:color w:val="auto"/>
              </w:rPr>
            </w:pPr>
            <w:r>
              <w:rPr>
                <w:rFonts w:ascii="Arial" w:cs="Arial" w:eastAsia="Arial" w:hAnsi="Arial"/>
                <w:sz w:val="12"/>
                <w:szCs w:val="12"/>
                <w:b w:val="1"/>
                <w:bCs w:val="1"/>
                <w:color w:val="auto"/>
              </w:rPr>
              <w:t>(A) or</w:t>
            </w:r>
          </w:p>
        </w:tc>
        <w:tc>
          <w:tcPr>
            <w:tcW w:w="78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640" w:type="dxa"/>
            <w:vAlign w:val="bottom"/>
          </w:tcPr>
          <w:p>
            <w:pPr>
              <w:ind w:left="60"/>
              <w:spacing w:after="0" w:line="84" w:lineRule="exact"/>
              <w:rPr>
                <w:sz w:val="20"/>
                <w:szCs w:val="20"/>
                <w:color w:val="auto"/>
              </w:rPr>
            </w:pPr>
            <w:r>
              <w:rPr>
                <w:rFonts w:ascii="Arial" w:cs="Arial" w:eastAsia="Arial" w:hAnsi="Arial"/>
                <w:sz w:val="8"/>
                <w:szCs w:val="8"/>
                <w:b w:val="1"/>
                <w:bCs w:val="1"/>
                <w:color w:val="auto"/>
              </w:rPr>
              <w:t>Reported</w:t>
            </w:r>
          </w:p>
        </w:tc>
        <w:tc>
          <w:tcPr>
            <w:tcW w:w="540" w:type="dxa"/>
            <w:vAlign w:val="bottom"/>
          </w:tcPr>
          <w:p>
            <w:pPr>
              <w:spacing w:after="0"/>
              <w:rPr>
                <w:sz w:val="7"/>
                <w:szCs w:val="7"/>
                <w:color w:val="auto"/>
              </w:rPr>
            </w:pPr>
          </w:p>
        </w:tc>
        <w:tc>
          <w:tcPr>
            <w:tcW w:w="340" w:type="dxa"/>
            <w:vAlign w:val="bottom"/>
          </w:tcPr>
          <w:p>
            <w:pPr>
              <w:spacing w:after="0"/>
              <w:rPr>
                <w:sz w:val="7"/>
                <w:szCs w:val="7"/>
                <w:color w:val="auto"/>
              </w:rPr>
            </w:pPr>
          </w:p>
        </w:tc>
        <w:tc>
          <w:tcPr>
            <w:tcW w:w="5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gridSpan w:val="2"/>
            <w:vMerge w:val="continue"/>
          </w:tcPr>
          <w:p>
            <w:pPr>
              <w:spacing w:after="0"/>
              <w:rPr>
                <w:sz w:val="10"/>
                <w:szCs w:val="10"/>
                <w:color w:val="auto"/>
              </w:rPr>
            </w:pPr>
          </w:p>
        </w:tc>
        <w:tc>
          <w:tcPr>
            <w:tcW w:w="8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0"/>
                <w:szCs w:val="10"/>
                <w:color w:val="auto"/>
              </w:rPr>
            </w:pPr>
          </w:p>
        </w:tc>
        <w:tc>
          <w:tcPr>
            <w:tcW w:w="1180" w:type="dxa"/>
            <w:vAlign w:val="bottom"/>
            <w:gridSpan w:val="2"/>
          </w:tcPr>
          <w:p>
            <w:pPr>
              <w:ind w:left="60"/>
              <w:spacing w:after="0" w:line="12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90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3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140" w:type="dxa"/>
            <w:vAlign w:val="bottom"/>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6"/>
                <w:szCs w:val="6"/>
                <w:color w:val="auto"/>
              </w:rPr>
            </w:pPr>
          </w:p>
        </w:tc>
        <w:tc>
          <w:tcPr>
            <w:tcW w:w="5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36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3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40" w:type="dxa"/>
            <w:vAlign w:val="bottom"/>
            <w:gridSpan w:val="4"/>
          </w:tcPr>
          <w:p>
            <w:pPr>
              <w:ind w:left="60"/>
              <w:spacing w:after="0"/>
              <w:rPr>
                <w:sz w:val="20"/>
                <w:szCs w:val="20"/>
                <w:color w:val="auto"/>
              </w:rPr>
            </w:pPr>
            <w:r>
              <w:rPr>
                <w:rFonts w:ascii="Arial" w:cs="Arial" w:eastAsia="Arial" w:hAnsi="Arial"/>
                <w:sz w:val="17"/>
                <w:szCs w:val="17"/>
                <w:color w:val="0000FF"/>
              </w:rPr>
              <w:t>By GAD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18"/>
                <w:szCs w:val="18"/>
                <w:color w:val="auto"/>
              </w:rPr>
            </w:pPr>
          </w:p>
        </w:tc>
        <w:tc>
          <w:tcPr>
            <w:tcW w:w="1120" w:type="dxa"/>
            <w:vAlign w:val="bottom"/>
          </w:tcPr>
          <w:p>
            <w:pPr>
              <w:ind w:left="320"/>
              <w:spacing w:after="0"/>
              <w:rPr>
                <w:sz w:val="20"/>
                <w:szCs w:val="20"/>
                <w:color w:val="auto"/>
              </w:rPr>
            </w:pPr>
            <w:r>
              <w:rPr>
                <w:rFonts w:ascii="Arial" w:cs="Arial" w:eastAsia="Arial" w:hAnsi="Arial"/>
                <w:sz w:val="17"/>
                <w:szCs w:val="17"/>
                <w:color w:val="0000FF"/>
                <w:w w:val="91"/>
              </w:rPr>
              <w:t>08/03/2021</w:t>
            </w: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ind w:left="120"/>
              <w:spacing w:after="0" w:line="213" w:lineRule="exact"/>
              <w:rPr>
                <w:sz w:val="20"/>
                <w:szCs w:val="20"/>
                <w:color w:val="auto"/>
              </w:rPr>
            </w:pPr>
            <w:r>
              <w:rPr>
                <w:rFonts w:ascii="Arial" w:cs="Arial" w:eastAsia="Arial" w:hAnsi="Arial"/>
                <w:sz w:val="24"/>
                <w:szCs w:val="24"/>
                <w:color w:val="0000FF"/>
                <w:w w:val="82"/>
                <w:vertAlign w:val="subscript"/>
              </w:rPr>
              <w:t>S</w:t>
            </w:r>
            <w:r>
              <w:rPr>
                <w:rFonts w:ascii="Arial" w:cs="Arial" w:eastAsia="Arial" w:hAnsi="Arial"/>
                <w:sz w:val="11"/>
                <w:szCs w:val="11"/>
                <w:color w:val="008000"/>
                <w:w w:val="82"/>
              </w:rPr>
              <w:t>(1)</w:t>
            </w:r>
          </w:p>
        </w:tc>
        <w:tc>
          <w:tcPr>
            <w:tcW w:w="460" w:type="dxa"/>
            <w:vAlign w:val="bottom"/>
          </w:tcPr>
          <w:p>
            <w:pPr>
              <w:spacing w:after="0"/>
              <w:rPr>
                <w:sz w:val="18"/>
                <w:szCs w:val="18"/>
                <w:color w:val="auto"/>
              </w:rPr>
            </w:pPr>
          </w:p>
        </w:tc>
        <w:tc>
          <w:tcPr>
            <w:tcW w:w="740" w:type="dxa"/>
            <w:vAlign w:val="bottom"/>
          </w:tcPr>
          <w:p>
            <w:pPr>
              <w:ind w:left="200"/>
              <w:spacing w:after="0"/>
              <w:rPr>
                <w:sz w:val="20"/>
                <w:szCs w:val="20"/>
                <w:color w:val="auto"/>
              </w:rPr>
            </w:pPr>
            <w:r>
              <w:rPr>
                <w:rFonts w:ascii="Arial" w:cs="Arial" w:eastAsia="Arial" w:hAnsi="Arial"/>
                <w:sz w:val="17"/>
                <w:szCs w:val="17"/>
                <w:color w:val="0000FF"/>
              </w:rPr>
              <w:t>4,000</w:t>
            </w:r>
          </w:p>
        </w:tc>
        <w:tc>
          <w:tcPr>
            <w:tcW w:w="360" w:type="dxa"/>
            <w:vAlign w:val="bottom"/>
          </w:tcPr>
          <w:p>
            <w:pPr>
              <w:ind w:left="200"/>
              <w:spacing w:after="0"/>
              <w:rPr>
                <w:sz w:val="20"/>
                <w:szCs w:val="20"/>
                <w:color w:val="auto"/>
              </w:rPr>
            </w:pPr>
            <w:r>
              <w:rPr>
                <w:rFonts w:ascii="Arial" w:cs="Arial" w:eastAsia="Arial" w:hAnsi="Arial"/>
                <w:sz w:val="17"/>
                <w:szCs w:val="17"/>
                <w:color w:val="0000FF"/>
              </w:rPr>
              <w:t>D</w:t>
            </w:r>
          </w:p>
        </w:tc>
        <w:tc>
          <w:tcPr>
            <w:tcW w:w="140" w:type="dxa"/>
            <w:vAlign w:val="bottom"/>
          </w:tcPr>
          <w:p>
            <w:pPr>
              <w:spacing w:after="0"/>
              <w:rPr>
                <w:sz w:val="18"/>
                <w:szCs w:val="18"/>
                <w:color w:val="auto"/>
              </w:rPr>
            </w:pPr>
          </w:p>
        </w:tc>
        <w:tc>
          <w:tcPr>
            <w:tcW w:w="940" w:type="dxa"/>
            <w:vAlign w:val="bottom"/>
            <w:gridSpan w:val="3"/>
          </w:tcPr>
          <w:p>
            <w:pPr>
              <w:ind w:left="80"/>
              <w:spacing w:after="0" w:line="213" w:lineRule="exact"/>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33.7318</w:t>
            </w:r>
            <w:r>
              <w:rPr>
                <w:rFonts w:ascii="Arial" w:cs="Arial" w:eastAsia="Arial" w:hAnsi="Arial"/>
                <w:sz w:val="22"/>
                <w:szCs w:val="22"/>
                <w:color w:val="008000"/>
                <w:w w:val="94"/>
                <w:vertAlign w:val="superscript"/>
              </w:rPr>
              <w:t>(2)</w:t>
            </w:r>
          </w:p>
        </w:tc>
        <w:tc>
          <w:tcPr>
            <w:tcW w:w="1180" w:type="dxa"/>
            <w:vAlign w:val="bottom"/>
            <w:gridSpan w:val="2"/>
          </w:tcPr>
          <w:p>
            <w:pPr>
              <w:ind w:left="200"/>
              <w:spacing w:after="0"/>
              <w:rPr>
                <w:sz w:val="20"/>
                <w:szCs w:val="20"/>
                <w:color w:val="auto"/>
              </w:rPr>
            </w:pPr>
            <w:r>
              <w:rPr>
                <w:rFonts w:ascii="Arial" w:cs="Arial" w:eastAsia="Arial" w:hAnsi="Arial"/>
                <w:sz w:val="17"/>
                <w:szCs w:val="17"/>
                <w:color w:val="0000FF"/>
              </w:rPr>
              <w:t>1,583,927</w:t>
            </w:r>
          </w:p>
        </w:tc>
        <w:tc>
          <w:tcPr>
            <w:tcW w:w="340" w:type="dxa"/>
            <w:vAlign w:val="bottom"/>
          </w:tcPr>
          <w:p>
            <w:pPr>
              <w:spacing w:after="0"/>
              <w:rPr>
                <w:sz w:val="18"/>
                <w:szCs w:val="18"/>
                <w:color w:val="auto"/>
              </w:rPr>
            </w:pPr>
          </w:p>
        </w:tc>
        <w:tc>
          <w:tcPr>
            <w:tcW w:w="500" w:type="dxa"/>
            <w:vAlign w:val="bottom"/>
          </w:tcPr>
          <w:p>
            <w:pPr>
              <w:ind w:left="20"/>
              <w:spacing w:after="0"/>
              <w:rPr>
                <w:sz w:val="20"/>
                <w:szCs w:val="20"/>
                <w:color w:val="auto"/>
              </w:rPr>
            </w:pPr>
            <w:r>
              <w:rPr>
                <w:rFonts w:ascii="Arial" w:cs="Arial" w:eastAsia="Arial" w:hAnsi="Arial"/>
                <w:sz w:val="17"/>
                <w:szCs w:val="17"/>
                <w:color w:val="0000FF"/>
              </w:rPr>
              <w:t>I</w:t>
            </w:r>
          </w:p>
        </w:tc>
        <w:tc>
          <w:tcPr>
            <w:tcW w:w="1040" w:type="dxa"/>
            <w:vAlign w:val="bottom"/>
            <w:gridSpan w:val="4"/>
          </w:tcPr>
          <w:p>
            <w:pPr>
              <w:ind w:left="60"/>
              <w:spacing w:after="0"/>
              <w:rPr>
                <w:sz w:val="20"/>
                <w:szCs w:val="20"/>
                <w:color w:val="auto"/>
              </w:rPr>
            </w:pPr>
            <w:r>
              <w:rPr>
                <w:rFonts w:ascii="Arial" w:cs="Arial" w:eastAsia="Arial" w:hAnsi="Arial"/>
                <w:sz w:val="17"/>
                <w:szCs w:val="17"/>
                <w:color w:val="0000FF"/>
              </w:rPr>
              <w:t>Enterprises</w:t>
            </w:r>
          </w:p>
        </w:tc>
        <w:tc>
          <w:tcPr>
            <w:tcW w:w="0" w:type="dxa"/>
            <w:vAlign w:val="bottom"/>
          </w:tcPr>
          <w:p>
            <w:pPr>
              <w:spacing w:after="0"/>
              <w:rPr>
                <w:sz w:val="1"/>
                <w:szCs w:val="1"/>
                <w:color w:val="auto"/>
              </w:rPr>
            </w:pPr>
          </w:p>
        </w:tc>
      </w:tr>
      <w:tr>
        <w:trPr>
          <w:trHeight w:val="322"/>
        </w:trPr>
        <w:tc>
          <w:tcPr>
            <w:tcW w:w="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LLC</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60" w:type="dxa"/>
            <w:vAlign w:val="bottom"/>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26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2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3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2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26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Reported</w:t>
            </w: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60" w:type="dxa"/>
            <w:vAlign w:val="bottom"/>
          </w:tcPr>
          <w:p>
            <w:pPr>
              <w:spacing w:after="0"/>
              <w:rPr>
                <w:sz w:val="20"/>
                <w:szCs w:val="20"/>
                <w:color w:val="auto"/>
              </w:rPr>
            </w:pPr>
            <w:r>
              <w:rPr>
                <w:rFonts w:ascii="Arial" w:cs="Arial" w:eastAsia="Arial" w:hAnsi="Arial"/>
                <w:sz w:val="12"/>
                <w:szCs w:val="12"/>
                <w:b w:val="1"/>
                <w:bCs w:val="1"/>
                <w:color w:val="auto"/>
                <w:w w:val="96"/>
              </w:rPr>
              <w:t>and 5)</w:t>
            </w:r>
          </w:p>
        </w:tc>
        <w:tc>
          <w:tcPr>
            <w:tcW w:w="3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540" w:type="dxa"/>
            <w:vAlign w:val="bottom"/>
          </w:tcPr>
          <w:p>
            <w:pPr>
              <w:spacing w:after="0"/>
              <w:rPr>
                <w:sz w:val="4"/>
                <w:szCs w:val="4"/>
                <w:color w:val="auto"/>
              </w:rPr>
            </w:pPr>
          </w:p>
        </w:tc>
        <w:tc>
          <w:tcPr>
            <w:tcW w:w="3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ind w:left="26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ind w:left="26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ind w:left="260"/>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rPr>
              <w:t>Expiration</w:t>
            </w:r>
          </w:p>
        </w:tc>
        <w:tc>
          <w:tcPr>
            <w:tcW w:w="140" w:type="dxa"/>
            <w:vAlign w:val="bottom"/>
          </w:tcPr>
          <w:p>
            <w:pPr>
              <w:spacing w:after="0"/>
              <w:rPr>
                <w:sz w:val="11"/>
                <w:szCs w:val="11"/>
                <w:color w:val="auto"/>
              </w:rPr>
            </w:pPr>
          </w:p>
        </w:tc>
        <w:tc>
          <w:tcPr>
            <w:tcW w:w="860" w:type="dxa"/>
            <w:vAlign w:val="bottom"/>
            <w:gridSpan w:val="2"/>
          </w:tcPr>
          <w:p>
            <w:pPr>
              <w:ind w:left="26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360" w:type="dxa"/>
            <w:vAlign w:val="bottom"/>
          </w:tcPr>
          <w:p>
            <w:pPr>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spacing w:after="0"/>
              <w:rPr>
                <w:sz w:val="20"/>
                <w:szCs w:val="20"/>
                <w:color w:val="auto"/>
              </w:rPr>
            </w:pPr>
            <w:r>
              <w:rPr>
                <w:rFonts w:ascii="Arial" w:cs="Arial" w:eastAsia="Arial" w:hAnsi="Arial"/>
                <w:sz w:val="12"/>
                <w:szCs w:val="12"/>
                <w:b w:val="1"/>
                <w:bCs w:val="1"/>
                <w:color w:val="auto"/>
              </w:rPr>
              <w:t>(D)</w:t>
            </w:r>
          </w:p>
        </w:tc>
        <w:tc>
          <w:tcPr>
            <w:tcW w:w="12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360" w:type="dxa"/>
            <w:vAlign w:val="bottom"/>
          </w:tcPr>
          <w:p>
            <w:pPr>
              <w:spacing w:after="0"/>
              <w:rPr>
                <w:sz w:val="13"/>
                <w:szCs w:val="13"/>
                <w:color w:val="auto"/>
              </w:rPr>
            </w:pP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sold pursuant to a Rule 10b5-1 trading plan adopted on March 25, 2021.</w:t>
      </w:r>
    </w:p>
    <w:p>
      <w:pPr>
        <w:spacing w:after="0" w:line="50" w:lineRule="exact"/>
        <w:rPr>
          <w:rFonts w:ascii="Arial" w:cs="Arial" w:eastAsia="Arial" w:hAnsi="Arial"/>
          <w:sz w:val="13"/>
          <w:szCs w:val="13"/>
          <w:color w:val="008000"/>
        </w:rPr>
      </w:pPr>
    </w:p>
    <w:p>
      <w:pPr>
        <w:ind w:left="40" w:right="180" w:firstLine="7"/>
        <w:spacing w:after="0" w:line="30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$33.20 to $34.43. The price reported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ind w:left="40" w:right="34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Reporting Person is sole member of GAD Enterprises, LLC and the sole member and manager of GAD Management, LLC, the manager of GAD Enterprises, LLC, and as such Reporting Person has sole voting and dispositive power with respect to such shares.</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Chairman, President and Head of Business Development &amp; Strategy</w:t>
      </w:r>
    </w:p>
    <w:p>
      <w:pPr>
        <w:spacing w:after="0" w:line="6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Arial" w:cs="Arial" w:eastAsia="Arial" w:hAnsi="Arial"/>
                <w:sz w:val="17"/>
                <w:szCs w:val="17"/>
                <w:color w:val="0000FF"/>
              </w:rPr>
              <w:t>/s/ THOMAS GAD</w:t>
            </w:r>
          </w:p>
        </w:tc>
        <w:tc>
          <w:tcPr>
            <w:tcW w:w="920" w:type="dxa"/>
            <w:vAlign w:val="bottom"/>
            <w:gridSpan w:val="2"/>
          </w:tcPr>
          <w:p>
            <w:pPr>
              <w:ind w:left="120"/>
              <w:spacing w:after="0"/>
              <w:rPr>
                <w:sz w:val="20"/>
                <w:szCs w:val="20"/>
                <w:color w:val="auto"/>
              </w:rPr>
            </w:pPr>
            <w:r>
              <w:rPr>
                <w:rFonts w:ascii="Arial" w:cs="Arial" w:eastAsia="Arial" w:hAnsi="Arial"/>
                <w:sz w:val="17"/>
                <w:szCs w:val="17"/>
                <w:color w:val="0000FF"/>
                <w:w w:val="91"/>
              </w:rPr>
              <w:t>08/04/2021</w:t>
            </w:r>
          </w:p>
        </w:tc>
      </w:tr>
      <w:tr>
        <w:trPr>
          <w:trHeight w:val="20"/>
        </w:trPr>
        <w:tc>
          <w:tcPr>
            <w:tcW w:w="136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53224" TargetMode="External"/><Relationship Id="rId13" Type="http://schemas.openxmlformats.org/officeDocument/2006/relationships/hyperlink" Target="http://www.sec.gov/cgi-bin/browse-edgar?action=getcompany&amp;CIK=00017229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2021-08-05T17:59:56Z</dcterms:created>
  <dcterms:modified xsi:type="dcterms:W3CDTF">2021-08-05T17:59:56Z</dcterms:modified>
</cp:coreProperties>
</file>