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ymab-20240331x10q.htm"/>
        <w:bookmarkStart w:id="1" w:name="ksymab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a8320c87_fb17_45a6_9f46_7e4b7115a54c"/>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pBdr/>
        <w:bidi w:val="0"/>
        <w:spacing w:before="0" w:after="100"/>
        <w:ind w:left="0" w:right="0" w:hanging="504"/>
        <w:jc w:val="left"/>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2024</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00"/>
        <w:ind w:left="0" w:right="0" w:hanging="504"/>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Commission file number 001-38650</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Y-mAbs Therapeutics, Inc.</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DzJMnLpK0KeWK2qkfCiVw_4_2"/>
      <w:bookmarkStart w:id="4" w:name="Tc_HzntbpzV2UmpDl5s6MEjcw_4_0"/>
      <w:bookmarkStart w:id="5" w:name="Tc_Vk6oDVlKh0Su2DdJcD4o-w_3_2"/>
      <w:bookmarkStart w:id="6" w:name="Tc_MQVjrpsEW0ecWA7An_nYYA_3_0"/>
      <w:bookmarkStart w:id="7" w:name="_f3451a90_d97b_4df5_b779_83e0aa601804"/>
      <w:bookmarkStart w:id="8" w:name="Tc_-DzJMnLpK0KeWK2qkfCiVw_4_2"/>
      <w:bookmarkStart w:id="9" w:name="Tc_HzntbpzV2UmpDl5s6MEjcw_4_0"/>
      <w:bookmarkStart w:id="10" w:name="Tc_Vk6oDVlKh0Su2DdJcD4o-w_3_2"/>
      <w:bookmarkStart w:id="11" w:name="Tc_MQVjrpsEW0ecWA7An_nYYA_3_0"/>
      <w:bookmarkStart w:id="12" w:name="_f3451a90_d97b_4df5_b779_83e0aa601804"/>
      <w:bookmarkEnd w:id="8"/>
      <w:bookmarkEnd w:id="9"/>
      <w:bookmarkEnd w:id="10"/>
      <w:bookmarkEnd w:id="11"/>
      <w:bookmarkEnd w:id="12"/>
    </w:p>
    <w:tbl>
      <w:tblPr>
        <w:tblW w:w="4003" w:type="dxa"/>
        <w:jc w:val="left"/>
        <w:tblInd w:w="0" w:type="dxa"/>
        <w:tblLayout w:type="fixed"/>
        <w:tblCellMar>
          <w:top w:w="0" w:type="dxa"/>
          <w:left w:w="0" w:type="dxa"/>
          <w:bottom w:w="0" w:type="dxa"/>
          <w:right w:w="0" w:type="dxa"/>
        </w:tblCellMar>
      </w:tblPr>
      <w:tblGrid>
        <w:gridCol w:w="2236"/>
        <w:gridCol w:w="326"/>
        <w:gridCol w:w="1441"/>
      </w:tblGrid>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47-4619612</w:t>
            </w:r>
          </w:p>
        </w:tc>
      </w:tr>
      <w:tr>
        <w:trPr/>
        <w:tc>
          <w:tcPr>
            <w:tcW w:w="223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240"/>
              <w:ind w:left="0" w:right="0" w:hanging="0"/>
              <w:jc w:val="left"/>
              <w:rPr/>
            </w:pPr>
            <w:r>
              <w:rPr/>
              <w:t>​</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230 Park Avenue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3350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New York, NY</w:t>
      </w:r>
      <w:r>
        <w:rPr>
          <w:rFonts w:ascii="Times New Roman;Times;serif" w:hAnsi="Times New Roman;Times;serif"/>
          <w:sz w:val="20"/>
        </w:rPr>
        <w:t> </w:t>
      </w:r>
      <w:r>
        <w:rPr>
          <w:rFonts w:ascii="Times New Roman;Times;serif" w:hAnsi="Times New Roman;Times;serif"/>
          <w:b/>
          <w:sz w:val="16"/>
        </w:rPr>
        <w:t>10169</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(646)-885-8505</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24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zaLgcb-Kj0-xOLa8dQI_5Q_2_0"/>
      <w:bookmarkStart w:id="14" w:name="Tc_1miIAgEjoEGGQIv2cfhbFw_1_4"/>
      <w:bookmarkStart w:id="15" w:name="Tc_B91t7RI2bEGazxpo32jQXw_1_2"/>
      <w:bookmarkStart w:id="16" w:name="Tc_MpqjluYvpUa37C7MfQ6-Jg_1_0"/>
      <w:bookmarkStart w:id="17" w:name="_0adbbcd4_c8f9_400a_91de_fa855f870733"/>
      <w:bookmarkStart w:id="18" w:name="Tc_zaLgcb-Kj0-xOLa8dQI_5Q_2_0"/>
      <w:bookmarkStart w:id="19" w:name="Tc_1miIAgEjoEGGQIv2cfhbFw_1_4"/>
      <w:bookmarkStart w:id="20" w:name="Tc_B91t7RI2bEGazxpo32jQXw_1_2"/>
      <w:bookmarkStart w:id="21" w:name="Tc_MpqjluYvpUa37C7MfQ6-Jg_1_0"/>
      <w:bookmarkStart w:id="22" w:name="_0adbbcd4_c8f9_400a_91de_fa855f870733"/>
      <w:bookmarkEnd w:id="18"/>
      <w:bookmarkEnd w:id="19"/>
      <w:bookmarkEnd w:id="20"/>
      <w:bookmarkEnd w:id="21"/>
      <w:bookmarkEnd w:id="22"/>
    </w:p>
    <w:tbl>
      <w:tblPr>
        <w:tblW w:w="6610" w:type="dxa"/>
        <w:jc w:val="left"/>
        <w:tblInd w:w="0" w:type="dxa"/>
        <w:tblLayout w:type="fixed"/>
        <w:tblCellMar>
          <w:top w:w="0" w:type="dxa"/>
          <w:left w:w="0" w:type="dxa"/>
          <w:bottom w:w="0" w:type="dxa"/>
          <w:right w:w="0" w:type="dxa"/>
        </w:tblCellMar>
      </w:tblPr>
      <w:tblGrid>
        <w:gridCol w:w="2566"/>
        <w:gridCol w:w="326"/>
        <w:gridCol w:w="916"/>
        <w:gridCol w:w="326"/>
        <w:gridCol w:w="247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29410" cy="29210"/>
                      <wp:effectExtent l="0" t="0" r="0" b="0"/>
                      <wp:wrapNone/>
                      <wp:docPr id="1" name="Frame1"/>
                      <a:graphic xmlns:a="http://schemas.openxmlformats.org/drawingml/2006/main">
                        <a:graphicData uri="http://schemas.microsoft.com/office/word/2010/wordprocessingShape">
                          <wps:wsp>
                            <wps:cNvSpPr txBox="1"/>
                            <wps:spPr>
                              <a:xfrm>
                                <a:off x="0" y="0"/>
                                <a:ext cx="1629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572260" cy="29210"/>
                      <wp:effectExtent l="0" t="0" r="0" b="0"/>
                      <wp:wrapNone/>
                      <wp:docPr id="3" name="Frame3"/>
                      <a:graphic xmlns:a="http://schemas.openxmlformats.org/drawingml/2006/main">
                        <a:graphicData uri="http://schemas.microsoft.com/office/word/2010/wordprocessingShape">
                          <wps:wsp>
                            <wps:cNvSpPr txBox="1"/>
                            <wps:spPr>
                              <a:xfrm>
                                <a:off x="0" y="0"/>
                                <a:ext cx="1572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56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$0.0001 par value</w:t>
            </w:r>
          </w:p>
        </w:tc>
        <w:tc>
          <w:tcPr>
            <w:tcW w:w="326" w:type="dxa"/>
            <w:tcBorders/>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YMAB</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before="0" w:after="24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528" w:type="dxa"/>
        <w:jc w:val="left"/>
        <w:tblInd w:w="0" w:type="dxa"/>
        <w:tblLayout w:type="fixed"/>
        <w:tblCellMar>
          <w:top w:w="0" w:type="dxa"/>
          <w:left w:w="0" w:type="dxa"/>
          <w:bottom w:w="0" w:type="dxa"/>
          <w:right w:w="0" w:type="dxa"/>
        </w:tblCellMar>
      </w:tblPr>
      <w:tblGrid>
        <w:gridCol w:w="1861"/>
        <w:gridCol w:w="326"/>
        <w:gridCol w:w="234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326"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6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240"/>
              <w:ind w:left="0" w:right="0" w:hanging="0"/>
              <w:jc w:val="center"/>
              <w:rPr/>
            </w:pPr>
            <w:r>
              <w:rPr/>
              <w:t>​</w:t>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4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r>
        <w:rPr>
          <w:rFonts w:ascii="Times New Roman;Times;serif" w:hAnsi="Times New Roman;Times;serif"/>
          <w:sz w:val="16"/>
        </w:rPr>
        <w:t>.</w:t>
      </w:r>
    </w:p>
    <w:p>
      <w:pPr>
        <w:pStyle w:val="TextBody"/>
        <w:bidi w:val="0"/>
        <w:spacing w:before="0" w:after="0"/>
        <w:ind w:left="0" w:right="0" w:firstLine="720"/>
        <w:jc w:val="left"/>
        <w:rPr>
          <w:rFonts w:ascii="Times New Roman;Times;serif" w:hAnsi="Times New Roman;Times;serif"/>
          <w:sz w:val="16"/>
        </w:rPr>
      </w:pPr>
      <w:r>
        <w:rPr>
          <w:rFonts w:ascii="Times New Roman;Times;serif" w:hAnsi="Times New Roman;Times;serif"/>
          <w:sz w:val="16"/>
        </w:rPr>
        <w:t>There were 43,882,638 shares of Common Stock ($0.0001 par value) outstanding as of April 30, 2024.</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14" w:firstLine="421"/>
        <w:jc w:val="center"/>
        <w:rPr>
          <w:rFonts w:ascii="Times New Roman;Times;serif" w:hAnsi="Times New Roman;Times;serif"/>
          <w:b/>
          <w:sz w:val="20"/>
        </w:rPr>
      </w:pPr>
      <w:bookmarkStart w:id="23" w:name="_212d2fb9_497e_407b_98fc_297a22f45002"/>
      <w:bookmarkEnd w:id="23"/>
      <w:r>
        <w:rPr>
          <w:rFonts w:ascii="Times New Roman;Times;serif" w:hAnsi="Times New Roman;Times;serif"/>
          <w:b/>
          <w:sz w:val="20"/>
        </w:rPr>
        <w:t>FORWARD-LOOKING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from those anticipated or implied in the 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made.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Unless expressly indicated or the context requires otherwise, the terms "Y-mAbs," "Company," "we," "us," and "our" in this document refer to Y-mAbs Therapeutics, Inc., a Delaware corporation, and, where appropriate, its subsidiary.</w:t>
      </w:r>
    </w:p>
    <w:p>
      <w:pPr>
        <w:pStyle w:val="TextBody"/>
        <w:bidi w:val="0"/>
        <w:spacing w:before="0" w:after="240"/>
        <w:ind w:left="0" w:right="0" w:firstLine="720"/>
        <w:jc w:val="left"/>
        <w:rPr/>
      </w:pPr>
      <w:r>
        <w:rPr/>
        <w:t>​</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is subject to a number of risks, including risks that may prevent us from achieving our business objectives or may adversely affect our business, financial condition, results of operations, cash flows, and prospects.</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risks are discussed more fully below under “Risk Factors” and include, but are not limited to the following:</w:t>
      </w:r>
    </w:p>
    <w:p>
      <w:pPr>
        <w:pStyle w:val="TextBody"/>
        <w:bidi w:val="0"/>
        <w:spacing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successfully implement our business model, including our plans to expand the commercialization of DANYELZA® (naxitamab-gqgk), referred to as DANYELZA, and to develop, obtain regulatory approval of and commercialize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rate and degree of market acceptance and clinical utility for DANYELZA or any current or future product candidates for which we may receive marketing approval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commercial value of any of our product candidates, including antibody constructs based on Self-Assembly Dis-Assembly Pre-targeted Radioimmunotherapy, or SADA PRIT, technology platform,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implementing our business strategy, including our ability and plans in continuing to build out our commercial infrastructure and successfully launching, marketing, expanding the indications for, and selling DANYELZA and any current or future product candidates for which we may receive marketing approval. This includes our plans with respect to the focus and activities of our sales force, the nature of our marketing, market access and patient support activities of DANYELZA and related assumptions;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pricing, coverage and reimbursement of, and the extent to which patient assistance programs are utilized for DANYELZA or other product candidates for which we may receive marketing approval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our ongoing and future clinical trials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SADA PRIT Technology that we use has not been approved for commercial use by the FDA or any other regulatory authority and our clinical effort may not result in approval or marketable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product candidates, such event could adversely affect other clinical trials of our product candidates;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attract, integrate, manage and retain qualified personnel or key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timing of and our ability to obtain and maintain regulatory, marketing and reimbursement approvals for our product candidates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implement our commercialization, marketing and manufacturing capabilities and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identify and develop additional product candidates and technologies with significant commercial potential;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enter into collaborations or strategic partnerships for the development and commercialization of our product candidates and future operations, and the potential benefits of any such collaboration or partnership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collaboration agreement that we may enter into may not be successful, which could adversely affect our ability to develop and commercialize our products or to enter new therapeutic areas;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depend on third parties for a portion of our operations, and we may not be able to control their work as effectively as if we performed these functions ourselves. If the third parties fail to comply with regulations, our financial results and financial condition could be adversely affected;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relationship with Memorial Sloan Kettering Cancer Center, or MSK, including our ability to maintain our exclusive rights under the 2015 MSK License Agreement (as amended), or the MSK License Agreement, and the 2020 SADA License Agreement, or the SADA License Agreement as well as our relationship with MSK as a user of DANYELZA and any future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related to the use of our cash and cash equivalents, and how long our cash resources are expected to last, may be inaccurate and we may require additional funding sooner than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funding to finance our operations, complete the development and commercialization of our product and product candidates, and evaluate future product candidates, programs or other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any future financing transaction and our common stock price and other factors may impact our ability to raise additional capital on favorable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our financial performance, including our estimates regarding revenues, expenses, cash flow, and capital expenditure requirements may not be realized;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significant competition in an environment of rapid technological and scientific change, and there is a possibility that our competitors may achieve regulatory approval before us or develop therapies that are safer or more effective than ours;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results of operations have been and may in the future be adversely affected by health crises, macroeconomic conditions, such as inflation and high interest rates, uncertain global financial markets, supply-chain disruptions, and by geopolitical events, including the invasion of Ukraine by Russia, and sanctions related thereto, which resulted in the suspension of our clinical trial and regulatory activities in Russia; as well as the state of the war involving Israel and the related risk of a more global conflict;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depend on a small number of third-party contract manufacturing organizations, or CMOs, and expect it would be difficult to find a suitable replacement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 could result in substantial damages or other adverse consequences to our business and may divert management’s time and attention from our business. Any litigation that is successful against us may result in the incurrence of substantial liability if our insurance is inadequate.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 w:name="TOC"/>
      <w:bookmarkStart w:id="25" w:name="_1cddd5aa_72c7_4754_a910_ca5896423311"/>
      <w:bookmarkEnd w:id="24"/>
      <w:bookmarkEnd w:id="25"/>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4453"/>
        <w:gridCol w:w="4459"/>
        <w:gridCol w:w="482"/>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4453" w:type="dxa"/>
            <w:tcBorders/>
            <w:vAlign w:val="center"/>
          </w:tcPr>
          <w:p>
            <w:pPr>
              <w:pStyle w:val="TableContents"/>
              <w:bidi w:val="0"/>
              <w:spacing w:before="0" w:after="283"/>
              <w:ind w:left="0" w:right="0" w:hanging="0"/>
              <w:jc w:val="left"/>
              <w:rPr>
                <w:sz w:val="4"/>
                <w:szCs w:val="4"/>
              </w:rPr>
            </w:pPr>
            <w:r>
              <w:rPr>
                <w:sz w:val="4"/>
                <w:szCs w:val="4"/>
              </w:rPr>
            </w:r>
          </w:p>
        </w:tc>
        <w:tc>
          <w:tcPr>
            <w:tcW w:w="4459" w:type="dxa"/>
            <w:tcBorders/>
            <w:vAlign w:val="center"/>
          </w:tcPr>
          <w:p>
            <w:pPr>
              <w:pStyle w:val="TableContents"/>
              <w:bidi w:val="0"/>
              <w:spacing w:before="0" w:after="283"/>
              <w:ind w:left="0" w:right="0" w:hanging="0"/>
              <w:jc w:val="left"/>
              <w:rPr>
                <w:sz w:val="4"/>
                <w:szCs w:val="4"/>
              </w:rPr>
            </w:pPr>
            <w:r>
              <w:rPr>
                <w:sz w:val="4"/>
                <w:szCs w:val="4"/>
              </w:rPr>
            </w:r>
          </w:p>
        </w:tc>
        <w:tc>
          <w:tcPr>
            <w:tcW w:w="482"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center"/>
              <w:rPr/>
            </w:pPr>
            <w:r>
              <w:rPr/>
              <w:t>​</w:t>
            </w:r>
          </w:p>
        </w:tc>
        <w:tc>
          <w:tcPr>
            <w:tcW w:w="8912" w:type="dxa"/>
            <w:gridSpan w:val="2"/>
            <w:tcBorders/>
            <w:vAlign w:val="center"/>
          </w:tcPr>
          <w:p>
            <w:pPr>
              <w:pStyle w:val="TableContents"/>
              <w:bidi w:val="0"/>
              <w:spacing w:before="0" w:after="0"/>
              <w:ind w:left="0" w:right="0" w:hanging="0"/>
              <w:jc w:val="center"/>
              <w:rPr/>
            </w:pPr>
            <w:r>
              <w:rPr/>
              <w:t>​</w:t>
            </w:r>
          </w:p>
        </w:tc>
        <w:tc>
          <w:tcPr>
            <w:tcW w:w="48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811" w:type="dxa"/>
            <w:tcBorders/>
            <w:vAlign w:val="center"/>
          </w:tcPr>
          <w:p>
            <w:pPr>
              <w:pStyle w:val="TableContents"/>
              <w:bidi w:val="0"/>
              <w:spacing w:before="0" w:after="0"/>
              <w:ind w:left="0" w:right="0" w:hanging="0"/>
              <w:jc w:val="left"/>
              <w:rPr/>
            </w:pPr>
            <w:r>
              <w:rPr/>
              <w:t>​</w:t>
            </w:r>
          </w:p>
        </w:tc>
        <w:tc>
          <w:tcPr>
            <w:tcW w:w="8912" w:type="dxa"/>
            <w:gridSpan w:val="2"/>
            <w:tcBorders/>
            <w:vAlign w:val="center"/>
          </w:tcPr>
          <w:p>
            <w:pPr>
              <w:pStyle w:val="TableContents"/>
              <w:bidi w:val="0"/>
              <w:spacing w:before="0" w:after="0"/>
              <w:ind w:left="0" w:right="0" w:hanging="0"/>
              <w:jc w:val="center"/>
              <w:rPr/>
            </w:pPr>
            <w:hyperlink w:anchor="PARTIFINANCIALINFORMATION_86147">
              <w:r>
                <w:rPr>
                  <w:rStyle w:val="InternetLink"/>
                  <w:rFonts w:ascii="Times New Roman;Times;serif" w:hAnsi="Times New Roman;Times;serif"/>
                  <w:b w:val="false"/>
                  <w:i w:val="false"/>
                  <w:caps w:val="false"/>
                  <w:smallCaps w:val="false"/>
                  <w:sz w:val="20"/>
                </w:rPr>
                <w:t>PART I — FINANCIAL INFORMATION</w:t>
              </w:r>
            </w:hyperlink>
          </w:p>
        </w:tc>
        <w:tc>
          <w:tcPr>
            <w:tcW w:w="48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FinancialStatements_772788">
              <w:r>
                <w:rPr>
                  <w:rStyle w:val="InternetLink"/>
                  <w:rFonts w:ascii="Times New Roman;Times;serif" w:hAnsi="Times New Roman;Times;serif"/>
                  <w:b w:val="false"/>
                  <w:i w:val="false"/>
                  <w:caps w:val="false"/>
                  <w:smallCaps w:val="false"/>
                  <w:sz w:val="20"/>
                </w:rPr>
                <w:t>Item 1.</w:t>
              </w:r>
            </w:hyperlink>
          </w:p>
        </w:tc>
        <w:tc>
          <w:tcPr>
            <w:tcW w:w="8912" w:type="dxa"/>
            <w:gridSpan w:val="2"/>
            <w:tcBorders/>
            <w:vAlign w:val="center"/>
          </w:tcPr>
          <w:p>
            <w:pPr>
              <w:pStyle w:val="TableContents"/>
              <w:pBdr/>
              <w:bidi w:val="0"/>
              <w:spacing w:before="0" w:after="0"/>
              <w:ind w:left="0" w:right="0" w:hanging="0"/>
              <w:jc w:val="left"/>
              <w:rPr/>
            </w:pPr>
            <w:hyperlink w:anchor="Item1FinancialStatements_772788">
              <w:r>
                <w:rPr>
                  <w:rStyle w:val="InternetLink"/>
                  <w:rFonts w:ascii="Times New Roman;Times;serif" w:hAnsi="Times New Roman;Times;serif"/>
                  <w:b w:val="false"/>
                  <w:i w:val="false"/>
                  <w:caps w:val="false"/>
                  <w:smallCaps w:val="false"/>
                  <w:sz w:val="20"/>
                </w:rPr>
                <w:t>Consolidated Financial Statements</w:t>
              </w:r>
            </w:hyperlink>
            <w:r>
              <w:rPr>
                <w:rFonts w:ascii="Times New Roman;Times;serif" w:hAnsi="Times New Roman;Times;serif"/>
                <w:sz w:val="20"/>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pBdr/>
              <w:bidi w:val="0"/>
              <w:spacing w:before="0" w:after="0"/>
              <w:ind w:left="0" w:right="0" w:hanging="0"/>
              <w:jc w:val="left"/>
              <w:rPr/>
            </w:pPr>
            <w:hyperlink w:anchor="ConsolidatedBalanceSheets_233342">
              <w:r>
                <w:rPr>
                  <w:rStyle w:val="InternetLink"/>
                  <w:rFonts w:ascii="Times New Roman;Times;serif" w:hAnsi="Times New Roman;Times;serif"/>
                  <w:b w:val="false"/>
                  <w:i w:val="false"/>
                  <w:caps w:val="false"/>
                  <w:smallCaps w:val="false"/>
                  <w:sz w:val="20"/>
                </w:rPr>
                <w:t xml:space="preserve">Consolidated Balance Sheets (unaudited) as of March 31, 2024 and December 31, 2023 </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Net Loss and Comprehensive Loss (unaudited) for the three months ended March 31, 2024 and 2023</w:t>
              </w:r>
            </w:hyperlink>
            <w:r>
              <w:rPr>
                <w:rFonts w:ascii="Times New Roman;Times;serif" w:hAnsi="Times New Roman;Times;serif"/>
                <w:sz w:val="20"/>
              </w:rPr>
              <w:t xml:space="preserve"> </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pBdr/>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(unaudited) for the three months ended March 31, 2024 and 2023</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pBdr/>
              <w:bidi w:val="0"/>
              <w:spacing w:before="0" w:after="0"/>
              <w:ind w:left="0" w:right="0" w:hanging="0"/>
              <w:jc w:val="left"/>
              <w:rPr/>
            </w:pPr>
            <w:hyperlink w:anchor="ConsolidatedStatementsofCashFlows_970174">
              <w:r>
                <w:rPr>
                  <w:rStyle w:val="InternetLink"/>
                  <w:rFonts w:ascii="Times New Roman;Times;serif" w:hAnsi="Times New Roman;Times;serif"/>
                  <w:b w:val="false"/>
                  <w:i w:val="false"/>
                  <w:caps w:val="false"/>
                  <w:smallCaps w:val="false"/>
                  <w:sz w:val="20"/>
                </w:rPr>
                <w:t>Consolidated Statements of Cash Flows (unaudited) for the three months ended March 31, 2024 and 2023</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pBdr/>
              <w:bidi w:val="0"/>
              <w:spacing w:before="0" w:after="0"/>
              <w:ind w:left="0" w:right="0" w:hanging="0"/>
              <w:jc w:val="left"/>
              <w:rPr/>
            </w:pPr>
            <w:hyperlink w:anchor="NOTESTOUNAUDITEDCONSOLIDATEDFINANCIALSTA">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2" w:type="dxa"/>
            <w:gridSpan w:val="2"/>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2" w:type="dxa"/>
            <w:gridSpan w:val="2"/>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pBdr/>
              <w:bidi w:val="0"/>
              <w:spacing w:before="0" w:after="0"/>
              <w:ind w:left="0" w:right="0" w:hanging="0"/>
              <w:jc w:val="left"/>
              <w:rPr/>
            </w:pPr>
            <w:hyperlink w:anchor="Item4ControlsandProcedures_863456">
              <w:r>
                <w:rPr>
                  <w:rStyle w:val="InternetLink"/>
                  <w:rFonts w:ascii="Times New Roman;Times;serif" w:hAnsi="Times New Roman;Times;serif"/>
                  <w:b w:val="false"/>
                  <w:i w:val="false"/>
                  <w:caps w:val="false"/>
                  <w:smallCaps w:val="false"/>
                  <w:sz w:val="20"/>
                </w:rPr>
                <w:t>Item 4.</w:t>
              </w:r>
            </w:hyperlink>
          </w:p>
        </w:tc>
        <w:tc>
          <w:tcPr>
            <w:tcW w:w="8912" w:type="dxa"/>
            <w:gridSpan w:val="2"/>
            <w:tcBorders/>
            <w:vAlign w:val="center"/>
          </w:tcPr>
          <w:p>
            <w:pPr>
              <w:pStyle w:val="TableContents"/>
              <w:pBdr/>
              <w:bidi w:val="0"/>
              <w:spacing w:before="0" w:after="0"/>
              <w:ind w:left="0" w:right="0" w:hanging="0"/>
              <w:jc w:val="left"/>
              <w:rPr/>
            </w:pPr>
            <w:hyperlink w:anchor="Item4ControlsandProcedures_863456">
              <w:r>
                <w:rPr>
                  <w:rStyle w:val="InternetLink"/>
                  <w:rFonts w:ascii="Times New Roman;Times;serif" w:hAnsi="Times New Roman;Times;serif"/>
                  <w:b w:val="false"/>
                  <w:i w:val="false"/>
                  <w:caps w:val="false"/>
                  <w:smallCaps w:val="false"/>
                  <w:sz w:val="20"/>
                </w:rPr>
                <w:t>Controls and Procedures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r>
              <w:rPr/>
              <w:t>​</w:t>
            </w:r>
          </w:p>
        </w:tc>
        <w:tc>
          <w:tcPr>
            <w:tcW w:w="8912" w:type="dxa"/>
            <w:gridSpan w:val="2"/>
            <w:tcBorders/>
            <w:vAlign w:val="center"/>
          </w:tcPr>
          <w:p>
            <w:pPr>
              <w:pStyle w:val="TableContents"/>
              <w:bidi w:val="0"/>
              <w:spacing w:before="0" w:after="283"/>
              <w:ind w:left="0" w:right="0" w:hanging="0"/>
              <w:jc w:val="left"/>
              <w:rPr>
                <w:sz w:val="4"/>
                <w:szCs w:val="4"/>
              </w:rPr>
            </w:pPr>
            <w:r>
              <w:rPr>
                <w:sz w:val="4"/>
                <w:szCs w:val="4"/>
              </w:rPr>
            </w:r>
          </w:p>
        </w:tc>
        <w:tc>
          <w:tcPr>
            <w:tcW w:w="48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912" w:type="dxa"/>
            <w:gridSpan w:val="2"/>
            <w:tcBorders/>
            <w:vAlign w:val="center"/>
          </w:tcPr>
          <w:p>
            <w:pPr>
              <w:pStyle w:val="TableContents"/>
              <w:bidi w:val="0"/>
              <w:spacing w:before="0" w:after="0"/>
              <w:ind w:left="0" w:right="0" w:hanging="0"/>
              <w:jc w:val="center"/>
              <w:rPr/>
            </w:pPr>
            <w:hyperlink w:anchor="Part2">
              <w:r>
                <w:rPr>
                  <w:rStyle w:val="InternetLink"/>
                  <w:rFonts w:ascii="Times New Roman;Times;serif" w:hAnsi="Times New Roman;Times;serif"/>
                  <w:b w:val="false"/>
                  <w:i w:val="false"/>
                  <w:caps w:val="false"/>
                  <w:smallCaps w:val="false"/>
                  <w:sz w:val="20"/>
                </w:rPr>
                <w:t>PART II — OTHER INFORMATION</w:t>
              </w:r>
            </w:hyperlink>
          </w:p>
        </w:tc>
        <w:tc>
          <w:tcPr>
            <w:tcW w:w="48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r>
              <w:rPr/>
              <w:t>​</w:t>
            </w:r>
          </w:p>
        </w:tc>
        <w:tc>
          <w:tcPr>
            <w:tcW w:w="8912" w:type="dxa"/>
            <w:gridSpan w:val="2"/>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pBdr/>
              <w:bidi w:val="0"/>
              <w:spacing w:before="0" w:after="0"/>
              <w:ind w:left="0" w:right="0" w:hanging="0"/>
              <w:jc w:val="left"/>
              <w:rPr/>
            </w:pPr>
            <w:hyperlink w:anchor="Item1LegalProceedings_419220">
              <w:r>
                <w:rPr>
                  <w:rStyle w:val="InternetLink"/>
                  <w:rFonts w:ascii="Times New Roman;Times;serif" w:hAnsi="Times New Roman;Times;serif"/>
                  <w:b w:val="false"/>
                  <w:i w:val="false"/>
                  <w:caps w:val="false"/>
                  <w:smallCaps w:val="false"/>
                  <w:sz w:val="20"/>
                </w:rPr>
                <w:t>Item 1.</w:t>
              </w:r>
            </w:hyperlink>
          </w:p>
        </w:tc>
        <w:tc>
          <w:tcPr>
            <w:tcW w:w="8912" w:type="dxa"/>
            <w:gridSpan w:val="2"/>
            <w:tcBorders/>
            <w:vAlign w:val="center"/>
          </w:tcPr>
          <w:p>
            <w:pPr>
              <w:pStyle w:val="TableContents"/>
              <w:pBdr/>
              <w:bidi w:val="0"/>
              <w:spacing w:before="0" w:after="0"/>
              <w:ind w:left="0" w:right="0" w:hanging="0"/>
              <w:jc w:val="left"/>
              <w:rPr/>
            </w:pPr>
            <w:hyperlink w:anchor="Item1LegalProceedings_419220">
              <w:r>
                <w:rPr>
                  <w:rStyle w:val="InternetLink"/>
                  <w:rFonts w:ascii="Times New Roman;Times;serif" w:hAnsi="Times New Roman;Times;serif"/>
                  <w:b w:val="false"/>
                  <w:i w:val="false"/>
                  <w:caps w:val="false"/>
                  <w:smallCaps w:val="false"/>
                  <w:sz w:val="20"/>
                </w:rPr>
                <w:t>Legal Proceedings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pBdr/>
              <w:bidi w:val="0"/>
              <w:spacing w:before="0" w:after="0"/>
              <w:ind w:left="0" w:right="0" w:hanging="0"/>
              <w:jc w:val="left"/>
              <w:rPr/>
            </w:pPr>
            <w:hyperlink w:anchor="Item1ARiskFactors_474954">
              <w:r>
                <w:rPr>
                  <w:rStyle w:val="InternetLink"/>
                  <w:rFonts w:ascii="Times New Roman;Times;serif" w:hAnsi="Times New Roman;Times;serif"/>
                  <w:b w:val="false"/>
                  <w:i w:val="false"/>
                  <w:caps w:val="false"/>
                  <w:smallCaps w:val="false"/>
                  <w:sz w:val="20"/>
                </w:rPr>
                <w:t>Item 1A.</w:t>
              </w:r>
            </w:hyperlink>
          </w:p>
        </w:tc>
        <w:tc>
          <w:tcPr>
            <w:tcW w:w="8912" w:type="dxa"/>
            <w:gridSpan w:val="2"/>
            <w:tcBorders/>
            <w:vAlign w:val="center"/>
          </w:tcPr>
          <w:p>
            <w:pPr>
              <w:pStyle w:val="TableContents"/>
              <w:pBdr/>
              <w:bidi w:val="0"/>
              <w:spacing w:before="0" w:after="0"/>
              <w:ind w:left="0" w:right="0" w:hanging="0"/>
              <w:jc w:val="left"/>
              <w:rPr/>
            </w:pPr>
            <w:hyperlink w:anchor="Item1ARiskFactors_474954">
              <w:r>
                <w:rPr>
                  <w:rStyle w:val="InternetLink"/>
                  <w:rFonts w:ascii="Times New Roman;Times;serif" w:hAnsi="Times New Roman;Times;serif"/>
                  <w:b w:val="false"/>
                  <w:i w:val="false"/>
                  <w:caps w:val="false"/>
                  <w:smallCaps w:val="false"/>
                  <w:sz w:val="20"/>
                </w:rPr>
                <w:t>Risk Factors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2" w:type="dxa"/>
            <w:gridSpan w:val="2"/>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11" w:type="dxa"/>
            <w:tcBorders/>
            <w:vAlign w:val="center"/>
          </w:tcPr>
          <w:p>
            <w:pPr>
              <w:pStyle w:val="TableContents"/>
              <w:pBdr/>
              <w:bidi w:val="0"/>
              <w:spacing w:before="0" w:after="0"/>
              <w:ind w:left="0" w:right="0" w:hanging="0"/>
              <w:jc w:val="left"/>
              <w:rPr/>
            </w:pPr>
            <w:hyperlink w:anchor="Item3DefaultsonSeniorSecurities_18311">
              <w:r>
                <w:rPr>
                  <w:rStyle w:val="InternetLink"/>
                  <w:rFonts w:ascii="Times New Roman;Times;serif" w:hAnsi="Times New Roman;Times;serif"/>
                  <w:b w:val="false"/>
                  <w:i w:val="false"/>
                  <w:caps w:val="false"/>
                  <w:smallCaps w:val="false"/>
                  <w:sz w:val="20"/>
                </w:rPr>
                <w:t>Item 3.</w:t>
              </w:r>
            </w:hyperlink>
          </w:p>
        </w:tc>
        <w:tc>
          <w:tcPr>
            <w:tcW w:w="8912" w:type="dxa"/>
            <w:gridSpan w:val="2"/>
            <w:tcBorders/>
            <w:vAlign w:val="center"/>
          </w:tcPr>
          <w:p>
            <w:pPr>
              <w:pStyle w:val="TableContents"/>
              <w:pBdr/>
              <w:bidi w:val="0"/>
              <w:spacing w:before="0" w:after="0"/>
              <w:ind w:left="0" w:right="0" w:hanging="0"/>
              <w:jc w:val="left"/>
              <w:rPr/>
            </w:pPr>
            <w:hyperlink w:anchor="Item3DefaultsonSeniorSecurities_18311">
              <w:r>
                <w:rPr>
                  <w:rStyle w:val="InternetLink"/>
                  <w:rFonts w:ascii="Times New Roman;Times;serif" w:hAnsi="Times New Roman;Times;serif"/>
                  <w:b w:val="false"/>
                  <w:i w:val="false"/>
                  <w:caps w:val="false"/>
                  <w:smallCaps w:val="false"/>
                  <w:sz w:val="20"/>
                </w:rPr>
                <w:t>Defaults on Senior Securities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11" w:type="dxa"/>
            <w:tcBorders/>
            <w:vAlign w:val="center"/>
          </w:tcPr>
          <w:p>
            <w:pPr>
              <w:pStyle w:val="TableContents"/>
              <w:pBdr/>
              <w:bidi w:val="0"/>
              <w:spacing w:before="0" w:after="0"/>
              <w:ind w:left="0" w:right="0" w:hanging="0"/>
              <w:jc w:val="left"/>
              <w:rPr/>
            </w:pPr>
            <w:hyperlink w:anchor="Item4MineSafetyDisclosures_32372">
              <w:r>
                <w:rPr>
                  <w:rStyle w:val="InternetLink"/>
                  <w:rFonts w:ascii="Times New Roman;Times;serif" w:hAnsi="Times New Roman;Times;serif"/>
                  <w:b w:val="false"/>
                  <w:i w:val="false"/>
                  <w:caps w:val="false"/>
                  <w:smallCaps w:val="false"/>
                  <w:sz w:val="20"/>
                </w:rPr>
                <w:t>Item 4.</w:t>
              </w:r>
            </w:hyperlink>
          </w:p>
        </w:tc>
        <w:tc>
          <w:tcPr>
            <w:tcW w:w="8912" w:type="dxa"/>
            <w:gridSpan w:val="2"/>
            <w:tcBorders/>
            <w:vAlign w:val="center"/>
          </w:tcPr>
          <w:p>
            <w:pPr>
              <w:pStyle w:val="TableContents"/>
              <w:pBdr/>
              <w:bidi w:val="0"/>
              <w:spacing w:before="0" w:after="0"/>
              <w:ind w:left="0" w:right="0" w:hanging="0"/>
              <w:jc w:val="left"/>
              <w:rPr/>
            </w:pPr>
            <w:hyperlink w:anchor="Item4MineSafetyDisclosures_32372">
              <w:r>
                <w:rPr>
                  <w:rStyle w:val="InternetLink"/>
                  <w:rFonts w:ascii="Times New Roman;Times;serif" w:hAnsi="Times New Roman;Times;serif"/>
                  <w:b w:val="false"/>
                  <w:i w:val="false"/>
                  <w:caps w:val="false"/>
                  <w:smallCaps w:val="false"/>
                  <w:sz w:val="20"/>
                </w:rPr>
                <w:t>Mine Safety Disclosures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11" w:type="dxa"/>
            <w:tcBorders/>
            <w:vAlign w:val="center"/>
          </w:tcPr>
          <w:p>
            <w:pPr>
              <w:pStyle w:val="TableContents"/>
              <w:pBdr/>
              <w:bidi w:val="0"/>
              <w:spacing w:before="0" w:after="0"/>
              <w:ind w:left="0" w:right="0" w:hanging="0"/>
              <w:jc w:val="left"/>
              <w:rPr/>
            </w:pPr>
            <w:hyperlink w:anchor="Item5OtherInformation_485886">
              <w:r>
                <w:rPr>
                  <w:rStyle w:val="InternetLink"/>
                  <w:rFonts w:ascii="Times New Roman;Times;serif" w:hAnsi="Times New Roman;Times;serif"/>
                  <w:b w:val="false"/>
                  <w:i w:val="false"/>
                  <w:caps w:val="false"/>
                  <w:smallCaps w:val="false"/>
                  <w:sz w:val="20"/>
                </w:rPr>
                <w:t>Item 5.</w:t>
              </w:r>
            </w:hyperlink>
          </w:p>
        </w:tc>
        <w:tc>
          <w:tcPr>
            <w:tcW w:w="8912" w:type="dxa"/>
            <w:gridSpan w:val="2"/>
            <w:tcBorders/>
            <w:vAlign w:val="center"/>
          </w:tcPr>
          <w:p>
            <w:pPr>
              <w:pStyle w:val="TableContents"/>
              <w:pBdr/>
              <w:bidi w:val="0"/>
              <w:spacing w:before="0" w:after="0"/>
              <w:ind w:left="0" w:right="0" w:hanging="0"/>
              <w:jc w:val="left"/>
              <w:rPr/>
            </w:pPr>
            <w:hyperlink w:anchor="Item5OtherInformation_485886">
              <w:r>
                <w:rPr>
                  <w:rStyle w:val="InternetLink"/>
                  <w:rFonts w:ascii="Times New Roman;Times;serif" w:hAnsi="Times New Roman;Times;serif"/>
                  <w:b w:val="false"/>
                  <w:i w:val="false"/>
                  <w:caps w:val="false"/>
                  <w:smallCaps w:val="false"/>
                  <w:sz w:val="20"/>
                </w:rPr>
                <w:t>Other Information</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811" w:type="dxa"/>
            <w:tcBorders/>
            <w:vAlign w:val="center"/>
          </w:tcPr>
          <w:p>
            <w:pPr>
              <w:pStyle w:val="TableContents"/>
              <w:pBdr/>
              <w:bidi w:val="0"/>
              <w:spacing w:before="0" w:after="0"/>
              <w:ind w:left="0" w:right="0" w:hanging="0"/>
              <w:jc w:val="left"/>
              <w:rPr/>
            </w:pPr>
            <w:hyperlink w:anchor="Item6Exhibits_681099">
              <w:r>
                <w:rPr>
                  <w:rStyle w:val="InternetLink"/>
                  <w:rFonts w:ascii="Times New Roman;Times;serif" w:hAnsi="Times New Roman;Times;serif"/>
                  <w:b w:val="false"/>
                  <w:i w:val="false"/>
                  <w:caps w:val="false"/>
                  <w:smallCaps w:val="false"/>
                  <w:sz w:val="20"/>
                </w:rPr>
                <w:t>Item 6.</w:t>
              </w:r>
            </w:hyperlink>
          </w:p>
        </w:tc>
        <w:tc>
          <w:tcPr>
            <w:tcW w:w="8912" w:type="dxa"/>
            <w:gridSpan w:val="2"/>
            <w:tcBorders/>
            <w:vAlign w:val="center"/>
          </w:tcPr>
          <w:p>
            <w:pPr>
              <w:pStyle w:val="TableContents"/>
              <w:pBdr/>
              <w:bidi w:val="0"/>
              <w:spacing w:before="0" w:after="0"/>
              <w:ind w:left="0" w:right="0" w:hanging="0"/>
              <w:jc w:val="left"/>
              <w:rPr/>
            </w:pPr>
            <w:hyperlink w:anchor="Item6Exhibits_681099">
              <w:r>
                <w:rPr>
                  <w:rStyle w:val="InternetLink"/>
                  <w:rFonts w:ascii="Times New Roman;Times;serif" w:hAnsi="Times New Roman;Times;serif"/>
                  <w:b w:val="false"/>
                  <w:i w:val="false"/>
                  <w:caps w:val="false"/>
                  <w:smallCaps w:val="false"/>
                  <w:sz w:val="20"/>
                </w:rPr>
                <w:t>Exhibits</w:t>
              </w:r>
            </w:hyperlink>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6" w:name="PARTIFINANCIALINFORMATION_86147"/>
      <w:bookmarkStart w:id="27" w:name="_045444f0_d24b_406d_b247_183e9230f670"/>
      <w:bookmarkEnd w:id="26"/>
      <w:bookmarkEnd w:id="2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28" w:name="Item1FinancialStatements_772788"/>
      <w:bookmarkEnd w:id="28"/>
      <w:r>
        <w:rPr>
          <w:rFonts w:ascii="Times New Roman;Times;serif" w:hAnsi="Times New Roman;Times;serif"/>
          <w:b/>
          <w:sz w:val="20"/>
        </w:rPr>
        <w:t>Item 1.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29" w:name="ConsolidatedBalanceSheets_233342"/>
      <w:bookmarkEnd w:id="29"/>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30" w:name="Tc_OJ92prsMG06oAuvWQIaZYA_34_5"/>
      <w:bookmarkStart w:id="31" w:name="Tc_kOpwNFxiq0WeZy6WGMvUnQ_34_2"/>
      <w:bookmarkStart w:id="32" w:name="Tc_rDpTZUtObUKIu1CcpeIKbw_34_0"/>
      <w:bookmarkStart w:id="33" w:name="Tc_lcn9cgEZ4ESKMjx_YSywQg_33_0"/>
      <w:bookmarkStart w:id="34" w:name="Tc_C497puNCSUuq3EX2FChhnQ_32_0"/>
      <w:bookmarkStart w:id="35" w:name="Tc_gKXJZHBKeEqe1lfKWx8UYg_31_0"/>
      <w:bookmarkStart w:id="36" w:name="Tc_YgufqY3_tUyBlRLpCQ1O0w_30_0"/>
      <w:bookmarkStart w:id="37" w:name="Tc_zDbufUiLiUCfjZEtWpc7Fw_29_0"/>
      <w:bookmarkStart w:id="38" w:name="Tc__2Vn1pyjY0W25w3VmhlF4Q_28_0"/>
      <w:bookmarkStart w:id="39" w:name="Tc_isg3xtVcIUOnLfO0j8zkhg_27_0"/>
      <w:bookmarkStart w:id="40" w:name="Tc_rlBtOkN_BUOBGi3nXwBD1g_26_0"/>
      <w:bookmarkStart w:id="41" w:name="Tc_CGqRXzDpsEGuuaYgV-WtcA_25_0"/>
      <w:bookmarkStart w:id="42" w:name="Tc_sTya2Eur1kGFg2dgmcFIGw_24_0"/>
      <w:bookmarkStart w:id="43" w:name="Tc_jWbfa03wcUW_QWKzvQQnbQ_23_0"/>
      <w:bookmarkStart w:id="44" w:name="Tc_RtS8o9rIEEG-rW3WRwL64g_22_0"/>
      <w:bookmarkStart w:id="45" w:name="Tc_7nv04zVhz0WgGWXoUwjUkw_21_0"/>
      <w:bookmarkStart w:id="46" w:name="Tc_mEifkaSlyEqmjgHFCHOFPw_20_0"/>
      <w:bookmarkStart w:id="47" w:name="Tc_zmylbjF_KECBxrZ00BaFiA_19_0"/>
      <w:bookmarkStart w:id="48" w:name="Tc_SRWh7qe29EGMhziTVHwnuQ_18_5"/>
      <w:bookmarkStart w:id="49" w:name="Tc_elXMFijX3ECln8Uv-ddwbw_18_2"/>
      <w:bookmarkStart w:id="50" w:name="Tc_WaGWjYpb2U6LkGdk1fuSRQ_18_0"/>
      <w:bookmarkStart w:id="51" w:name="Tc_yYVQVUxsREOnJhHkgrbl2A_17_0"/>
      <w:bookmarkStart w:id="52" w:name="Tc_1PrwZcWDPEmQ5QEQkIUorQ_16_0"/>
      <w:bookmarkStart w:id="53" w:name="Tc_f3W00CaKkki-jQmMeSCtUg_15_5"/>
      <w:bookmarkStart w:id="54" w:name="Tc_ALnQAARVvE26p6qYGAUs8A_15_2"/>
      <w:bookmarkStart w:id="55" w:name="Tc_nyJwaeFiekexvOn1u7DZYg_15_0"/>
      <w:bookmarkStart w:id="56" w:name="Tc_OWvjGX5WtkKEIvTeAa4Jhw_14_0"/>
      <w:bookmarkStart w:id="57" w:name="Tc_V1ngHnUIokakRuym0sNmJQ_13_0"/>
      <w:bookmarkStart w:id="58" w:name="Tc_eZ0jT4M3G0i2MInjWRwPLQ_12_0"/>
      <w:bookmarkStart w:id="59" w:name="Tc_AKTbRLIMsUOaLhcWUxl0AA_11_0"/>
      <w:bookmarkStart w:id="60" w:name="Tc_Dc3TIL8tEkyBJCGzQgL_mg_10_0"/>
      <w:bookmarkStart w:id="61" w:name="Tc__nTHpSkPFEqQ7mWFUGqEaw_9_0"/>
      <w:bookmarkStart w:id="62" w:name="Tc_MDBPpLOhsUq1vfWoNxrUPg_8_0"/>
      <w:bookmarkStart w:id="63" w:name="Tc_C0J9JyMjJUeqGYrdjQDTiA_7_0"/>
      <w:bookmarkStart w:id="64" w:name="Tc_Gtry4GgGuUa8Oj4hSVRGKQ_6_5"/>
      <w:bookmarkStart w:id="65" w:name="Tc_3RMeZPTK90S9_czja4Qp0A_6_2"/>
      <w:bookmarkStart w:id="66" w:name="Tc_oYhNt8sNuEyvv8OjQO9K7g_6_0"/>
      <w:bookmarkStart w:id="67" w:name="Tc_XwHuAfyP6kW72ViGTWfHwg_5_0"/>
      <w:bookmarkStart w:id="68" w:name="Tc_gsw12r9870uuWLmIrrzisg_4_0"/>
      <w:bookmarkStart w:id="69" w:name="Tc_nFTBo_BfGkiFEttH3RnFFw_2_5"/>
      <w:bookmarkStart w:id="70" w:name="Tc_X2HHOjLk3k2dPbeFkaz5vA_2_2"/>
      <w:bookmarkStart w:id="71" w:name="Tc_jEXe2DNM0kilAzW-64iQZQ_1_5"/>
      <w:bookmarkStart w:id="72" w:name="Tc_JTi1i_77wUCYl3HYkJFFEg_1_2"/>
      <w:bookmarkStart w:id="73" w:name="_e465c6df_a5d5_4e66_b06b_af833987affe"/>
      <w:bookmarkStart w:id="74" w:name="Tc_OJ92prsMG06oAuvWQIaZYA_34_5"/>
      <w:bookmarkStart w:id="75" w:name="Tc_kOpwNFxiq0WeZy6WGMvUnQ_34_2"/>
      <w:bookmarkStart w:id="76" w:name="Tc_rDpTZUtObUKIu1CcpeIKbw_34_0"/>
      <w:bookmarkStart w:id="77" w:name="Tc_lcn9cgEZ4ESKMjx_YSywQg_33_0"/>
      <w:bookmarkStart w:id="78" w:name="Tc_C497puNCSUuq3EX2FChhnQ_32_0"/>
      <w:bookmarkStart w:id="79" w:name="Tc_gKXJZHBKeEqe1lfKWx8UYg_31_0"/>
      <w:bookmarkStart w:id="80" w:name="Tc_YgufqY3_tUyBlRLpCQ1O0w_30_0"/>
      <w:bookmarkStart w:id="81" w:name="Tc_zDbufUiLiUCfjZEtWpc7Fw_29_0"/>
      <w:bookmarkStart w:id="82" w:name="Tc__2Vn1pyjY0W25w3VmhlF4Q_28_0"/>
      <w:bookmarkStart w:id="83" w:name="Tc_isg3xtVcIUOnLfO0j8zkhg_27_0"/>
      <w:bookmarkStart w:id="84" w:name="Tc_rlBtOkN_BUOBGi3nXwBD1g_26_0"/>
      <w:bookmarkStart w:id="85" w:name="Tc_CGqRXzDpsEGuuaYgV-WtcA_25_0"/>
      <w:bookmarkStart w:id="86" w:name="Tc_sTya2Eur1kGFg2dgmcFIGw_24_0"/>
      <w:bookmarkStart w:id="87" w:name="Tc_jWbfa03wcUW_QWKzvQQnbQ_23_0"/>
      <w:bookmarkStart w:id="88" w:name="Tc_RtS8o9rIEEG-rW3WRwL64g_22_0"/>
      <w:bookmarkStart w:id="89" w:name="Tc_7nv04zVhz0WgGWXoUwjUkw_21_0"/>
      <w:bookmarkStart w:id="90" w:name="Tc_mEifkaSlyEqmjgHFCHOFPw_20_0"/>
      <w:bookmarkStart w:id="91" w:name="Tc_zmylbjF_KECBxrZ00BaFiA_19_0"/>
      <w:bookmarkStart w:id="92" w:name="Tc_SRWh7qe29EGMhziTVHwnuQ_18_5"/>
      <w:bookmarkStart w:id="93" w:name="Tc_elXMFijX3ECln8Uv-ddwbw_18_2"/>
      <w:bookmarkStart w:id="94" w:name="Tc_WaGWjYpb2U6LkGdk1fuSRQ_18_0"/>
      <w:bookmarkStart w:id="95" w:name="Tc_yYVQVUxsREOnJhHkgrbl2A_17_0"/>
      <w:bookmarkStart w:id="96" w:name="Tc_1PrwZcWDPEmQ5QEQkIUorQ_16_0"/>
      <w:bookmarkStart w:id="97" w:name="Tc_f3W00CaKkki-jQmMeSCtUg_15_5"/>
      <w:bookmarkStart w:id="98" w:name="Tc_ALnQAARVvE26p6qYGAUs8A_15_2"/>
      <w:bookmarkStart w:id="99" w:name="Tc_nyJwaeFiekexvOn1u7DZYg_15_0"/>
      <w:bookmarkStart w:id="100" w:name="Tc_OWvjGX5WtkKEIvTeAa4Jhw_14_0"/>
      <w:bookmarkStart w:id="101" w:name="Tc_V1ngHnUIokakRuym0sNmJQ_13_0"/>
      <w:bookmarkStart w:id="102" w:name="Tc_eZ0jT4M3G0i2MInjWRwPLQ_12_0"/>
      <w:bookmarkStart w:id="103" w:name="Tc_AKTbRLIMsUOaLhcWUxl0AA_11_0"/>
      <w:bookmarkStart w:id="104" w:name="Tc_Dc3TIL8tEkyBJCGzQgL_mg_10_0"/>
      <w:bookmarkStart w:id="105" w:name="Tc__nTHpSkPFEqQ7mWFUGqEaw_9_0"/>
      <w:bookmarkStart w:id="106" w:name="Tc_MDBPpLOhsUq1vfWoNxrUPg_8_0"/>
      <w:bookmarkStart w:id="107" w:name="Tc_C0J9JyMjJUeqGYrdjQDTiA_7_0"/>
      <w:bookmarkStart w:id="108" w:name="Tc_Gtry4GgGuUa8Oj4hSVRGKQ_6_5"/>
      <w:bookmarkStart w:id="109" w:name="Tc_3RMeZPTK90S9_czja4Qp0A_6_2"/>
      <w:bookmarkStart w:id="110" w:name="Tc_oYhNt8sNuEyvv8OjQO9K7g_6_0"/>
      <w:bookmarkStart w:id="111" w:name="Tc_XwHuAfyP6kW72ViGTWfHwg_5_0"/>
      <w:bookmarkStart w:id="112" w:name="Tc_gsw12r9870uuWLmIrrzisg_4_0"/>
      <w:bookmarkStart w:id="113" w:name="Tc_nFTBo_BfGkiFEttH3RnFFw_2_5"/>
      <w:bookmarkStart w:id="114" w:name="Tc_X2HHOjLk3k2dPbeFkaz5vA_2_2"/>
      <w:bookmarkStart w:id="115" w:name="Tc_jEXe2DNM0kilAzW-64iQZQ_1_5"/>
      <w:bookmarkStart w:id="116" w:name="Tc_JTi1i_77wUCYl3HYkJFFEg_1_2"/>
      <w:bookmarkStart w:id="117" w:name="_e465c6df_a5d5_4e66_b06b_af833987affe"/>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tbl>
      <w:tblPr>
        <w:tblW w:w="10205" w:type="dxa"/>
        <w:jc w:val="left"/>
        <w:tblInd w:w="0" w:type="dxa"/>
        <w:tblLayout w:type="fixed"/>
        <w:tblCellMar>
          <w:top w:w="0" w:type="dxa"/>
          <w:left w:w="0" w:type="dxa"/>
          <w:bottom w:w="0" w:type="dxa"/>
          <w:right w:w="0" w:type="dxa"/>
        </w:tblCellMar>
      </w:tblPr>
      <w:tblGrid>
        <w:gridCol w:w="7524"/>
        <w:gridCol w:w="146"/>
        <w:gridCol w:w="211"/>
        <w:gridCol w:w="861"/>
        <w:gridCol w:w="326"/>
        <w:gridCol w:w="212"/>
        <w:gridCol w:w="925"/>
      </w:tblGrid>
      <w:tr>
        <w:trPr/>
        <w:tc>
          <w:tcPr>
            <w:tcW w:w="7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777740" cy="175260"/>
                      <wp:effectExtent l="0" t="0" r="0" b="0"/>
                      <wp:wrapNone/>
                      <wp:docPr id="5" name="Frame5"/>
                      <a:graphic xmlns:a="http://schemas.openxmlformats.org/drawingml/2006/main">
                        <a:graphicData uri="http://schemas.microsoft.com/office/word/2010/wordprocessingShape">
                          <wps:wsp>
                            <wps:cNvSpPr txBox="1"/>
                            <wps:spPr>
                              <a:xfrm>
                                <a:off x="0" y="0"/>
                                <a:ext cx="4777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175260"/>
                      <wp:effectExtent l="0" t="0" r="0" b="0"/>
                      <wp:wrapNone/>
                      <wp:docPr id="6" name="Frame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6735" cy="175260"/>
                      <wp:effectExtent l="0" t="0" r="0" b="0"/>
                      <wp:wrapNone/>
                      <wp:docPr id="8" name="Frame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4620" cy="175260"/>
                      <wp:effectExtent l="0" t="0" r="0" b="0"/>
                      <wp:wrapNone/>
                      <wp:docPr id="10" name="Frame1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87375" cy="175260"/>
                      <wp:effectExtent l="0" t="0" r="0" b="0"/>
                      <wp:wrapNone/>
                      <wp:docPr id="11" name="Frame11"/>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2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1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2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2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7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center"/>
              <w:rPr/>
            </w:pPr>
            <w:r>
              <w:rPr/>
              <w:t>​</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  </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78,637</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20,588</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22,454</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4,955</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108,267</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111,111</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11,173</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12,491</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123,315</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127,869</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6,060</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13,166</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17,605</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righ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20,128</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milestone and royalty payments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24,126</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26,884</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pPr>
            <w:r>
              <w:rPr/>
              <w:t>  </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pPr>
            <w:r>
              <w:rPr/>
              <w:t>  </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$0.0001 par value, 5,500,000 shares authorized and none issued at March 31, 2024 and December 31, 2023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$0.0001 par value, 100,000,000 shares authorized at March 31, 2024 and December 31, 2023; 43,852,638 and 43,672,112 shares issued and outstanding at March 31, 2024 and December 31, 2023, respectively</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562,436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558,002</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(464,099)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(457,470)</w:t>
            </w:r>
          </w:p>
        </w:tc>
      </w:tr>
      <w:tr>
        <w:trPr/>
        <w:tc>
          <w:tcPr>
            <w:tcW w:w="7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99,189</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100,985</w:t>
            </w:r>
          </w:p>
        </w:tc>
      </w:tr>
      <w:tr>
        <w:trPr/>
        <w:tc>
          <w:tcPr>
            <w:tcW w:w="75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123,315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127,869</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8" w:name="_b83ee8e5_4c71_4d19_a368_a13124441264"/>
      <w:bookmarkEnd w:id="118"/>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119" w:name="ConsolidatedStatementsofComprehensiveLos"/>
      <w:bookmarkEnd w:id="119"/>
      <w:r>
        <w:rPr>
          <w:rFonts w:ascii="Times New Roman;Times;serif" w:hAnsi="Times New Roman;Times;serif"/>
          <w:b/>
          <w:sz w:val="20"/>
        </w:rPr>
        <w:t>Consolidated Statements of Net Loss 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20" w:name="Tc_uywbdSOLnk2rleHX-BT1mw_24_0"/>
      <w:bookmarkStart w:id="121" w:name="Tc_ifqwjo6k_UuD424CCmnB2g_23_5"/>
      <w:bookmarkStart w:id="122" w:name="Tc_f_kTDaaz7E60MyKr_IL9dA_23_2"/>
      <w:bookmarkStart w:id="123" w:name="Tc_A-xRKkwe5kq9WOHmQcUw8A_23_0"/>
      <w:bookmarkStart w:id="124" w:name="Tc_4MjvwlvJykmpgwdcBSutwg_22_5"/>
      <w:bookmarkStart w:id="125" w:name="Tc_cqtemFHeGEmu1wwOdeil8w_22_2"/>
      <w:bookmarkStart w:id="126" w:name="Tc_o0XVtzFo50m81Jf1REr8vQ_22_0"/>
      <w:bookmarkStart w:id="127" w:name="Tc_P-AqXjet7EqqTlzKnWPALg_21_0"/>
      <w:bookmarkStart w:id="128" w:name="Tc_mbEOYitADEO6A1hSz-Ei1g_20_0"/>
      <w:bookmarkStart w:id="129" w:name="Tc_Ary5-m3PTkqWrmqPwlYbFg_19_5"/>
      <w:bookmarkStart w:id="130" w:name="Tc_LqrttF00V0KGnVA1iCDfVQ_19_2"/>
      <w:bookmarkStart w:id="131" w:name="Tc_1DnmHICEY0u3SVIE-I4Djw_19_0"/>
      <w:bookmarkStart w:id="132" w:name="Tc_32Zh9LcfgEe5EcpTGcL28Q_18_6"/>
      <w:bookmarkStart w:id="133" w:name="Tc_zyqYLn8ELk2j89kplSsAwQ_18_0"/>
      <w:bookmarkStart w:id="134" w:name="Tc_ISDR6PSFJkeihrSkf9g0dg_17_0"/>
      <w:bookmarkStart w:id="135" w:name="Tc_Fd7wyTa4wUChvRO_dzkLYw_16_0"/>
      <w:bookmarkStart w:id="136" w:name="Tc_0ml4Vq6srk2rhcWIXwWFLA_15_0"/>
      <w:bookmarkStart w:id="137" w:name="Tc_b2arowTgxkubK7HMvHRUCQ_14_0"/>
      <w:bookmarkStart w:id="138" w:name="Tc_V77IpYEfpUOav33TuSZBIw_13_0"/>
      <w:bookmarkStart w:id="139" w:name="Tc_xxttDQDj-EWRTvi19HrCjA_12_0"/>
      <w:bookmarkStart w:id="140" w:name="Tc__ZUq0_r61k-B95XBgxUQdA_11_0"/>
      <w:bookmarkStart w:id="141" w:name="Tc_EYl_6_4XBU-TlHQcD-NVOA_10_6"/>
      <w:bookmarkStart w:id="142" w:name="Tc_lKaILjCIdEeRf0vgDkAqvw_10_0"/>
      <w:bookmarkStart w:id="143" w:name="Tc_ZGsvbHnhY0aWR_rtt4yPwQ_9_0"/>
      <w:bookmarkStart w:id="144" w:name="Tc_S0CcicrLqEip7yL1uxPd5g_8_0"/>
      <w:bookmarkStart w:id="145" w:name="Tc_sEabqwyuGU66e5Xlk4KUDQ_7_0"/>
      <w:bookmarkStart w:id="146" w:name="Tc_PT6y7Itmj06sFMvbU-kZNA_6_6"/>
      <w:bookmarkStart w:id="147" w:name="Tc_nkm3D_60B0aQ10D6_yEM-g_6_0"/>
      <w:bookmarkStart w:id="148" w:name="Tc_zU60yBxtgkCA2dAM-gUisA_5_5"/>
      <w:bookmarkStart w:id="149" w:name="Tc_OqbOY6tnKU2yySFJsdlfkw_5_2"/>
      <w:bookmarkStart w:id="150" w:name="Tc__75un6Aa2UKgfZsa253egg_5_0"/>
      <w:bookmarkStart w:id="151" w:name="Tc_7ErtDJznUU2nHxO8FoGaZA_4_0"/>
      <w:bookmarkStart w:id="152" w:name="Tc_iqRDJFWzIUSruWt4L5iqEg_2_5"/>
      <w:bookmarkStart w:id="153" w:name="Tc_CCAmoUgL-kik0nLeSFIZ0A_2_2"/>
      <w:bookmarkStart w:id="154" w:name="Tc_V5f51p9o9kmmqhVMnhsbvA_1_2"/>
      <w:bookmarkStart w:id="155" w:name="_bfe374f0_598d_4a11_b0c4_a50257a5813f"/>
      <w:bookmarkStart w:id="156" w:name="_12a7ebf1_5fa9_4380_9a30_1dfefaebd6ab"/>
      <w:bookmarkStart w:id="157" w:name="Tc_uywbdSOLnk2rleHX-BT1mw_24_0"/>
      <w:bookmarkStart w:id="158" w:name="Tc_ifqwjo6k_UuD424CCmnB2g_23_5"/>
      <w:bookmarkStart w:id="159" w:name="Tc_f_kTDaaz7E60MyKr_IL9dA_23_2"/>
      <w:bookmarkStart w:id="160" w:name="Tc_A-xRKkwe5kq9WOHmQcUw8A_23_0"/>
      <w:bookmarkStart w:id="161" w:name="Tc_4MjvwlvJykmpgwdcBSutwg_22_5"/>
      <w:bookmarkStart w:id="162" w:name="Tc_cqtemFHeGEmu1wwOdeil8w_22_2"/>
      <w:bookmarkStart w:id="163" w:name="Tc_o0XVtzFo50m81Jf1REr8vQ_22_0"/>
      <w:bookmarkStart w:id="164" w:name="Tc_P-AqXjet7EqqTlzKnWPALg_21_0"/>
      <w:bookmarkStart w:id="165" w:name="Tc_mbEOYitADEO6A1hSz-Ei1g_20_0"/>
      <w:bookmarkStart w:id="166" w:name="Tc_Ary5-m3PTkqWrmqPwlYbFg_19_5"/>
      <w:bookmarkStart w:id="167" w:name="Tc_LqrttF00V0KGnVA1iCDfVQ_19_2"/>
      <w:bookmarkStart w:id="168" w:name="Tc_1DnmHICEY0u3SVIE-I4Djw_19_0"/>
      <w:bookmarkStart w:id="169" w:name="Tc_32Zh9LcfgEe5EcpTGcL28Q_18_6"/>
      <w:bookmarkStart w:id="170" w:name="Tc_zyqYLn8ELk2j89kplSsAwQ_18_0"/>
      <w:bookmarkStart w:id="171" w:name="Tc_ISDR6PSFJkeihrSkf9g0dg_17_0"/>
      <w:bookmarkStart w:id="172" w:name="Tc_Fd7wyTa4wUChvRO_dzkLYw_16_0"/>
      <w:bookmarkStart w:id="173" w:name="Tc_0ml4Vq6srk2rhcWIXwWFLA_15_0"/>
      <w:bookmarkStart w:id="174" w:name="Tc_b2arowTgxkubK7HMvHRUCQ_14_0"/>
      <w:bookmarkStart w:id="175" w:name="Tc_V77IpYEfpUOav33TuSZBIw_13_0"/>
      <w:bookmarkStart w:id="176" w:name="Tc_xxttDQDj-EWRTvi19HrCjA_12_0"/>
      <w:bookmarkStart w:id="177" w:name="Tc__ZUq0_r61k-B95XBgxUQdA_11_0"/>
      <w:bookmarkStart w:id="178" w:name="Tc_EYl_6_4XBU-TlHQcD-NVOA_10_6"/>
      <w:bookmarkStart w:id="179" w:name="Tc_lKaILjCIdEeRf0vgDkAqvw_10_0"/>
      <w:bookmarkStart w:id="180" w:name="Tc_ZGsvbHnhY0aWR_rtt4yPwQ_9_0"/>
      <w:bookmarkStart w:id="181" w:name="Tc_S0CcicrLqEip7yL1uxPd5g_8_0"/>
      <w:bookmarkStart w:id="182" w:name="Tc_sEabqwyuGU66e5Xlk4KUDQ_7_0"/>
      <w:bookmarkStart w:id="183" w:name="Tc_PT6y7Itmj06sFMvbU-kZNA_6_6"/>
      <w:bookmarkStart w:id="184" w:name="Tc_nkm3D_60B0aQ10D6_yEM-g_6_0"/>
      <w:bookmarkStart w:id="185" w:name="Tc_zU60yBxtgkCA2dAM-gUisA_5_5"/>
      <w:bookmarkStart w:id="186" w:name="Tc_OqbOY6tnKU2yySFJsdlfkw_5_2"/>
      <w:bookmarkStart w:id="187" w:name="Tc__75un6Aa2UKgfZsa253egg_5_0"/>
      <w:bookmarkStart w:id="188" w:name="Tc_7ErtDJznUU2nHxO8FoGaZA_4_0"/>
      <w:bookmarkStart w:id="189" w:name="Tc_iqRDJFWzIUSruWt4L5iqEg_2_5"/>
      <w:bookmarkStart w:id="190" w:name="Tc_CCAmoUgL-kik0nLeSFIZ0A_2_2"/>
      <w:bookmarkStart w:id="191" w:name="Tc_V5f51p9o9kmmqhVMnhsbvA_1_2"/>
      <w:bookmarkStart w:id="192" w:name="_bfe374f0_598d_4a11_b0c4_a50257a5813f"/>
      <w:bookmarkStart w:id="193" w:name="_12a7ebf1_5fa9_4380_9a30_1dfefaebd6ab"/>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9203" w:type="dxa"/>
        <w:jc w:val="left"/>
        <w:tblInd w:w="0" w:type="dxa"/>
        <w:tblLayout w:type="fixed"/>
        <w:tblCellMar>
          <w:top w:w="0" w:type="dxa"/>
          <w:left w:w="0" w:type="dxa"/>
          <w:bottom w:w="0" w:type="dxa"/>
          <w:right w:w="0" w:type="dxa"/>
        </w:tblCellMar>
      </w:tblPr>
      <w:tblGrid>
        <w:gridCol w:w="6046"/>
        <w:gridCol w:w="326"/>
        <w:gridCol w:w="211"/>
        <w:gridCol w:w="1036"/>
        <w:gridCol w:w="146"/>
        <w:gridCol w:w="211"/>
        <w:gridCol w:w="1036"/>
        <w:gridCol w:w="191"/>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839210" cy="175260"/>
                      <wp:effectExtent l="0" t="0" r="0" b="0"/>
                      <wp:wrapNone/>
                      <wp:docPr id="12" name="Frame12"/>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1285" cy="175260"/>
                      <wp:effectExtent l="0" t="0" r="0" b="0"/>
                      <wp:wrapNone/>
                      <wp:docPr id="19" name="Frame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19,431</w:t>
            </w:r>
          </w:p>
        </w:tc>
        <w:tc>
          <w:tcPr>
            <w:tcW w:w="1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20,251</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20,251</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royalties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13,418</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27,752</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191" w:type="dxa"/>
            <w:tcBorders/>
            <w:vAlign w:val="center"/>
          </w:tcPr>
          <w:p>
            <w:pPr>
              <w:pStyle w:val="TableContents"/>
              <w:bidi w:val="0"/>
              <w:spacing w:before="0" w:after="1"/>
              <w:ind w:left="0" w:right="0" w:hanging="0"/>
              <w:jc w:val="lef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43,779,456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43,671,589</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4" w:name="_bd6bb719_3e9b_44d7_a1ff_beed5ed053ba"/>
      <w:bookmarkEnd w:id="194"/>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195" w:name="ConsolidatedStatementsofChangesinStockho"/>
      <w:bookmarkEnd w:id="195"/>
      <w:r>
        <w:rPr>
          <w:rFonts w:ascii="Times New Roman;Times;serif" w:hAnsi="Times New Roman;Times;serif"/>
          <w:b/>
          <w:sz w:val="20"/>
        </w:rPr>
        <w:t>Consolidated Statements of Changes in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196" w:name="Tc_PVKX76kEKUqcw3JH8h7Nlg_19_16"/>
      <w:bookmarkStart w:id="197" w:name="Tc_SIVYfGNJIk6FsdBRd-lHQQ_19_13"/>
      <w:bookmarkStart w:id="198" w:name="Tc_t9FaXhgNokeWdiFKYS10tg_19_10"/>
      <w:bookmarkStart w:id="199" w:name="Tc_r1zncGoxckmC0mMgQxBWwA_19_7"/>
      <w:bookmarkStart w:id="200" w:name="Tc_32z8FP_OTEuFyG6S2TxdnA_19_4"/>
      <w:bookmarkStart w:id="201" w:name="Tc_xQ1A24To6EG1QohNUnITJw_19_0"/>
      <w:bookmarkStart w:id="202" w:name="Tc_O6meiatOr0aITNHA48fQBg_18_11"/>
      <w:bookmarkStart w:id="203" w:name="Tc_Qnk0uyvZZk2yC8XSPYvtvA_18_8"/>
      <w:bookmarkStart w:id="204" w:name="Tc_mjKzRj4U7EqwxEDRX8MHKQ_18_5"/>
      <w:bookmarkStart w:id="205" w:name="Tc_xvGTFG2Pz0G4MD_KBM8Bag_18_2"/>
      <w:bookmarkStart w:id="206" w:name="Tc_FM4paDgO3UuVWtf9Tp0mKQ_18_0"/>
      <w:bookmarkStart w:id="207" w:name="Tc_F3O5Fs2v8kK44M-weQy24g_17_14"/>
      <w:bookmarkStart w:id="208" w:name="Tc_mJxEETQJcEqbpgLTPP8pFA_17_8"/>
      <w:bookmarkStart w:id="209" w:name="Tc_GOLLkT1X3kiJ0-jbpFXwbA_17_5"/>
      <w:bookmarkStart w:id="210" w:name="Tc_SwA1EcUMEkG3vOOEkMs1wQ_17_2"/>
      <w:bookmarkStart w:id="211" w:name="Tc_l__U3KFNxE6wThB3NDrvMw_17_0"/>
      <w:bookmarkStart w:id="212" w:name="Tc_nH5wP6gBl0-2MwioTA2bhg_16_14"/>
      <w:bookmarkStart w:id="213" w:name="Tc_1puYOumZB0Ccw8nRfUheoA_16_11"/>
      <w:bookmarkStart w:id="214" w:name="Tc_N23g7QpRBkKwkHrn0nkrLg_16_5"/>
      <w:bookmarkStart w:id="215" w:name="Tc_1c-A2tSUrUGtiyacjIQ9BA_16_0"/>
      <w:bookmarkStart w:id="216" w:name="Tc_GIJx2hDPR06xSFZ3_lQs1g_15_14"/>
      <w:bookmarkStart w:id="217" w:name="Tc_70mnZ_sa10WXXgx4VGo4EQ_15_11"/>
      <w:bookmarkStart w:id="218" w:name="Tc_EsaIeLwDhUSLpaTUIf7cxg_15_5"/>
      <w:bookmarkStart w:id="219" w:name="Tc_URo-kpK4WkWJLAFQpPfwVg_15_0"/>
      <w:bookmarkStart w:id="220" w:name="Tc_Q-7xj116HE--ZNcUO8bhVg_14_16"/>
      <w:bookmarkStart w:id="221" w:name="Tc_VBDhf40VbUeyHhw_vZN90w_14_13"/>
      <w:bookmarkStart w:id="222" w:name="Tc_jYFC39fOUECXxP3Zja4ihg_14_10"/>
      <w:bookmarkStart w:id="223" w:name="Tc_fxLi_lh_rkGuWdKSecKFgw_14_7"/>
      <w:bookmarkStart w:id="224" w:name="Tc_kUbUpFC5GUa3txwR-YcL6A_14_4"/>
      <w:bookmarkStart w:id="225" w:name="Tc_i8vicqG5G0C562vLfek15w_14_0"/>
      <w:bookmarkStart w:id="226" w:name="Tc_dqRDiqJqlUS3wRszvY0JJQ_13_16"/>
      <w:bookmarkStart w:id="227" w:name="Tc_43U_Nz0pFkiuvO30RI3VfQ_13_13"/>
      <w:bookmarkStart w:id="228" w:name="Tc_NJQ4ZsKgeUuuXizUm4BHGQ_13_10"/>
      <w:bookmarkStart w:id="229" w:name="Tc_1xe2HQ2s6EOK8O2UUwpttA_13_7"/>
      <w:bookmarkStart w:id="230" w:name="Tc_1xyOQaflPEaQHTk1s9Ffvw_13_4"/>
      <w:bookmarkStart w:id="231" w:name="Tc_ixQWB98cvk2pOIu_QtvkbQ_13_2"/>
      <w:bookmarkStart w:id="232" w:name="Tc_F1DmfCqu0UGDzsLlQwmwAg_12_16"/>
      <w:bookmarkStart w:id="233" w:name="Tc_2UfjREfptEO4zLakXh66pg_12_13"/>
      <w:bookmarkStart w:id="234" w:name="Tc_dCrPhss2y0mgltnj-Hnx3w_12_10"/>
      <w:bookmarkStart w:id="235" w:name="Tc_CWVsZdhiHkOevIeElBcZ2A_12_7"/>
      <w:bookmarkStart w:id="236" w:name="Tc_yzW3sGxOqkWvupfBL7Ta-w_12_2"/>
      <w:bookmarkStart w:id="237" w:name="Tc_R-ihGKZE70Sa9WzKVk1vfg_11_10"/>
      <w:bookmarkStart w:id="238" w:name="Tc_2Q07WCOhJE2lH0nguAwRvw_10_10"/>
      <w:bookmarkStart w:id="239" w:name="Tc_HmETpKcTJkutOiONnafHgw_9_16"/>
      <w:bookmarkStart w:id="240" w:name="Tc_MXr8YWSKP0Oaj4dXLeBang_9_13"/>
      <w:bookmarkStart w:id="241" w:name="Tc_3BlYa_6Y9Ua8QOtjM-Cj4A_9_10"/>
      <w:bookmarkStart w:id="242" w:name="Tc_c2nqziPQKEW1WnfOlYG8Hw_9_7"/>
      <w:bookmarkStart w:id="243" w:name="Tc_Z1OJnl7e7EGMvuX0WSg67g_9_4"/>
      <w:bookmarkStart w:id="244" w:name="Tc_Ti8r9xwZuUOVpns-kpoGfA_9_0"/>
      <w:bookmarkStart w:id="245" w:name="Tc_lXDdYbZLwk-JZ_WOslIluQ_8_11"/>
      <w:bookmarkStart w:id="246" w:name="Tc_JiDQrbFvFUKLY3ClO6MHjw_8_8"/>
      <w:bookmarkStart w:id="247" w:name="Tc_yqfNIvfL5km5PkAI5N0p2A_8_5"/>
      <w:bookmarkStart w:id="248" w:name="Tc_xP1El6X5qkuq6Hs4NFdKEA_8_2"/>
      <w:bookmarkStart w:id="249" w:name="Tc_nI0XZKM9IkunrcVbVPAv5g_8_0"/>
      <w:bookmarkStart w:id="250" w:name="Tc_hBtu2ZwfHkqnQrmp8qm84Q_7_14"/>
      <w:bookmarkStart w:id="251" w:name="Tc__c-WWGSzQE-1GDnnVxTLGA_7_8"/>
      <w:bookmarkStart w:id="252" w:name="Tc_i2jntoLar0uAUdw2rVmFag_7_5"/>
      <w:bookmarkStart w:id="253" w:name="Tc_4tmp9equ0kakKnYiJ6wuYQ_7_2"/>
      <w:bookmarkStart w:id="254" w:name="Tc_KHu9qhn8aUSgINSRkjZA_g_7_0"/>
      <w:bookmarkStart w:id="255" w:name="Tc_OvHiVxTiVUSIhVdZuvlnTw_6_14"/>
      <w:bookmarkStart w:id="256" w:name="Tc_OZubHp5RUU6livRpUmERSg_6_11"/>
      <w:bookmarkStart w:id="257" w:name="Tc_mAczgvk1akyROmShQ1sA1Q_6_5"/>
      <w:bookmarkStart w:id="258" w:name="Tc_b-i0ObnKF0m4XRcuR-AQ5w_6_0"/>
      <w:bookmarkStart w:id="259" w:name="Tc_ex2oE9jGz0KdmN8-yEBQHQ_5_16"/>
      <w:bookmarkStart w:id="260" w:name="Tc_PW2xgiL19kSDo_ddMWQbmg_5_13"/>
      <w:bookmarkStart w:id="261" w:name="Tc_fpAj6gJkOUqZ92w0g9Xx_g_5_10"/>
      <w:bookmarkStart w:id="262" w:name="Tc_8aMQrwYQsUqXrmOZ6STaew_5_7"/>
      <w:bookmarkStart w:id="263" w:name="Tc_Vpl4LeSn4Eein_q31ROhGQ_5_4"/>
      <w:bookmarkStart w:id="264" w:name="Tc_q0MlqNbKHkOCRjEdWp7QpA_5_0"/>
      <w:bookmarkStart w:id="265" w:name="Tc_IP5Tg2ATZE6xR8O5aUBRvw_4_16"/>
      <w:bookmarkStart w:id="266" w:name="Tc_hOK2wRX9rE-1OgfJTaypDA_4_13"/>
      <w:bookmarkStart w:id="267" w:name="Tc_LukUuPCmMkSm9L0S_xua5Q_4_10"/>
      <w:bookmarkStart w:id="268" w:name="Tc_oUIvOnsVA0eaYj7-Qh1NHw_4_7"/>
      <w:bookmarkStart w:id="269" w:name="Tc_9pk9bOLCN0GF9Vfh3KHsig_4_4"/>
      <w:bookmarkStart w:id="270" w:name="Tc_IWwrsJYkA0-ibpAfikNqug_4_2"/>
      <w:bookmarkStart w:id="271" w:name="Tc_LF9MSoAyZkWiHBIZGBKweQ_3_16"/>
      <w:bookmarkStart w:id="272" w:name="Tc_Qj_5GslUnEOzbTVIM0AI0Q_3_13"/>
      <w:bookmarkStart w:id="273" w:name="Tc_kflXDI3cUkCCyMZBBR6lMg_3_10"/>
      <w:bookmarkStart w:id="274" w:name="Tc_o5eMPu2_F0Kkj0u82YLRlw_3_7"/>
      <w:bookmarkStart w:id="275" w:name="Tc_dd8RYi0BckGD0b0feXpPGQ_3_2"/>
      <w:bookmarkStart w:id="276" w:name="Tc_AvV8gCsGl06udPUAo7k_Yg_2_10"/>
      <w:bookmarkStart w:id="277" w:name="Tc_kgOAVtRXmkGCM5J3aWx_3A_1_10"/>
      <w:bookmarkStart w:id="278" w:name="_8ceef2c7_ac86_4128_b3fd_50c6c70d604c"/>
      <w:bookmarkStart w:id="279" w:name="Tc_PVKX76kEKUqcw3JH8h7Nlg_19_16"/>
      <w:bookmarkStart w:id="280" w:name="Tc_SIVYfGNJIk6FsdBRd-lHQQ_19_13"/>
      <w:bookmarkStart w:id="281" w:name="Tc_t9FaXhgNokeWdiFKYS10tg_19_10"/>
      <w:bookmarkStart w:id="282" w:name="Tc_r1zncGoxckmC0mMgQxBWwA_19_7"/>
      <w:bookmarkStart w:id="283" w:name="Tc_32z8FP_OTEuFyG6S2TxdnA_19_4"/>
      <w:bookmarkStart w:id="284" w:name="Tc_xQ1A24To6EG1QohNUnITJw_19_0"/>
      <w:bookmarkStart w:id="285" w:name="Tc_O6meiatOr0aITNHA48fQBg_18_11"/>
      <w:bookmarkStart w:id="286" w:name="Tc_Qnk0uyvZZk2yC8XSPYvtvA_18_8"/>
      <w:bookmarkStart w:id="287" w:name="Tc_mjKzRj4U7EqwxEDRX8MHKQ_18_5"/>
      <w:bookmarkStart w:id="288" w:name="Tc_xvGTFG2Pz0G4MD_KBM8Bag_18_2"/>
      <w:bookmarkStart w:id="289" w:name="Tc_FM4paDgO3UuVWtf9Tp0mKQ_18_0"/>
      <w:bookmarkStart w:id="290" w:name="Tc_F3O5Fs2v8kK44M-weQy24g_17_14"/>
      <w:bookmarkStart w:id="291" w:name="Tc_mJxEETQJcEqbpgLTPP8pFA_17_8"/>
      <w:bookmarkStart w:id="292" w:name="Tc_GOLLkT1X3kiJ0-jbpFXwbA_17_5"/>
      <w:bookmarkStart w:id="293" w:name="Tc_SwA1EcUMEkG3vOOEkMs1wQ_17_2"/>
      <w:bookmarkStart w:id="294" w:name="Tc_l__U3KFNxE6wThB3NDrvMw_17_0"/>
      <w:bookmarkStart w:id="295" w:name="Tc_nH5wP6gBl0-2MwioTA2bhg_16_14"/>
      <w:bookmarkStart w:id="296" w:name="Tc_1puYOumZB0Ccw8nRfUheoA_16_11"/>
      <w:bookmarkStart w:id="297" w:name="Tc_N23g7QpRBkKwkHrn0nkrLg_16_5"/>
      <w:bookmarkStart w:id="298" w:name="Tc_1c-A2tSUrUGtiyacjIQ9BA_16_0"/>
      <w:bookmarkStart w:id="299" w:name="Tc_GIJx2hDPR06xSFZ3_lQs1g_15_14"/>
      <w:bookmarkStart w:id="300" w:name="Tc_70mnZ_sa10WXXgx4VGo4EQ_15_11"/>
      <w:bookmarkStart w:id="301" w:name="Tc_EsaIeLwDhUSLpaTUIf7cxg_15_5"/>
      <w:bookmarkStart w:id="302" w:name="Tc_URo-kpK4WkWJLAFQpPfwVg_15_0"/>
      <w:bookmarkStart w:id="303" w:name="Tc_Q-7xj116HE--ZNcUO8bhVg_14_16"/>
      <w:bookmarkStart w:id="304" w:name="Tc_VBDhf40VbUeyHhw_vZN90w_14_13"/>
      <w:bookmarkStart w:id="305" w:name="Tc_jYFC39fOUECXxP3Zja4ihg_14_10"/>
      <w:bookmarkStart w:id="306" w:name="Tc_fxLi_lh_rkGuWdKSecKFgw_14_7"/>
      <w:bookmarkStart w:id="307" w:name="Tc_kUbUpFC5GUa3txwR-YcL6A_14_4"/>
      <w:bookmarkStart w:id="308" w:name="Tc_i8vicqG5G0C562vLfek15w_14_0"/>
      <w:bookmarkStart w:id="309" w:name="Tc_dqRDiqJqlUS3wRszvY0JJQ_13_16"/>
      <w:bookmarkStart w:id="310" w:name="Tc_43U_Nz0pFkiuvO30RI3VfQ_13_13"/>
      <w:bookmarkStart w:id="311" w:name="Tc_NJQ4ZsKgeUuuXizUm4BHGQ_13_10"/>
      <w:bookmarkStart w:id="312" w:name="Tc_1xe2HQ2s6EOK8O2UUwpttA_13_7"/>
      <w:bookmarkStart w:id="313" w:name="Tc_1xyOQaflPEaQHTk1s9Ffvw_13_4"/>
      <w:bookmarkStart w:id="314" w:name="Tc_ixQWB98cvk2pOIu_QtvkbQ_13_2"/>
      <w:bookmarkStart w:id="315" w:name="Tc_F1DmfCqu0UGDzsLlQwmwAg_12_16"/>
      <w:bookmarkStart w:id="316" w:name="Tc_2UfjREfptEO4zLakXh66pg_12_13"/>
      <w:bookmarkStart w:id="317" w:name="Tc_dCrPhss2y0mgltnj-Hnx3w_12_10"/>
      <w:bookmarkStart w:id="318" w:name="Tc_CWVsZdhiHkOevIeElBcZ2A_12_7"/>
      <w:bookmarkStart w:id="319" w:name="Tc_yzW3sGxOqkWvupfBL7Ta-w_12_2"/>
      <w:bookmarkStart w:id="320" w:name="Tc_R-ihGKZE70Sa9WzKVk1vfg_11_10"/>
      <w:bookmarkStart w:id="321" w:name="Tc_2Q07WCOhJE2lH0nguAwRvw_10_10"/>
      <w:bookmarkStart w:id="322" w:name="Tc_HmETpKcTJkutOiONnafHgw_9_16"/>
      <w:bookmarkStart w:id="323" w:name="Tc_MXr8YWSKP0Oaj4dXLeBang_9_13"/>
      <w:bookmarkStart w:id="324" w:name="Tc_3BlYa_6Y9Ua8QOtjM-Cj4A_9_10"/>
      <w:bookmarkStart w:id="325" w:name="Tc_c2nqziPQKEW1WnfOlYG8Hw_9_7"/>
      <w:bookmarkStart w:id="326" w:name="Tc_Z1OJnl7e7EGMvuX0WSg67g_9_4"/>
      <w:bookmarkStart w:id="327" w:name="Tc_Ti8r9xwZuUOVpns-kpoGfA_9_0"/>
      <w:bookmarkStart w:id="328" w:name="Tc_lXDdYbZLwk-JZ_WOslIluQ_8_11"/>
      <w:bookmarkStart w:id="329" w:name="Tc_JiDQrbFvFUKLY3ClO6MHjw_8_8"/>
      <w:bookmarkStart w:id="330" w:name="Tc_yqfNIvfL5km5PkAI5N0p2A_8_5"/>
      <w:bookmarkStart w:id="331" w:name="Tc_xP1El6X5qkuq6Hs4NFdKEA_8_2"/>
      <w:bookmarkStart w:id="332" w:name="Tc_nI0XZKM9IkunrcVbVPAv5g_8_0"/>
      <w:bookmarkStart w:id="333" w:name="Tc_hBtu2ZwfHkqnQrmp8qm84Q_7_14"/>
      <w:bookmarkStart w:id="334" w:name="Tc__c-WWGSzQE-1GDnnVxTLGA_7_8"/>
      <w:bookmarkStart w:id="335" w:name="Tc_i2jntoLar0uAUdw2rVmFag_7_5"/>
      <w:bookmarkStart w:id="336" w:name="Tc_4tmp9equ0kakKnYiJ6wuYQ_7_2"/>
      <w:bookmarkStart w:id="337" w:name="Tc_KHu9qhn8aUSgINSRkjZA_g_7_0"/>
      <w:bookmarkStart w:id="338" w:name="Tc_OvHiVxTiVUSIhVdZuvlnTw_6_14"/>
      <w:bookmarkStart w:id="339" w:name="Tc_OZubHp5RUU6livRpUmERSg_6_11"/>
      <w:bookmarkStart w:id="340" w:name="Tc_mAczgvk1akyROmShQ1sA1Q_6_5"/>
      <w:bookmarkStart w:id="341" w:name="Tc_b-i0ObnKF0m4XRcuR-AQ5w_6_0"/>
      <w:bookmarkStart w:id="342" w:name="Tc_ex2oE9jGz0KdmN8-yEBQHQ_5_16"/>
      <w:bookmarkStart w:id="343" w:name="Tc_PW2xgiL19kSDo_ddMWQbmg_5_13"/>
      <w:bookmarkStart w:id="344" w:name="Tc_fpAj6gJkOUqZ92w0g9Xx_g_5_10"/>
      <w:bookmarkStart w:id="345" w:name="Tc_8aMQrwYQsUqXrmOZ6STaew_5_7"/>
      <w:bookmarkStart w:id="346" w:name="Tc_Vpl4LeSn4Eein_q31ROhGQ_5_4"/>
      <w:bookmarkStart w:id="347" w:name="Tc_q0MlqNbKHkOCRjEdWp7QpA_5_0"/>
      <w:bookmarkStart w:id="348" w:name="Tc_IP5Tg2ATZE6xR8O5aUBRvw_4_16"/>
      <w:bookmarkStart w:id="349" w:name="Tc_hOK2wRX9rE-1OgfJTaypDA_4_13"/>
      <w:bookmarkStart w:id="350" w:name="Tc_LukUuPCmMkSm9L0S_xua5Q_4_10"/>
      <w:bookmarkStart w:id="351" w:name="Tc_oUIvOnsVA0eaYj7-Qh1NHw_4_7"/>
      <w:bookmarkStart w:id="352" w:name="Tc_9pk9bOLCN0GF9Vfh3KHsig_4_4"/>
      <w:bookmarkStart w:id="353" w:name="Tc_IWwrsJYkA0-ibpAfikNqug_4_2"/>
      <w:bookmarkStart w:id="354" w:name="Tc_LF9MSoAyZkWiHBIZGBKweQ_3_16"/>
      <w:bookmarkStart w:id="355" w:name="Tc_Qj_5GslUnEOzbTVIM0AI0Q_3_13"/>
      <w:bookmarkStart w:id="356" w:name="Tc_kflXDI3cUkCCyMZBBR6lMg_3_10"/>
      <w:bookmarkStart w:id="357" w:name="Tc_o5eMPu2_F0Kkj0u82YLRlw_3_7"/>
      <w:bookmarkStart w:id="358" w:name="Tc_dd8RYi0BckGD0b0feXpPGQ_3_2"/>
      <w:bookmarkStart w:id="359" w:name="Tc_AvV8gCsGl06udPUAo7k_Yg_2_10"/>
      <w:bookmarkStart w:id="360" w:name="Tc_kgOAVtRXmkGCM5J3aWx_3A_1_10"/>
      <w:bookmarkStart w:id="361" w:name="_8ceef2c7_ac86_4128_b3fd_50c6c70d604c"/>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tbl>
      <w:tblPr>
        <w:tblW w:w="10205" w:type="dxa"/>
        <w:jc w:val="left"/>
        <w:tblInd w:w="0" w:type="dxa"/>
        <w:tblLayout w:type="fixed"/>
        <w:tblCellMar>
          <w:top w:w="0" w:type="dxa"/>
          <w:left w:w="0" w:type="dxa"/>
          <w:bottom w:w="0" w:type="dxa"/>
          <w:right w:w="0" w:type="dxa"/>
        </w:tblCellMar>
      </w:tblPr>
      <w:tblGrid>
        <w:gridCol w:w="1935"/>
        <w:gridCol w:w="326"/>
        <w:gridCol w:w="1036"/>
        <w:gridCol w:w="326"/>
        <w:gridCol w:w="261"/>
        <w:gridCol w:w="430"/>
        <w:gridCol w:w="326"/>
        <w:gridCol w:w="258"/>
        <w:gridCol w:w="958"/>
        <w:gridCol w:w="326"/>
        <w:gridCol w:w="327"/>
        <w:gridCol w:w="889"/>
        <w:gridCol w:w="326"/>
        <w:gridCol w:w="211"/>
        <w:gridCol w:w="851"/>
        <w:gridCol w:w="326"/>
        <w:gridCol w:w="221"/>
        <w:gridCol w:w="872"/>
      </w:tblGrid>
      <w:tr>
        <w:trPr/>
        <w:tc>
          <w:tcPr>
            <w:tcW w:w="1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28725" cy="175260"/>
                      <wp:effectExtent l="0" t="0" r="0" b="0"/>
                      <wp:wrapNone/>
                      <wp:docPr id="20" name="Frame20"/>
                      <a:graphic xmlns:a="http://schemas.openxmlformats.org/drawingml/2006/main">
                        <a:graphicData uri="http://schemas.microsoft.com/office/word/2010/wordprocessingShape">
                          <wps:wsp>
                            <wps:cNvSpPr txBox="1"/>
                            <wps:spPr>
                              <a:xfrm>
                                <a:off x="0" y="0"/>
                                <a:ext cx="1228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2"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5735" cy="175260"/>
                      <wp:effectExtent l="0" t="0" r="0" b="0"/>
                      <wp:wrapNone/>
                      <wp:docPr id="24" name="Frame2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3050" cy="175260"/>
                      <wp:effectExtent l="0" t="0" r="0" b="0"/>
                      <wp:wrapNone/>
                      <wp:docPr id="25" name="Frame25"/>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3830" cy="175260"/>
                      <wp:effectExtent l="0" t="0" r="0" b="0"/>
                      <wp:wrapNone/>
                      <wp:docPr id="27" name="Frame2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8330" cy="175260"/>
                      <wp:effectExtent l="0" t="0" r="0" b="0"/>
                      <wp:wrapNone/>
                      <wp:docPr id="28" name="Frame28"/>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645" cy="175260"/>
                      <wp:effectExtent l="0" t="0" r="0" b="0"/>
                      <wp:wrapNone/>
                      <wp:docPr id="30" name="Frame3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4515" cy="175260"/>
                      <wp:effectExtent l="0" t="0" r="0" b="0"/>
                      <wp:wrapNone/>
                      <wp:docPr id="31" name="Frame3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0385" cy="175260"/>
                      <wp:effectExtent l="0" t="0" r="0" b="0"/>
                      <wp:wrapNone/>
                      <wp:docPr id="34" name="Frame34"/>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0335" cy="175260"/>
                      <wp:effectExtent l="0" t="0" r="0" b="0"/>
                      <wp:wrapNone/>
                      <wp:docPr id="36" name="Frame3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53720" cy="175260"/>
                      <wp:effectExtent l="0" t="0" r="0" b="0"/>
                      <wp:wrapNone/>
                      <wp:docPr id="37" name="Frame37"/>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center"/>
              <w:rPr/>
            </w:pPr>
            <w:r>
              <w:rPr/>
              <w:t>​</w:t>
            </w:r>
          </w:p>
        </w:tc>
        <w:tc>
          <w:tcPr>
            <w:tcW w:w="872" w:type="dxa"/>
            <w:tcBorders/>
            <w:vAlign w:val="center"/>
          </w:tcPr>
          <w:p>
            <w:pPr>
              <w:pStyle w:val="TableContents"/>
              <w:bidi w:val="0"/>
              <w:spacing w:before="0" w:after="1"/>
              <w:ind w:left="0" w:right="0" w:hanging="0"/>
              <w:jc w:val="center"/>
              <w:rPr/>
            </w:pPr>
            <w:r>
              <w:rPr/>
              <w:t>​</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center"/>
              <w:rPr/>
            </w:pPr>
            <w:r>
              <w:rPr/>
              <w:t>​</w:t>
            </w:r>
          </w:p>
        </w:tc>
        <w:tc>
          <w:tcPr>
            <w:tcW w:w="872" w:type="dxa"/>
            <w:tcBorders/>
            <w:vAlign w:val="center"/>
          </w:tcPr>
          <w:p>
            <w:pPr>
              <w:pStyle w:val="TableContents"/>
              <w:bidi w:val="0"/>
              <w:spacing w:before="0" w:after="1"/>
              <w:ind w:left="0" w:right="0" w:hanging="0"/>
              <w:jc w:val="center"/>
              <w:rPr/>
            </w:pPr>
            <w:r>
              <w:rPr/>
              <w:t>​</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 (Loss)</w:t>
            </w:r>
          </w:p>
        </w:tc>
        <w:tc>
          <w:tcPr>
            <w:tcW w:w="326" w:type="dxa"/>
            <w:tcBorders/>
            <w:vAlign w:val="center"/>
          </w:tcPr>
          <w:p>
            <w:pPr>
              <w:pStyle w:val="TableContents"/>
              <w:bidi w:val="0"/>
              <w:spacing w:before="0" w:after="1"/>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43,670,109</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543,929</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(436,043)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109,221</w:t>
            </w:r>
          </w:p>
        </w:tc>
      </w:tr>
      <w:tr>
        <w:trPr/>
        <w:tc>
          <w:tcPr>
            <w:tcW w:w="1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7,658</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1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43,677,767</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549,233</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(442,433)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107,829</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center"/>
              <w:rPr/>
            </w:pPr>
            <w:r>
              <w:rPr/>
              <w:t>​</w:t>
            </w:r>
          </w:p>
        </w:tc>
        <w:tc>
          <w:tcPr>
            <w:tcW w:w="872" w:type="dxa"/>
            <w:tcBorders/>
            <w:vAlign w:val="center"/>
          </w:tcPr>
          <w:p>
            <w:pPr>
              <w:pStyle w:val="TableContents"/>
              <w:bidi w:val="0"/>
              <w:spacing w:before="0" w:after="1"/>
              <w:ind w:left="0" w:right="0" w:hanging="0"/>
              <w:jc w:val="center"/>
              <w:rPr/>
            </w:pPr>
            <w:r>
              <w:rPr/>
              <w:t>​</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center"/>
              <w:rPr/>
            </w:pPr>
            <w:r>
              <w:rPr/>
              <w:t>​</w:t>
            </w:r>
          </w:p>
        </w:tc>
        <w:tc>
          <w:tcPr>
            <w:tcW w:w="9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center"/>
              <w:rPr/>
            </w:pPr>
            <w:r>
              <w:rPr/>
              <w:t>​</w:t>
            </w:r>
          </w:p>
        </w:tc>
        <w:tc>
          <w:tcPr>
            <w:tcW w:w="872" w:type="dxa"/>
            <w:tcBorders/>
            <w:vAlign w:val="center"/>
          </w:tcPr>
          <w:p>
            <w:pPr>
              <w:pStyle w:val="TableContents"/>
              <w:bidi w:val="0"/>
              <w:spacing w:before="0" w:after="1"/>
              <w:ind w:left="0" w:right="0" w:hanging="0"/>
              <w:jc w:val="center"/>
              <w:rPr/>
            </w:pPr>
            <w:r>
              <w:rPr/>
              <w:t>​</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 (Loss)</w:t>
            </w:r>
          </w:p>
        </w:tc>
        <w:tc>
          <w:tcPr>
            <w:tcW w:w="326" w:type="dxa"/>
            <w:tcBorders/>
            <w:vAlign w:val="center"/>
          </w:tcPr>
          <w:p>
            <w:pPr>
              <w:pStyle w:val="TableContents"/>
              <w:bidi w:val="0"/>
              <w:spacing w:before="0" w:after="1"/>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43,672,112</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558,002</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(457,470)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100,985</w:t>
            </w:r>
          </w:p>
        </w:tc>
      </w:tr>
      <w:tr>
        <w:trPr/>
        <w:tc>
          <w:tcPr>
            <w:tcW w:w="1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71,550</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108,976</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w:t>
            </w:r>
          </w:p>
        </w:tc>
      </w:tr>
      <w:tr>
        <w:trPr/>
        <w:tc>
          <w:tcPr>
            <w:tcW w:w="1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1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r>
      <w:tr>
        <w:trPr/>
        <w:tc>
          <w:tcPr>
            <w:tcW w:w="1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43,852,638</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562,436</w:t>
            </w:r>
          </w:p>
        </w:tc>
        <w:tc>
          <w:tcPr>
            <w:tcW w:w="326" w:type="dxa"/>
            <w:tcBorders/>
            <w:vAlign w:val="center"/>
          </w:tcPr>
          <w:p>
            <w:pPr>
              <w:pStyle w:val="TableContents"/>
              <w:bidi w:val="0"/>
              <w:spacing w:before="0" w:after="1"/>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(464,099)</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99,189</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62" w:name="_dc870426_3ebf_425c_b0b9_2e27f3f3336e"/>
      <w:bookmarkEnd w:id="362"/>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bookmarkStart w:id="363" w:name="ConsolidatedStatementsofCashFlows_970174"/>
      <w:bookmarkEnd w:id="363"/>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64" w:name="Tc_AHzaxiLqkUyBh7NzNusBtQ_24_5"/>
      <w:bookmarkStart w:id="365" w:name="Tc_LE2U7wi2b0WOWga3N0Kp0Q_24_2"/>
      <w:bookmarkStart w:id="366" w:name="Tc_NRcgg9vge0uHmAJ4VymD-A_24_0"/>
      <w:bookmarkStart w:id="367" w:name="Tc_tld7-VC3XkyPTKam_tji9A_23_0"/>
      <w:bookmarkStart w:id="368" w:name="Tc_LGdP1LHdXkOQk-KIK3eDpA_22_0"/>
      <w:bookmarkStart w:id="369" w:name="Tc_v4hHAolJHku3X4HIiZc0aA_21_0"/>
      <w:bookmarkStart w:id="370" w:name="Tc__AtLb_SSLUu0ZT3VOsd4XQ_20_6"/>
      <w:bookmarkStart w:id="371" w:name="Tc_g-5Le7ouB0ypYkWbS2thmg_20_0"/>
      <w:bookmarkStart w:id="372" w:name="Tc_icH4QZ55-Eu36KDoeRAZ-A_19_6"/>
      <w:bookmarkStart w:id="373" w:name="Tc__47ckg5-eE-IIgsT0tNZOQ_19_0"/>
      <w:bookmarkStart w:id="374" w:name="Tc_inRw51NUXkuyvvm54-hmuQ_18_0"/>
      <w:bookmarkStart w:id="375" w:name="Tc_9AqI2ce7rU2JHL_zEKvt6Q_17_0"/>
      <w:bookmarkStart w:id="376" w:name="Tc_J9or3QFXlEmoYZXv2RIRIA_16_0"/>
      <w:bookmarkStart w:id="377" w:name="Tc_1QYIHRjG_E23HBZSiZNezQ_15_0"/>
      <w:bookmarkStart w:id="378" w:name="Tc_8I7W0_nUq0CG54aJiw2B0w_14_0"/>
      <w:bookmarkStart w:id="379" w:name="Tc_9rZMyZ5cb0awzyyq-I3bCA_13_0"/>
      <w:bookmarkStart w:id="380" w:name="Tc_ioSofP5N1UmeN_bwAWX8yg_12_0"/>
      <w:bookmarkStart w:id="381" w:name="Tc_5vvFOdynskWvzIYu6m1wCw_11_0"/>
      <w:bookmarkStart w:id="382" w:name="Tc_J9G-YFr0f0KPia6uTetLSA_10_0"/>
      <w:bookmarkStart w:id="383" w:name="Tc_iLCvhGqBAEW0Aw66zpkAWQ_9_0"/>
      <w:bookmarkStart w:id="384" w:name="Tc_haBjSfPgd0amtzGv8jvOPA_8_0"/>
      <w:bookmarkStart w:id="385" w:name="Tc_S0GdAYSwpkCnww890eMRYA_7_0"/>
      <w:bookmarkStart w:id="386" w:name="Tc_3-CvTlK7Q0OU4gYRt2HO0A_6_0"/>
      <w:bookmarkStart w:id="387" w:name="Tc_q2U6LW4zaE2E9zD5vRW7vA_5_0"/>
      <w:bookmarkStart w:id="388" w:name="Tc_p0D5er0aVUWW4FEAbfUf4Q_4_5"/>
      <w:bookmarkStart w:id="389" w:name="Tc_psZFjrvUrUy9nr2BVWUepA_4_2"/>
      <w:bookmarkStart w:id="390" w:name="Tc_pACUuYYjMUSZGfInY-KKEA_4_0"/>
      <w:bookmarkStart w:id="391" w:name="Tc_0afZfHCSuEagly4Of0WqlA_3_0"/>
      <w:bookmarkStart w:id="392" w:name="Tc_E-J0ucO91UO7WWZCSUscyQ_2_5"/>
      <w:bookmarkStart w:id="393" w:name="Tc_7Egxh870VkyoJ5998b_3QA_2_2"/>
      <w:bookmarkStart w:id="394" w:name="Tc_7mE8QQenokmT2Rutto-qSg_1_2"/>
      <w:bookmarkStart w:id="395" w:name="_67a9dae2_90fe_43c4_b9e0_3813bf00192f"/>
      <w:bookmarkStart w:id="396" w:name="Tc_AHzaxiLqkUyBh7NzNusBtQ_24_5"/>
      <w:bookmarkStart w:id="397" w:name="Tc_LE2U7wi2b0WOWga3N0Kp0Q_24_2"/>
      <w:bookmarkStart w:id="398" w:name="Tc_NRcgg9vge0uHmAJ4VymD-A_24_0"/>
      <w:bookmarkStart w:id="399" w:name="Tc_tld7-VC3XkyPTKam_tji9A_23_0"/>
      <w:bookmarkStart w:id="400" w:name="Tc_LGdP1LHdXkOQk-KIK3eDpA_22_0"/>
      <w:bookmarkStart w:id="401" w:name="Tc_v4hHAolJHku3X4HIiZc0aA_21_0"/>
      <w:bookmarkStart w:id="402" w:name="Tc__AtLb_SSLUu0ZT3VOsd4XQ_20_6"/>
      <w:bookmarkStart w:id="403" w:name="Tc_g-5Le7ouB0ypYkWbS2thmg_20_0"/>
      <w:bookmarkStart w:id="404" w:name="Tc_icH4QZ55-Eu36KDoeRAZ-A_19_6"/>
      <w:bookmarkStart w:id="405" w:name="Tc__47ckg5-eE-IIgsT0tNZOQ_19_0"/>
      <w:bookmarkStart w:id="406" w:name="Tc_inRw51NUXkuyvvm54-hmuQ_18_0"/>
      <w:bookmarkStart w:id="407" w:name="Tc_9AqI2ce7rU2JHL_zEKvt6Q_17_0"/>
      <w:bookmarkStart w:id="408" w:name="Tc_J9or3QFXlEmoYZXv2RIRIA_16_0"/>
      <w:bookmarkStart w:id="409" w:name="Tc_1QYIHRjG_E23HBZSiZNezQ_15_0"/>
      <w:bookmarkStart w:id="410" w:name="Tc_8I7W0_nUq0CG54aJiw2B0w_14_0"/>
      <w:bookmarkStart w:id="411" w:name="Tc_9rZMyZ5cb0awzyyq-I3bCA_13_0"/>
      <w:bookmarkStart w:id="412" w:name="Tc_ioSofP5N1UmeN_bwAWX8yg_12_0"/>
      <w:bookmarkStart w:id="413" w:name="Tc_5vvFOdynskWvzIYu6m1wCw_11_0"/>
      <w:bookmarkStart w:id="414" w:name="Tc_J9G-YFr0f0KPia6uTetLSA_10_0"/>
      <w:bookmarkStart w:id="415" w:name="Tc_iLCvhGqBAEW0Aw66zpkAWQ_9_0"/>
      <w:bookmarkStart w:id="416" w:name="Tc_haBjSfPgd0amtzGv8jvOPA_8_0"/>
      <w:bookmarkStart w:id="417" w:name="Tc_S0GdAYSwpkCnww890eMRYA_7_0"/>
      <w:bookmarkStart w:id="418" w:name="Tc_3-CvTlK7Q0OU4gYRt2HO0A_6_0"/>
      <w:bookmarkStart w:id="419" w:name="Tc_q2U6LW4zaE2E9zD5vRW7vA_5_0"/>
      <w:bookmarkStart w:id="420" w:name="Tc_p0D5er0aVUWW4FEAbfUf4Q_4_5"/>
      <w:bookmarkStart w:id="421" w:name="Tc_psZFjrvUrUy9nr2BVWUepA_4_2"/>
      <w:bookmarkStart w:id="422" w:name="Tc_pACUuYYjMUSZGfInY-KKEA_4_0"/>
      <w:bookmarkStart w:id="423" w:name="Tc_0afZfHCSuEagly4Of0WqlA_3_0"/>
      <w:bookmarkStart w:id="424" w:name="Tc_E-J0ucO91UO7WWZCSUscyQ_2_5"/>
      <w:bookmarkStart w:id="425" w:name="Tc_7Egxh870VkyoJ5998b_3QA_2_2"/>
      <w:bookmarkStart w:id="426" w:name="Tc_7mE8QQenokmT2Rutto-qSg_1_2"/>
      <w:bookmarkStart w:id="427" w:name="_67a9dae2_90fe_43c4_b9e0_3813bf00192f"/>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tbl>
      <w:tblPr>
        <w:tblW w:w="8767" w:type="dxa"/>
        <w:jc w:val="left"/>
        <w:tblInd w:w="0" w:type="dxa"/>
        <w:tblLayout w:type="fixed"/>
        <w:tblCellMar>
          <w:top w:w="0" w:type="dxa"/>
          <w:left w:w="0" w:type="dxa"/>
          <w:bottom w:w="0" w:type="dxa"/>
          <w:right w:w="0" w:type="dxa"/>
        </w:tblCellMar>
      </w:tblPr>
      <w:tblGrid>
        <w:gridCol w:w="6031"/>
        <w:gridCol w:w="146"/>
        <w:gridCol w:w="246"/>
        <w:gridCol w:w="807"/>
        <w:gridCol w:w="170"/>
        <w:gridCol w:w="246"/>
        <w:gridCol w:w="930"/>
        <w:gridCol w:w="19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829685" cy="175260"/>
                      <wp:effectExtent l="0" t="0" r="0" b="0"/>
                      <wp:wrapNone/>
                      <wp:docPr id="38" name="Frame38"/>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2710" cy="175260"/>
                      <wp:effectExtent l="0" t="0" r="0" b="0"/>
                      <wp:wrapNone/>
                      <wp:docPr id="39" name="Frame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6210" cy="175260"/>
                      <wp:effectExtent l="0" t="0" r="0" b="0"/>
                      <wp:wrapNone/>
                      <wp:docPr id="40" name="Frame4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2445" cy="175260"/>
                      <wp:effectExtent l="0" t="0" r="0" b="0"/>
                      <wp:wrapNone/>
                      <wp:docPr id="41" name="Frame41"/>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07950" cy="175260"/>
                      <wp:effectExtent l="0" t="0" r="0" b="0"/>
                      <wp:wrapNone/>
                      <wp:docPr id="42" name="Frame42"/>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6210" cy="175260"/>
                      <wp:effectExtent l="0" t="0" r="0" b="0"/>
                      <wp:wrapNone/>
                      <wp:docPr id="43" name="Frame4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0550" cy="175260"/>
                      <wp:effectExtent l="0" t="0" r="0" b="0"/>
                      <wp:wrapNone/>
                      <wp:docPr id="44" name="Frame4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1285" cy="175260"/>
                      <wp:effectExtent l="0" t="0" r="0" b="0"/>
                      <wp:wrapNone/>
                      <wp:docPr id="45" name="Frame4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70" w:type="dxa"/>
            <w:tcBorders/>
            <w:vAlign w:val="center"/>
          </w:tcPr>
          <w:p>
            <w:pPr>
              <w:pStyle w:val="TableContents"/>
              <w:bidi w:val="0"/>
              <w:spacing w:before="0" w:after="1"/>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46" w:type="dxa"/>
            <w:tcBorders/>
            <w:shd w:fill="CCEEFF" w:val="clear"/>
            <w:vAlign w:val="center"/>
          </w:tcPr>
          <w:p>
            <w:pPr>
              <w:pStyle w:val="TableContents"/>
              <w:bidi w:val="0"/>
              <w:spacing w:before="0" w:after="1"/>
              <w:ind w:left="0" w:right="0" w:hanging="0"/>
              <w:jc w:val="left"/>
              <w:rPr/>
            </w:pPr>
            <w:r>
              <w:rPr/>
              <w:t> </w:t>
            </w:r>
          </w:p>
        </w:tc>
        <w:tc>
          <w:tcPr>
            <w:tcW w:w="24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  </w:t>
            </w:r>
          </w:p>
        </w:tc>
        <w:tc>
          <w:tcPr>
            <w:tcW w:w="170" w:type="dxa"/>
            <w:tcBorders/>
            <w:shd w:fill="CCEEFF" w:val="clear"/>
            <w:vAlign w:val="center"/>
          </w:tcPr>
          <w:p>
            <w:pPr>
              <w:pStyle w:val="TableContents"/>
              <w:bidi w:val="0"/>
              <w:spacing w:before="0" w:after="1"/>
              <w:ind w:left="0" w:right="0" w:hanging="0"/>
              <w:jc w:val="left"/>
              <w:rPr/>
            </w:pPr>
            <w:r>
              <w:rPr/>
              <w:t> </w:t>
            </w:r>
          </w:p>
        </w:tc>
        <w:tc>
          <w:tcPr>
            <w:tcW w:w="24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and other transactions</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(6,171)</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(4,771)</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(2,795)</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4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w:t>
            </w:r>
          </w:p>
        </w:tc>
        <w:tc>
          <w:tcPr>
            <w:tcW w:w="170"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(13,124)</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80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 </w:t>
            </w:r>
          </w:p>
        </w:tc>
        <w:tc>
          <w:tcPr>
            <w:tcW w:w="9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pPr>
            <w:r>
              <w:rPr/>
              <w:t>  </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exercised stock options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46"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170"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(2,888)</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(13,133)</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the beginning of period</w:t>
            </w:r>
          </w:p>
        </w:tc>
        <w:tc>
          <w:tcPr>
            <w:tcW w:w="14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78,637</w:t>
            </w:r>
          </w:p>
        </w:tc>
        <w:tc>
          <w:tcPr>
            <w:tcW w:w="170"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105,762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the end of period</w:t>
            </w:r>
          </w:p>
        </w:tc>
        <w:tc>
          <w:tcPr>
            <w:tcW w:w="146"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75,749</w:t>
            </w:r>
          </w:p>
        </w:tc>
        <w:tc>
          <w:tcPr>
            <w:tcW w:w="170"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92,629</w:t>
            </w:r>
          </w:p>
        </w:tc>
        <w:tc>
          <w:tcPr>
            <w:tcW w:w="191" w:type="dxa"/>
            <w:tcBorders/>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170"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28" w:name="NOTESTOUNAUDITEDCONSOLIDATEDFINANCIALSTA"/>
      <w:bookmarkStart w:id="429" w:name="_f9f8ed78_8844_4aef_8f2e_e48660a5487c"/>
      <w:bookmarkEnd w:id="428"/>
      <w:bookmarkEnd w:id="429"/>
      <w:r>
        <w:rPr>
          <w:rFonts w:ascii="Times New Roman;Times;serif" w:hAnsi="Times New Roman;Times;serif"/>
          <w:b/>
          <w:sz w:val="20"/>
        </w:rPr>
        <w:t>NOTES TO CONSOLIDATED FINANCIAL STATEMENTS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1—ORGANIZATION AND 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Y-mAbs Therapeutics, Inc. (“we,” “us,” “our,” the “Company,” or “Y-mAbs”) is a commercial-stage biopharmaceutical company focused on the development and commercialization of novel, antibody-based therapeutic products for the treatment of cancer. Y-mAbs is leveraging the Company’s proprietary antibody platforms and deep expertise in the field of antibodies to develop a broad portfolio of innovative medicines.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headquartered in New York and was incorporated on April 30, 2015 under the laws of the State of Delaware.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losses in every year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drug candidates are in various stages of development. DANYELZA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become profitable. The Company operates in an environment of rapid change in technology and substantial competition from pharmaceutical and biotechnology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$464,099,000 as of March 31, 2024 and $457,470,000 as of December 31, 2023. Through March 31, 2024, the Company has funded the operations primarily through proceeds from sales of shares of the Company’s common stock, including the initial public offering in September 2018 and the Company’s subsequent public offerings in November 2019 and February 2021, as well as additional funding from the sales of DANYELZA and from the sale of the Company’s Priority Review Voucher (“PRV”) obtained upon FDA approval of DANYELZA.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had cash and cash equivalents of $75,749,000 and $78,637,000 as of March 31, 2024 and December 31, 2023, respectively. As of the issuance date of the consolidated financial statements for the quarter ended March 31, 2024, the Company expects that the cash and cash equivalents as of March 31, 2024 will be sufficient to fund the Company’s operating expenses and capital expenditure requirements as currently planned through at least the next 12 months from the date of the financial statements are issued.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may raise additional capital to fund future operations through the sale of the Company’s equity securities, incurring debt, entering into licensing or collaboration agreements with partners, grants or other sources of financing. These potential financing sources are in addition to the successful commercialization of DANYELZA and our product candidates, for which the Company may obtain regulatory approval and marketing authorization. The Company’s commercialization strategy may include working with a collaborator or distributor. Sufficient funds may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 available to the Company on attractive terms or at all when needed from equity, debt or other financing. If the Company is unable to obtain additional financing from these or other sources when needed, it will likely be necessary to take other actions to enhance the Company’s liquidity position which may include significantly reducing the rate of spending through delaying or scaling back operations, or suspending certain research and development programs and other operational programs in addition to other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reflect the accounts of the Company and the Company’s wholly-owned subsidiary and have been prepared in accordance with accounting principles generally accepted in the United States of America (“GAAP”) for interim financial information, Accounting Standards Codification (“ASC”) Topic 270-10 and the instructions to Form 10-Q. Accordingly, these consolidated financial statements do not include all of the information and notes required by GAAP for complete financial statements. The unaudited interim consolidated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three-month period ended March 31, 2024, are not necessarily indicative of the results that may be expected for the year ending December 31, 2024, any other interim periods, or any future year or period. The consolidated balance sheet data as of December 31, 2023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significant accounting policies are detailed in our Annual Report on Form 10-K for the year ended December 31,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 loss on cash and cash equivalents. The carrying amount of cash and cash equivalents approximates its fair value due to its short-term and liquid nature. The Company’s cash and cash equivalents are held at a large major federal, national bank.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 with respect to such cash balances.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accounts receivable, net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expected future write-offs. The Company has not historically experienced any significant credit losses. All customer accounts are actively managed, and no losses are currently expected.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not experienced any write-offs related to customer accounts receivable and has not recognized any allowance for doubtful accounts nor reversed any allowances in the three months ended March 31, 2024 and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product sales are made through arrangements primarily with three national United States (“U.S.”) specialty distributors. As of March 31, 2024, the accounts receivable balances from such distributors totaled 76% of the Company’s outstanding accounts receivable. See </w:t>
      </w:r>
      <w:r>
        <w:rPr>
          <w:rFonts w:ascii="Times New Roman;Times;serif" w:hAnsi="Times New Roman;Times;serif"/>
          <w:i/>
          <w:sz w:val="20"/>
        </w:rPr>
        <w:t>NOTE 4 – PRODUCT REVENUE, NET</w:t>
      </w:r>
      <w:r>
        <w:rPr>
          <w:rFonts w:ascii="Times New Roman;Times;serif" w:hAnsi="Times New Roman;Times;serif"/>
          <w:sz w:val="20"/>
        </w:rPr>
        <w:t xml:space="preserve">, for details of product sales to certain customers that accounted for more than 10% of total product revenue, net. The remainder of the Company’s accounts receivable as of March 31, 2024 represented balances from international distribution partners. The Company has contractual payment terms with each customer and monitors their financial performance, historical payment terms and credit worthiness to timely assess and respond to any changes in their credit profile.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values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inventories. Amounts in inventories associated with clinical development programs are charged to research and development expense when the product enters the research and development process and can no longer be used for commercial purposes and, therefore, does not have an alternative future use.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inventories at the receipt of FDA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performs an assessment of the recoverability of capitalized inventories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No material inventory write-downs occurred in the three months ended March 31, 2024 and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pStyle w:val="TextBody"/>
        <w:bidi w:val="0"/>
        <w:spacing w:before="0" w:after="0"/>
        <w:ind w:left="1080" w:right="0" w:hanging="0"/>
        <w:jc w:val="left"/>
        <w:rPr/>
      </w:pPr>
      <w:r>
        <w:rPr/>
        <w:t>​</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quoted prices in active markets for identical assets and liabilities that are observable either directly or indirectly for substantially the full term of the asset or liability;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430" w:name="_89772189_4caa_446c_9678_97cf76e7423c_3"/>
      <w:bookmarkStart w:id="431" w:name="_89772189_4caa_446c_9678_97cf76e7423c_2"/>
      <w:bookmarkStart w:id="432" w:name="_89772189_4caa_446c_9678_97cf76e7423c"/>
      <w:bookmarkStart w:id="433" w:name="_a287fe67_a8e9_4a82_b02a_694ba0f4215a_3"/>
      <w:bookmarkStart w:id="434" w:name="_a287fe67_a8e9_4a82_b02a_694ba0f4215a_2"/>
      <w:bookmarkStart w:id="435" w:name="_a287fe67_a8e9_4a82_b02a_694ba0f4215a"/>
      <w:bookmarkStart w:id="436" w:name="Tc_eKt7LWjEFUC0h-sEvRnEXg_5_11"/>
      <w:bookmarkStart w:id="437" w:name="Tc_8cQlpb5Nm0SAF75qgr_tLw_5_9"/>
      <w:bookmarkStart w:id="438" w:name="Tc_NffA_zVcWEesqhtH9ajE4g_5_8"/>
      <w:bookmarkStart w:id="439" w:name="Tc_uzUCJ0PYXkqGDxRO_5htiw_5_5"/>
      <w:bookmarkStart w:id="440" w:name="Tc_g5KRJ9ZtKkazaKCRcggzIg_5_3"/>
      <w:bookmarkStart w:id="441" w:name="Tc_A-XPtDG7XEaYqWRx48Tv2g_5_2"/>
      <w:bookmarkStart w:id="442" w:name="Tc_WlAOWGbwf0mqDClniCyxeA_5_0"/>
      <w:bookmarkStart w:id="443" w:name="Tc_j480v4fWik-ONCmRnW5Nhw_4_11"/>
      <w:bookmarkStart w:id="444" w:name="Tc_ArmSME72ZEG6GttNp0j_eg_4_9"/>
      <w:bookmarkStart w:id="445" w:name="Tc_AM4yEi9ZuEygL9Ra70Ja9Q_4_8"/>
      <w:bookmarkStart w:id="446" w:name="Tc_50CCbTlbU0u2w6Tl4lPG8Q_4_5"/>
      <w:bookmarkStart w:id="447" w:name="Tc_fkGs2yXKK0e-e2e-Wzs8mQ_4_3"/>
      <w:bookmarkStart w:id="448" w:name="Tc_fh3A3znN6kmqcMNB7dkrTQ_4_2"/>
      <w:bookmarkStart w:id="449" w:name="Tc_NAMhj4kBB0efXBo4fr_T-A_4_0"/>
      <w:bookmarkStart w:id="450" w:name="Tc_MQkP9njs_EaYTdvf3f-YsA_3_0"/>
      <w:bookmarkStart w:id="451" w:name="Tc_BQ-cT9ID2kmErLUqGy7YhQ_2_11"/>
      <w:bookmarkStart w:id="452" w:name="Tc_C-CkrR9PAk2Hm0g5g6SVXA_2_8"/>
      <w:bookmarkStart w:id="453" w:name="Tc_NJfhoBFh2EqZSWsEciPZXg_2_5"/>
      <w:bookmarkStart w:id="454" w:name="Tc__dUW1XBedU2Hb-gv39JFkA_2_2"/>
      <w:bookmarkStart w:id="455" w:name="Tc_WwsQataowESTE7JkofG8xg_1_2"/>
      <w:bookmarkStart w:id="456" w:name="_4cc07fcf_d907_4350_a60e_cd69086fd780"/>
      <w:bookmarkStart w:id="457" w:name="Tc_vWIvb0lUEUi7LR-VX8Epng_5_11"/>
      <w:bookmarkStart w:id="458" w:name="Tc_XfUzTxvlmUmR-WeIL6-AEQ_5_9"/>
      <w:bookmarkStart w:id="459" w:name="Tc_8TGWqHXMb0GcRAvMZC1lRw_5_8"/>
      <w:bookmarkStart w:id="460" w:name="Tc_3Esx1Veytk2qHJX_07QdeA_5_5"/>
      <w:bookmarkStart w:id="461" w:name="Tc_wzQWoZlTt0-HM5E1g-ZkTA_5_3"/>
      <w:bookmarkStart w:id="462" w:name="Tc_xia9huDJaEuMw3AA_p0yAg_5_2"/>
      <w:bookmarkStart w:id="463" w:name="Tc_usQpvJLCREeOoxJc1Bxwkg_5_0"/>
      <w:bookmarkStart w:id="464" w:name="Tc_fgKGujVKz0KZ7IoO26oL1Q_4_11"/>
      <w:bookmarkStart w:id="465" w:name="Tc_3jGdEGfB50yJnbcwLSLzkw_4_9"/>
      <w:bookmarkStart w:id="466" w:name="Tc_v_JfJbRAZkaR1hrvGj4j7Q_4_8"/>
      <w:bookmarkStart w:id="467" w:name="Tc_r_ASH5ruGUOMLQQqVfpEZw_4_5"/>
      <w:bookmarkStart w:id="468" w:name="Tc_mFEpNji2g0WL3YFdXG27gQ_4_3"/>
      <w:bookmarkStart w:id="469" w:name="Tc_0W4hbq-aWEC-hVSCu9soCA_4_2"/>
      <w:bookmarkStart w:id="470" w:name="Tc_UhnH4kt8DEaLwSBN3qWXBA_4_0"/>
      <w:bookmarkStart w:id="471" w:name="Tc__z2Slt6Bu0ytedB-K4mskw_3_0"/>
      <w:bookmarkStart w:id="472" w:name="Tc_VpPZ2aS1U0W85MwvOuwy0w_2_11"/>
      <w:bookmarkStart w:id="473" w:name="Tc_cjZe8lOM80mypTQ7pKBoIw_2_8"/>
      <w:bookmarkStart w:id="474" w:name="Tc_iD_o7h51Rky2OyPqmNRMug_2_5"/>
      <w:bookmarkStart w:id="475" w:name="Tc_eAu6P-rIaUmxp1oDXcULhg_2_2"/>
      <w:bookmarkStart w:id="476" w:name="Tc_BJlzR-HGMkKVrRBA7CAE7g_1_2"/>
      <w:bookmarkStart w:id="477" w:name="_63b7c2b0_4947_4d88_9847_8d34f2bfd448"/>
      <w:bookmarkStart w:id="478" w:name="_89772189_4caa_446c_9678_97cf76e7423c_3"/>
      <w:bookmarkStart w:id="479" w:name="_89772189_4caa_446c_9678_97cf76e7423c_2"/>
      <w:bookmarkStart w:id="480" w:name="_89772189_4caa_446c_9678_97cf76e7423c"/>
      <w:bookmarkStart w:id="481" w:name="_a287fe67_a8e9_4a82_b02a_694ba0f4215a_3"/>
      <w:bookmarkStart w:id="482" w:name="_a287fe67_a8e9_4a82_b02a_694ba0f4215a_2"/>
      <w:bookmarkStart w:id="483" w:name="_a287fe67_a8e9_4a82_b02a_694ba0f4215a"/>
      <w:bookmarkStart w:id="484" w:name="Tc_eKt7LWjEFUC0h-sEvRnEXg_5_11"/>
      <w:bookmarkStart w:id="485" w:name="Tc_8cQlpb5Nm0SAF75qgr_tLw_5_9"/>
      <w:bookmarkStart w:id="486" w:name="Tc_NffA_zVcWEesqhtH9ajE4g_5_8"/>
      <w:bookmarkStart w:id="487" w:name="Tc_uzUCJ0PYXkqGDxRO_5htiw_5_5"/>
      <w:bookmarkStart w:id="488" w:name="Tc_g5KRJ9ZtKkazaKCRcggzIg_5_3"/>
      <w:bookmarkStart w:id="489" w:name="Tc_A-XPtDG7XEaYqWRx48Tv2g_5_2"/>
      <w:bookmarkStart w:id="490" w:name="Tc_WlAOWGbwf0mqDClniCyxeA_5_0"/>
      <w:bookmarkStart w:id="491" w:name="Tc_j480v4fWik-ONCmRnW5Nhw_4_11"/>
      <w:bookmarkStart w:id="492" w:name="Tc_ArmSME72ZEG6GttNp0j_eg_4_9"/>
      <w:bookmarkStart w:id="493" w:name="Tc_AM4yEi9ZuEygL9Ra70Ja9Q_4_8"/>
      <w:bookmarkStart w:id="494" w:name="Tc_50CCbTlbU0u2w6Tl4lPG8Q_4_5"/>
      <w:bookmarkStart w:id="495" w:name="Tc_fkGs2yXKK0e-e2e-Wzs8mQ_4_3"/>
      <w:bookmarkStart w:id="496" w:name="Tc_fh3A3znN6kmqcMNB7dkrTQ_4_2"/>
      <w:bookmarkStart w:id="497" w:name="Tc_NAMhj4kBB0efXBo4fr_T-A_4_0"/>
      <w:bookmarkStart w:id="498" w:name="Tc_MQkP9njs_EaYTdvf3f-YsA_3_0"/>
      <w:bookmarkStart w:id="499" w:name="Tc_BQ-cT9ID2kmErLUqGy7YhQ_2_11"/>
      <w:bookmarkStart w:id="500" w:name="Tc_C-CkrR9PAk2Hm0g5g6SVXA_2_8"/>
      <w:bookmarkStart w:id="501" w:name="Tc_NJfhoBFh2EqZSWsEciPZXg_2_5"/>
      <w:bookmarkStart w:id="502" w:name="Tc__dUW1XBedU2Hb-gv39JFkA_2_2"/>
      <w:bookmarkStart w:id="503" w:name="Tc_WwsQataowESTE7JkofG8xg_1_2"/>
      <w:bookmarkStart w:id="504" w:name="_4cc07fcf_d907_4350_a60e_cd69086fd780"/>
      <w:bookmarkStart w:id="505" w:name="Tc_vWIvb0lUEUi7LR-VX8Epng_5_11"/>
      <w:bookmarkStart w:id="506" w:name="Tc_XfUzTxvlmUmR-WeIL6-AEQ_5_9"/>
      <w:bookmarkStart w:id="507" w:name="Tc_8TGWqHXMb0GcRAvMZC1lRw_5_8"/>
      <w:bookmarkStart w:id="508" w:name="Tc_3Esx1Veytk2qHJX_07QdeA_5_5"/>
      <w:bookmarkStart w:id="509" w:name="Tc_wzQWoZlTt0-HM5E1g-ZkTA_5_3"/>
      <w:bookmarkStart w:id="510" w:name="Tc_xia9huDJaEuMw3AA_p0yAg_5_2"/>
      <w:bookmarkStart w:id="511" w:name="Tc_usQpvJLCREeOoxJc1Bxwkg_5_0"/>
      <w:bookmarkStart w:id="512" w:name="Tc_fgKGujVKz0KZ7IoO26oL1Q_4_11"/>
      <w:bookmarkStart w:id="513" w:name="Tc_3jGdEGfB50yJnbcwLSLzkw_4_9"/>
      <w:bookmarkStart w:id="514" w:name="Tc_v_JfJbRAZkaR1hrvGj4j7Q_4_8"/>
      <w:bookmarkStart w:id="515" w:name="Tc_r_ASH5ruGUOMLQQqVfpEZw_4_5"/>
      <w:bookmarkStart w:id="516" w:name="Tc_mFEpNji2g0WL3YFdXG27gQ_4_3"/>
      <w:bookmarkStart w:id="517" w:name="Tc_0W4hbq-aWEC-hVSCu9soCA_4_2"/>
      <w:bookmarkStart w:id="518" w:name="Tc_UhnH4kt8DEaLwSBN3qWXBA_4_0"/>
      <w:bookmarkStart w:id="519" w:name="Tc__z2Slt6Bu0ytedB-K4mskw_3_0"/>
      <w:bookmarkStart w:id="520" w:name="Tc_VpPZ2aS1U0W85MwvOuwy0w_2_11"/>
      <w:bookmarkStart w:id="521" w:name="Tc_cjZe8lOM80mypTQ7pKBoIw_2_8"/>
      <w:bookmarkStart w:id="522" w:name="Tc_iD_o7h51Rky2OyPqmNRMug_2_5"/>
      <w:bookmarkStart w:id="523" w:name="Tc_eAu6P-rIaUmxp1oDXcULhg_2_2"/>
      <w:bookmarkStart w:id="524" w:name="Tc_BJlzR-HGMkKVrRBA7CAE7g_1_2"/>
      <w:bookmarkStart w:id="525" w:name="_63b7c2b0_4947_4d88_9847_8d34f2bfd448"/>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for the asset or liability, which include management's own assumption about the assumptions market participants would use in pricing the asset or liability, including assumptions about risk.</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Cash equivalents held in money market funds are valued using other significant observable inputs, which represent a Level 2 measurement within the fair value hierarchy. The Company has no other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present the Company’s fair value hierarchy for cash equivalents, which are measured at fair value on a recurring basis (in thousands):</w:t>
      </w:r>
    </w:p>
    <w:tbl>
      <w:tblPr>
        <w:tblW w:w="6466" w:type="dxa"/>
        <w:jc w:val="left"/>
        <w:tblInd w:w="0" w:type="dxa"/>
        <w:tblLayout w:type="fixed"/>
        <w:tblCellMar>
          <w:top w:w="0" w:type="dxa"/>
          <w:left w:w="0" w:type="dxa"/>
          <w:bottom w:w="0" w:type="dxa"/>
          <w:right w:w="0" w:type="dxa"/>
        </w:tblCellMar>
      </w:tblPr>
      <w:tblGrid>
        <w:gridCol w:w="1801"/>
        <w:gridCol w:w="326"/>
        <w:gridCol w:w="277"/>
        <w:gridCol w:w="458"/>
        <w:gridCol w:w="326"/>
        <w:gridCol w:w="211"/>
        <w:gridCol w:w="676"/>
        <w:gridCol w:w="326"/>
        <w:gridCol w:w="277"/>
        <w:gridCol w:w="458"/>
        <w:gridCol w:w="326"/>
        <w:gridCol w:w="211"/>
        <w:gridCol w:w="793"/>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3635" cy="175260"/>
                      <wp:effectExtent l="0" t="0" r="0" b="0"/>
                      <wp:wrapNone/>
                      <wp:docPr id="46" name="Frame4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5895" cy="175260"/>
                      <wp:effectExtent l="0" t="0" r="0" b="0"/>
                      <wp:wrapNone/>
                      <wp:docPr id="48" name="Frame4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0830" cy="175260"/>
                      <wp:effectExtent l="0" t="0" r="0" b="0"/>
                      <wp:wrapNone/>
                      <wp:docPr id="49" name="Frame4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29260" cy="175260"/>
                      <wp:effectExtent l="0" t="0" r="0" b="0"/>
                      <wp:wrapNone/>
                      <wp:docPr id="52" name="Frame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5895" cy="175260"/>
                      <wp:effectExtent l="0" t="0" r="0" b="0"/>
                      <wp:wrapNone/>
                      <wp:docPr id="54" name="Frame5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90830" cy="175260"/>
                      <wp:effectExtent l="0" t="0" r="0" b="0"/>
                      <wp:wrapNone/>
                      <wp:docPr id="55" name="Frame5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3555" cy="175260"/>
                      <wp:effectExtent l="0" t="0" r="0" b="0"/>
                      <wp:wrapNone/>
                      <wp:docPr id="58" name="Frame5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 March 31, 2024</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71,466</w:t>
            </w:r>
          </w:p>
        </w:tc>
        <w:tc>
          <w:tcPr>
            <w:tcW w:w="326" w:type="dxa"/>
            <w:tcBorders/>
            <w:vAlign w:val="center"/>
          </w:tcPr>
          <w:p>
            <w:pPr>
              <w:pStyle w:val="TableContents"/>
              <w:bidi w:val="0"/>
              <w:spacing w:before="0" w:after="0"/>
              <w:ind w:left="0" w:right="0" w:hanging="0"/>
              <w:jc w:val="center"/>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71,466</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71,466</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71,466</w:t>
            </w:r>
          </w:p>
        </w:tc>
      </w:tr>
    </w:tbl>
    <w:p>
      <w:pPr>
        <w:pStyle w:val="TextBody"/>
        <w:bidi w:val="0"/>
        <w:spacing w:before="0" w:after="240"/>
        <w:ind w:left="0" w:right="0" w:firstLine="720"/>
        <w:jc w:val="left"/>
        <w:rPr/>
      </w:pPr>
      <w:r>
        <w:rPr/>
        <w:t>​</w:t>
      </w:r>
    </w:p>
    <w:tbl>
      <w:tblPr>
        <w:tblW w:w="6466" w:type="dxa"/>
        <w:jc w:val="left"/>
        <w:tblInd w:w="0" w:type="dxa"/>
        <w:tblLayout w:type="fixed"/>
        <w:tblCellMar>
          <w:top w:w="0" w:type="dxa"/>
          <w:left w:w="0" w:type="dxa"/>
          <w:bottom w:w="0" w:type="dxa"/>
          <w:right w:w="0" w:type="dxa"/>
        </w:tblCellMar>
      </w:tblPr>
      <w:tblGrid>
        <w:gridCol w:w="1801"/>
        <w:gridCol w:w="326"/>
        <w:gridCol w:w="277"/>
        <w:gridCol w:w="458"/>
        <w:gridCol w:w="326"/>
        <w:gridCol w:w="211"/>
        <w:gridCol w:w="676"/>
        <w:gridCol w:w="326"/>
        <w:gridCol w:w="277"/>
        <w:gridCol w:w="458"/>
        <w:gridCol w:w="326"/>
        <w:gridCol w:w="211"/>
        <w:gridCol w:w="793"/>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3635" cy="175260"/>
                      <wp:effectExtent l="0" t="0" r="0" b="0"/>
                      <wp:wrapNone/>
                      <wp:docPr id="59" name="Frame5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75895" cy="175260"/>
                      <wp:effectExtent l="0" t="0" r="0" b="0"/>
                      <wp:wrapNone/>
                      <wp:docPr id="61" name="Frame6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0830" cy="175260"/>
                      <wp:effectExtent l="0" t="0" r="0" b="0"/>
                      <wp:wrapNone/>
                      <wp:docPr id="62" name="Frame6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5895" cy="175260"/>
                      <wp:effectExtent l="0" t="0" r="0" b="0"/>
                      <wp:wrapNone/>
                      <wp:docPr id="67" name="Frame6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0830" cy="175260"/>
                      <wp:effectExtent l="0" t="0" r="0" b="0"/>
                      <wp:wrapNone/>
                      <wp:docPr id="68" name="Frame6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3555" cy="175260"/>
                      <wp:effectExtent l="0" t="0" r="0" b="0"/>
                      <wp:wrapNone/>
                      <wp:docPr id="71" name="Frame7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 December 31, 2023</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26"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75,501</w:t>
            </w:r>
          </w:p>
        </w:tc>
        <w:tc>
          <w:tcPr>
            <w:tcW w:w="326" w:type="dxa"/>
            <w:tcBorders/>
            <w:vAlign w:val="center"/>
          </w:tcPr>
          <w:p>
            <w:pPr>
              <w:pStyle w:val="TableContents"/>
              <w:bidi w:val="0"/>
              <w:spacing w:before="0" w:after="0"/>
              <w:ind w:left="0" w:right="0" w:hanging="0"/>
              <w:jc w:val="center"/>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75,501</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75,501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During the quarter ended March 31, 2024 and 2023, there were no transfers between Level 1, Level 2, and Level 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 Right-of-Use Assets and Operating Lease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includes a lease at inception.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the Company would have to pay on a collateralized basis to borrow an amount equal to the lease payments under similar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leases may include options to extend or terminate a lease which is included in the lease term when it is reasonably certain that the Company will exercise any such options. None of the Company’s leases contain any residual value guarantees. Lease expense is recognized on a straight-line basis over the expected lease term. Related variable lease costs incurred are not material to the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currently elects the short-term lease recognition exemption for all leases that qualify. This means, for those leases that qualify, the Company will not recognize right-of-use assets or liabilities. The Company also elects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Times New Roman;Times;serif" w:hAnsi="Times New Roman;Times;serif"/>
          <w:i/>
          <w:sz w:val="20"/>
        </w:rPr>
        <w:t xml:space="preserve">NOTE 9—LICENSE AGREEMENTS AND COMMITMENTS </w:t>
      </w:r>
      <w:r>
        <w:rPr>
          <w:rFonts w:ascii="Times New Roman;Times;serif" w:hAnsi="Times New Roman;Times;serif"/>
          <w:sz w:val="20"/>
        </w:rPr>
        <w:t>for the related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determine revenue recognition for product revenue and license revenue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Company will collect the consideration the Company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practical expedient permitted under Topic 606, the Company expenses incremental costs of obtaining a contract as and when incurred if the expected amortization period of the assets is one year or less. If there are multiple distinct performance obligations, the Company allocates the transaction price to each distinct performance obligation based on its relative standalone selling price.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the Company identifies a bundle of goods or services that is distinct. The standalone selling price is generally determined based on the prices charged to customers.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recognizes revenue from sales of DANYELZA at a point in time when the Company’s customer is deemed to have obtained control of the product, which generally occurs upon receipt at the end-user hospital for sales in the United States, and upon delivery to the distributors for sales in the international territories.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amount of revenue the Company recognizes from sales of DANYELZA varies due to rebates, chargebacks and discounts provided under governmental and other programs, distribution-related fees and other sales-related deductions. In order to determine those deductions, the Company estimates, utilizing the expected value method, the amount of revenue that the Company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the Company’s original estimates, the Company will adjust these estimates quarterly, which would affect net product revenue and earnings in the period such variances occur. </w:t>
      </w:r>
    </w:p>
    <w:p>
      <w:pPr>
        <w:pStyle w:val="TextBody"/>
        <w:bidi w:val="0"/>
        <w:spacing w:before="0" w:after="0"/>
        <w:ind w:left="0" w:right="0" w:firstLine="720"/>
        <w:jc w:val="left"/>
        <w:rPr/>
      </w:pPr>
      <w:r>
        <w:rPr/>
        <w:t>​</w:t>
      </w:r>
    </w:p>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Rebates and chargebacks</w:t>
            </w:r>
          </w:p>
        </w:tc>
      </w:tr>
    </w:tbl>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The Company contracts with United States governmental agencies to ensure that DANYELZA will be eligible for coverage under the various programs administered by the agencies. The Company estimates the rebates and chargebacks to be provided and deducts these estimated amounts from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third-party consultants regarding the payor mix. The Company’s liability for these rebates and chargebacks mainly consists of claims for which invoices have not yet been received and paid. The Company does not maintain material levels of inventories in the wholesale or retail channel.</w:t>
      </w:r>
    </w:p>
    <w:p>
      <w:pPr>
        <w:pStyle w:val="TextBody"/>
        <w:bidi w:val="0"/>
        <w:spacing w:before="0" w:after="0"/>
        <w:ind w:left="144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and distribution-related fees</w:t>
            </w:r>
          </w:p>
        </w:tc>
      </w:tr>
    </w:tbl>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The Company provides invoice discounts on DANYELZA sales to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the Company expects the distributors to earn these discounts and fees and deduct the full amount of these discounts and fees from the Company’s gross product revenue at the time such revenues are recognized.</w:t>
      </w:r>
    </w:p>
    <w:p>
      <w:pPr>
        <w:pStyle w:val="TextBody"/>
        <w:bidi w:val="0"/>
        <w:spacing w:before="0" w:after="0"/>
        <w:ind w:left="1440" w:right="0" w:hanging="0"/>
        <w:jc w:val="left"/>
        <w:rPr/>
      </w:pPr>
      <w:r>
        <w:rPr/>
        <w:t>​</w:t>
      </w:r>
    </w:p>
    <w:tbl>
      <w:tblPr>
        <w:tblW w:w="1161" w:type="dxa"/>
        <w:jc w:val="left"/>
        <w:tblInd w:w="0" w:type="dxa"/>
        <w:tblLayout w:type="fixed"/>
        <w:tblCellMar>
          <w:top w:w="28" w:type="dxa"/>
          <w:left w:w="28" w:type="dxa"/>
          <w:bottom w:w="28" w:type="dxa"/>
          <w:right w:w="28" w:type="dxa"/>
        </w:tblCellMar>
      </w:tblPr>
      <w:tblGrid>
        <w:gridCol w:w="124"/>
        <w:gridCol w:w="256"/>
        <w:gridCol w:w="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Returns</w:t>
            </w:r>
          </w:p>
        </w:tc>
      </w:tr>
    </w:tbl>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The Company offers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accounts receivable.</w:t>
      </w:r>
    </w:p>
    <w:p>
      <w:pPr>
        <w:pStyle w:val="TextBody"/>
        <w:bidi w:val="0"/>
        <w:spacing w:before="0" w:after="0"/>
        <w:ind w:left="144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Company announced a distribution agreement with WEP Clinical Ltd., or WEP, in connection with an early access program for DANYELZA in Europe. There are no regulatory-based or sales-based milestone payments or royalty arrangements under this distribution agreement. The Company recognizes revenue when WEP obtains control of the product upon delivery. The Company invoices WEP based on the terms of the distribution agreement, where a portion is billed upon shipment of product and the unbilled portion is billed at a later date based on terms of the distribution agreement. The Company has an unconditional right to the unbilled portion of the receivable and the Company estimates that the receivable will be collected within one year and therefore has recorded the balance at March 31, 2024, within accounts receivable on the Consolidated Balance Sheets.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lineRule="atLeast" w:line="227"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license agreements include regulatory-based milestone payments and sales-based milestone payments, in addition to royalties. The Company determines whether the achievement of each regulatory-based milestone is constrained as they are contingent upon regulatory approvals, which are not within the control of the Company and therefore not deemed probable. The Company expects that the sales-based milestones and royalty payments will be recognized when the milestone is achieved or the related sales occur. The Company re-evaluates the transaction price each quarter and as uncertain events are resolved or other changes in circumstances occur, the Company assesses whether this resolves the constraint and when it is appropriate to recognize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2020, the Company entered into a development and commercialization arrangement with SciClone International Pharmaceuticals Ltd., or SciClone, for certain indications of DANYELZA and omburtamab for Greater China, including Mainland China, Taiwan, Hong Kong and Macau. Based on the terms of the agreement, the Company may receive regulatory-based milestone payments up to $40,000,000, of which $15,000,000 has already been recognized and received in December 2022 for the conditional approval of DANYELZA in China, and sales-based milestone payments up to $60,000,000 and is entitled to royalties based upon the net sales generated by SciClone related to the product indications in the territory. The Company expects that the remaining regulatory-based and sales-based milestones will be recognized when each milestone is achieved.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2020, the Company entered into an exclusive license and distribution agreement for DANYELZA and omburtamab with Takeda Israel, a wholly owned subsidiary of Takeda Pharmaceutical Company Limited covering the State of Israel, the West Bank and the Gaza Strip. Based on the terms of the arrangement, the Company may receive regulatory-based milestone payments up to $750,000, of which $250,000 has already been recognized, and sales-based milestone payments up to $500,000 and is entitled to royalties based upon the net sales generated by Takeda related to the product in the territory. The Company expects that the remaining regulatory-based and sales-based milestones will be recognized when the milestone is achieved, or the related sales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2020, the Company entered into a distribution agreement for DANYELZA and omburtamab with Swixx BioPharma AG for the Eastern European territories Bosnia &amp; Herzegovina, Bulgaria, Croatia, Czech Republic, Estonia, Hungary, Latvia, Lithuania, Poland, Romania, Russia, Serbia, Slovakia and Slovenia. There are no regulatory-based or sales-based milestone payments or royalty arrangements under this distribution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May 2021, the Company entered into an exclusive distribution agreement with Adium Pharma S.A. (“Adium”) for Adium to be the exclusive distributor of DANYELZA in Latin America. Under the terms of the agreement, the Company may receive regulatory-based milestone payments up to $3,000,000, of which $2,000,000 has already been recognized, and is entitled to royalties based upon DANYELZA net sales generated by Adium in Latin America. In April 2022, the Company received $1,000,000 upon the submission of the updated FDA Biologics License Applications (“BLA”) dossier for DANYELZA. In addition, during third quarter of 2023, the Company recognized $500,000 in regulatory-based license revenue from Adium pursuant to the distribution agreement in connection with the September 2023 achievement of marketing authorization for DANYELZA in Mexico. Lastly, in January 2024, the Company accepted the price approval for the first product in Brazil from the Brazilian Medicines Market Regulation Chamber, or CMED. The Company received $500,000 regulatory-based payment from Adium in connection with the price approval from CMED in the three months ended March 31, 2024. The Company expects that the sales-based milestones and royalty payments will be recognized when and if the milestones are achieved or the related sales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Company announced a distribution agreement with WEP Clinical Ltd., or WEP, in connection with an early access program for DANYELZA in Europe. There are no regulatory, or sales-based milestone payments or royalties under this distribution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measures stock options granted to employees and directors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 based and records the expense for these awards using the straight-line method over the requisite service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each stock option grant is estimated on the grant date using the Black Scholes option pricing model. The Company’s public trading commenced in September 2018, and, as a result, there is limited available historical volatility experience. Therefore, the Company estimates expected stock volatility based on the weighting of the Company’s historical volatility with the historical volatility of a group of publicly traded peer companies, and the Company expects to continue to do so until there is adequate historical data regarding the volatility of the Company’s traded stock prices.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restricted stock units is determined at the grant-date price of the Company’s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performance-based restricted stock units (“PRSU”) is determined using a Monte-Carlo simulation model. The vesting of each tranche of the award depends on the fulfillment of both a service condition and the achievement of a stock price hurdle at the end of each tranche’s performance period, based on an average of the closing stock price over the 30 consecutive trading days immediately preceding each tranche’s vesting date. The stock price volatility is simulated using the Company’s historical volatility calculated from daily stock returns over a lookback term which equals the remaining service period from the grant date. The risk-free rate is determined using the zero-coupon risk-free interest rate derived from the Treasury Constant Maturities yield curve on the grant date. The expected dividend yield is based on the fact that the Company has never paid cash dividends on common shares and does not expect to pay any cash dividends in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reports net earnings per share in accordance with ASC 260, Earnings per Share. 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Similarly, securities that could potentially dilute basic EPS in the future are not included in the computation of diluted EPS because to do so would have been antidilutive.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engaged solely in operations related to the discovery, development, distribution and commercialization of novel antibody-based therapeutic products for the treatment of cancer, which the Company defines as one operating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or FASB, and are adopted by the Company as of the specific effective date. The Company adopted ASU 2021-01 (as amended by ASU 2022-06), ASU 2020-06, ASU 2022-03, ASU 2022-04, ASU 2023-01, ASU 2023-02 and ASU 2023-07 effective January 1, 2024, and the adoption of these new standards did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2023-09, Improvement to income tax disclosures (Topic 740). ASU 2023-09 addresses annual disclosures related to the income tax rate reconciliation and the income taxes paid within the tax note. ASU 2023-09 requires consistent categories and greater disaggregation of information in the income tax rate reconciliation as well as a disaggregation of taxes paid by jurisdiction for the income taxes paid. ASU 2023-09 is required to be adopted by the Company for annual periods beginning after December 15, 2024. Early adoption is permitted for annual consolidated financial statements that have not yet been issued or made available for issuance. The Company is evaluating the impact of this update on the Company’s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all other accounting pronouncements recently issued but not yet adopted and believes that these pronouncements will not have a material impact on the Company’s consolidated financial statements or disclosures.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526" w:name="Tc_rccQnSElvkyWs1xGOC8uKg_6_5"/>
      <w:bookmarkStart w:id="527" w:name="Tc_EDp9wdHo6EGFdbGh2bMVLg_6_2"/>
      <w:bookmarkStart w:id="528" w:name="Tc_lMAP0ntmlku1GuZamoR04w_6_0"/>
      <w:bookmarkStart w:id="529" w:name="Tc_zUHLbnKQSU2CpTNSewKGNA_5_0"/>
      <w:bookmarkStart w:id="530" w:name="Tc_vvInWCMZEUKTSwkcIMndsg_4_5"/>
      <w:bookmarkStart w:id="531" w:name="Tc_72N3SblowkSyn2eeG8plzQ_4_2"/>
      <w:bookmarkStart w:id="532" w:name="Tc_phLYhlF4iEyPkegBvIdmOw_4_0"/>
      <w:bookmarkStart w:id="533" w:name="Tc_OuJb3hTF-ka9nYFPOXzL_g_2_5"/>
      <w:bookmarkStart w:id="534" w:name="Tc_kg0WDDR3Q0Ca1K3IRwmZXw_2_2"/>
      <w:bookmarkStart w:id="535" w:name="Tc_gf_wAbznl0q8ZoGZfNgLQQ_1_2"/>
      <w:bookmarkStart w:id="536" w:name="_e86e99a8_22bf_4503_bf9c_ec15c9e4722f"/>
      <w:bookmarkEnd w:id="526"/>
      <w:bookmarkEnd w:id="527"/>
      <w:bookmarkEnd w:id="528"/>
      <w:bookmarkEnd w:id="529"/>
      <w:bookmarkEnd w:id="530"/>
      <w:bookmarkEnd w:id="531"/>
      <w:bookmarkEnd w:id="532"/>
      <w:bookmarkEnd w:id="533"/>
      <w:bookmarkEnd w:id="534"/>
      <w:bookmarkEnd w:id="535"/>
      <w:bookmarkEnd w:id="536"/>
      <w:r>
        <w:rPr>
          <w:rFonts w:ascii="Times New Roman;Times;serif" w:hAnsi="Times New Roman;Times;serif"/>
          <w:b/>
          <w:sz w:val="20"/>
        </w:rPr>
        <w:t>NOTE 4—PRODUCT REVENUE,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product revenue, net was generated from sales of DANYELZA and consists of the following (in thousands):</w:t>
      </w:r>
    </w:p>
    <w:tbl>
      <w:tblPr>
        <w:tblW w:w="5036" w:type="dxa"/>
        <w:jc w:val="left"/>
        <w:tblInd w:w="0" w:type="dxa"/>
        <w:tblLayout w:type="fixed"/>
        <w:tblCellMar>
          <w:top w:w="0" w:type="dxa"/>
          <w:left w:w="0" w:type="dxa"/>
          <w:bottom w:w="0" w:type="dxa"/>
          <w:right w:w="0" w:type="dxa"/>
        </w:tblCellMar>
      </w:tblPr>
      <w:tblGrid>
        <w:gridCol w:w="2266"/>
        <w:gridCol w:w="326"/>
        <w:gridCol w:w="258"/>
        <w:gridCol w:w="826"/>
        <w:gridCol w:w="133"/>
        <w:gridCol w:w="258"/>
        <w:gridCol w:w="96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8910" cy="175260"/>
                      <wp:effectExtent l="0" t="0" r="0" b="0"/>
                      <wp:wrapNone/>
                      <wp:docPr id="72" name="Frame7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63830" cy="175260"/>
                      <wp:effectExtent l="0" t="0" r="0" b="0"/>
                      <wp:wrapNone/>
                      <wp:docPr id="74" name="Frame7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75" name="Frame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4455" cy="175260"/>
                      <wp:effectExtent l="0" t="0" r="0" b="0"/>
                      <wp:wrapNone/>
                      <wp:docPr id="76" name="Frame76"/>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63830" cy="175260"/>
                      <wp:effectExtent l="0" t="0" r="0" b="0"/>
                      <wp:wrapNone/>
                      <wp:docPr id="77" name="Frame7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15315" cy="175260"/>
                      <wp:effectExtent l="0" t="0" r="0" b="0"/>
                      <wp:wrapNone/>
                      <wp:docPr id="78" name="Frame78"/>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3" w:type="dxa"/>
            <w:tcBorders/>
            <w:vAlign w:val="center"/>
          </w:tcPr>
          <w:p>
            <w:pPr>
              <w:pStyle w:val="TableContents"/>
              <w:bidi w:val="0"/>
              <w:spacing w:before="0" w:after="0"/>
              <w:ind w:left="0" w:right="0" w:hanging="0"/>
              <w:jc w:val="left"/>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33"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countries</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33"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19,431</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20,251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majority of the Company’s product sales were in the United States with additional sales in China, Europe, Latin America, and Israel through sublicenses and distribution agreements. The Company’s product revenue, net from other countries for the three months ended March 31, 2023 included $2,516,000 of product revenue, net from the Company’s distribution partner, WEP, in connection with the Company’s early access program for DANYELZA in Europe. There is no product revenue, net from WEP in the three months ended March 31, 2024.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37" w:name="Tc_b0e3wdUJlkGXnVSw9Wm5VA_9_10"/>
      <w:bookmarkStart w:id="538" w:name="Tc_wqRdcmoIVkSrUycCP8dOtA_9_7"/>
      <w:bookmarkStart w:id="539" w:name="Tc_GrHtywk8q0m3KpRDtRFpaQ_9_4"/>
      <w:bookmarkStart w:id="540" w:name="Tc_94DaSMwVJUGdJlxox_XaxA_9_1"/>
      <w:bookmarkStart w:id="541" w:name="Tc_d_oBVE7tq0aUx8I5-DuQEQ_9_0"/>
      <w:bookmarkStart w:id="542" w:name="Tc_NitzjwUKJ02AvefYjNEroQ_8_8"/>
      <w:bookmarkStart w:id="543" w:name="Tc_aXmKFDAExEufqyq1YRYpJQ_8_2"/>
      <w:bookmarkStart w:id="544" w:name="Tc_q3hv-1J23UyOwKRpnruYdQ_8_0"/>
      <w:bookmarkStart w:id="545" w:name="Tc_gVdauzFc6kGtK7rU2gxFBQ_7_8"/>
      <w:bookmarkStart w:id="546" w:name="Tc_zISqKlEqNEWZRIPyFfWxKQ_7_0"/>
      <w:bookmarkStart w:id="547" w:name="Tc_GPy9nUr_8kaHXU02aU-Ftw_6_0"/>
      <w:bookmarkStart w:id="548" w:name="Tc_7XxF3UuYqUejDN3FjQawDA_5_10"/>
      <w:bookmarkStart w:id="549" w:name="Tc_KBYsJ1uzqUOEG99NuKZtcw_5_7"/>
      <w:bookmarkStart w:id="550" w:name="Tc_HCv9ZVcd8Uq6llCFxTHsuw_5_4"/>
      <w:bookmarkStart w:id="551" w:name="Tc_GeeDCB7yCUiei7vFxF7pSw_5_1"/>
      <w:bookmarkStart w:id="552" w:name="Tc_mi9A8E87xEeZhen0J5mllQ_5_0"/>
      <w:bookmarkStart w:id="553" w:name="Tc_cs1b0sthEkai8w2-w3toxA_3_10"/>
      <w:bookmarkStart w:id="554" w:name="Tc_7izJU2URE0K3t4Scg-k7ng_3_7"/>
      <w:bookmarkStart w:id="555" w:name="Tc_l2Z5TYI61UyYpX9CaNwskw_3_4"/>
      <w:bookmarkStart w:id="556" w:name="Tc_Q4a-5lU_z02GlrwihCgRDQ_3_1"/>
      <w:bookmarkStart w:id="557" w:name="Tc_YUNJOP6sjEOLLLDv8S0aLw_2_4"/>
      <w:bookmarkStart w:id="558" w:name="Tc_SuaXKY1ilU2HNGpKi6CWIw_1_4"/>
      <w:bookmarkStart w:id="559" w:name="_156401b1_6f2f_4f05_9021_0c64518b64e8"/>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ascii="Times New Roman;Times;serif" w:hAnsi="Times New Roman;Times;serif"/>
          <w:sz w:val="20"/>
        </w:rPr>
        <w:t>recognized royalty revenue from the distribution partners of $462,000 and $658,000 in the three months ended March 31, 2024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had product sales to certain customers that accounted for more than 10% of total product revenue, net for the three months ended March 31, 2024 and 2023. McKesson, AmerisourceBergen and Cardinal Health, accounted for 51%, 25%, and 22%, respectively, of the Company’s product revenue, net for the three months ended March 31, 2024. McKesson, AmerisourceBergen, Cardinal Health and WEP accounted for 45%, 29%, 13% and 12%, respectively, of the Company’s product revenue, net for the three months ended March 31,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2024, the Company had recorded on the Consolidated Balance Sheets accounts receivable of approximately $20,588,000, of which $2,241,000 represents an unbilled portion to which the Company has unconditional rights to collect the consideration, and accrued liabilities of $198,000 related to product sales to WEP during the year ended December 31,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March 31, 2024, the Company had recorded accounts receivable allowances of approximately $617,000 and accrued liabilities of $1,910,000 related to product sales. As of December 31, 2023, the Company had recorded accounts receivable allowances of approximately $492,000 and accrued liabilities of $2,309,000 related to product sales.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analysis of the change in reserves for discounts and allowances is summarized as follows (in thousands):</w:t>
      </w:r>
    </w:p>
    <w:p>
      <w:pPr>
        <w:pStyle w:val="TextBody"/>
        <w:bidi w:val="0"/>
        <w:spacing w:before="0" w:after="0"/>
        <w:ind w:left="0" w:right="0" w:firstLine="720"/>
        <w:jc w:val="left"/>
        <w:rPr/>
      </w:pPr>
      <w:r>
        <w:rPr/>
        <w:t>​</w:t>
      </w:r>
    </w:p>
    <w:tbl>
      <w:tblPr>
        <w:tblW w:w="8803" w:type="dxa"/>
        <w:jc w:val="left"/>
        <w:tblInd w:w="0" w:type="dxa"/>
        <w:tblLayout w:type="fixed"/>
        <w:tblCellMar>
          <w:top w:w="0" w:type="dxa"/>
          <w:left w:w="0" w:type="dxa"/>
          <w:bottom w:w="0" w:type="dxa"/>
          <w:right w:w="0" w:type="dxa"/>
        </w:tblCellMar>
      </w:tblPr>
      <w:tblGrid>
        <w:gridCol w:w="4261"/>
        <w:gridCol w:w="369"/>
        <w:gridCol w:w="436"/>
        <w:gridCol w:w="109"/>
        <w:gridCol w:w="409"/>
        <w:gridCol w:w="1226"/>
        <w:gridCol w:w="146"/>
        <w:gridCol w:w="327"/>
        <w:gridCol w:w="349"/>
        <w:gridCol w:w="109"/>
        <w:gridCol w:w="326"/>
        <w:gridCol w:w="73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705735" cy="175260"/>
                      <wp:effectExtent l="0" t="0" r="0" b="0"/>
                      <wp:wrapNone/>
                      <wp:docPr id="79" name="Frame79"/>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34315" cy="175260"/>
                      <wp:effectExtent l="0" t="0" r="0" b="0"/>
                      <wp:wrapNone/>
                      <wp:docPr id="80" name="Frame80"/>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76860" cy="175260"/>
                      <wp:effectExtent l="0" t="0" r="0" b="0"/>
                      <wp:wrapNone/>
                      <wp:docPr id="81" name="Frame8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9715" cy="175260"/>
                      <wp:effectExtent l="0" t="0" r="0" b="0"/>
                      <wp:wrapNone/>
                      <wp:docPr id="83" name="Frame8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78510" cy="175260"/>
                      <wp:effectExtent l="0" t="0" r="0" b="0"/>
                      <wp:wrapNone/>
                      <wp:docPr id="84" name="Frame84"/>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260"/>
                      <wp:effectExtent l="0" t="0" r="0" b="0"/>
                      <wp:wrapNone/>
                      <wp:docPr id="85" name="Frame8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645" cy="175260"/>
                      <wp:effectExtent l="0" t="0" r="0" b="0"/>
                      <wp:wrapNone/>
                      <wp:docPr id="86" name="Frame8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21615" cy="175260"/>
                      <wp:effectExtent l="0" t="0" r="0" b="0"/>
                      <wp:wrapNone/>
                      <wp:docPr id="87" name="Frame8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67360" cy="175260"/>
                      <wp:effectExtent l="0" t="0" r="0" b="0"/>
                      <wp:wrapNone/>
                      <wp:docPr id="90" name="Frame9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Contractual </w:t>
            </w:r>
          </w:p>
        </w:tc>
        <w:tc>
          <w:tcPr>
            <w:tcW w:w="14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Allowances and</w:t>
            </w:r>
          </w:p>
        </w:tc>
        <w:tc>
          <w:tcPr>
            <w:tcW w:w="1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Discounts</w:t>
            </w:r>
          </w:p>
        </w:tc>
        <w:tc>
          <w:tcPr>
            <w:tcW w:w="109" w:type="dxa"/>
            <w:tcBorders/>
            <w:vAlign w:val="center"/>
          </w:tcPr>
          <w:p>
            <w:pPr>
              <w:pStyle w:val="TableContents"/>
              <w:bidi w:val="0"/>
              <w:spacing w:before="0" w:after="0"/>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Government Rebates</w:t>
            </w:r>
          </w:p>
        </w:tc>
        <w:tc>
          <w:tcPr>
            <w:tcW w:w="14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Returns</w:t>
            </w:r>
          </w:p>
        </w:tc>
        <w:tc>
          <w:tcPr>
            <w:tcW w:w="109" w:type="dxa"/>
            <w:tcBorders/>
            <w:vAlign w:val="center"/>
          </w:tcPr>
          <w:p>
            <w:pPr>
              <w:pStyle w:val="TableContents"/>
              <w:bidi w:val="0"/>
              <w:spacing w:before="0" w:after="0"/>
              <w:ind w:left="0" w:right="0" w:hanging="0"/>
              <w:jc w:val="center"/>
              <w:rPr/>
            </w:pPr>
            <w:r>
              <w:rPr/>
              <w:t>​</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8803"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w:t>
            </w:r>
          </w:p>
        </w:tc>
        <w:tc>
          <w:tcPr>
            <w:tcW w:w="4542" w:type="dxa"/>
            <w:gridSpan w:val="11"/>
            <w:tcBorders/>
            <w:vAlign w:val="center"/>
          </w:tcPr>
          <w:p>
            <w:pPr>
              <w:pStyle w:val="TableContents"/>
              <w:bidi w:val="0"/>
              <w:spacing w:before="0" w:after="0"/>
              <w:ind w:left="0" w:right="0" w:hanging="0"/>
              <w:jc w:val="center"/>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1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provisions relating to sales in current year</w:t>
            </w:r>
          </w:p>
        </w:tc>
        <w:tc>
          <w:tcPr>
            <w:tcW w:w="36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0"/>
              <w:ind w:left="0" w:right="0" w:hanging="0"/>
              <w:jc w:val="right"/>
              <w:rPr/>
            </w:pPr>
            <w:r>
              <w:rPr/>
              <w:t>​</w:t>
            </w:r>
          </w:p>
        </w:tc>
        <w:tc>
          <w:tcPr>
            <w:tcW w:w="409" w:type="dxa"/>
            <w:tcBorders/>
            <w:vAlign w:val="center"/>
          </w:tcPr>
          <w:p>
            <w:pPr>
              <w:pStyle w:val="TableContents"/>
              <w:bidi w:val="0"/>
              <w:spacing w:before="0" w:after="0"/>
              <w:ind w:left="0" w:right="0" w:hanging="0"/>
              <w:jc w:val="left"/>
              <w:rPr/>
            </w:pPr>
            <w:r>
              <w:rPr/>
              <w:t>​</w:t>
            </w:r>
          </w:p>
        </w:tc>
        <w:tc>
          <w:tcPr>
            <w:tcW w:w="12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1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Payments/credits relating to sales in current year</w:t>
            </w:r>
          </w:p>
        </w:tc>
        <w:tc>
          <w:tcPr>
            <w:tcW w:w="36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w:t>
            </w:r>
          </w:p>
        </w:tc>
        <w:tc>
          <w:tcPr>
            <w:tcW w:w="1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estimate related to sales in the prior year</w:t>
            </w:r>
          </w:p>
        </w:tc>
        <w:tc>
          <w:tcPr>
            <w:tcW w:w="3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4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3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0"/>
              <w:ind w:left="0" w:right="0" w:hanging="0"/>
              <w:jc w:val="righ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w:t>
            </w:r>
          </w:p>
        </w:tc>
        <w:tc>
          <w:tcPr>
            <w:tcW w:w="14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560" w:name="Tc_F4mhik2xaUmVJc9lhW4rfA_6_5"/>
      <w:bookmarkStart w:id="561" w:name="Tc_DGhA5D9ZX0aEig0PH8LLIg_6_2"/>
      <w:bookmarkStart w:id="562" w:name="Tc_D4N7BCykGkClfDuOCI20pA_6_0"/>
      <w:bookmarkStart w:id="563" w:name="Tc_eZEfeKW1ikqpoDpDMYq_UA_5_0"/>
      <w:bookmarkStart w:id="564" w:name="Tc_D6d6_HscnEyd4eQaIq2bFg_4_5"/>
      <w:bookmarkStart w:id="565" w:name="Tc_jNVzwATrxUim_h_hEdEdnw_4_2"/>
      <w:bookmarkStart w:id="566" w:name="Tc_bc398XkrLEOeof0bfPFGqg_4_0"/>
      <w:bookmarkStart w:id="567" w:name="Tc_gjK4qOh7Kk6lwDGivFg3wQ_2_5"/>
      <w:bookmarkStart w:id="568" w:name="Tc_wg0G4XUMh0Cq9c5z5_5Ilg_2_2"/>
      <w:bookmarkStart w:id="569" w:name="Tc_eUBKtxXrNE-UGtDIKp8NVQ_1_2"/>
      <w:bookmarkStart w:id="570" w:name="_da348e3d_31ae_4526_82c2_8f7f0da99806"/>
      <w:bookmarkStart w:id="571" w:name="_9326a535_5849_415d_ac71_06c1acc864c7"/>
      <w:bookmarkEnd w:id="560"/>
      <w:bookmarkEnd w:id="561"/>
      <w:bookmarkEnd w:id="562"/>
      <w:bookmarkEnd w:id="563"/>
      <w:bookmarkEnd w:id="564"/>
      <w:bookmarkEnd w:id="565"/>
      <w:bookmarkEnd w:id="566"/>
      <w:bookmarkEnd w:id="567"/>
      <w:bookmarkEnd w:id="568"/>
      <w:bookmarkEnd w:id="569"/>
      <w:bookmarkEnd w:id="570"/>
      <w:bookmarkEnd w:id="571"/>
      <w:r>
        <w:rPr>
          <w:rFonts w:ascii="Times New Roman;Times;serif" w:hAnsi="Times New Roman;Times;serif"/>
          <w:b/>
          <w:sz w:val="20"/>
        </w:rPr>
        <w:t>NOTE 5—NET LOSS PER SHARE</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calculations of basic and diluted net loss per share are as follows (in thousands, except per share amounts):</w:t>
      </w:r>
    </w:p>
    <w:tbl>
      <w:tblPr>
        <w:tblW w:w="7709" w:type="dxa"/>
        <w:jc w:val="left"/>
        <w:tblInd w:w="0" w:type="dxa"/>
        <w:tblLayout w:type="fixed"/>
        <w:tblCellMar>
          <w:top w:w="0" w:type="dxa"/>
          <w:left w:w="0" w:type="dxa"/>
          <w:bottom w:w="0" w:type="dxa"/>
          <w:right w:w="0" w:type="dxa"/>
        </w:tblCellMar>
      </w:tblPr>
      <w:tblGrid>
        <w:gridCol w:w="4831"/>
        <w:gridCol w:w="326"/>
        <w:gridCol w:w="264"/>
        <w:gridCol w:w="867"/>
        <w:gridCol w:w="136"/>
        <w:gridCol w:w="264"/>
        <w:gridCol w:w="867"/>
        <w:gridCol w:w="154"/>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067685" cy="175260"/>
                      <wp:effectExtent l="0" t="0" r="0" b="0"/>
                      <wp:wrapNone/>
                      <wp:docPr id="91" name="Frame91"/>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c>
          <w:tcPr>
            <w:tcW w:w="13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7790" cy="175260"/>
                      <wp:effectExtent l="0" t="0" r="0" b="0"/>
                      <wp:wrapNone/>
                      <wp:docPr id="92" name="Frame9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54" w:type="dxa"/>
            <w:tcBorders/>
            <w:vAlign w:val="center"/>
          </w:tcPr>
          <w:p>
            <w:pPr>
              <w:pStyle w:val="TableContents"/>
              <w:bidi w:val="0"/>
              <w:spacing w:before="0" w:after="1"/>
              <w:ind w:left="0" w:right="0" w:hanging="0"/>
              <w:jc w:val="left"/>
              <w:rPr/>
            </w:pPr>
            <w:r>
              <w:rPr/>
              <w:t>​</w: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6" w:type="dxa"/>
            <w:tcBorders/>
            <w:vAlign w:val="center"/>
          </w:tcPr>
          <w:p>
            <w:pPr>
              <w:pStyle w:val="TableContents"/>
              <w:bidi w:val="0"/>
              <w:spacing w:before="0" w:after="1"/>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left"/>
              <w:rPr/>
            </w:pPr>
            <w:r>
              <w:rPr/>
              <w:t>​</w: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pPr>
            <w:r>
              <w:rPr/>
              <w:t>​</w:t>
            </w:r>
          </w:p>
        </w:tc>
        <w:tc>
          <w:tcPr>
            <w:tcW w:w="136" w:type="dxa"/>
            <w:tcBorders/>
            <w:vAlign w:val="center"/>
          </w:tcPr>
          <w:p>
            <w:pPr>
              <w:pStyle w:val="TableContents"/>
              <w:bidi w:val="0"/>
              <w:spacing w:before="0" w:after="1"/>
              <w:ind w:left="0" w:right="0" w:hanging="0"/>
              <w:jc w:val="center"/>
              <w:rPr/>
            </w:pPr>
            <w:r>
              <w:rPr/>
              <w:t>​</w:t>
            </w:r>
          </w:p>
        </w:tc>
        <w:tc>
          <w:tcPr>
            <w:tcW w:w="264"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13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(denominator), basic and diluted</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43,779</w:t>
            </w:r>
          </w:p>
        </w:tc>
        <w:tc>
          <w:tcPr>
            <w:tcW w:w="13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43,672</w:t>
            </w:r>
          </w:p>
        </w:tc>
        <w:tc>
          <w:tcPr>
            <w:tcW w:w="154" w:type="dxa"/>
            <w:tcBorders/>
            <w:vAlign w:val="center"/>
          </w:tcPr>
          <w:p>
            <w:pPr>
              <w:pStyle w:val="TableContents"/>
              <w:bidi w:val="0"/>
              <w:spacing w:before="0" w:after="1"/>
              <w:ind w:left="0" w:right="0" w:hanging="0"/>
              <w:jc w:val="left"/>
              <w:rPr/>
            </w:pPr>
            <w:r>
              <w:rPr/>
              <w:t>​</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13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Potentially dilutive securities excluded from the computation of diluted earnings per share relate to stock options and unvested restricted share units outstanding totaled 11,226,739 shares and 8,894,258 shares as of March 31, 2024 and 2023, respectively.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2" w:name="Tc_q06ruYnavk6iGbRimoaO4A_9_5"/>
      <w:bookmarkStart w:id="573" w:name="Tc_tgY9Uswpd0ur7mTJHfCb0w_9_2"/>
      <w:bookmarkStart w:id="574" w:name="Tc_7I1U3Aw_X0GReOlzrdHGgg_9_0"/>
      <w:bookmarkStart w:id="575" w:name="Tc_DYvIbTLZWkykS1gALm1IAg_8_0"/>
      <w:bookmarkStart w:id="576" w:name="Tc_1fxOSlCu3Uyiy4-7eFQ-1w_7_0"/>
      <w:bookmarkStart w:id="577" w:name="Tc_dASo70oJu0uCHa9CZEdQqA_6_0"/>
      <w:bookmarkStart w:id="578" w:name="Tc_BUWRfOIf-0miG_s-OnMveA_4_0"/>
      <w:bookmarkStart w:id="579" w:name="Tc_tCIBOII_h0OcbzuEb2MlVg_3_5"/>
      <w:bookmarkStart w:id="580" w:name="Tc_0q6Kv4m2zkaH8uG3GrS03w_3_2"/>
      <w:bookmarkStart w:id="581" w:name="Tc_Jg4_iXn_PEaiWrsIBq8X2Q_3_0"/>
      <w:bookmarkStart w:id="582" w:name="Tc_RF2G1We4tkiI7GuWonujUA_2_0"/>
      <w:bookmarkStart w:id="583" w:name="Tc_iZ-BLAKN9ESmkz8TjXMR6g_1_5"/>
      <w:bookmarkStart w:id="584" w:name="Tc_bjmvfZfWBEuYtVPmxIuaJg_1_2"/>
      <w:bookmarkStart w:id="585" w:name="_23d5c7c6_9a1e_4323_98d5_f44bdf07cdd8"/>
      <w:bookmarkStart w:id="586" w:name="Tc_1K80U-a_rEmPZXememV13g_6_5"/>
      <w:bookmarkStart w:id="587" w:name="Tc_8OrZO6WUpUGYRaI10GLqPQ_6_2"/>
      <w:bookmarkStart w:id="588" w:name="Tc_j9o9iSrPZECs6YQIx6glCA_6_0"/>
      <w:bookmarkStart w:id="589" w:name="Tc_z9NwBsZQHEOSZffonCegcQ_5_0"/>
      <w:bookmarkStart w:id="590" w:name="Tc_5aLoGQs23EuvEWFm5p4Mcg_4_0"/>
      <w:bookmarkStart w:id="591" w:name="Tc_JMYgFE4-0E6ZmhtrMGnxxg_3_6"/>
      <w:bookmarkStart w:id="592" w:name="Tc_k9Tqkyei60Kql3peSgwP4Q_3_5"/>
      <w:bookmarkStart w:id="593" w:name="Tc_n1ou0Q0BjEqt6QgmPuCEAA_3_2"/>
      <w:bookmarkStart w:id="594" w:name="Tc_KzRQ0Dy-kUW8FkRJSO5klw_3_0"/>
      <w:bookmarkStart w:id="595" w:name="Tc_qfo8sS2aUkiFz_F2JBg48Q_1_5"/>
      <w:bookmarkStart w:id="596" w:name="Tc_PVF18aFO8EC1nfZ8U0mBZw_1_2"/>
      <w:bookmarkStart w:id="597" w:name="_e466f72c_7aaf_443a_b728_f6af9628fbed"/>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b/>
          <w:sz w:val="20"/>
        </w:rPr>
        <w:t>NOTE 6—INVENTORIES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Inventories consist of the following (in thousands):</w:t>
      </w:r>
    </w:p>
    <w:tbl>
      <w:tblPr>
        <w:tblW w:w="4758" w:type="dxa"/>
        <w:jc w:val="left"/>
        <w:tblInd w:w="0" w:type="dxa"/>
        <w:tblLayout w:type="fixed"/>
        <w:tblCellMar>
          <w:top w:w="0" w:type="dxa"/>
          <w:left w:w="0" w:type="dxa"/>
          <w:bottom w:w="0" w:type="dxa"/>
          <w:right w:w="0" w:type="dxa"/>
        </w:tblCellMar>
      </w:tblPr>
      <w:tblGrid>
        <w:gridCol w:w="1516"/>
        <w:gridCol w:w="326"/>
        <w:gridCol w:w="299"/>
        <w:gridCol w:w="962"/>
        <w:gridCol w:w="109"/>
        <w:gridCol w:w="350"/>
        <w:gridCol w:w="119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62660" cy="175260"/>
                      <wp:effectExtent l="0" t="0" r="0" b="0"/>
                      <wp:wrapNone/>
                      <wp:docPr id="93" name="Frame9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9865" cy="175260"/>
                      <wp:effectExtent l="0" t="0" r="0" b="0"/>
                      <wp:wrapNone/>
                      <wp:docPr id="95" name="Frame9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0870" cy="175260"/>
                      <wp:effectExtent l="0" t="0" r="0" b="0"/>
                      <wp:wrapNone/>
                      <wp:docPr id="96" name="Frame9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2250" cy="175260"/>
                      <wp:effectExtent l="0" t="0" r="0" b="0"/>
                      <wp:wrapNone/>
                      <wp:docPr id="98" name="Frame98"/>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59460" cy="175260"/>
                      <wp:effectExtent l="0" t="0" r="0" b="0"/>
                      <wp:wrapNone/>
                      <wp:docPr id="99" name="Frame99"/>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center"/>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16,550</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19,189</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17,013</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6" w:type="dxa"/>
            <w:tcBorders/>
            <w:vAlign w:val="center"/>
          </w:tcPr>
          <w:p>
            <w:pPr>
              <w:pStyle w:val="TableContents"/>
              <w:bidi w:val="0"/>
              <w:spacing w:before="0"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Inventories are classified on the Consolidated Balance Sheets in each respective period (in thousands):</w:t>
      </w:r>
    </w:p>
    <w:tbl>
      <w:tblPr>
        <w:tblW w:w="6273" w:type="dxa"/>
        <w:jc w:val="left"/>
        <w:tblInd w:w="0" w:type="dxa"/>
        <w:tblLayout w:type="fixed"/>
        <w:tblCellMar>
          <w:top w:w="0" w:type="dxa"/>
          <w:left w:w="0" w:type="dxa"/>
          <w:bottom w:w="0" w:type="dxa"/>
          <w:right w:w="0" w:type="dxa"/>
        </w:tblCellMar>
      </w:tblPr>
      <w:tblGrid>
        <w:gridCol w:w="3031"/>
        <w:gridCol w:w="326"/>
        <w:gridCol w:w="299"/>
        <w:gridCol w:w="962"/>
        <w:gridCol w:w="109"/>
        <w:gridCol w:w="324"/>
        <w:gridCol w:w="1222"/>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24685" cy="175260"/>
                      <wp:effectExtent l="0" t="0" r="0" b="0"/>
                      <wp:wrapNone/>
                      <wp:docPr id="100" name="Frame100"/>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9865" cy="175260"/>
                      <wp:effectExtent l="0" t="0" r="0" b="0"/>
                      <wp:wrapNone/>
                      <wp:docPr id="102" name="Frame10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10870" cy="175260"/>
                      <wp:effectExtent l="0" t="0" r="0" b="0"/>
                      <wp:wrapNone/>
                      <wp:docPr id="103" name="Frame10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5740" cy="175260"/>
                      <wp:effectExtent l="0" t="0" r="0" b="0"/>
                      <wp:wrapNone/>
                      <wp:docPr id="105" name="Frame10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75970" cy="175260"/>
                      <wp:effectExtent l="0" t="0" r="0" b="0"/>
                      <wp:wrapNone/>
                      <wp:docPr id="106" name="Frame106"/>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center"/>
              <w:rPr/>
            </w:pPr>
            <w:r>
              <w:rPr/>
              <w:t>​</w:t>
            </w:r>
          </w:p>
        </w:tc>
        <w:tc>
          <w:tcPr>
            <w:tcW w:w="96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center"/>
              <w:rPr/>
            </w:pPr>
            <w:r>
              <w:rPr/>
              <w:t>​</w:t>
            </w:r>
          </w:p>
        </w:tc>
        <w:tc>
          <w:tcPr>
            <w:tcW w:w="1222" w:type="dxa"/>
            <w:tcBorders/>
            <w:vAlign w:val="center"/>
          </w:tcPr>
          <w:p>
            <w:pPr>
              <w:pStyle w:val="TableContents"/>
              <w:bidi w:val="0"/>
              <w:spacing w:before="0" w:after="1"/>
              <w:ind w:left="0" w:right="0" w:hanging="0"/>
              <w:jc w:val="center"/>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8,448</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recorded in Current Assets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8,448</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w:t>
            </w:r>
          </w:p>
        </w:tc>
      </w:tr>
      <w:tr>
        <w:trPr/>
        <w:tc>
          <w:tcPr>
            <w:tcW w:w="30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10,741</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recorded in Noncurrent Assets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10,741</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19,189</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17,013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2024 and December 31, 2023, the Company has classified $10,741,000 and $11,948,000, respectively, of work-in-progress inventories as noncurrent assets based on the Company’s current demand schedule and expectation that such inventories will be utilized after one year from the balance sheet date. Changes in noncurrent assets are reflected on the Consolidated Statements of Cash Flows within the caption of other assets.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and 2023, the Company did not record any material charges to write off inventories.</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598" w:name="Tc_rOa9hZwMFkmB26P8o4rHYA_5_12"/>
      <w:bookmarkStart w:id="599" w:name="Tc_NVDxJwEiyEmv_A3v7C98Mg_5_10"/>
      <w:bookmarkStart w:id="600" w:name="Tc_pcdoWOiy-EWgEYuGnE2wnQ_5_8"/>
      <w:bookmarkStart w:id="601" w:name="Tc_JG3y_uXhIkK1mBW_xC6Pvg_5_5"/>
      <w:bookmarkStart w:id="602" w:name="Tc_pca-qtR4hEuHOMSE1Ved_g_5_3"/>
      <w:bookmarkStart w:id="603" w:name="Tc_31S65LhfCUKzeRg9d_FSEA_5_1"/>
      <w:bookmarkStart w:id="604" w:name="Tc_otNGlonkw0C9vIYC4apeeQ_5_0"/>
      <w:bookmarkStart w:id="605" w:name="Tc_HmERROf1p0ykZ5MrDJcCKQ_4_12"/>
      <w:bookmarkStart w:id="606" w:name="Tc_mzmav0vGQkyJnknjEY3kyg_4_10"/>
      <w:bookmarkStart w:id="607" w:name="Tc_qSovOMDw70yCAwp0obOkpA_4_8"/>
      <w:bookmarkStart w:id="608" w:name="Tc_LgzypGFRW0agJH8HoaZ8xw_4_5"/>
      <w:bookmarkStart w:id="609" w:name="Tc_EYrOpFkM8Emrw7L46jTPKg_4_3"/>
      <w:bookmarkStart w:id="610" w:name="Tc_lW8yOP-zx0-B-csle2kDsQ_4_1"/>
      <w:bookmarkStart w:id="611" w:name="Tc_pG4iy4H32kutxocssmFpKg_3_12"/>
      <w:bookmarkStart w:id="612" w:name="Tc_HSolsWXnUkifuDR63JuwTQ_3_10"/>
      <w:bookmarkStart w:id="613" w:name="Tc_OIjYOL4C5U2JmgIuOTWXTA_3_8"/>
      <w:bookmarkStart w:id="614" w:name="Tc_eC74uWh8L02qPBFvQYJaHQ_3_5"/>
      <w:bookmarkStart w:id="615" w:name="Tc_lTjf5XIm7U6VOM4s_GICAQ_3_3"/>
      <w:bookmarkStart w:id="616" w:name="Tc_xuXWZuwEQ06e8DHxjRdjig_3_1"/>
      <w:bookmarkStart w:id="617" w:name="Tc_3RVgWlvB_ESDz1ncWdbCHw_2_12"/>
      <w:bookmarkStart w:id="618" w:name="Tc_k5SVRONSn0ib9Db2cWuQjA_2_8"/>
      <w:bookmarkStart w:id="619" w:name="Tc_s96dDWxUpkOvKjR67RxbeA_2_5"/>
      <w:bookmarkStart w:id="620" w:name="Tc_iaJJYIh7tEKb0IOyZ1-kCg_2_1"/>
      <w:bookmarkStart w:id="621" w:name="Tc_QOLVhcPw_Uqx_hqWgXBmZA_1_8"/>
      <w:bookmarkStart w:id="622" w:name="Tc_8WpmnANdSES8xccsGU18nw_1_1"/>
      <w:bookmarkStart w:id="623" w:name="_52e2eb84_ce77_4373_8a4e_421d2c4ae589"/>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ascii="Times New Roman;Times;serif" w:hAnsi="Times New Roman;Times;serif"/>
          <w:b/>
          <w:sz w:val="20"/>
        </w:rPr>
        <w:t>NOTE 7—INTANGIBLE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intangible assets, net related to capitalized milestone payments made following FDA and other regulatory approvals, and commercialization of DANYELZA. The Company’s intangible assets, net as of March 31, 2024 and December 31, 2023 are as follows (in thousands):</w:t>
      </w:r>
    </w:p>
    <w:tbl>
      <w:tblPr>
        <w:tblW w:w="6732" w:type="dxa"/>
        <w:jc w:val="left"/>
        <w:tblInd w:w="0" w:type="dxa"/>
        <w:tblLayout w:type="fixed"/>
        <w:tblCellMar>
          <w:top w:w="0" w:type="dxa"/>
          <w:left w:w="0" w:type="dxa"/>
          <w:bottom w:w="0" w:type="dxa"/>
          <w:right w:w="0" w:type="dxa"/>
        </w:tblCellMar>
      </w:tblPr>
      <w:tblGrid>
        <w:gridCol w:w="1156"/>
        <w:gridCol w:w="226"/>
        <w:gridCol w:w="571"/>
        <w:gridCol w:w="377"/>
        <w:gridCol w:w="704"/>
        <w:gridCol w:w="226"/>
        <w:gridCol w:w="571"/>
        <w:gridCol w:w="109"/>
        <w:gridCol w:w="226"/>
        <w:gridCol w:w="571"/>
        <w:gridCol w:w="377"/>
        <w:gridCol w:w="704"/>
        <w:gridCol w:w="226"/>
        <w:gridCol w:w="688"/>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34060" cy="175260"/>
                      <wp:effectExtent l="0" t="0" r="0" b="0"/>
                      <wp:wrapNone/>
                      <wp:docPr id="107" name="Frame10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3510" cy="175260"/>
                      <wp:effectExtent l="0" t="0" r="0" b="0"/>
                      <wp:wrapNone/>
                      <wp:docPr id="108" name="Frame1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62585" cy="175260"/>
                      <wp:effectExtent l="0" t="0" r="0" b="0"/>
                      <wp:wrapNone/>
                      <wp:docPr id="109" name="Frame1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9395" cy="175260"/>
                      <wp:effectExtent l="0" t="0" r="0" b="0"/>
                      <wp:wrapNone/>
                      <wp:docPr id="110" name="Frame11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7040" cy="175260"/>
                      <wp:effectExtent l="0" t="0" r="0" b="0"/>
                      <wp:wrapNone/>
                      <wp:docPr id="111" name="Frame111"/>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3510" cy="175260"/>
                      <wp:effectExtent l="0" t="0" r="0" b="0"/>
                      <wp:wrapNone/>
                      <wp:docPr id="112"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2585" cy="175260"/>
                      <wp:effectExtent l="0" t="0" r="0" b="0"/>
                      <wp:wrapNone/>
                      <wp:docPr id="113" name="Frame1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3510" cy="175260"/>
                      <wp:effectExtent l="0" t="0" r="0" b="0"/>
                      <wp:wrapNone/>
                      <wp:docPr id="115" name="Frame1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6" name="Frame1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39395" cy="175260"/>
                      <wp:effectExtent l="0" t="0" r="0" b="0"/>
                      <wp:wrapNone/>
                      <wp:docPr id="117" name="Frame11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47040" cy="175260"/>
                      <wp:effectExtent l="0" t="0" r="0" b="0"/>
                      <wp:wrapNone/>
                      <wp:docPr id="118" name="Frame118"/>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6880" cy="175260"/>
                      <wp:effectExtent l="0" t="0" r="0" b="0"/>
                      <wp:wrapNone/>
                      <wp:docPr id="120" name="Frame12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26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27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15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81" w:type="dxa"/>
            <w:gridSpan w:val="2"/>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81" w:type="dxa"/>
            <w:gridSpan w:val="2"/>
            <w:tcBorders/>
            <w:vAlign w:val="center"/>
          </w:tcPr>
          <w:p>
            <w:pPr>
              <w:pStyle w:val="TableContents"/>
              <w:bidi w:val="0"/>
              <w:spacing w:before="0" w:after="0"/>
              <w:ind w:left="0" w:right="0" w:hanging="0"/>
              <w:jc w:val="center"/>
              <w:rPr/>
            </w:pPr>
            <w:r>
              <w:rPr/>
              <w:t>​</w:t>
            </w:r>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15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9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15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DANYELZA</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8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2,631</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Intangible assets are amortized on a straight-line basis based on a 10-year useful life of the assets. Annual amortization expense is expected to be $355,000 each year for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w:t>
      </w:r>
      <w:r>
        <w:rPr>
          <w:rFonts w:ascii="Times New Roman;Times;serif" w:hAnsi="Times New Roman;Times;serif"/>
          <w:b w:val="false"/>
          <w:i w:val="false"/>
          <w:caps w:val="false"/>
          <w:smallCaps w:val="false"/>
          <w:sz w:val="20"/>
        </w:rPr>
        <w:t>year</w:t>
      </w:r>
      <w:r>
        <w:rPr>
          <w:rFonts w:ascii="Times New Roman;Times;serif" w:hAnsi="Times New Roman;Times;serif"/>
          <w:sz w:val="20"/>
        </w:rPr>
        <w:t xml:space="preserve"> period from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2028</w:t>
      </w:r>
      <w:r>
        <w:rPr>
          <w:rFonts w:ascii="Times New Roman;Times;serif" w:hAnsi="Times New Roman;Times;serif"/>
          <w:sz w:val="20"/>
        </w:rPr>
        <w:t>, and $768,000 thereafter.</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4" w:name="Tc_oRRNZZ_6XUCNm_0Ca5Hm6A_10_5"/>
      <w:bookmarkStart w:id="625" w:name="Tc_0-WQRVb980mLutnYyShLQA_10_2"/>
      <w:bookmarkStart w:id="626" w:name="Tc_O1dAyjAKM0S3PmmKwSwe9Q_10_0"/>
      <w:bookmarkStart w:id="627" w:name="Tc_RxikX6k6UES94qsVF9jnjA_9_0"/>
      <w:bookmarkStart w:id="628" w:name="Tc_cyLG5qmKb0am9scr9ACuyQ_8_0"/>
      <w:bookmarkStart w:id="629" w:name="Tc_yYwl3G7yiE60Pxzm728K-w_7_0"/>
      <w:bookmarkStart w:id="630" w:name="Tc_-PqwBSIfqUOhvZ87GvHX5g_6_0"/>
      <w:bookmarkStart w:id="631" w:name="Tc_W9ONOi47NEqydY6fe9AveA_5_0"/>
      <w:bookmarkStart w:id="632" w:name="Tc_GXJJJ0Jq_0aldrXaSJb-PQ_4_5"/>
      <w:bookmarkStart w:id="633" w:name="Tc_EXMmo89E9USjnwqXKxrHMA_4_2"/>
      <w:bookmarkStart w:id="634" w:name="Tc_A-EgjKDZ9EmoFrUCbTgYAg_4_0"/>
      <w:bookmarkStart w:id="635" w:name="Tc_LpWiPoZkh0yS8aQbS2v5xQ_2_5"/>
      <w:bookmarkStart w:id="636" w:name="Tc_0OWToACY3kmHurzSUJMXDQ_2_2"/>
      <w:bookmarkStart w:id="637" w:name="Tc_Dry-NJVvR0m--M9uhpUSzg_1_5"/>
      <w:bookmarkStart w:id="638" w:name="Tc_8WEbalLRpkyW9YGpGZSVoQ_1_2"/>
      <w:bookmarkStart w:id="639" w:name="_a6717053_87cc_4519_a91c_896beaf2c287"/>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rPr>
          <w:rFonts w:ascii="Times New Roman;Times;serif" w:hAnsi="Times New Roman;Times;serif"/>
          <w:b/>
          <w:sz w:val="20"/>
        </w:rPr>
        <w:t>NOTE 8—ACCRUED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liabilities as of March 31, 2024 and December 31, 2023 are as follows (in thousands):</w:t>
      </w:r>
    </w:p>
    <w:tbl>
      <w:tblPr>
        <w:tblW w:w="7058" w:type="dxa"/>
        <w:jc w:val="left"/>
        <w:tblInd w:w="0" w:type="dxa"/>
        <w:tblLayout w:type="fixed"/>
        <w:tblCellMar>
          <w:top w:w="0" w:type="dxa"/>
          <w:left w:w="0" w:type="dxa"/>
          <w:bottom w:w="0" w:type="dxa"/>
          <w:right w:w="0" w:type="dxa"/>
        </w:tblCellMar>
      </w:tblPr>
      <w:tblGrid>
        <w:gridCol w:w="4321"/>
        <w:gridCol w:w="326"/>
        <w:gridCol w:w="242"/>
        <w:gridCol w:w="658"/>
        <w:gridCol w:w="326"/>
        <w:gridCol w:w="248"/>
        <w:gridCol w:w="93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743835" cy="175260"/>
                      <wp:effectExtent l="0" t="0" r="0" b="0"/>
                      <wp:wrapNone/>
                      <wp:docPr id="121" name="Frame12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3670" cy="175260"/>
                      <wp:effectExtent l="0" t="0" r="0" b="0"/>
                      <wp:wrapNone/>
                      <wp:docPr id="123" name="Frame1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17830" cy="175260"/>
                      <wp:effectExtent l="0" t="0" r="0" b="0"/>
                      <wp:wrapNone/>
                      <wp:docPr id="124" name="Frame12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7480" cy="175260"/>
                      <wp:effectExtent l="0" t="0" r="0" b="0"/>
                      <wp:wrapNone/>
                      <wp:docPr id="126" name="Frame126"/>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4995" cy="175260"/>
                      <wp:effectExtent l="0" t="0" r="0" b="0"/>
                      <wp:wrapNone/>
                      <wp:docPr id="127" name="Frame127"/>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8"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licensing, milestone and royalty payments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clinical costs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board fees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manufacturing costs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13,166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9—LICENSE AGREEMENTS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three license agreements and certain other agreements with Memorial Sloan Kettering Cancer Center (“MSK”). The license agreements include the MSK License Agreement, dated August 20, 2015, between the Company and MSK (the “MSK License”), and the CD33 License Agreement, dated November 13, 2017, between the Company and MSK (the “CD33 License”). Through the Settlement and Assumption and Assignment 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the Company entered into a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Times;serif" w:hAnsi="Times New Roman;Times;serif"/>
          <w:i/>
          <w:sz w:val="20"/>
        </w:rPr>
        <w:t>NOTE 8—ACCRUED LIABILITIES</w:t>
      </w:r>
      <w:r>
        <w:rPr>
          <w:rFonts w:ascii="Times New Roman;Times;serif" w:hAnsi="Times New Roman;Times;serif"/>
          <w:sz w:val="20"/>
        </w:rPr>
        <w:t xml:space="preserve"> for accrued licensing, milestone and royalty payments are inclusive of obligations under the MSK License Agreement, CD33 License Agreement, MabVax License Agreement and SADA License Agreement, collectively.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material license agreements are detailed in </w:t>
      </w:r>
      <w:r>
        <w:rPr>
          <w:rFonts w:ascii="Times New Roman;Times;serif" w:hAnsi="Times New Roman;Times;serif"/>
          <w:i/>
          <w:sz w:val="20"/>
        </w:rPr>
        <w:t>NOTE 9— LICENSE AGREEMENTS AND COMMITMENTS</w:t>
      </w:r>
      <w:r>
        <w:rPr>
          <w:rFonts w:ascii="Times New Roman;Times;serif" w:hAnsi="Times New Roman;Times;serif"/>
          <w:sz w:val="20"/>
        </w:rPr>
        <w:t xml:space="preserve"> to the Company’s audited consolidated financial statements included in the Company’s Annual Report on Form 10-K for the year ended December 31,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MSK License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MSK License Agreement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SADA License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SADA License Agreement, the Company was granted an exclusive worldwide, sublicensable license to MSK’s and MIT’s rights to certain patent and intellectual property to develop, make, and commercialize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licensed products and to perform services for all therapeutic and diagnostic uses in the field of cancer diagnostics and cancer treatments using the SADA PRIT Technology.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SADA License Agreement requires the Company to pay MSK and MIT mid to high single-digit royalties based on annual net sales of licensed products or the performance of licensed services by the Company and its affiliates and sublicensees. The Company is obligated to pay non-refundable annual minimum royalties of $40,000, increasing to $60,000 once a patent has been issued, over the royalty term, commencing on the tenth anniversary of the license agreement, which are creditable against royalty payments otherwise due under the SADA License Agreement. Pursuant to the SADA License Agreement, the Company is also obligated to pay MSK and MIT certain clinical, regulatory and sales-based milestone payments, which become due at the earlier of completion of the related milestone activity or the date indicated in the SADA License Agreement. The Company may terminate the SADA License Agreement with prior written notice.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recognize any expense related to milestones under the SADA License Agreement during the three months ended March 31, 2024 and 2023, respectively. The Company recognized an expense of $4,125,000 related to clinical milestones under the SADA License Agreement during the year ended December 31, 2023, as the Company determined certain time-based clinical milestones within the agreement are probable based on the availability of necessary data and the assessment of clinical progress during the year ended December 31, 2023. The Company had $4,125,000 in accrued liabilities as of March 31, 2024 and December 31, 2023. The Company made a payment of $605,000 in the year ended December 31, 2023 related to achievement of the milestone for dosing the first patient in the Phase 1 trial of GD2-SADA in April 2023. The Company did not make any payments under SADA License Agreement in the three months ended March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MSK License Agreement and the SADA License Agreement, in addition to any milestone payments, to the extent the Company enters into sublicense arrangements, it is obligated to pay to MSK, as indicated in MSK License Agreement, and MSK and MIT, as indicated in SADA License Agreement, a percentage of certain payments received from sublicensees of the rights licensed to it by MSK, or MSK and MIT, which percentage will be based upon the achievement of certain clinical milestones. See </w:t>
      </w:r>
      <w:r>
        <w:rPr>
          <w:rFonts w:ascii="Times New Roman;Times;serif" w:hAnsi="Times New Roman;Times;serif"/>
          <w:i/>
          <w:sz w:val="20"/>
        </w:rPr>
        <w:t>NOTE 3—SUMMARY OF SIGNIFICANT ACCOUNTING POLICIES</w:t>
      </w:r>
      <w:r>
        <w:rPr>
          <w:rFonts w:ascii="Times New Roman;Times;serif" w:hAnsi="Times New Roman;Times;serif"/>
          <w:sz w:val="20"/>
        </w:rPr>
        <w:t xml:space="preserve"> for sublicense agreements related to MSK License Agreements by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Failure by the Company to meet certain conditions under each arrangement could cause the related licenses to such licensed products to be canceled and could result in termination of the respective arrangement with MSK, or MSK and MIT.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640" w:name="Tc_-ckBEDimukW3nUHefwYv6Q_9_12"/>
      <w:bookmarkStart w:id="641" w:name="Tc_u7YrLjkuHEyXzqio8Q0Ttw_9_9"/>
      <w:bookmarkStart w:id="642" w:name="Tc__bgWynR8N0uMgfIKeV-l9Q_9_6"/>
      <w:bookmarkStart w:id="643" w:name="Tc_RKowy_pEl0i4VHSi2CTN1w_9_3"/>
      <w:bookmarkStart w:id="644" w:name="Tc_D_xkG9Kl5EmsOjPgvaK-tw_9_0"/>
      <w:bookmarkStart w:id="645" w:name="Tc_cLLdLNrUe0S08hSifSeZCg_8_21"/>
      <w:bookmarkStart w:id="646" w:name="Tc_YRC3BRHLX0aTrG4wBkrnEA_8_15"/>
      <w:bookmarkStart w:id="647" w:name="Tc_m1kVS4L030a1WEpCqgDE5g_8_12"/>
      <w:bookmarkStart w:id="648" w:name="Tc_RgBiFbu74kqpabCpPBPegg_8_9"/>
      <w:bookmarkStart w:id="649" w:name="Tc_5IVKW-zn206YsqhttI3IRw_8_6"/>
      <w:bookmarkStart w:id="650" w:name="Tc_JZmJOquNqUGzYEJX9EPXTQ_8_3"/>
      <w:bookmarkStart w:id="651" w:name="Tc_tM3oMv0sE0u8GJrIiSHfdA_8_0"/>
      <w:bookmarkStart w:id="652" w:name="Tc_f44UCWu-rkW7yr0-PZipYQ_7_23"/>
      <w:bookmarkStart w:id="653" w:name="Tc_WYUg7D_qHUqwxfAud_Ws1A_7_20"/>
      <w:bookmarkStart w:id="654" w:name="Tc_cQO8Hxg83E6-iEXOhAjqMw_7_17"/>
      <w:bookmarkStart w:id="655" w:name="Tc_CmXjSJiCKkSNl5VKyEyI8g_7_14"/>
      <w:bookmarkStart w:id="656" w:name="Tc_yiVH0RT_3k2cH83WMQ_R9g_7_11"/>
      <w:bookmarkStart w:id="657" w:name="Tc_hwPqF2upakqNUDilcuXlVg_7_8"/>
      <w:bookmarkStart w:id="658" w:name="Tc_bZPvuPpPWUebZ6WCi1F2hA_7_5"/>
      <w:bookmarkStart w:id="659" w:name="Tc__3ZoJd7e10qZdJMo-M9hMQ_7_2"/>
      <w:bookmarkStart w:id="660" w:name="Tc_zsuvGR3iHEObuJEITQ6CLw_7_0"/>
      <w:bookmarkStart w:id="661" w:name="Tc_imf4guapsUC-XaqbmwNkqw_6_23"/>
      <w:bookmarkStart w:id="662" w:name="Tc_LpIq26RPtkm-CYfijII2nQ_6_20"/>
      <w:bookmarkStart w:id="663" w:name="Tc_CNnONqpCXEiG8wAq_OLkKw_6_17"/>
      <w:bookmarkStart w:id="664" w:name="Tc_zsVqE7xKLEqpa_y63siQGA_6_14"/>
      <w:bookmarkStart w:id="665" w:name="Tc_VnncWBMalECU1FHphnDgqQ_6_11"/>
      <w:bookmarkStart w:id="666" w:name="Tc_l8rlPXe9hUC4z8uvaRekYQ_6_8"/>
      <w:bookmarkStart w:id="667" w:name="Tc__fWe6bZON0mcI13OQHu89g_6_5"/>
      <w:bookmarkStart w:id="668" w:name="Tc_o_Ho9Ci6M0yS-FEUgkZ3BA_6_2"/>
      <w:bookmarkStart w:id="669" w:name="Tc_jZZL271T5UezORQjJid4FQ_6_0"/>
      <w:bookmarkStart w:id="670" w:name="Tc_dJAbfVOUak2JoUmC5yruYQ_5_23"/>
      <w:bookmarkStart w:id="671" w:name="Tc_KKv3eeIPZki-VrzCTPxI4A_5_20"/>
      <w:bookmarkStart w:id="672" w:name="Tc_t3UWM0VtS0e3s47B-kEUJQ_5_17"/>
      <w:bookmarkStart w:id="673" w:name="Tc_8S-GoGskz0qy2629LnW4OQ_5_14"/>
      <w:bookmarkStart w:id="674" w:name="Tc_7UpuFKcSTE6lR4wGZCd_aQ_5_11"/>
      <w:bookmarkStart w:id="675" w:name="Tc_VEoYsuXSC0yFo0F7XfxyYA_5_8"/>
      <w:bookmarkStart w:id="676" w:name="Tc_oOIXWtI3IUyDCzzx-8CGEA_5_5"/>
      <w:bookmarkStart w:id="677" w:name="Tc_ItBe5Q3q2kSm_AF8sQbc9A_5_2"/>
      <w:bookmarkStart w:id="678" w:name="Tc_l4rGxSsBaEugsyX0OHcrpA_4_23"/>
      <w:bookmarkStart w:id="679" w:name="Tc_8aLBMLzTa0WMKR9wx6Mo9Q_4_20"/>
      <w:bookmarkStart w:id="680" w:name="Tc_T72-iwq0Tk6Pjni8kQyW_A_4_17"/>
      <w:bookmarkStart w:id="681" w:name="Tc__jSj7iGskUGMRK5OIDwq7A_4_14"/>
      <w:bookmarkStart w:id="682" w:name="Tc_LtkPN1ncOES0tYrr4t9SdA_4_11"/>
      <w:bookmarkStart w:id="683" w:name="Tc_x1oDOEwRgE2sKpVyWbPjMQ_4_8"/>
      <w:bookmarkStart w:id="684" w:name="Tc_wTuA4e-LCkaWY_OSCXcYoQ_4_5"/>
      <w:bookmarkStart w:id="685" w:name="Tc_FEJ9oYOjhkC5hd2CcZZ9Qw_4_2"/>
      <w:bookmarkStart w:id="686" w:name="Tc_qZc5kKMSm0u0fldXvi0kZQ_3_23"/>
      <w:bookmarkStart w:id="687" w:name="Tc_zwbX3opjtE2_l5QpeDlRmA_3_20"/>
      <w:bookmarkStart w:id="688" w:name="Tc_jGmqIEkEc0K_RGpNtndt0Q_3_17"/>
      <w:bookmarkStart w:id="689" w:name="Tc_W9H5ECnWGkWZnF8Fza7Y9A_3_14"/>
      <w:bookmarkStart w:id="690" w:name="Tc_9ZnDXrpVp0i7oc_xHTMiNQ_3_11"/>
      <w:bookmarkStart w:id="691" w:name="Tc_6msFTDMiB0KpSlS4rbu_FQ_3_8"/>
      <w:bookmarkStart w:id="692" w:name="Tc_b-UgecKrf0ynFArRPTWZ7w_3_5"/>
      <w:bookmarkStart w:id="693" w:name="Tc_bEOtjruvZkaJXyuwJ7TzKg_3_2"/>
      <w:bookmarkStart w:id="694" w:name="Tc_X3NBVDcIqkuZosVC--Npfg_2_23"/>
      <w:bookmarkStart w:id="695" w:name="Tc_ZzdRrfZk3USDE9wI2JT3AQ_2_20"/>
      <w:bookmarkStart w:id="696" w:name="Tc_oDYRgrN6Q0qeLjQ8B-9ylA_2_17"/>
      <w:bookmarkStart w:id="697" w:name="Tc_xOdXi4vtG0ae4ZO9On2gZA_2_14"/>
      <w:bookmarkStart w:id="698" w:name="Tc_B201z8P1KU6yMf50FSPGwA_2_11"/>
      <w:bookmarkStart w:id="699" w:name="Tc_sktHoSTXAUGmgGdzBhybsA_2_8"/>
      <w:bookmarkStart w:id="700" w:name="Tc_fp2qy0UXvEuWUKVjAM0lsw_2_5"/>
      <w:bookmarkStart w:id="701" w:name="Tc_4Bfa-77K7EuX8MhdUGedhg_2_2"/>
      <w:bookmarkStart w:id="702" w:name="Tc_YcGtVHM-hUW9Fntlj0Jiew_1_23"/>
      <w:bookmarkStart w:id="703" w:name="Tc_qz4ra51eGESWpVxNbUf_tg_1_20"/>
      <w:bookmarkStart w:id="704" w:name="Tc_YFmd83xlnk-X27hj6wJsuw_1_17"/>
      <w:bookmarkStart w:id="705" w:name="Tc_xDJN_OY7LEiZR7Qdp7fEqQ_1_14"/>
      <w:bookmarkStart w:id="706" w:name="Tc_i3ci8RvfKkKa_exMXj2_XQ_1_11"/>
      <w:bookmarkStart w:id="707" w:name="Tc_Sltqv15XR0q3862Sxk7GqQ_1_8"/>
      <w:bookmarkStart w:id="708" w:name="Tc_Prppy_0LCkq1otV52M-hAw_1_5"/>
      <w:bookmarkStart w:id="709" w:name="Tc_pCAlbvxc6UKD3ljxBh6jag_1_2"/>
      <w:bookmarkStart w:id="710" w:name="_3e9afc9a_f7d7_4aff_9671_daeca9f85410"/>
      <w:bookmarkStart w:id="711" w:name="Tc_7a4ju28cDkuk3Q_db--KNA_7_0"/>
      <w:bookmarkStart w:id="712" w:name="Tc_Fdq98EKZ1EO2nMRZsRx7Yg_6_9"/>
      <w:bookmarkStart w:id="713" w:name="Tc_ODIxI42qEU2GgTLFU5Hh_w_6_0"/>
      <w:bookmarkStart w:id="714" w:name="Tc_-DKmRhkHckusOARcrOb5Uw_5_0"/>
      <w:bookmarkStart w:id="715" w:name="Tc_S6JXItCiTU2jcve0mLM-zA_4_0"/>
      <w:bookmarkStart w:id="716" w:name="Tc_RDGfGkeOeEWzCBR9NDcs5w_3_8"/>
      <w:bookmarkStart w:id="717" w:name="Tc_DrijDUzBmkeFhWXtTlYY-A_3_5"/>
      <w:bookmarkStart w:id="718" w:name="Tc_blraAIyFmUq3y7Hh-qLO3Q_3_2"/>
      <w:bookmarkStart w:id="719" w:name="Tc_hlXLrbRPXkGuen6kLM0g2w_3_0"/>
      <w:bookmarkStart w:id="720" w:name="Tc_bxJTykTzvkSMhbsiiBd5Aw_2_8"/>
      <w:bookmarkStart w:id="721" w:name="Tc_SCeVCsnD2kmuNvt3_JHh0g_2_5"/>
      <w:bookmarkStart w:id="722" w:name="Tc_3a8BNzke5EGmxrLPmoTTLA_2_2"/>
      <w:bookmarkStart w:id="723" w:name="Tc_1xuo1IPZIEuMQ7aE18yR_w_1_8"/>
      <w:bookmarkStart w:id="724" w:name="Tc_ygmWIbMoBk6P3z-dhbAw0g_1_5"/>
      <w:bookmarkStart w:id="725" w:name="Tc_Tn_xkh4Zy0eR8gKyJnVbvQ_1_2"/>
      <w:bookmarkStart w:id="726" w:name="_faa1b2d3_50e3_42eb_8151_802cd4c2424c"/>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Pr>
          <w:rFonts w:ascii="Times New Roman;Times;serif" w:hAnsi="Times New Roman;Times;serif"/>
          <w:i/>
          <w:sz w:val="20"/>
        </w:rPr>
        <w:t>Summary of Significant License Agreements and Related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below table represents the maximum clinical, regulatory or sales-based milestones as reflected within the significant license agreements, certain of which have been paid in prior periods or are accrued as presented in the table below (in thousands):</w:t>
      </w:r>
    </w:p>
    <w:tbl>
      <w:tblPr>
        <w:tblW w:w="4871" w:type="dxa"/>
        <w:jc w:val="left"/>
        <w:tblInd w:w="0" w:type="dxa"/>
        <w:tblLayout w:type="fixed"/>
        <w:tblCellMar>
          <w:top w:w="0" w:type="dxa"/>
          <w:left w:w="0" w:type="dxa"/>
          <w:bottom w:w="0" w:type="dxa"/>
          <w:right w:w="0" w:type="dxa"/>
        </w:tblCellMar>
      </w:tblPr>
      <w:tblGrid>
        <w:gridCol w:w="1126"/>
        <w:gridCol w:w="326"/>
        <w:gridCol w:w="111"/>
        <w:gridCol w:w="745"/>
        <w:gridCol w:w="326"/>
        <w:gridCol w:w="121"/>
        <w:gridCol w:w="810"/>
        <w:gridCol w:w="326"/>
        <w:gridCol w:w="109"/>
        <w:gridCol w:w="87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15010" cy="175260"/>
                      <wp:effectExtent l="0" t="0" r="0" b="0"/>
                      <wp:wrapNone/>
                      <wp:docPr id="128" name="Frame12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0485" cy="175260"/>
                      <wp:effectExtent l="0" t="0" r="0" b="0"/>
                      <wp:wrapNone/>
                      <wp:docPr id="130" name="Frame13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73075" cy="175260"/>
                      <wp:effectExtent l="0" t="0" r="0" b="0"/>
                      <wp:wrapNone/>
                      <wp:docPr id="131" name="Frame131"/>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6835" cy="175260"/>
                      <wp:effectExtent l="0" t="0" r="0" b="0"/>
                      <wp:wrapNone/>
                      <wp:docPr id="133" name="Frame133"/>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14350" cy="175260"/>
                      <wp:effectExtent l="0" t="0" r="0" b="0"/>
                      <wp:wrapNone/>
                      <wp:docPr id="134" name="Frame13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53085" cy="175260"/>
                      <wp:effectExtent l="0" t="0" r="0" b="0"/>
                      <wp:wrapNone/>
                      <wp:docPr id="137" name="Frame13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26" w:type="dxa"/>
            <w:tcBorders/>
            <w:vAlign w:val="center"/>
          </w:tcPr>
          <w:p>
            <w:pPr>
              <w:pStyle w:val="TableContents"/>
              <w:bidi w:val="0"/>
              <w:spacing w:before="0" w:after="1"/>
              <w:ind w:left="0" w:right="0" w:hanging="0"/>
              <w:jc w:val="left"/>
              <w:rPr/>
            </w:pPr>
            <w:r>
              <w:rPr/>
              <w:t>    </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Clinical </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Regulatory</w:t>
            </w:r>
          </w:p>
        </w:tc>
        <w:tc>
          <w:tcPr>
            <w:tcW w:w="326" w:type="dxa"/>
            <w:tcBorders/>
            <w:vAlign w:val="center"/>
          </w:tcPr>
          <w:p>
            <w:pPr>
              <w:pStyle w:val="TableContents"/>
              <w:bidi w:val="0"/>
              <w:spacing w:before="0" w:after="1"/>
              <w:ind w:left="0" w:right="0" w:hanging="0"/>
              <w:jc w:val="left"/>
              <w:rPr/>
            </w:pPr>
            <w:r>
              <w:rPr/>
              <w:t>​</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Sales-based</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Agreements</w:t>
            </w:r>
          </w:p>
        </w:tc>
        <w:tc>
          <w:tcPr>
            <w:tcW w:w="326" w:type="dxa"/>
            <w:tcBorders/>
            <w:vAlign w:val="center"/>
          </w:tcPr>
          <w:p>
            <w:pPr>
              <w:pStyle w:val="TableContents"/>
              <w:bidi w:val="0"/>
              <w:spacing w:before="0" w:after="1"/>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1"/>
              <w:ind w:left="0" w:right="0" w:hanging="0"/>
              <w:jc w:val="left"/>
              <w:rPr/>
            </w:pPr>
            <w:r>
              <w:rPr/>
              <w:t>​</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Milestones</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MSK</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$ 2,450</w:t>
            </w:r>
          </w:p>
        </w:tc>
        <w:tc>
          <w:tcPr>
            <w:tcW w:w="326" w:type="dxa"/>
            <w:tcBorders/>
            <w:shd w:fill="CCEEFF" w:val="clear"/>
            <w:vAlign w:val="center"/>
          </w:tcPr>
          <w:p>
            <w:pPr>
              <w:pStyle w:val="TableContents"/>
              <w:bidi w:val="0"/>
              <w:spacing w:before="0" w:after="1"/>
              <w:ind w:left="0" w:right="0" w:hanging="0"/>
              <w:jc w:val="center"/>
              <w:rPr/>
            </w:pPr>
            <w:r>
              <w:rPr/>
              <w:t>​</w:t>
            </w:r>
          </w:p>
        </w:tc>
        <w:tc>
          <w:tcPr>
            <w:tcW w:w="12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$ 9,000</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$ 20,000</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CD33</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1"/>
              <w:ind w:left="0" w:right="0" w:hanging="0"/>
              <w:jc w:val="center"/>
              <w:rPr/>
            </w:pPr>
            <w:r>
              <w:rPr/>
              <w:t>​</w:t>
            </w:r>
          </w:p>
        </w:tc>
        <w:tc>
          <w:tcPr>
            <w:tcW w:w="12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7,500</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MabVax</w:t>
            </w:r>
          </w:p>
        </w:tc>
        <w:tc>
          <w:tcPr>
            <w:tcW w:w="326" w:type="dxa"/>
            <w:tcBorders/>
            <w:shd w:fill="CCEEFF" w:val="clear"/>
            <w:vAlign w:val="center"/>
          </w:tcPr>
          <w:p>
            <w:pPr>
              <w:pStyle w:val="TableContents"/>
              <w:bidi w:val="0"/>
              <w:spacing w:before="0" w:after="1"/>
              <w:ind w:left="0" w:right="0" w:hanging="0"/>
              <w:jc w:val="lef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center"/>
              <w:rPr/>
            </w:pPr>
            <w:r>
              <w:rPr/>
              <w:t>​</w:t>
            </w:r>
          </w:p>
        </w:tc>
        <w:tc>
          <w:tcPr>
            <w:tcW w:w="121" w:type="dxa"/>
            <w:tcBorders/>
            <w:shd w:fill="CCEEFF" w:val="clear"/>
            <w:vAlign w:val="center"/>
          </w:tcPr>
          <w:p>
            <w:pPr>
              <w:pStyle w:val="TableContents"/>
              <w:bidi w:val="0"/>
              <w:spacing w:before="0" w:after="1"/>
              <w:ind w:left="0" w:right="0" w:hanging="0"/>
              <w:jc w:val="center"/>
              <w:rPr/>
            </w:pPr>
            <w:r>
              <w:rPr/>
              <w:t>​</w:t>
            </w:r>
          </w:p>
        </w:tc>
        <w:tc>
          <w:tcPr>
            <w:tcW w:w="81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1,200</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71" w:type="dxa"/>
            <w:tcBorders/>
            <w:shd w:fill="CCEEFF" w:val="clear"/>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SADA</w:t>
            </w:r>
          </w:p>
        </w:tc>
        <w:tc>
          <w:tcPr>
            <w:tcW w:w="326" w:type="dxa"/>
            <w:tcBorders/>
            <w:vAlign w:val="center"/>
          </w:tcPr>
          <w:p>
            <w:pPr>
              <w:pStyle w:val="TableContents"/>
              <w:bidi w:val="0"/>
              <w:spacing w:before="0" w:after="1"/>
              <w:ind w:left="0" w:right="0" w:hanging="0"/>
              <w:jc w:val="left"/>
              <w:rPr/>
            </w:pPr>
            <w:r>
              <w:rPr/>
              <w:t>​</w:t>
            </w:r>
          </w:p>
        </w:tc>
        <w:tc>
          <w:tcPr>
            <w:tcW w:w="111"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4,730</w:t>
            </w:r>
          </w:p>
        </w:tc>
        <w:tc>
          <w:tcPr>
            <w:tcW w:w="326" w:type="dxa"/>
            <w:tcBorders/>
            <w:vAlign w:val="center"/>
          </w:tcPr>
          <w:p>
            <w:pPr>
              <w:pStyle w:val="TableContents"/>
              <w:bidi w:val="0"/>
              <w:spacing w:before="0" w:after="1"/>
              <w:ind w:left="0" w:right="0" w:hanging="0"/>
              <w:jc w:val="center"/>
              <w:rPr/>
            </w:pPr>
            <w:r>
              <w:rPr/>
              <w:t>​</w:t>
            </w:r>
          </w:p>
        </w:tc>
        <w:tc>
          <w:tcPr>
            <w:tcW w:w="121"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18,125</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23,750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below table represents all obligations pertaining to the significant license agreements that have been paid, expensed, or accrued for during the three months ended March 31, 2024 and 2023, and as of March 31, 2024 and December 31, 2023 (in thousands):</w:t>
      </w:r>
    </w:p>
    <w:tbl>
      <w:tblPr>
        <w:tblW w:w="9899" w:type="dxa"/>
        <w:jc w:val="left"/>
        <w:tblInd w:w="0" w:type="dxa"/>
        <w:tblLayout w:type="fixed"/>
        <w:tblCellMar>
          <w:top w:w="0" w:type="dxa"/>
          <w:left w:w="0" w:type="dxa"/>
          <w:bottom w:w="0" w:type="dxa"/>
          <w:right w:w="0" w:type="dxa"/>
        </w:tblCellMar>
      </w:tblPr>
      <w:tblGrid>
        <w:gridCol w:w="1126"/>
        <w:gridCol w:w="326"/>
        <w:gridCol w:w="196"/>
        <w:gridCol w:w="511"/>
        <w:gridCol w:w="326"/>
        <w:gridCol w:w="196"/>
        <w:gridCol w:w="511"/>
        <w:gridCol w:w="326"/>
        <w:gridCol w:w="196"/>
        <w:gridCol w:w="511"/>
        <w:gridCol w:w="326"/>
        <w:gridCol w:w="196"/>
        <w:gridCol w:w="511"/>
        <w:gridCol w:w="109"/>
        <w:gridCol w:w="196"/>
        <w:gridCol w:w="511"/>
        <w:gridCol w:w="326"/>
        <w:gridCol w:w="204"/>
        <w:gridCol w:w="532"/>
        <w:gridCol w:w="326"/>
        <w:gridCol w:w="240"/>
        <w:gridCol w:w="630"/>
        <w:gridCol w:w="326"/>
        <w:gridCol w:w="240"/>
        <w:gridCol w:w="630"/>
        <w:gridCol w:w="37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15010" cy="175260"/>
                      <wp:effectExtent l="0" t="0" r="0" b="0"/>
                      <wp:wrapNone/>
                      <wp:docPr id="138" name="Frame13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24485" cy="175260"/>
                      <wp:effectExtent l="0" t="0" r="0" b="0"/>
                      <wp:wrapNone/>
                      <wp:docPr id="141" name="Frame1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24485" cy="175260"/>
                      <wp:effectExtent l="0" t="0" r="0" b="0"/>
                      <wp:wrapNone/>
                      <wp:docPr id="144" name="Frame1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6"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24485" cy="175260"/>
                      <wp:effectExtent l="0" t="0" r="0" b="0"/>
                      <wp:wrapNone/>
                      <wp:docPr id="147" name="Frame1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49"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24485" cy="175260"/>
                      <wp:effectExtent l="0" t="0" r="0" b="0"/>
                      <wp:wrapNone/>
                      <wp:docPr id="150" name="Frame1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24485" cy="175260"/>
                      <wp:effectExtent l="0" t="0" r="0" b="0"/>
                      <wp:wrapNone/>
                      <wp:docPr id="153" name="Frame15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9540" cy="175260"/>
                      <wp:effectExtent l="0" t="0" r="0" b="0"/>
                      <wp:wrapNone/>
                      <wp:docPr id="155" name="Frame155"/>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37820" cy="175260"/>
                      <wp:effectExtent l="0" t="0" r="0" b="0"/>
                      <wp:wrapNone/>
                      <wp:docPr id="156" name="Frame15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2400" cy="175260"/>
                      <wp:effectExtent l="0" t="0" r="0" b="0"/>
                      <wp:wrapNone/>
                      <wp:docPr id="158" name="Frame15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00050" cy="175260"/>
                      <wp:effectExtent l="0" t="0" r="0" b="0"/>
                      <wp:wrapNone/>
                      <wp:docPr id="159" name="Frame159"/>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2400" cy="175260"/>
                      <wp:effectExtent l="0" t="0" r="0" b="0"/>
                      <wp:wrapNone/>
                      <wp:docPr id="161" name="Frame1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00050" cy="175260"/>
                      <wp:effectExtent l="0" t="0" r="0" b="0"/>
                      <wp:wrapNone/>
                      <wp:docPr id="162" name="Frame162"/>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5585" cy="175260"/>
                      <wp:effectExtent l="0" t="0" r="0" b="0"/>
                      <wp:wrapNone/>
                      <wp:docPr id="163" name="Frame16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Cash paid</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Cash paid</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Expense</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26" w:type="dxa"/>
            <w:tcBorders/>
            <w:vAlign w:val="center"/>
          </w:tcPr>
          <w:p>
            <w:pPr>
              <w:pStyle w:val="TableContents"/>
              <w:bidi w:val="0"/>
              <w:spacing w:before="0" w:after="1"/>
              <w:ind w:left="0" w:right="0" w:hanging="0"/>
              <w:jc w:val="left"/>
              <w:rPr/>
            </w:pPr>
            <w:r>
              <w:rPr/>
              <w:t>    </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Accrued</w:t>
            </w:r>
          </w:p>
        </w:tc>
        <w:tc>
          <w:tcPr>
            <w:tcW w:w="371" w:type="dxa"/>
            <w:tcBorders/>
            <w:vAlign w:val="center"/>
          </w:tcPr>
          <w:p>
            <w:pPr>
              <w:pStyle w:val="TableContents"/>
              <w:bidi w:val="0"/>
              <w:spacing w:before="0" w:after="1"/>
              <w:ind w:left="0" w:right="0" w:hanging="0"/>
              <w:jc w:val="left"/>
              <w:rPr/>
            </w:pPr>
            <w:r>
              <w:rPr/>
              <w:t>    </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three</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26" w:type="dxa"/>
            <w:tcBorders/>
            <w:vAlign w:val="center"/>
          </w:tcPr>
          <w:p>
            <w:pPr>
              <w:pStyle w:val="TableContents"/>
              <w:bidi w:val="0"/>
              <w:spacing w:before="0" w:after="1"/>
              <w:ind w:left="0" w:right="0" w:hanging="0"/>
              <w:jc w:val="left"/>
              <w:rPr/>
            </w:pPr>
            <w:r>
              <w:rPr/>
              <w:t>    </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liabilities</w:t>
            </w:r>
          </w:p>
        </w:tc>
        <w:tc>
          <w:tcPr>
            <w:tcW w:w="371" w:type="dxa"/>
            <w:tcBorders/>
            <w:vAlign w:val="center"/>
          </w:tcPr>
          <w:p>
            <w:pPr>
              <w:pStyle w:val="TableContents"/>
              <w:bidi w:val="0"/>
              <w:spacing w:before="0" w:after="1"/>
              <w:ind w:left="0" w:right="0" w:hanging="0"/>
              <w:jc w:val="left"/>
              <w:rPr/>
            </w:pPr>
            <w:r>
              <w:rPr/>
              <w:t>    </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months</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current</w:t>
            </w:r>
          </w:p>
        </w:tc>
        <w:tc>
          <w:tcPr>
            <w:tcW w:w="326" w:type="dxa"/>
            <w:tcBorders/>
            <w:vAlign w:val="center"/>
          </w:tcPr>
          <w:p>
            <w:pPr>
              <w:pStyle w:val="TableContents"/>
              <w:bidi w:val="0"/>
              <w:spacing w:before="0" w:after="1"/>
              <w:ind w:left="0" w:right="0" w:hanging="0"/>
              <w:jc w:val="left"/>
              <w:rPr/>
            </w:pPr>
            <w:r>
              <w:rPr/>
              <w:t>​</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non-current</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current</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non-current</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ended</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as of</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326" w:type="dxa"/>
            <w:tcBorders/>
            <w:vAlign w:val="center"/>
          </w:tcPr>
          <w:p>
            <w:pPr>
              <w:pStyle w:val="TableContents"/>
              <w:bidi w:val="0"/>
              <w:spacing w:before="0" w:after="1"/>
              <w:ind w:left="0" w:right="0" w:hanging="0"/>
              <w:jc w:val="left"/>
              <w:rPr/>
            </w:pPr>
            <w:r>
              <w:rPr/>
              <w:t>​</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March 31, </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December 31, </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December 31, </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Agreements</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1"/>
              <w:ind w:left="0" w:right="0" w:hanging="0"/>
              <w:jc w:val="left"/>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MSK</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1,459</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2,452</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CD33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w:t>
            </w:r>
          </w:p>
        </w:tc>
        <w:tc>
          <w:tcPr>
            <w:tcW w:w="371" w:type="dxa"/>
            <w:tcBorders/>
            <w:vAlign w:val="center"/>
          </w:tcPr>
          <w:p>
            <w:pPr>
              <w:pStyle w:val="TableContents"/>
              <w:bidi w:val="0"/>
              <w:spacing w:before="0" w:after="1"/>
              <w:ind w:left="0" w:right="0" w:hanging="0"/>
              <w:jc w:val="left"/>
              <w:rPr/>
            </w:pPr>
            <w:r>
              <w:rPr/>
              <w:t>​</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SADA</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3,125</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Minimum royalties and certain clinical, regulatory and sales milestones that become due based upon the passage of time under the MSK License Agreement, CD33 License Agreement, the MabVax Agreement, and the SADA License Agreement are excluded from the above table as the Company does not consider such obligations to be probable as of March 31, 2024 and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is inherently uncertain and should such research and development fail, the MSK License Agreement, the CD33 License Agreement, the SADA License Agreement and the MabVax License Agreement as well as the MabVax/Y-mAbs Sublicense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February 2019, the Company entered into a lease agreement in connection with the Company’s 4,548 square feet laboratory in New Jersey. In December 2019, the Company expanded the space with an additional 235 square feet. The original term of the lease was three years from the date the Company occupied the premises, with an option to extend for an additional two years which was to expire in January 2024, which the Company exercised and had included in the determination of the related lease liability. In July 2023, the Company entered into a lease amendment to extend the term to February 2025. Fixed rent payable under the lease is approximately $177,000 per annum and is payable in equal monthly installments of approximately $15,000 per month.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2018, the Company entered into a lease agreement in connection with the Company’s corporate headquarters in New York. The term of the lease was six years from the date the Company began to occupy the premises and the lease was to expire in April 2024. In August 2023, the Company entered into a lease amendment to extend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27" w:name="Tc_O3Vg5HDzRkWY2gHwArLPwQ_9_5"/>
      <w:bookmarkStart w:id="728" w:name="Tc_OqLtYOb0hEKfjA9mtOtjIQ_9_2"/>
      <w:bookmarkStart w:id="729" w:name="Tc_NBXIaPIZh0WfA5cW82KHcg_8_0"/>
      <w:bookmarkStart w:id="730" w:name="Tc_l--vYRv4YkSdAmuOdbngrg_7_0"/>
      <w:bookmarkStart w:id="731" w:name="Tc_XPHc_mDDbUuEG1O5-E_F_Q_6_0"/>
      <w:bookmarkStart w:id="732" w:name="Tc_qzPNVkWiwUqj3rEXL5c3MQ_5_3"/>
      <w:bookmarkStart w:id="733" w:name="Tc_wcoJZOJEJkyqG8MlmDsBLw_5_0"/>
      <w:bookmarkStart w:id="734" w:name="Tc_9gbLIajMpUi-GfPmBWY0Vg_4_0"/>
      <w:bookmarkStart w:id="735" w:name="Tc_s_Lyj9QG0E6Ah3GYD7aygw_3_6"/>
      <w:bookmarkStart w:id="736" w:name="Tc_IagAMBUzDEWdTdSlByX8iQ_3_5"/>
      <w:bookmarkStart w:id="737" w:name="Tc_JFXcHyJszUSLlamsvk7tGQ_3_2"/>
      <w:bookmarkStart w:id="738" w:name="Tc_fFok8nW1m0GUKxopMjnoyg_3_0"/>
      <w:bookmarkStart w:id="739" w:name="Tc_SKiAxcoA10KlbJbm8LSo2Q_2_5"/>
      <w:bookmarkStart w:id="740" w:name="Tc_W3Uoks5FrkOuDwk5ZOWRrw_2_2"/>
      <w:bookmarkStart w:id="741" w:name="_0d59702f_2d53_4ac0_bf51_3528e21d5db1"/>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ascii="Times New Roman;Times;serif" w:hAnsi="Times New Roman;Times;serif"/>
          <w:sz w:val="20"/>
        </w:rPr>
        <w:t>term to April 2025. Fixed rent payable under the lease is approximately $408,000 per annum and is payable in equal monthly installments of approximately $34,000.</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notified the landlord of the intention to reduce the leased premise as a result of the Company’s strategic restructuring. The lease modification resulted in an immaterial charge in the year ended December 31, 2023.</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Total operating lease costs were $246,000 and $340,000 for the three months ended March 31, 2024 and 2023,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the expenses were recorded as $168,000 in research and development expense and $78,000 in selling, general, and administrative expense. During the three months ended March 31, 2023, the expenses were recorded as $283,000 in research and development expense and $57,000 in selling, general, and administrative expense. Cash paid for amounts included in the measurement of lease liabilities for the three months ended March 31, 2024 and 2023 was $251,000 and $259,000, respectively, and was included in net cash used in operating activities in the Company’s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Maturities of operating lease liabilities as of March 31, 2024 and December 31, 2023 were as follows (in thousands):</w:t>
      </w:r>
    </w:p>
    <w:tbl>
      <w:tblPr>
        <w:tblW w:w="7233" w:type="dxa"/>
        <w:jc w:val="left"/>
        <w:tblInd w:w="0" w:type="dxa"/>
        <w:tblLayout w:type="fixed"/>
        <w:tblCellMar>
          <w:top w:w="0" w:type="dxa"/>
          <w:left w:w="0" w:type="dxa"/>
          <w:bottom w:w="0" w:type="dxa"/>
          <w:right w:w="0" w:type="dxa"/>
        </w:tblCellMar>
      </w:tblPr>
      <w:tblGrid>
        <w:gridCol w:w="3991"/>
        <w:gridCol w:w="326"/>
        <w:gridCol w:w="340"/>
        <w:gridCol w:w="921"/>
        <w:gridCol w:w="109"/>
        <w:gridCol w:w="362"/>
        <w:gridCol w:w="1184"/>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534285" cy="175260"/>
                      <wp:effectExtent l="0" t="0" r="0" b="0"/>
                      <wp:wrapNone/>
                      <wp:docPr id="164" name="Frame164"/>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5900" cy="175260"/>
                      <wp:effectExtent l="0" t="0" r="0" b="0"/>
                      <wp:wrapNone/>
                      <wp:docPr id="166" name="Frame16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84835" cy="175260"/>
                      <wp:effectExtent l="0" t="0" r="0" b="0"/>
                      <wp:wrapNone/>
                      <wp:docPr id="167" name="Frame16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870" cy="175260"/>
                      <wp:effectExtent l="0" t="0" r="0" b="0"/>
                      <wp:wrapNone/>
                      <wp:docPr id="169" name="Frame16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51840" cy="175260"/>
                      <wp:effectExtent l="0" t="0" r="0" b="0"/>
                      <wp:wrapNone/>
                      <wp:docPr id="170" name="Frame170"/>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70" w:type="dxa"/>
            <w:gridSpan w:val="3"/>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109"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1"/>
              <w:ind w:left="0" w:right="0" w:hanging="0"/>
              <w:jc w:val="right"/>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Years ending December 31, </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1184"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11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vAlign w:val="center"/>
          </w:tcPr>
          <w:p>
            <w:pPr>
              <w:pStyle w:val="TableContents"/>
              <w:bidi w:val="0"/>
              <w:spacing w:before="0" w:after="1"/>
              <w:ind w:left="0" w:right="0" w:hanging="0"/>
              <w:jc w:val="righ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109"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11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1"/>
              <w:ind w:left="0" w:right="0" w:hanging="0"/>
              <w:jc w:val="righ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 as of period end</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c>
          <w:tcPr>
            <w:tcW w:w="109" w:type="dxa"/>
            <w:tcBorders/>
            <w:shd w:fill="CCEEFF" w:val="clear"/>
            <w:vAlign w:val="center"/>
          </w:tcPr>
          <w:p>
            <w:pPr>
              <w:pStyle w:val="TableContents"/>
              <w:bidi w:val="0"/>
              <w:spacing w:before="0" w:after="1"/>
              <w:ind w:left="0" w:right="0" w:hanging="0"/>
              <w:jc w:val="righ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1,419</w:t>
            </w:r>
          </w:p>
        </w:tc>
      </w:tr>
    </w:tbl>
    <w:p>
      <w:pPr>
        <w:pStyle w:val="TextBody"/>
        <w:bidi w:val="0"/>
        <w:spacing w:before="0" w:after="24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Operating lease liabilities are based on the net present value of the remaining lease payments over the remaining lease term. In determining the present value of lease payments, the Company estimates the incremental borrowing rate based on the information available at the lease commencement date. As of March 31, 2024, the weighted average remaining lease term was 1.37 years and the weighted average discount rate used to determine the operating lease liability was 8.3%. As of December 31, 2023, the weighted average remaining lease term is 1.61 years and the weighted average discount rate used to determine the operating lease liability was 8.3%.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Legal Matters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Donoghue vs. Y-mAbs Therapeutics, Inc., and Gad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On February 1, 2024, both the Plaintiff and Mr. Gad filed their respective motions for summary judgment.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 re Y-mAbs Therapeutics, Inc. Securities Litigation</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September 29, 2023, the defendants’ motion to dismiss the amended complaint was fully briefed. On February 5, 2024, the Court granted in part and denied in part the defendants’ motion to dismiss. The Court dismissed the plaintiff’s claims relating to three of four categories of challenged statements and dismissed in part plaintiff’s claims relating to the fourth category of challenged statements. The Court also dismissed one of the individual defendants from the case. The Company believes that the remaining claims are without merit and intends to vigorously defend against these claims. The Company has not established a liability for this claim as of March 31, 2024 as the Company does not consider a loss on the claim to be probable.</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Hazelton vs. Y-mAbs Therapeutics Inc., and Gad, et al.</w:t>
      </w:r>
    </w:p>
    <w:p>
      <w:pPr>
        <w:pStyle w:val="TextBody"/>
        <w:bidi w:val="0"/>
        <w:spacing w:before="0" w:after="240"/>
        <w:ind w:left="0" w:right="0" w:hanging="0"/>
        <w:jc w:val="left"/>
        <w:rPr/>
      </w:pPr>
      <w:r>
        <w:rPr/>
        <w:t>​</w:t>
      </w:r>
    </w:p>
    <w:p>
      <w:pPr>
        <w:pStyle w:val="TextBody"/>
        <w:bidi w:val="0"/>
        <w:spacing w:before="0" w:after="0"/>
        <w:ind w:left="0" w:right="0" w:firstLine="851"/>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Defendants’ motion to dismiss the amended complaint was fully briefed as of September 8, 2023. On April 3, 2024, the parties informed the Court that they had agreed to resolve the matter on mootness grounds and hoped to reach agreement on formal documentation. The Company has not established a liability for this claim as of March 31, 2024 as the Company does not consider a loss on the claim to be estimable.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Company has authorized a total of 105,500,000 shares, 100,000,000 of which are common stock, par value $0.0001 per share, and 5,500,000 of which are preferred stock, par value $0.0001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43,852,638 shares and 43,672,112 shares of common stock as of March 31, 2024 and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March 31, 2024 or December 31, 2023.</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2015 Equity Incentive Plan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subsidiary corporations’ employees and consultants. A total of 4,500,000</w:t>
      </w:r>
      <w:r>
        <w:rPr>
          <w:rFonts w:ascii="Times New Roman;Times;serif" w:hAnsi="Times New Roman;Times;serif"/>
          <w:sz w:val="24"/>
        </w:rPr>
        <w:t xml:space="preserve"> </w:t>
      </w:r>
      <w:r>
        <w:rPr>
          <w:rFonts w:ascii="Times New Roman;Times;serif" w:hAnsi="Times New Roman;Times;serif"/>
          <w:sz w:val="20"/>
        </w:rPr>
        <w:t>shares of the Company’s common stock were reserved for issuance pursuant to the 2015 Plan. Options granted under the 2015 Plan vest according to the schedule specified in the grant agreements, which is generally a four-year</w:t>
      </w:r>
      <w:r>
        <w:rPr>
          <w:rFonts w:ascii="Times New Roman;Times;serif" w:hAnsi="Times New Roman;Times;serif"/>
          <w:sz w:val="24"/>
        </w:rPr>
        <w:t xml:space="preserve"> </w:t>
      </w:r>
      <w:r>
        <w:rPr>
          <w:rFonts w:ascii="Times New Roman;Times;serif" w:hAnsi="Times New Roman;Times;serif"/>
          <w:sz w:val="20"/>
        </w:rPr>
        <w:t>period and generally become immediately exercisable upon the occurrence of a change in control, as defined. Upon the 2018 Equity Incentive Plan (the “2018 Plan”) becoming effective in September 2018, no further grants are allowed under the 2015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Equity Incentive Plan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board of directors and stockholders approved and adopted the 2018 Equity Incentive Plan (the “2018 Plan”) in connection with the Company’s initial public offering in September 2018. However, options outstanding under the 2015 Plan continue to be governed by the 2015 Plan.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including performance-based restricted stock units (“PRSUs”),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through 2029, equal to 4% of the outstanding shares of common stock as of the last day of the Company’s immediately preceding fiscal year or by a lesser amount determined by the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42" w:name="Tc_27g9whIIyEaVeQpmWpxKCQ_8_2"/>
      <w:bookmarkStart w:id="743" w:name="Tc_LdpUbTIlM02buj1ADvrP_A_8_0"/>
      <w:bookmarkStart w:id="744" w:name="Tc_pFza5CT7GEG-Ud44ST6Ihg_7_0"/>
      <w:bookmarkStart w:id="745" w:name="Tc_HTvmxeYwSE-jjV9WYMqPsw_6_0"/>
      <w:bookmarkStart w:id="746" w:name="Tc_ILWvNjbzukCTVseyXe46ug_5_2"/>
      <w:bookmarkStart w:id="747" w:name="Tc_UQqOKdU4nUSKshuo8f9kEw_5_0"/>
      <w:bookmarkStart w:id="748" w:name="Tc_-M8U3F0ZmUufD1tLvUJk6A_4_0"/>
      <w:bookmarkStart w:id="749" w:name="Tc_QeWQwzY1l0Gxiya1DhYVhg_3_5"/>
      <w:bookmarkStart w:id="750" w:name="Tc_UZF7sFILEkaV5ILY7olr3w_3_2"/>
      <w:bookmarkStart w:id="751" w:name="Tc_lLRq7kDdK0SwtPxIvKwMlw_2_5"/>
      <w:bookmarkStart w:id="752" w:name="Tc_x06cJ6_Oh0G7VY3-vS9K4A_2_2"/>
      <w:bookmarkStart w:id="753" w:name="Tc_bpFHhKLNGkSEaOykKzfW2g_1_2"/>
      <w:bookmarkStart w:id="754" w:name="_00f45fbf_851c_41d9_a8a6_eb9a204461c9"/>
      <w:bookmarkStart w:id="755" w:name="Tc_PC8xrIgXgE6vaLqTGitd2A_12_5"/>
      <w:bookmarkStart w:id="756" w:name="Tc_qm521zSJqkmZswepU_JFow_12_2"/>
      <w:bookmarkStart w:id="757" w:name="Tc_w2Emrap7MUeDQfE7zsdRkQ_12_0"/>
      <w:bookmarkStart w:id="758" w:name="Tc_os9sZWB8DUSlSL9uTNwoAw_11_0"/>
      <w:bookmarkStart w:id="759" w:name="Tc_RuFZkuREN0GtHIKYskfVxQ_10_5"/>
      <w:bookmarkStart w:id="760" w:name="Tc_fLVwym8aS06QYurUaGjUGw_10_2"/>
      <w:bookmarkStart w:id="761" w:name="Tc_LMDXiVcJv0ehe_-09GMheA_10_0"/>
      <w:bookmarkStart w:id="762" w:name="Tc_97on6WSMckSjDhNGLDk4Ag_9_0"/>
      <w:bookmarkStart w:id="763" w:name="Tc_ab0GAQCMOUSD-jFZ7iMTJw_7_5"/>
      <w:bookmarkStart w:id="764" w:name="Tc_1FNVtIXHFkajwtgacneBsg_7_2"/>
      <w:bookmarkStart w:id="765" w:name="Tc_CCp0S66X5km502SukJMOHQ_7_0"/>
      <w:bookmarkStart w:id="766" w:name="Tc_lfQifCkUxk2eI4Vw-vZA2g_6_0"/>
      <w:bookmarkStart w:id="767" w:name="Tc_F7-pWxc1D0WkTUt7MUxZpw_5_6"/>
      <w:bookmarkStart w:id="768" w:name="Tc_9BarvCZ8s0mj5OBa6SDUxw_5_0"/>
      <w:bookmarkStart w:id="769" w:name="Tc_wPIDZHoTLUmPeKhsY8Bc8A_4_5"/>
      <w:bookmarkStart w:id="770" w:name="Tc_zUTNlWilUEuy1oTLV4Ab_A_4_2"/>
      <w:bookmarkStart w:id="771" w:name="Tc_MahoPj6o206gX1hCk4FjWA_4_0"/>
      <w:bookmarkStart w:id="772" w:name="Tc_lbYIrb2RWkmimUCWmJfFPQ_3_0"/>
      <w:bookmarkStart w:id="773" w:name="Tc_Slvd7i5ngUeC10z7e-hsaQ_2_5"/>
      <w:bookmarkStart w:id="774" w:name="Tc_wzv47Rec9USTq3hvVwAfEA_2_2"/>
      <w:bookmarkStart w:id="775" w:name="Tc_pxA8kroLk0SQIrIFK6fMmQ_1_2"/>
      <w:bookmarkStart w:id="776" w:name="_15f3a6c0_78a6_44a1_9977_6258b59f8c4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sz w:val="20"/>
        </w:rPr>
        <w:t>directors. As of March 31, 2024, the Company had 3,106,029 shares available for grant under the 2018 Equity Incentive Plan.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exercise price of options granted under the plans must at least be equal to the fair market value of the Company’s common stock on the date of grant. The term of an incentive stock option may not exceed 10 years, except that with respect to any participant who owns more than 10%</w:t>
      </w:r>
      <w:r>
        <w:rPr>
          <w:rFonts w:ascii="Times New Roman;Times;serif" w:hAnsi="Times New Roman;Times;serif"/>
          <w:sz w:val="24"/>
        </w:rPr>
        <w:t xml:space="preserve"> </w:t>
      </w:r>
      <w:r>
        <w:rPr>
          <w:rFonts w:ascii="Times New Roman;Times;serif" w:hAnsi="Times New Roman;Times;serif"/>
          <w:sz w:val="20"/>
        </w:rPr>
        <w:t>of the voting power of all classes of the Company’s outstanding stock, the term must not exceed five years</w:t>
      </w:r>
      <w:r>
        <w:rPr>
          <w:rFonts w:ascii="Times New Roman;Times;serif" w:hAnsi="Times New Roman;Times;serif"/>
          <w:sz w:val="24"/>
        </w:rPr>
        <w:t xml:space="preserve"> </w:t>
      </w:r>
      <w:r>
        <w:rPr>
          <w:rFonts w:ascii="Times New Roman;Times;serif" w:hAnsi="Times New Roman;Times;serif"/>
          <w:sz w:val="20"/>
        </w:rPr>
        <w:t>and the exercise price must equal at least 110%</w:t>
      </w:r>
      <w:r>
        <w:rPr>
          <w:rFonts w:ascii="Times New Roman;Times;serif" w:hAnsi="Times New Roman;Times;serif"/>
          <w:sz w:val="24"/>
        </w:rPr>
        <w:t xml:space="preserve"> </w:t>
      </w:r>
      <w:r>
        <w:rPr>
          <w:rFonts w:ascii="Times New Roman;Times;serif" w:hAnsi="Times New Roman;Times;serif"/>
          <w:sz w:val="20"/>
        </w:rPr>
        <w:t xml:space="preserve">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between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and four years</w:t>
      </w:r>
      <w:r>
        <w:rPr>
          <w:rFonts w:ascii="Times New Roman;Times;serif" w:hAnsi="Times New Roman;Times;serif"/>
          <w:sz w:val="24"/>
        </w:rPr>
        <w:t xml:space="preserve"> </w:t>
      </w:r>
      <w:r>
        <w:rPr>
          <w:rFonts w:ascii="Times New Roman;Times;serif" w:hAnsi="Times New Roman;Times;serif"/>
          <w:sz w:val="20"/>
        </w:rPr>
        <w:t>and generally become immediately exercisable upon the occurrence of a change in control, as defined in the Plan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and 2023, the Company recognized the following stock-based compensation expense (in thousands):</w:t>
      </w:r>
    </w:p>
    <w:tbl>
      <w:tblPr>
        <w:tblW w:w="6424" w:type="dxa"/>
        <w:jc w:val="left"/>
        <w:tblInd w:w="0" w:type="dxa"/>
        <w:tblLayout w:type="fixed"/>
        <w:tblCellMar>
          <w:top w:w="0" w:type="dxa"/>
          <w:left w:w="0" w:type="dxa"/>
          <w:bottom w:w="0" w:type="dxa"/>
          <w:right w:w="0" w:type="dxa"/>
        </w:tblCellMar>
      </w:tblPr>
      <w:tblGrid>
        <w:gridCol w:w="3871"/>
        <w:gridCol w:w="109"/>
        <w:gridCol w:w="288"/>
        <w:gridCol w:w="780"/>
        <w:gridCol w:w="148"/>
        <w:gridCol w:w="288"/>
        <w:gridCol w:w="940"/>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58085" cy="175260"/>
                      <wp:effectExtent l="0" t="0" r="0" b="0"/>
                      <wp:wrapNone/>
                      <wp:docPr id="171" name="Frame171"/>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2880" cy="175260"/>
                      <wp:effectExtent l="0" t="0" r="0" b="0"/>
                      <wp:wrapNone/>
                      <wp:docPr id="173" name="Frame17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300" cy="175260"/>
                      <wp:effectExtent l="0" t="0" r="0" b="0"/>
                      <wp:wrapNone/>
                      <wp:docPr id="174" name="Frame174"/>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3980" cy="175260"/>
                      <wp:effectExtent l="0" t="0" r="0" b="0"/>
                      <wp:wrapNone/>
                      <wp:docPr id="175" name="Frame175"/>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2880" cy="175260"/>
                      <wp:effectExtent l="0" t="0" r="0" b="0"/>
                      <wp:wrapNone/>
                      <wp:docPr id="176" name="Frame17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6900" cy="175260"/>
                      <wp:effectExtent l="0" t="0" r="0" b="0"/>
                      <wp:wrapNone/>
                      <wp:docPr id="177" name="Frame177"/>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8" w:type="dxa"/>
            <w:tcBorders/>
            <w:vAlign w:val="center"/>
          </w:tcPr>
          <w:p>
            <w:pPr>
              <w:pStyle w:val="TableContents"/>
              <w:bidi w:val="0"/>
              <w:spacing w:before="0" w:after="1"/>
              <w:ind w:left="0" w:right="0" w:hanging="0"/>
              <w:jc w:val="left"/>
              <w:rPr/>
            </w:pPr>
            <w:r>
              <w:rPr/>
              <w:t>​</w:t>
            </w:r>
          </w:p>
        </w:tc>
        <w:tc>
          <w:tcPr>
            <w:tcW w:w="12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by type of award</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left"/>
              <w:rPr/>
            </w:pPr>
            <w:r>
              <w:rPr/>
              <w:t>​</w:t>
            </w:r>
          </w:p>
        </w:tc>
        <w:tc>
          <w:tcPr>
            <w:tcW w:w="148"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 (excluding PRSUs)</w:t>
            </w:r>
          </w:p>
        </w:tc>
        <w:tc>
          <w:tcPr>
            <w:tcW w:w="10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148"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PRSUs</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48"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c>
          <w:tcPr>
            <w:tcW w:w="148"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w:t>
            </w:r>
          </w:p>
        </w:tc>
        <w:tc>
          <w:tcPr>
            <w:tcW w:w="148"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w: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pPr>
            <w:r>
              <w:rPr/>
              <w:t>​</w:t>
            </w:r>
          </w:p>
        </w:tc>
        <w:tc>
          <w:tcPr>
            <w:tcW w:w="148"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by type of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148"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w:t>
            </w:r>
          </w:p>
        </w:tc>
        <w:tc>
          <w:tcPr>
            <w:tcW w:w="148"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w:t>
            </w:r>
          </w:p>
        </w:tc>
        <w:tc>
          <w:tcPr>
            <w:tcW w:w="148"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3,846</w:t>
            </w:r>
          </w:p>
        </w:tc>
        <w:tc>
          <w:tcPr>
            <w:tcW w:w="148"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5,304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expense for the three months ended March 31, 2023 was inclusive of an acceleration of stock-based compensation of $1,706,000, as described further in </w:t>
      </w:r>
      <w:r>
        <w:rPr>
          <w:rFonts w:ascii="Times New Roman;Times;serif" w:hAnsi="Times New Roman;Times;serif"/>
          <w:i/>
          <w:sz w:val="20"/>
        </w:rPr>
        <w:t>NOTE 14— RESTRUCTURING CHARGE</w:t>
      </w:r>
      <w:r>
        <w:rPr>
          <w:rFonts w:ascii="Times New Roman;Times;serif" w:hAnsi="Times New Roman;Times;serif"/>
          <w:sz w:val="20"/>
        </w:rPr>
        <w:t>. There is no financial impact from the restructuring in the three months ended March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Unrecognized Stock-Based Compensation Expense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Company’s unrecognized stock-based compensation expense as of March 31, 2024, by type of award and the weighted-average period over which the Company expects to recognize the expense (in thousands):</w:t>
      </w:r>
    </w:p>
    <w:tbl>
      <w:tblPr>
        <w:tblW w:w="8559" w:type="dxa"/>
        <w:jc w:val="left"/>
        <w:tblInd w:w="0" w:type="dxa"/>
        <w:tblLayout w:type="fixed"/>
        <w:tblCellMar>
          <w:top w:w="0" w:type="dxa"/>
          <w:left w:w="0" w:type="dxa"/>
          <w:bottom w:w="0" w:type="dxa"/>
          <w:right w:w="0" w:type="dxa"/>
        </w:tblCellMar>
      </w:tblPr>
      <w:tblGrid>
        <w:gridCol w:w="4606"/>
        <w:gridCol w:w="109"/>
        <w:gridCol w:w="402"/>
        <w:gridCol w:w="1293"/>
        <w:gridCol w:w="109"/>
        <w:gridCol w:w="429"/>
        <w:gridCol w:w="1611"/>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924810" cy="175260"/>
                      <wp:effectExtent l="0" t="0" r="0" b="0"/>
                      <wp:wrapNone/>
                      <wp:docPr id="178" name="Frame178"/>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5270" cy="175260"/>
                      <wp:effectExtent l="0" t="0" r="0" b="0"/>
                      <wp:wrapNone/>
                      <wp:docPr id="180" name="Frame180"/>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21055" cy="175260"/>
                      <wp:effectExtent l="0" t="0" r="0" b="0"/>
                      <wp:wrapNone/>
                      <wp:docPr id="181" name="Frame181"/>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72415" cy="175260"/>
                      <wp:effectExtent l="0" t="0" r="0" b="0"/>
                      <wp:wrapNone/>
                      <wp:docPr id="183" name="Frame183"/>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022985" cy="175260"/>
                      <wp:effectExtent l="0" t="0" r="0" b="0"/>
                      <wp:wrapNone/>
                      <wp:docPr id="184" name="Frame184"/>
                      <a:graphic xmlns:a="http://schemas.openxmlformats.org/drawingml/2006/main">
                        <a:graphicData uri="http://schemas.microsoft.com/office/word/2010/wordprocessingShape">
                          <wps:wsp>
                            <wps:cNvSpPr txBox="1"/>
                            <wps:spPr>
                              <a:xfrm>
                                <a:off x="0" y="0"/>
                                <a:ext cx="102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46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109" w:type="dxa"/>
            <w:tcBorders/>
            <w:vAlign w:val="center"/>
          </w:tcPr>
          <w:p>
            <w:pPr>
              <w:pStyle w:val="TableContents"/>
              <w:bidi w:val="0"/>
              <w:spacing w:before="0" w:after="1"/>
              <w:ind w:left="0" w:right="0" w:hanging="0"/>
              <w:jc w:val="left"/>
              <w:rPr/>
            </w:pPr>
            <w:r>
              <w:rPr/>
              <w:t>​</w:t>
            </w:r>
          </w:p>
        </w:tc>
        <w:tc>
          <w:tcPr>
            <w:tcW w:w="20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46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 expense</w:t>
            </w:r>
          </w:p>
        </w:tc>
        <w:tc>
          <w:tcPr>
            <w:tcW w:w="109" w:type="dxa"/>
            <w:tcBorders/>
            <w:vAlign w:val="center"/>
          </w:tcPr>
          <w:p>
            <w:pPr>
              <w:pStyle w:val="TableContents"/>
              <w:bidi w:val="0"/>
              <w:spacing w:before="0" w:after="1"/>
              <w:ind w:left="0" w:right="0" w:hanging="0"/>
              <w:jc w:val="left"/>
              <w:rPr/>
            </w:pPr>
            <w:r>
              <w:rPr/>
              <w:t>​</w:t>
            </w:r>
          </w:p>
        </w:tc>
        <w:tc>
          <w:tcPr>
            <w:tcW w:w="2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recognition period (years)</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Type of award</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12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 (excluding PRSUs)</w:t>
            </w:r>
          </w:p>
        </w:tc>
        <w:tc>
          <w:tcPr>
            <w:tcW w:w="109"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PRSUs</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 </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1"/>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23,991</w:t>
            </w:r>
          </w:p>
        </w:tc>
        <w:tc>
          <w:tcPr>
            <w:tcW w:w="109"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pPr>
            <w:r>
              <w:rPr/>
              <w:t>​</w:t>
            </w:r>
          </w:p>
        </w:tc>
        <w:tc>
          <w:tcPr>
            <w:tcW w:w="16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unrecognized 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29,468</w:t>
            </w:r>
          </w:p>
        </w:tc>
        <w:tc>
          <w:tcPr>
            <w:tcW w:w="109"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pPr>
            <w:r>
              <w:rPr/>
              <w:t>​</w:t>
            </w:r>
          </w:p>
        </w:tc>
        <w:tc>
          <w:tcPr>
            <w:tcW w:w="161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777" w:name="Tc_BqoRFLVanUm67wKjx5nRgA_6_3"/>
      <w:bookmarkStart w:id="778" w:name="Tc_1xk2vsAhxEyvo3rDcYq8Kg_6_2"/>
      <w:bookmarkStart w:id="779" w:name="Tc_VUgo1xYf2kWEnX9NeNNZLg_6_0"/>
      <w:bookmarkStart w:id="780" w:name="Tc_6SuisyBb10WZYI0mfCvVQw_5_3"/>
      <w:bookmarkStart w:id="781" w:name="Tc_t1PGAfhseUOUZnmn-KjFcQ_5_0"/>
      <w:bookmarkStart w:id="782" w:name="Tc_C2Zz-gYHtUKdaZ8L-lFg2Q_4_3"/>
      <w:bookmarkStart w:id="783" w:name="Tc_oObQHUKzn0ecCpcLz8LNRQ_4_0"/>
      <w:bookmarkStart w:id="784" w:name="Tc_UMNoKWngE0m97gU-VosYvg_2_2"/>
      <w:bookmarkStart w:id="785" w:name="Tc_aD3UtlprqEOkYEpOdT_bxg_1_2"/>
      <w:bookmarkStart w:id="786" w:name="Tc_zeEaiID6rk-n0WcA-GohoQ_10_4"/>
      <w:bookmarkStart w:id="787" w:name="Tc_KVIXwlo2IUe7SxMIbsKSeQ_10_0"/>
      <w:bookmarkStart w:id="788" w:name="Tc_rhR8UVHHAkS16disOrg9ug_9_5"/>
      <w:bookmarkStart w:id="789" w:name="Tc_TGkGp26iiUeYo0NKIpmOBw_9_2"/>
      <w:bookmarkStart w:id="790" w:name="Tc_TM4FZ7KoH02hUE-BLSABDA_9_0"/>
      <w:bookmarkStart w:id="791" w:name="Tc_Nbn-ciTtcEaIbx76T8dr_g_8_5"/>
      <w:bookmarkStart w:id="792" w:name="Tc_5UkC4UaZyE6_HR7FPXQMhg_8_2"/>
      <w:bookmarkStart w:id="793" w:name="Tc_yVskuCawikiUemf_TNCbiA_8_0"/>
      <w:bookmarkStart w:id="794" w:name="Tc_iKi0FKbEjEuU0K6PUyWwnA_7_0"/>
      <w:bookmarkStart w:id="795" w:name="Tc_YeceXLq3yUS-LzvSIAaeIA_6_7"/>
      <w:bookmarkStart w:id="796" w:name="Tc_Gk2okEYU-EG-K6boeOiE4w_6_5"/>
      <w:bookmarkStart w:id="797" w:name="Tc_BglxsEVqJkedYLCIV9E-0A_6_4"/>
      <w:bookmarkStart w:id="798" w:name="Tc_TpZkX2GoRUizxE6rXNOBlQ_6_2"/>
      <w:bookmarkStart w:id="799" w:name="Tc_us7Bud3DwUy61Mi6cFVo1A_6_0"/>
      <w:bookmarkStart w:id="800" w:name="Tc_eIEGWdapckCfBJCT64nh-A_5_7"/>
      <w:bookmarkStart w:id="801" w:name="Tc_1YsVkKmghkmoJwxDoYiR6g_5_4"/>
      <w:bookmarkStart w:id="802" w:name="Tc_vnHGM9GTjESTut-BL8hMBQ_5_2"/>
      <w:bookmarkStart w:id="803" w:name="Tc_E05I67SZF0GJqd45IclS7g_4_7"/>
      <w:bookmarkStart w:id="804" w:name="Tc_xCGGEFkBGk2PqYav2QddHQ_4_4"/>
      <w:bookmarkStart w:id="805" w:name="Tc_wL0fZkIK_kGxadXimvZY1w_4_2"/>
      <w:bookmarkStart w:id="806" w:name="Tc_t0IYgWkLXkWFZW7NEvFGjw_3_7"/>
      <w:bookmarkStart w:id="807" w:name="Tc_6BY2rlEAw0OCIHGDZS-izA_3_4"/>
      <w:bookmarkStart w:id="808" w:name="Tc_yIwD_06yiUWGb7NBWVC2jA_2_7"/>
      <w:bookmarkStart w:id="809" w:name="Tc_5iKgUkzEkUC2n2981y7BFQ_2_4"/>
      <w:bookmarkStart w:id="810" w:name="Tc_FGmOPu3hZkil-lNgJivqbw_1_7"/>
      <w:bookmarkStart w:id="811" w:name="Tc_zSaLxDa_SU6qRzbLEU3Ymw_10_4"/>
      <w:bookmarkStart w:id="812" w:name="Tc_65so3mOTOE2TtqswJSyUkw_10_0"/>
      <w:bookmarkStart w:id="813" w:name="Tc_a8VnnPnVC0GK0fUFfbFSow_9_0"/>
      <w:bookmarkStart w:id="814" w:name="Tc_USLIdlJS3EWWjCBKpQgUqQ_8_0"/>
      <w:bookmarkStart w:id="815" w:name="Tc_8Z3ygw5--EC_gFak0PmnJA_7_0"/>
      <w:bookmarkStart w:id="816" w:name="Tc_dcAu2giv5EKa4Q2x4ORe5w_6_4"/>
      <w:bookmarkStart w:id="817" w:name="Tc_NWUyvEpTbkmXZ6Tej0u7bQ_6_0"/>
      <w:bookmarkStart w:id="818" w:name="Tc_i7bIXAwLtkWC95Iaz-J50w_5_7"/>
      <w:bookmarkStart w:id="819" w:name="Tc_5D0-6TNudkSwOnkDowLqjA_5_4"/>
      <w:bookmarkStart w:id="820" w:name="Tc_FPtB0ZncBUazaIxrNBoI_w_5_2"/>
      <w:bookmarkStart w:id="821" w:name="Tc__Y_XGg9a90uqyQiWLXVbyw_4_7"/>
      <w:bookmarkStart w:id="822" w:name="Tc_k0LQ_LLAiUGp7RmrLq0UPw_4_4"/>
      <w:bookmarkStart w:id="823" w:name="Tc_r6q1FHfiJUW3Nt1mBv22og_3_7"/>
      <w:bookmarkStart w:id="824" w:name="Tc_lx3dYzGKCkGanGE3FHnqXQ_3_4"/>
      <w:bookmarkStart w:id="825" w:name="Tc_TrQ_bW1rL0SvMBlG-fZrqA_2_7"/>
      <w:bookmarkStart w:id="826" w:name="Tc_ZUobM_kLMkuTmPOmIl1FxQ_2_4"/>
      <w:bookmarkStart w:id="827" w:name="Tc_alBlB7eu-UekaLlX9vJWcA_1_7"/>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b/>
          <w:i/>
          <w:sz w:val="20"/>
        </w:rPr>
        <w:t>Restricted Stock Unit (Excluding PRSU)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restricted stock units issued and outstanding:</w:t>
      </w:r>
    </w:p>
    <w:p>
      <w:pPr>
        <w:pStyle w:val="TextBody"/>
        <w:bidi w:val="0"/>
        <w:spacing w:before="0" w:after="0"/>
        <w:ind w:left="0" w:right="0" w:hanging="0"/>
        <w:jc w:val="left"/>
        <w:rPr/>
      </w:pPr>
      <w:r>
        <w:rPr/>
        <w:t>​</w:t>
      </w:r>
    </w:p>
    <w:tbl>
      <w:tblPr>
        <w:tblW w:w="9292" w:type="dxa"/>
        <w:jc w:val="left"/>
        <w:tblInd w:w="0" w:type="dxa"/>
        <w:tblLayout w:type="fixed"/>
        <w:tblCellMar>
          <w:top w:w="0" w:type="dxa"/>
          <w:left w:w="0" w:type="dxa"/>
          <w:bottom w:w="0" w:type="dxa"/>
          <w:right w:w="0" w:type="dxa"/>
        </w:tblCellMar>
      </w:tblPr>
      <w:tblGrid>
        <w:gridCol w:w="4876"/>
        <w:gridCol w:w="326"/>
        <w:gridCol w:w="1711"/>
        <w:gridCol w:w="326"/>
        <w:gridCol w:w="214"/>
        <w:gridCol w:w="582"/>
        <w:gridCol w:w="326"/>
        <w:gridCol w:w="93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096260" cy="175260"/>
                      <wp:effectExtent l="0" t="0" r="0" b="0"/>
                      <wp:wrapNone/>
                      <wp:docPr id="185" name="Frame185"/>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86485" cy="175260"/>
                      <wp:effectExtent l="0" t="0" r="0" b="0"/>
                      <wp:wrapNone/>
                      <wp:docPr id="187" name="Frame18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5890" cy="175260"/>
                      <wp:effectExtent l="0" t="0" r="0" b="0"/>
                      <wp:wrapNone/>
                      <wp:docPr id="189" name="Frame1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9570" cy="175260"/>
                      <wp:effectExtent l="0" t="0" r="0" b="0"/>
                      <wp:wrapNone/>
                      <wp:docPr id="190" name="Frame19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1185" cy="175260"/>
                      <wp:effectExtent l="0" t="0" r="0" b="0"/>
                      <wp:wrapNone/>
                      <wp:docPr id="192" name="Frame19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351,407</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400,277</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(108,976)</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(39,934)</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602,774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2.41</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4,660 shares of RSUs were granted to a new non-executive director, which will vest equal quarterly installments until the third anniversary of the date of grant, provided that the recipient remains as non-executive director through vesting date. The remaining 395,617 shares of RSUs granted in the three months ended March 31, 2024 will vest annually over the next 3 years, provided in each case that the recipient remains an employee of the Company through each vesting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Unit (PRSUs)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restricted stock units issued and outstanding:</w:t>
      </w:r>
    </w:p>
    <w:p>
      <w:pPr>
        <w:pStyle w:val="TextBody"/>
        <w:bidi w:val="0"/>
        <w:spacing w:before="0" w:after="0"/>
        <w:ind w:left="0" w:right="0" w:hanging="0"/>
        <w:jc w:val="left"/>
        <w:rPr/>
      </w:pPr>
      <w:r>
        <w:rPr/>
        <w:t>​</w:t>
      </w:r>
    </w:p>
    <w:tbl>
      <w:tblPr>
        <w:tblW w:w="9075" w:type="dxa"/>
        <w:jc w:val="left"/>
        <w:tblInd w:w="0" w:type="dxa"/>
        <w:tblLayout w:type="fixed"/>
        <w:tblCellMar>
          <w:top w:w="0" w:type="dxa"/>
          <w:left w:w="0" w:type="dxa"/>
          <w:bottom w:w="0" w:type="dxa"/>
          <w:right w:w="0" w:type="dxa"/>
        </w:tblCellMar>
      </w:tblPr>
      <w:tblGrid>
        <w:gridCol w:w="4876"/>
        <w:gridCol w:w="109"/>
        <w:gridCol w:w="1711"/>
        <w:gridCol w:w="326"/>
        <w:gridCol w:w="214"/>
        <w:gridCol w:w="582"/>
        <w:gridCol w:w="326"/>
        <w:gridCol w:w="93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096260" cy="175260"/>
                      <wp:effectExtent l="0" t="0" r="0" b="0"/>
                      <wp:wrapNone/>
                      <wp:docPr id="193" name="Frame193"/>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86485" cy="175260"/>
                      <wp:effectExtent l="0" t="0" r="0" b="0"/>
                      <wp:wrapNone/>
                      <wp:docPr id="195" name="Frame19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5890" cy="175260"/>
                      <wp:effectExtent l="0" t="0" r="0" b="0"/>
                      <wp:wrapNone/>
                      <wp:docPr id="197" name="Frame19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9570" cy="175260"/>
                      <wp:effectExtent l="0" t="0" r="0" b="0"/>
                      <wp:wrapNone/>
                      <wp:docPr id="198" name="Frame19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185" cy="175260"/>
                      <wp:effectExtent l="0" t="0" r="0" b="0"/>
                      <wp:wrapNone/>
                      <wp:docPr id="200" name="Frame2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4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54,000</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PRSUs of 54,000 shares issued in the three months ended March 31, 2024 vest in three equal tranches over a three-year period. The assumptions that the Company used to determine the fair value of the PRSUs granted in the three months ended March 31, 2024 using a Monte-Carlo simulation model were as follows:</w:t>
      </w:r>
    </w:p>
    <w:p>
      <w:pPr>
        <w:pStyle w:val="TextBody"/>
        <w:bidi w:val="0"/>
        <w:spacing w:before="0" w:after="0"/>
        <w:ind w:left="0" w:right="0" w:hanging="0"/>
        <w:jc w:val="left"/>
        <w:rPr/>
      </w:pPr>
      <w:r>
        <w:rPr/>
        <w:t>​</w:t>
      </w:r>
    </w:p>
    <w:tbl>
      <w:tblPr>
        <w:tblW w:w="4902" w:type="dxa"/>
        <w:jc w:val="left"/>
        <w:tblInd w:w="0" w:type="dxa"/>
        <w:tblLayout w:type="fixed"/>
        <w:tblCellMar>
          <w:top w:w="0" w:type="dxa"/>
          <w:left w:w="0" w:type="dxa"/>
          <w:bottom w:w="0" w:type="dxa"/>
          <w:right w:w="0" w:type="dxa"/>
        </w:tblCellMar>
      </w:tblPr>
      <w:tblGrid>
        <w:gridCol w:w="2131"/>
        <w:gridCol w:w="326"/>
        <w:gridCol w:w="1574"/>
        <w:gridCol w:w="8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53185" cy="175260"/>
                      <wp:effectExtent l="0" t="0" r="0" b="0"/>
                      <wp:wrapNone/>
                      <wp:docPr id="201" name="Frame20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99490" cy="175260"/>
                      <wp:effectExtent l="0" t="0" r="0" b="0"/>
                      <wp:wrapNone/>
                      <wp:docPr id="203" name="Frame203"/>
                      <a:graphic xmlns:a="http://schemas.openxmlformats.org/drawingml/2006/main">
                        <a:graphicData uri="http://schemas.microsoft.com/office/word/2010/wordprocessingShape">
                          <wps:wsp>
                            <wps:cNvSpPr txBox="1"/>
                            <wps:spPr>
                              <a:xfrm>
                                <a:off x="0" y="0"/>
                                <a:ext cx="999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53085" cy="175260"/>
                      <wp:effectExtent l="0" t="0" r="0" b="0"/>
                      <wp:wrapNone/>
                      <wp:docPr id="204" name="Frame20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5" w:type="dxa"/>
            <w:gridSpan w:val="2"/>
            <w:tcBorders/>
            <w:vAlign w:val="center"/>
          </w:tcPr>
          <w:p>
            <w:pPr>
              <w:pStyle w:val="TableContents"/>
              <w:bidi w:val="0"/>
              <w:spacing w:before="0" w:after="1"/>
              <w:ind w:left="0" w:right="0" w:hanging="0"/>
              <w:jc w:val="center"/>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 </w:t>
            </w:r>
          </w:p>
        </w:tc>
        <w:tc>
          <w:tcPr>
            <w:tcW w:w="1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 </w:t>
            </w:r>
          </w:p>
        </w:tc>
        <w:tc>
          <w:tcPr>
            <w:tcW w:w="1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1"/>
              <w:ind w:left="0" w:right="0" w:hanging="0"/>
              <w:jc w:val="left"/>
              <w:rPr/>
            </w:pPr>
            <w:r>
              <w:rPr/>
              <w:t> </w:t>
            </w:r>
          </w:p>
        </w:tc>
        <w:tc>
          <w:tcPr>
            <w:tcW w:w="1574"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issue any PRSUs in the three months ended March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828" w:name="Tc_Pl2kqdDsdkm_vPRB0lJnrw_7_6"/>
      <w:bookmarkStart w:id="829" w:name="Tc_yyZrTZwJ-UiDxgOKwMVNDQ_7_5"/>
      <w:bookmarkStart w:id="830" w:name="Tc_-uHLQv48T02NsoD0zZaw-w_7_3"/>
      <w:bookmarkStart w:id="831" w:name="Tc_LusO9T_AMkG92RERStRrQg_7_2"/>
      <w:bookmarkStart w:id="832" w:name="Tc_lArWHGOO10OWefHP2YV62g_7_0"/>
      <w:bookmarkStart w:id="833" w:name="Tc_VZe9e57MuUi-lFEbdpynDQ_6_6"/>
      <w:bookmarkStart w:id="834" w:name="Tc_-AoeMKKCbk2nX7Zju94_PA_6_3"/>
      <w:bookmarkStart w:id="835" w:name="Tc_G1UVMO6AOU6FnNf6nu0vyw_6_0"/>
      <w:bookmarkStart w:id="836" w:name="Tc_G7FvmcTemE-hJPxcwiDaRg_5_0"/>
      <w:bookmarkStart w:id="837" w:name="Tc_gfB8k0S8pE212BMmWPlKWA_4_6"/>
      <w:bookmarkStart w:id="838" w:name="Tc_yjADL3ERYUSTudNWxfREGQ_4_3"/>
      <w:bookmarkStart w:id="839" w:name="Tc_CHQWUd6XXkOEuyb2pqIw4g_4_0"/>
      <w:bookmarkStart w:id="840" w:name="Tc_7AdkHsmx-UyvxI9YnQNm_w_2_5"/>
      <w:bookmarkStart w:id="841" w:name="Tc_wHVyN3gdf0-Nfu9kMjdVNQ_2_2"/>
      <w:bookmarkStart w:id="842" w:name="Tc_k3XxvfV5c0WYct5aMBgoNw_1_2"/>
      <w:bookmarkStart w:id="843" w:name="Tc_iCwoNbfr7U6TG2AMURI6tg_11_7"/>
      <w:bookmarkStart w:id="844" w:name="Tc_Lu25E69xX0u-W-XSqlLL1Q_11_4"/>
      <w:bookmarkStart w:id="845" w:name="Tc_5jld05o4IUGnF-8f8fNfTQ_11_0"/>
      <w:bookmarkStart w:id="846" w:name="Tc_9v-KjXBkgEWVLIhhzuOV9g_10_7"/>
      <w:bookmarkStart w:id="847" w:name="Tc__9TG-xWCyEe_77uYD24z_A_10_4"/>
      <w:bookmarkStart w:id="848" w:name="Tc_ppZW8vEWbUuqWpceRplpCQ_10_0"/>
      <w:bookmarkStart w:id="849" w:name="Tc_7Xte1oE1HEmUKyC7HOBnPw_9_0"/>
      <w:bookmarkStart w:id="850" w:name="Tc_cQ1eFKCUdE6smjLJikMndA_8_0"/>
      <w:bookmarkStart w:id="851" w:name="Tc_NlC80GAefUqC3PGwY_aDWQ_7_0"/>
      <w:bookmarkStart w:id="852" w:name="Tc_JayL15iSUUOIAl_9-0CsbA_6_7"/>
      <w:bookmarkStart w:id="853" w:name="Tc_9m6oaskRNUqijDb8xD2p-Q_6_4"/>
      <w:bookmarkStart w:id="854" w:name="Tc_nd0bFcZPxUCZif94VxtYxA_6_0"/>
      <w:bookmarkStart w:id="855" w:name="Tc_CZJDtqKvY0Wc4XCThBHhGg_5_10"/>
      <w:bookmarkStart w:id="856" w:name="Tc_q2Oo6STPTEW1Ph_d79qi8A_5_7"/>
      <w:bookmarkStart w:id="857" w:name="Tc_Uq1jB2QdrE-g3ISC29Uknw_5_4"/>
      <w:bookmarkStart w:id="858" w:name="Tc_6pmmqocvxEaAYP9BnlsEsA_5_2"/>
      <w:bookmarkStart w:id="859" w:name="Tc_pPYLvQux8k2UPOpVMtYu8w_4_10"/>
      <w:bookmarkStart w:id="860" w:name="Tc_eM8lYP5U00S-pCOlkdYkpQ_4_7"/>
      <w:bookmarkStart w:id="861" w:name="Tc_7zZsPSu6m0--f_-gitz6aQ_4_4"/>
      <w:bookmarkStart w:id="862" w:name="Tc_pOkraR55qkO0lU6mUQNnvw_3_10"/>
      <w:bookmarkStart w:id="863" w:name="Tc_SML4G9yO10-m3ZXUaD8mpQ_3_7"/>
      <w:bookmarkStart w:id="864" w:name="Tc_rBnSiZg_VEiYnPD6s1BXhg_3_4"/>
      <w:bookmarkStart w:id="865" w:name="Tc_dySlphLEUkOkG36RHlCWOQ_2_10"/>
      <w:bookmarkStart w:id="866" w:name="Tc_Pzsf31QTokinl0ssA7bMJQ_2_7"/>
      <w:bookmarkStart w:id="867" w:name="Tc_lM5QH8V98E6920ixTjqhzQ_2_4"/>
      <w:bookmarkStart w:id="868" w:name="Tc_QvseYsPrYEGVnXMTnvWGiQ_1_10"/>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Times New Roman;Times;serif" w:hAnsi="Times New Roman;Times;serif"/>
          <w:b/>
          <w:i/>
          <w:sz w:val="20"/>
        </w:rPr>
        <w:t>Stock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common stock options issued and outstanding:</w:t>
      </w:r>
    </w:p>
    <w:p>
      <w:pPr>
        <w:pStyle w:val="TextBody"/>
        <w:bidi w:val="0"/>
        <w:spacing w:before="0" w:after="0"/>
        <w:ind w:left="0" w:right="0" w:hanging="0"/>
        <w:jc w:val="left"/>
        <w:rPr/>
      </w:pPr>
      <w:r>
        <w:rPr/>
        <w:t>​</w:t>
      </w:r>
    </w:p>
    <w:tbl>
      <w:tblPr>
        <w:tblW w:w="10128" w:type="dxa"/>
        <w:jc w:val="left"/>
        <w:tblInd w:w="0" w:type="dxa"/>
        <w:tblLayout w:type="fixed"/>
        <w:tblCellMar>
          <w:top w:w="0" w:type="dxa"/>
          <w:left w:w="0" w:type="dxa"/>
          <w:bottom w:w="0" w:type="dxa"/>
          <w:right w:w="0" w:type="dxa"/>
        </w:tblCellMar>
      </w:tblPr>
      <w:tblGrid>
        <w:gridCol w:w="4876"/>
        <w:gridCol w:w="326"/>
        <w:gridCol w:w="1036"/>
        <w:gridCol w:w="326"/>
        <w:gridCol w:w="214"/>
        <w:gridCol w:w="582"/>
        <w:gridCol w:w="326"/>
        <w:gridCol w:w="267"/>
        <w:gridCol w:w="858"/>
        <w:gridCol w:w="326"/>
        <w:gridCol w:w="99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096260" cy="175260"/>
                      <wp:effectExtent l="0" t="0" r="0" b="0"/>
                      <wp:wrapNone/>
                      <wp:docPr id="205" name="Frame205"/>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57860" cy="175260"/>
                      <wp:effectExtent l="0" t="0" r="0" b="0"/>
                      <wp:wrapNone/>
                      <wp:docPr id="207" name="Frame2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5890" cy="175260"/>
                      <wp:effectExtent l="0" t="0" r="0" b="0"/>
                      <wp:wrapNone/>
                      <wp:docPr id="209" name="Frame20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9570" cy="175260"/>
                      <wp:effectExtent l="0" t="0" r="0" b="0"/>
                      <wp:wrapNone/>
                      <wp:docPr id="210" name="Frame210"/>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9545" cy="175260"/>
                      <wp:effectExtent l="0" t="0" r="0" b="0"/>
                      <wp:wrapNone/>
                      <wp:docPr id="212" name="Frame21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44830" cy="175260"/>
                      <wp:effectExtent l="0" t="0" r="0" b="0"/>
                      <wp:wrapNone/>
                      <wp:docPr id="213" name="Frame213"/>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29285" cy="175260"/>
                      <wp:effectExtent l="0" t="0" r="0" b="0"/>
                      <wp:wrapNone/>
                      <wp:docPr id="215" name="Frame21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6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9,307,330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1,450,790</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(71,550)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(116,605)</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and expected to vest as of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10,569,965</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60,339</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March 31, 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6,453,371</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31,312</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5.06</w:t>
            </w:r>
          </w:p>
        </w:tc>
      </w:tr>
    </w:tbl>
    <w:p>
      <w:pPr>
        <w:pStyle w:val="TextBody"/>
        <w:bidi w:val="0"/>
        <w:spacing w:before="0" w:after="24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All of the options granted in the three months ended March 31, 2024, have a maximum contractual term of ten years. During the three months ended March 31, 2024, 1,422,890 options were granted and have a vesting schedule in which 25% vest on the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anniversary of the grant date and the remainder vest ratably on a monthly basis over the next 36 months, provided in each case that the recipient remains an employee of the Company through each vesting date. The remaining 27,900 options were granted to a new non-executive director, which will vest equal monthly installments until the third anniversary of the date of grant, provided that the recipient remains as non-executive director through vesting date.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weighted average fair value of stock options granted for the three months ended March 31, 2024 and 2023 was $8.24 and $3.40, respectively. The assumptions that the Company used to determine the fair value of the stock options granted to employees and directors in the three months ended March 31, 2024 and 2023 are set forth in the table below and presented on a weighted average basis. There were no significant changes to the inputs included in the Black-Scholes option pricing model during the three months ended March 31, 2024:</w:t>
      </w:r>
    </w:p>
    <w:p>
      <w:pPr>
        <w:pStyle w:val="TextBody"/>
        <w:bidi w:val="0"/>
        <w:spacing w:before="0" w:after="0"/>
        <w:ind w:left="0" w:right="0" w:hanging="0"/>
        <w:jc w:val="left"/>
        <w:rPr/>
      </w:pPr>
      <w:r>
        <w:rPr/>
        <w:t>​</w:t>
      </w:r>
    </w:p>
    <w:tbl>
      <w:tblPr>
        <w:tblW w:w="4901" w:type="dxa"/>
        <w:jc w:val="left"/>
        <w:tblInd w:w="0" w:type="dxa"/>
        <w:tblLayout w:type="fixed"/>
        <w:tblCellMar>
          <w:top w:w="0" w:type="dxa"/>
          <w:left w:w="0" w:type="dxa"/>
          <w:bottom w:w="0" w:type="dxa"/>
          <w:right w:w="0" w:type="dxa"/>
        </w:tblCellMar>
      </w:tblPr>
      <w:tblGrid>
        <w:gridCol w:w="2131"/>
        <w:gridCol w:w="326"/>
        <w:gridCol w:w="700"/>
        <w:gridCol w:w="407"/>
        <w:gridCol w:w="163"/>
        <w:gridCol w:w="700"/>
        <w:gridCol w:w="47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53185" cy="175260"/>
                      <wp:effectExtent l="0" t="0" r="0" b="0"/>
                      <wp:wrapNone/>
                      <wp:docPr id="216" name="Frame21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44500" cy="175260"/>
                      <wp:effectExtent l="0" t="0" r="0" b="0"/>
                      <wp:wrapNone/>
                      <wp:docPr id="218" name="Frame218"/>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8445" cy="175260"/>
                      <wp:effectExtent l="0" t="0" r="0" b="0"/>
                      <wp:wrapNone/>
                      <wp:docPr id="219" name="Frame21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03505" cy="175260"/>
                      <wp:effectExtent l="0" t="0" r="0" b="0"/>
                      <wp:wrapNone/>
                      <wp:docPr id="220" name="Frame22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44500" cy="175260"/>
                      <wp:effectExtent l="0" t="0" r="0" b="0"/>
                      <wp:wrapNone/>
                      <wp:docPr id="221" name="Frame221"/>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00990" cy="175260"/>
                      <wp:effectExtent l="0" t="0" r="0" b="0"/>
                      <wp:wrapNone/>
                      <wp:docPr id="222" name="Frame22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63" w:type="dxa"/>
            <w:tcBorders/>
            <w:vAlign w:val="center"/>
          </w:tcPr>
          <w:p>
            <w:pPr>
              <w:pStyle w:val="TableContents"/>
              <w:bidi w:val="0"/>
              <w:spacing w:before="0" w:after="1"/>
              <w:ind w:left="0" w:right="0" w:hanging="0"/>
              <w:jc w:val="left"/>
              <w:rPr/>
            </w:pPr>
            <w:r>
              <w:rPr/>
              <w:t>​</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0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70" w:type="dxa"/>
            <w:gridSpan w:val="4"/>
            <w:tcBorders/>
            <w:vAlign w:val="center"/>
          </w:tcPr>
          <w:p>
            <w:pPr>
              <w:pStyle w:val="TableContents"/>
              <w:bidi w:val="0"/>
              <w:spacing w:before="0" w:after="1"/>
              <w:ind w:left="0" w:right="0" w:hanging="0"/>
              <w:jc w:val="center"/>
              <w:rPr/>
            </w:pPr>
            <w:r>
              <w:rPr/>
              <w:t>​</w:t>
            </w:r>
          </w:p>
        </w:tc>
        <w:tc>
          <w:tcPr>
            <w:tcW w:w="474" w:type="dxa"/>
            <w:tcBorders/>
            <w:vAlign w:val="center"/>
          </w:tcPr>
          <w:p>
            <w:pPr>
              <w:pStyle w:val="TableContents"/>
              <w:bidi w:val="0"/>
              <w:spacing w:before="0" w:after="1"/>
              <w:ind w:left="0" w:right="0" w:hanging="0"/>
              <w:jc w:val="left"/>
              <w:rPr/>
            </w:pPr>
            <w:r>
              <w:rPr/>
              <w:t> </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4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07" w:type="dxa"/>
            <w:tcBorders/>
            <w:vAlign w:val="center"/>
          </w:tcPr>
          <w:p>
            <w:pPr>
              <w:pStyle w:val="TableContents"/>
              <w:bidi w:val="0"/>
              <w:spacing w:before="0" w:after="1"/>
              <w:ind w:left="0" w:right="0" w:hanging="0"/>
              <w:jc w:val="left"/>
              <w:rPr/>
            </w:pPr>
            <w:r>
              <w:rPr/>
              <w:t>​</w:t>
            </w:r>
          </w:p>
        </w:tc>
        <w:tc>
          <w:tcPr>
            <w:tcW w:w="163"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74"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4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c>
          <w:tcPr>
            <w:tcW w:w="4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and 2023, the Company experienced pre-tax net losses of $6,469,000 and $6,390,000. The Company’s current income tax provision was $160,000 during the three months ended March 31, 2024, and the Company did not have a current income tax provision during the three months ended March 31, 2023. There were no deferred income tax provisions during the three months ended March 31,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tax returns for the years 2017 to 2022 are open for tax examination by U.S. federal and state, and the Danish tax authorities.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13—OTHER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during the three months ended March 31, 2024 and 2023.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established a retirement program for employees of our Danish subsidiary pursuant to which all such employees can contribute an amount at their election from their base compensation and may receive contributions from our Danish subsidiary. The Danish subsidiary made no contributions during the three months ended March 31, 2024 and 2023. In addition, health insurance benefits for our Danish employees are fully paid for by such employees. Our Danish subsidiary does not incur any costs for these health insurance benefits.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NOTE 14</w:t>
      </w:r>
      <w:r>
        <w:rPr>
          <w:rFonts w:ascii="Times New Roman;Times;serif" w:hAnsi="Times New Roman;Times;serif"/>
          <w:sz w:val="20"/>
        </w:rPr>
        <w:t>—</w:t>
      </w:r>
      <w:r>
        <w:rPr>
          <w:rFonts w:ascii="Times New Roman;Times;serif" w:hAnsi="Times New Roman;Times;serif"/>
          <w:b/>
          <w:sz w:val="20"/>
        </w:rPr>
        <w:t>RESTRUCTURING CHARGE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4, 2023, following Board approval, the Company announced a strategic restructuring plan designed to extend cash resources and prioritize resources for the commercialization and potential label extension of DANYELZA and the development of the SADA PRIT Technology platform. The Company completed the restructuring in May 2023, which resulted in an approximately 35% reduction to the Company’s workforce. Affected employees were offered separation benefits, including severance and outplacement services along with temporary healthcare coverage assistance. As a result, during the three months ended March 31, 2023, the Company recognized restructuring expenses of $4,482,000 based on the currency rate for the period. For the three months ended March 31, 2023, the Company recorded $3,346,000 and $1,136,000, respectively, within research and development and selling, general, and administrative, on the Consolidated Statements of Net Loss and Comprehensive Loss. The restructuring expenses primarily related to severance benefits of $2,776,000, and acceleration of stock-based compensation of $1,706,000, which was recognized in the three months ended March 31, 2023 as there was no longer a service condition related to such awards.</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9" w:name="Item2ManagementsDiscussionandAnalysisofF"/>
      <w:bookmarkStart w:id="870" w:name="_5dfa1a1c_483f_4afa_8378_159e8bbce47f"/>
      <w:bookmarkEnd w:id="869"/>
      <w:bookmarkEnd w:id="87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accompanying unaudited consolidated financial statements and related notes thereto included elsewhere in this Quarterly Report on Form 10-Q and in our audited consolidated financial statements and related notes thereto included in our Annual Report on Form 10-K for the year ended December 31, 2023,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You should carefully read the information under “Forward-Looking Statements” in this Quarterly Report on Form 10-Q. For convenience of presentation some of the numbers have been rounded in the text below.</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only approved drug DANYELZA (naxitamab 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NB, in the bone or bone marrow who have demonstrated a partial response, minor response, or stable disease to prior therapy. We are commercializing DANYELZA in the United States and began shipping in February 2021.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has been evaluated in a Phase 2 clinical study in front line NB, a pilot study of chemoimmunotherapy for high-risk NB, and is currently being evaluated in a pivotal-stage multicenter trial (Study 201) which is designed to satisfy the accelerated approval confirmatory study and post-marketing requirements of the FDA, as well as a Phase 2 clinical study in second line relapsed osteosarcoma patients.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We are using our proprietary SADA PRIT Technology, a concept we also refer to as Liquid Radiation</w:t>
      </w:r>
      <w:r>
        <w:rPr>
          <w:rFonts w:ascii="Times New Roman;Times;serif" w:hAnsi="Times New Roman;Times;serif"/>
          <w:sz w:val="15"/>
        </w:rPr>
        <w:t>TM</w:t>
      </w:r>
      <w:r>
        <w:rPr>
          <w:rFonts w:ascii="Times New Roman;Times;serif" w:hAnsi="Times New Roman;Times;serif"/>
          <w:sz w:val="20"/>
        </w:rPr>
        <w:t>, to advance a series of antibody constructs, using a two-step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We currently have six active treatment sites as of March 31, 2024. We are pleased with our observations so far and in particular that patients dosed with the GD2-SADA protein have not experienced dose limiting toxicities or related serious adverse events. Based on the SPECT/CT scans performed, we believe that we have demonstrated proof of concept for GD2-SADA by demonstrating that the GD2-SADA molecules can find and bind to tumors and that the radionuclide targets the SADA molecules. At this point, we have completed cohorts 1, 2 and 3, using a radioactive payload of 200 mCi and a two to five days interval between the SADA protein and the payload. The initial blood PK profile of the construct in these patients dosed with the 0.3 mg/kg and 1 mg/kg of protein appears to match our pre-clinical models in terms of clearance data, and the blood PK profiles from patients are comparable and supportive of the current dose interval of two to five days. We are currently treating patients at 3.0 mg/kg in cohort 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IND for our first hematological target, the CD38-SADA construct for the treatment of patients with Relapsed or Refractory Non-Hodgkin Lymphoma was cleared in October 2023, and we expect to dose the first patient in 2024. Further, we plan to submit an IND to the FDA for a Phase 1 multicenter study of GD2-SADA for the potential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treatment of neuroblastoma in 2024.We believe the SADA PRIT Technology could potentially improve the efficacy of immunological therapeutics, e.g., naked monoclonal antibodies, in tumors that have not historically demonstrated meaningful responses to immunological agents.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2023, following receipt of a complete response letter in November 2022 from the FDA for our Biologics License Application for radiolabeled </w:t>
      </w:r>
      <w:r>
        <w:rPr>
          <w:rFonts w:ascii="Times New Roman;Times;serif" w:hAnsi="Times New Roman;Times;serif"/>
          <w:sz w:val="15"/>
        </w:rPr>
        <w:t>131</w:t>
      </w:r>
      <w:r>
        <w:rPr>
          <w:rFonts w:ascii="Times New Roman;Times;serif" w:hAnsi="Times New Roman;Times;serif"/>
          <w:sz w:val="20"/>
        </w:rPr>
        <w:t xml:space="preserve">I-omburtamab for central nervous system leptomeningeal metastases, or CNS-LM, we announced a strategic restructuring plan designed to extend our cash resources and prioritize resources on the commercialization and potential label extension of DANYELZA and development of the SADA PRIT Technology platform. In addition to deprioritizing the omburtamab program for all indications and product candidates, we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workforce.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further determined to cease all development work on radiolabeled omburtamab for CNS-LM, and to suspend the development work on our GD2-GD3 Vaccine and CD33 bispecific antibody constructs to continue focusing our development resources on additional indications for DANYELZA and potential applications for our SADA/PRIT platform. As a result of the decrease in operating expenses from the 2023 restructuring and our current business strategy, we estimate that our cash and cash equivalents, when combined with anticipated DANYELZA revenues, should support our operations into 2027.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estimate reflects our current business plan, including our development plans and business strategy following the restructuring, that is supported by assumptions that may prove to be inaccurate, such that we could use our available capital resources sooner than we currently expect. This estimate assumes no income from new partnerships or other new business development activities, and no further development of the omburtamab program, the GD2-GD3 Vaccine and the CD33 bispecific antibody constructs. We cannot provide any assurance that we will be able to obtain additional capital from additional equity or debt financing, collaborations, licensing arrangements, or other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detailed discussion of their terms and conditions, see further details in </w:t>
      </w:r>
      <w:r>
        <w:rPr>
          <w:rFonts w:ascii="Times New Roman;Times;serif" w:hAnsi="Times New Roman;Times;serif"/>
          <w:i/>
          <w:sz w:val="20"/>
        </w:rPr>
        <w:t xml:space="preserve">NOTE 9—LICENSE AGREEMENTS AND COMMITMENTS </w:t>
      </w:r>
      <w:r>
        <w:rPr>
          <w:rFonts w:ascii="Times New Roman;Times;serif" w:hAnsi="Times New Roman;Times;serif"/>
          <w:sz w:val="20"/>
        </w:rPr>
        <w:t>in the notes to the consolidated financial statements included in Item 1. Financial Statements in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private placements of our securities, proceeds from our IPO and proceeds from our two subsequent public offerings, product and license revenues generated from DANYELZA, and the proceeds from our sale of the Priority Review Voucher, or PRV, obtained upon FDA approval of DANYELZA.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we had an accumulated deficit of $464.1 million and $457.5 million, respectively. We experienced net losses of $6.6 million and $6.4 million for the three months ended March 31, 2024 and 2023, respectively. We have incurred significant net operating losses in every year since our inception. We expect our net operating losses to decrease in the future as our DANYELZA product revenue grows to help fund our significant research and development expenses. Our net losses may fluctuate significantly from quarter to quarter and year to year as we:</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lead product candidates through the regulatory process both in the U.S. and internationally;</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other product candidates through pre-clinical and clinical development;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identify additional research programs and additional product candidates, as well as additional indications for existing product candidates;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pre-clinical studies and clinical trials for any additional product candidates we identify;</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maintain, expand and protect our intellectual property portfolio; and</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sales force, commercialization, clinical and scientific personnel.</w:t>
            </w:r>
          </w:p>
        </w:tc>
      </w:tr>
    </w:tbl>
    <w:p>
      <w:pPr>
        <w:pStyle w:val="TextBody"/>
        <w:bidi w:val="0"/>
        <w:spacing w:lineRule="auto" w:line="331" w:before="0" w:after="0"/>
        <w:ind w:left="0" w:right="299"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we entered into a separation agreement with our Chief Scientific Officer, Steen Lisby. The search for a new Chief Scientific Officer is ongoing with focus on the continued advancement of our novel radiopharmaceutical platform. The Separation Agreement did not result in a material impact to our consolidated financial statements included in Item 1. Financial Statements in this Form 10-Q.</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revenue consists of sales of DANYELZA, and royalty revenue generated from the sales of DANYELZA.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License revenue consists of payments received for the licensing rights to DANYELZA. Refer to </w:t>
      </w:r>
      <w:r>
        <w:rPr>
          <w:rFonts w:ascii="Times New Roman;Times;serif" w:hAnsi="Times New Roman;Times;serif"/>
          <w:i/>
          <w:sz w:val="20"/>
        </w:rPr>
        <w:t>NOTE 3—SUMMARY OF SIGNIFICANT ACCOUNTING POLICIES</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Costs and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royalties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License royalties include third-party royalty expenses related to license revenues that have been recognized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Research and development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of expenses incurred in connection with the discovery and development of our product candidates. We expense research and development costs as incurred. These expenses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sponsored research, laboratory facility services, clinical trial and data service at MSK under the Sponsored Research Agreements, or the SRAs, the two CFSAs, the MCTA, and the MDSA, with MSK;</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CROs, as well as investigative sites and consultants that conduct our non-clinical and pre-clinical studies and clinical trials;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CMOs, including manufacturing scale-up expenses and the cost of acquiring and manufacturing pre-clinical study and clinical trial materials, including manufacturing of validation batches;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9325" w:type="dxa"/>
        <w:jc w:val="left"/>
        <w:tblInd w:w="0" w:type="dxa"/>
        <w:tblLayout w:type="fixed"/>
        <w:tblCellMar>
          <w:top w:w="28" w:type="dxa"/>
          <w:left w:w="28" w:type="dxa"/>
          <w:bottom w:w="28" w:type="dxa"/>
          <w:right w:w="28" w:type="dxa"/>
        </w:tblCellMar>
      </w:tblPr>
      <w:tblGrid>
        <w:gridCol w:w="124"/>
        <w:gridCol w:w="256"/>
        <w:gridCol w:w="879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milestone and other non-revenue related payments due under our third-party licensing agreements;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8605" w:type="dxa"/>
        <w:jc w:val="left"/>
        <w:tblInd w:w="0" w:type="dxa"/>
        <w:tblLayout w:type="fixed"/>
        <w:tblCellMar>
          <w:top w:w="28" w:type="dxa"/>
          <w:left w:w="28" w:type="dxa"/>
          <w:bottom w:w="28" w:type="dxa"/>
          <w:right w:w="28" w:type="dxa"/>
        </w:tblCellMar>
      </w:tblPr>
      <w:tblGrid>
        <w:gridCol w:w="124"/>
        <w:gridCol w:w="256"/>
        <w:gridCol w:w="80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travel and stock-based compensation;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7915" w:type="dxa"/>
        <w:jc w:val="left"/>
        <w:tblInd w:w="0" w:type="dxa"/>
        <w:tblLayout w:type="fixed"/>
        <w:tblCellMar>
          <w:top w:w="28" w:type="dxa"/>
          <w:left w:w="28" w:type="dxa"/>
          <w:bottom w:w="28" w:type="dxa"/>
          <w:right w:w="28" w:type="dxa"/>
        </w:tblCellMar>
      </w:tblPr>
      <w:tblGrid>
        <w:gridCol w:w="124"/>
        <w:gridCol w:w="256"/>
        <w:gridCol w:w="738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regulatory activities, including filing fees paid to regulatory agencies;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5575" w:type="dxa"/>
        <w:jc w:val="left"/>
        <w:tblInd w:w="0" w:type="dxa"/>
        <w:tblLayout w:type="fixed"/>
        <w:tblCellMar>
          <w:top w:w="28" w:type="dxa"/>
          <w:left w:w="28" w:type="dxa"/>
          <w:bottom w:w="28" w:type="dxa"/>
          <w:right w:w="28" w:type="dxa"/>
        </w:tblCellMar>
      </w:tblPr>
      <w:tblGrid>
        <w:gridCol w:w="124"/>
        <w:gridCol w:w="256"/>
        <w:gridCol w:w="50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development services;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0"/>
        <w:ind w:left="0" w:right="29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for utilities and other facility-related costs, including rent, insurance, supplies and maintenance expenses, and other operating costs.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tbl>
      <w:tblPr>
        <w:tblW w:w="4615" w:type="dxa"/>
        <w:jc w:val="left"/>
        <w:tblInd w:w="0" w:type="dxa"/>
        <w:tblLayout w:type="fixed"/>
        <w:tblCellMar>
          <w:top w:w="28" w:type="dxa"/>
          <w:left w:w="28" w:type="dxa"/>
          <w:bottom w:w="28" w:type="dxa"/>
          <w:right w:w="28" w:type="dxa"/>
        </w:tblCellMar>
      </w:tblPr>
      <w:tblGrid>
        <w:gridCol w:w="124"/>
        <w:gridCol w:w="256"/>
        <w:gridCol w:w="408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9760" w:type="dxa"/>
        <w:jc w:val="left"/>
        <w:tblInd w:w="0" w:type="dxa"/>
        <w:tblLayout w:type="fixed"/>
        <w:tblCellMar>
          <w:top w:w="28" w:type="dxa"/>
          <w:left w:w="28" w:type="dxa"/>
          <w:bottom w:w="28" w:type="dxa"/>
          <w:right w:w="28" w:type="dxa"/>
        </w:tblCellMar>
      </w:tblPr>
      <w:tblGrid>
        <w:gridCol w:w="124"/>
        <w:gridCol w:w="256"/>
        <w:gridCol w:w="92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length of time required to enroll a sufficient number of suitable patients in our clinical trials;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probability of success for our product candidates, including the safety and efficacy, early clinical data, competition, manufacturing capability and commercial viability;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p>
      <w:pPr>
        <w:pStyle w:val="TextBody"/>
        <w:bidi w:val="0"/>
        <w:spacing w:lineRule="atLeast" w:line="225" w:before="0" w:after="0"/>
        <w:ind w:left="0" w:right="0" w:hanging="0"/>
        <w:jc w:val="left"/>
        <w:rPr/>
      </w:pPr>
      <w:r>
        <w:rPr/>
        <w:t>​</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existing and any future collaborators;</w:t>
            </w:r>
          </w:p>
        </w:tc>
      </w:tr>
    </w:tbl>
    <w:p>
      <w:pPr>
        <w:pStyle w:val="TextBody"/>
        <w:bidi w:val="0"/>
        <w:spacing w:lineRule="atLeast" w:line="225"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patients receive;</w:t>
            </w:r>
          </w:p>
        </w:tc>
      </w:tr>
    </w:tbl>
    <w:p>
      <w:pPr>
        <w:pStyle w:val="TextBody"/>
        <w:bidi w:val="0"/>
        <w:spacing w:lineRule="atLeast" w:line="225" w:before="0" w:after="0"/>
        <w:ind w:left="0" w:right="0" w:hanging="0"/>
        <w:jc w:val="left"/>
        <w:rPr/>
      </w:pPr>
      <w:r>
        <w:rPr/>
        <w:t>​</w:t>
      </w:r>
    </w:p>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p>
      <w:pPr>
        <w:pStyle w:val="TextBody"/>
        <w:bidi w:val="0"/>
        <w:spacing w:before="0" w:after="0"/>
        <w:ind w:left="0" w:right="0" w:hanging="0"/>
        <w:jc w:val="left"/>
        <w:rPr/>
      </w:pPr>
      <w:r>
        <w:rPr/>
        <w:t>​</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 and pre-clinical studies;</w:t>
            </w:r>
          </w:p>
        </w:tc>
      </w:tr>
    </w:tbl>
    <w:p>
      <w:pPr>
        <w:pStyle w:val="TextBody"/>
        <w:bidi w:val="0"/>
        <w:spacing w:lineRule="atLeast" w:line="225" w:before="0" w:after="0"/>
        <w:ind w:left="0" w:right="0" w:hanging="0"/>
        <w:jc w:val="left"/>
        <w:rPr/>
      </w:pPr>
      <w:r>
        <w:rPr/>
        <w:t>​</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commercial manufacturing capabilities;</w:t>
            </w:r>
          </w:p>
        </w:tc>
      </w:tr>
    </w:tbl>
    <w:p>
      <w:pPr>
        <w:pStyle w:val="TextBody"/>
        <w:bidi w:val="0"/>
        <w:spacing w:lineRule="atLeast" w:line="22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ongoing availability of raw materials and drug substance for clinical development and any commercial sales;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potential regulatory approvals, including the timing of any BLA and Marketing Authorization Application, or MAA, submissions and their acceptance;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receipt of marketing approvals, including a safety, tolerability and efficacy profile that is satisfactory to the FDA, the European Medicines Agency, or EMA, and European Commission, or any other non-U.S. regulatory authority;</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7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 by the FDA, the EMA and the European Commission, or any other non-US regulatory authority to conduct post market surveillance or safety studies;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 and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1" w:before="0" w:after="0"/>
        <w:ind w:left="0" w:right="0" w:hanging="0"/>
        <w:jc w:val="left"/>
        <w:rPr/>
      </w:pPr>
      <w:r>
        <w:rPr/>
        <w:t>​</w:t>
      </w:r>
    </w:p>
    <w:tbl>
      <w:tblPr>
        <w:tblW w:w="5125" w:type="dxa"/>
        <w:jc w:val="left"/>
        <w:tblInd w:w="0" w:type="dxa"/>
        <w:tblLayout w:type="fixed"/>
        <w:tblCellMar>
          <w:top w:w="28" w:type="dxa"/>
          <w:left w:w="28" w:type="dxa"/>
          <w:bottom w:w="28" w:type="dxa"/>
          <w:right w:w="28" w:type="dxa"/>
        </w:tblCellMar>
      </w:tblPr>
      <w:tblGrid>
        <w:gridCol w:w="124"/>
        <w:gridCol w:w="256"/>
        <w:gridCol w:w="459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approved products.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mean a significant change in the costs and timing associated with the development of that product candidate. For example, in its CRL for omburtamab, and in our Type A meeting held subsequent to receipt of the CRL, the FDA made recommendations for us to consider in terms of a potential trial design to demonstrate substantial evidence of effectiveness and a favorable benefit-risk profile, and we have determined to discontinue our radiolabeled omburtamab development program for CNS-LM. If we are required and we determine to conduct additional clinical trials of a product candidate, we will need substantial additional funds and there is no assurance that the results of any such additional clinical trials will be sufficient for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and we are currently focused on the continued commercialization and potential label extension of DANYELZA and development of the SADA PRIT Technology platform. In addition to discontinuing development of omburtamab for CNS-LM, we have suspended further work related to the GD2-GD3 Vaccine and CD33 bispecific antibody constructs. Following the January 2023 restructuring, our research and development expenses have decreased from historic averages. Our Research and Development expenses have stayed consistent for the three months ended March 31, 2024 and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development expenses or cost of goods sold, legal fees relating to corporate matters, and fees for patent, accounting, tax, and consulting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selling, general, and administrative, or SG&amp;A,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net primarily consists of interest income earned on our money market fund and foreign currency transaction gains and losses. Other income, net can vary quarter-to-quarter based on interest rates and foreign currency fluctuations.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consolidated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critical accounting policies and significant judgements and estimates are included in </w:t>
      </w:r>
      <w:r>
        <w:rPr>
          <w:rFonts w:ascii="Times New Roman;Times;serif" w:hAnsi="Times New Roman;Times;serif"/>
          <w:i/>
          <w:sz w:val="20"/>
        </w:rPr>
        <w:t>NOTE 3— SUMMARY OF SIGNIFICANT ACCOUNTING POLICIES</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discussion of critical accounting policies, see the section entitled “Critical Accounting Policies and Significant Judgments and Estimates” in Part II. Item 7. Management’s Discussion and Analysis of Financial Condition and Results of Operations in our Annual Report on Form 10-K for the fiscal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2024 and 2023:</w:t>
      </w:r>
    </w:p>
    <w:tbl>
      <w:tblPr>
        <w:tblW w:w="7898" w:type="dxa"/>
        <w:jc w:val="left"/>
        <w:tblInd w:w="0" w:type="dxa"/>
        <w:tblLayout w:type="fixed"/>
        <w:tblCellMar>
          <w:top w:w="0" w:type="dxa"/>
          <w:left w:w="0" w:type="dxa"/>
          <w:bottom w:w="0" w:type="dxa"/>
          <w:right w:w="0" w:type="dxa"/>
        </w:tblCellMar>
      </w:tblPr>
      <w:tblGrid>
        <w:gridCol w:w="3286"/>
        <w:gridCol w:w="326"/>
        <w:gridCol w:w="211"/>
        <w:gridCol w:w="691"/>
        <w:gridCol w:w="326"/>
        <w:gridCol w:w="211"/>
        <w:gridCol w:w="691"/>
        <w:gridCol w:w="326"/>
        <w:gridCol w:w="211"/>
        <w:gridCol w:w="541"/>
        <w:gridCol w:w="326"/>
        <w:gridCol w:w="436"/>
        <w:gridCol w:w="31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86610" cy="175260"/>
                      <wp:effectExtent l="0" t="0" r="0" b="0"/>
                      <wp:wrapNone/>
                      <wp:docPr id="223" name="Frame22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8785" cy="175260"/>
                      <wp:effectExtent l="0" t="0" r="0" b="0"/>
                      <wp:wrapNone/>
                      <wp:docPr id="226" name="Frame2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29" name="Frame2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43535" cy="175260"/>
                      <wp:effectExtent l="0" t="0" r="0" b="0"/>
                      <wp:wrapNone/>
                      <wp:docPr id="232" name="Frame23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76860" cy="175260"/>
                      <wp:effectExtent l="0" t="0" r="0" b="0"/>
                      <wp:wrapNone/>
                      <wp:docPr id="234" name="Frame23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0660" cy="175260"/>
                      <wp:effectExtent l="0" t="0" r="0" b="0"/>
                      <wp:wrapNone/>
                      <wp:docPr id="235" name="Frame2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6"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8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78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456" w:type="dxa"/>
            <w:gridSpan w:val="6"/>
            <w:tcBorders/>
            <w:vAlign w:val="center"/>
          </w:tcPr>
          <w:p>
            <w:pPr>
              <w:pStyle w:val="TableContents"/>
              <w:bidi w:val="0"/>
              <w:spacing w:before="0" w:after="1"/>
              <w:ind w:left="0" w:right="0" w:hanging="0"/>
              <w:jc w:val="center"/>
              <w:rPr/>
            </w:pPr>
            <w:r>
              <w:rPr/>
              <w:t>​</w:t>
            </w:r>
          </w:p>
        </w:tc>
        <w:tc>
          <w:tcPr>
            <w:tcW w:w="1078" w:type="dxa"/>
            <w:gridSpan w:val="3"/>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royalties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product revenue, net was generated from sales of DANYELZA and consists of the following (in thousands):</w:t>
      </w:r>
    </w:p>
    <w:tbl>
      <w:tblPr>
        <w:tblW w:w="7079" w:type="dxa"/>
        <w:jc w:val="left"/>
        <w:tblInd w:w="0" w:type="dxa"/>
        <w:tblLayout w:type="fixed"/>
        <w:tblCellMar>
          <w:top w:w="0" w:type="dxa"/>
          <w:left w:w="0" w:type="dxa"/>
          <w:bottom w:w="0" w:type="dxa"/>
          <w:right w:w="0" w:type="dxa"/>
        </w:tblCellMar>
      </w:tblPr>
      <w:tblGrid>
        <w:gridCol w:w="2266"/>
        <w:gridCol w:w="326"/>
        <w:gridCol w:w="269"/>
        <w:gridCol w:w="861"/>
        <w:gridCol w:w="138"/>
        <w:gridCol w:w="269"/>
        <w:gridCol w:w="861"/>
        <w:gridCol w:w="109"/>
        <w:gridCol w:w="211"/>
        <w:gridCol w:w="691"/>
        <w:gridCol w:w="326"/>
        <w:gridCol w:w="436"/>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38910" cy="175260"/>
                      <wp:effectExtent l="0" t="0" r="0" b="0"/>
                      <wp:wrapNone/>
                      <wp:docPr id="236" name="Frame23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70815" cy="175260"/>
                      <wp:effectExtent l="0" t="0" r="0" b="0"/>
                      <wp:wrapNone/>
                      <wp:docPr id="238" name="Frame23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46735" cy="175260"/>
                      <wp:effectExtent l="0" t="0" r="0" b="0"/>
                      <wp:wrapNone/>
                      <wp:docPr id="239" name="Frame239"/>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7630" cy="175260"/>
                      <wp:effectExtent l="0" t="0" r="0" b="0"/>
                      <wp:wrapNone/>
                      <wp:docPr id="240" name="Frame240"/>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70815" cy="175260"/>
                      <wp:effectExtent l="0" t="0" r="0" b="0"/>
                      <wp:wrapNone/>
                      <wp:docPr id="241" name="Frame24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46735" cy="175260"/>
                      <wp:effectExtent l="0" t="0" r="0" b="0"/>
                      <wp:wrapNone/>
                      <wp:docPr id="242" name="Frame24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5" name="Frame2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6860" cy="175260"/>
                      <wp:effectExtent l="0" t="0" r="0" b="0"/>
                      <wp:wrapNone/>
                      <wp:docPr id="247" name="Frame24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660" cy="175260"/>
                      <wp:effectExtent l="0" t="0" r="0" b="0"/>
                      <wp:wrapNone/>
                      <wp:docPr id="248" name="Frame2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09" w:type="dxa"/>
            <w:tcBorders/>
            <w:vAlign w:val="center"/>
          </w:tcPr>
          <w:p>
            <w:pPr>
              <w:pStyle w:val="TableContents"/>
              <w:bidi w:val="0"/>
              <w:spacing w:before="0" w:after="0"/>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8"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center"/>
              <w:rPr/>
            </w:pPr>
            <w:r>
              <w:rPr/>
              <w:t>​</w:t>
            </w:r>
          </w:p>
        </w:tc>
        <w:tc>
          <w:tcPr>
            <w:tcW w:w="861" w:type="dxa"/>
            <w:tcBorders/>
            <w:vAlign w:val="center"/>
          </w:tcPr>
          <w:p>
            <w:pPr>
              <w:pStyle w:val="TableContents"/>
              <w:bidi w:val="0"/>
              <w:spacing w:before="0" w:after="0"/>
              <w:ind w:left="0" w:right="0" w:hanging="0"/>
              <w:jc w:val="center"/>
              <w:rPr/>
            </w:pPr>
            <w:r>
              <w:rPr/>
              <w:t>​</w:t>
            </w:r>
          </w:p>
        </w:tc>
        <w:tc>
          <w:tcPr>
            <w:tcW w:w="138"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center"/>
              <w:rPr/>
            </w:pPr>
            <w:r>
              <w:rPr/>
              <w:t>​</w:t>
            </w:r>
          </w:p>
        </w:tc>
        <w:tc>
          <w:tcPr>
            <w:tcW w:w="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c>
          <w:tcPr>
            <w:tcW w:w="138"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countries</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38"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 net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19,431</w:t>
            </w:r>
          </w:p>
        </w:tc>
        <w:tc>
          <w:tcPr>
            <w:tcW w:w="138"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$0.8 million, or 4%, decrease was the net impact of a decrease in international markets, partially offset by increased product revenue, net, of 11% in the United States. Our product revenue, net from the United States for the three months ended March 31, 2024 increased by $1.8 million due to increased volume in the United States. Our product revenue, net from other countries for the three months ended March 31, 2024 decreased by $2.6 million, or 76%, due to $2.5 million of product revenue in the three months ended March 31, 2023 from our distribution partner, WEP, in connection with the initiation of an early access program for DANYELZA in Europe. We did not have any product revenue from WEP in the three months ended March 31, 2024. Volumes in early access programs can vary quarter to quarter and we expect the volume to resume in future quarters in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January 2024, we accepted the price for DANYELZA in Brazil from the Brazilian Medicines Market Regulation Chamber, or CMED. We received a $0.5 million regulatory-based milestone payment in connection with the price approval from CMED in the first quarter of 2024. There was no license revenue in the three months ended March 31, 2023.</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goods sold includes amounts related to materials, third-party contract manufacturing, third-party packaging services, freight, indirect labor costs, third-party royalties for approved products, and indirect overhead costs. Cost of goods sold was $2.1 million for each of the three months ended March 31, 2024 and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gross margin was relatively unchanged at 89% for the three months ended March 31, 2024, compared to 90% for the three months ended March 31, 2023. We define gross margin as net product revenues less cost of goods sold divided by net product revenues.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License Royalties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License royalties include third-party royalty expenses related to license revenues that have been recognized. During the three months ended March 31, 2024, license royalties were related to MSK’s share of licensing revenues. We incurred license royalty expense of $50,000 during the three months ended March 31, 2024 in connection with the price approval from CMED in January 2024. We did not record any license royalty expense for the three months ended March 31, 2023.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tbl>
      <w:tblPr>
        <w:tblW w:w="7568" w:type="dxa"/>
        <w:jc w:val="left"/>
        <w:tblInd w:w="0" w:type="dxa"/>
        <w:tblLayout w:type="fixed"/>
        <w:tblCellMar>
          <w:top w:w="0" w:type="dxa"/>
          <w:left w:w="0" w:type="dxa"/>
          <w:bottom w:w="0" w:type="dxa"/>
          <w:right w:w="0" w:type="dxa"/>
        </w:tblCellMar>
      </w:tblPr>
      <w:tblGrid>
        <w:gridCol w:w="2836"/>
        <w:gridCol w:w="326"/>
        <w:gridCol w:w="211"/>
        <w:gridCol w:w="676"/>
        <w:gridCol w:w="326"/>
        <w:gridCol w:w="211"/>
        <w:gridCol w:w="676"/>
        <w:gridCol w:w="326"/>
        <w:gridCol w:w="211"/>
        <w:gridCol w:w="691"/>
        <w:gridCol w:w="326"/>
        <w:gridCol w:w="436"/>
        <w:gridCol w:w="316"/>
      </w:tblGrid>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75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80" w:type="dxa"/>
            <w:gridSpan w:val="5"/>
            <w:tcBorders/>
            <w:vAlign w:val="center"/>
          </w:tcPr>
          <w:p>
            <w:pPr>
              <w:pStyle w:val="TableContents"/>
              <w:bidi w:val="0"/>
              <w:spacing w:before="0" w:after="1"/>
              <w:ind w:left="0" w:right="0" w:hanging="0"/>
              <w:jc w:val="center"/>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manufacturing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2,546</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16"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Outsourced research and supplies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consulting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Information technology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2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0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expenses were $13.3 million for the three months ended March 31, 2024, as compared to $13.4 million for the three months ended March 31, 2023. The $0.1 million decrease was mainly due to a $2.6 million decrease in personnel related costs, inclusive of stock-based compensation, partially offset by a $2.5 million increase in clinical trial expenses due to our increased investment in SADA PRIT Technology programs in 2024. The $2.6 million decrease in personnel related costs includes the impact of our $3.4 million restructuring charge recorded in the three months ended March 31, 2023, partially offset by an increase in personnel costs in the three months ended March 31, 2024. Please refer to </w:t>
      </w:r>
      <w:r>
        <w:rPr>
          <w:rFonts w:ascii="Times New Roman;Times;serif" w:hAnsi="Times New Roman;Times;serif"/>
          <w:i/>
          <w:sz w:val="20"/>
        </w:rPr>
        <w:t>NOTE 14— RESTRUCTURING CHARGE</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expenses were $11.4 million for the three months ended March 31, 2024, as compared to $12.2 million for the three months ended March 31, 2023. The $0.8 million decrease in selling, general, and administrative expenses was primarily attributable to a decrease in personnel related costs, inclusive of stock-based compensation, driven by the impact of our $1.1 million restructuring charge recorded in the three months ended March 31, 2023. Please refer to </w:t>
      </w:r>
      <w:r>
        <w:rPr>
          <w:rFonts w:ascii="Times New Roman;Times;serif" w:hAnsi="Times New Roman;Times;serif"/>
          <w:i/>
          <w:sz w:val="20"/>
        </w:rPr>
        <w:t>NOTE 14— RESTRUCTURING CHARGE</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and Other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and other income for the three months ended March 31, 2024 was $0.4 million compared to $1.1 million for the three months ended March 31, 2023. Our interest and other income decreased by $0.7 million primarily due to a $0.6 million decrease in foreign currency transaction gains.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Provision for income taxes was $0.2 million for the three months ended March 31, 2024. We did not record any provision for income taxes for the three months ended March 31, 2023. The increase in provision for income taxes was primarily driven by certain U.S. state jurisdictions, and, to a lesser extent, limitation on utilization of U.S. federal net operating losses.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experienced significant use of cash to fund our net operating losses since inception. We expect our net operating losses to decrease in the future as revenues from our only approved product, DANYELZA, grow and contribute to funding our significant research expenses. Our net losses may fluctuate significantly from quarter to quarter and year to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we had cash and cash equivalents of $75.7 million and $78.6 million, respectively. We estimate that our cash and cash equivalents, when combined with anticipated DANYELZA revenues, should support our operations into 2027. This estimate is based on our current business plan, and on assumptions that may prove to be wrong, and we could use our available capital resources sooner than we currently expect. This estimate assumes no income from new partnerships or other new business development activities, and no further development of the omburtamab program, the GD2-GD3 Vaccine and the CD33 bispecific antibody constructs. We cannot provide any assurance that we will be able to obtain additional capital from additional equity or debt financing, collaborations, licensing arrangements, or other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Times;serif" w:hAnsi="Times New Roman;Times;serif"/>
          <w:i/>
          <w:sz w:val="20"/>
        </w:rPr>
        <w:t>NOTE 9 —LICENSE AGREEMENTS AND COMMITMENTS</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three months ended March 31, 2024 and 2023:</w:t>
      </w:r>
    </w:p>
    <w:tbl>
      <w:tblPr>
        <w:tblW w:w="9550" w:type="dxa"/>
        <w:jc w:val="left"/>
        <w:tblInd w:w="0" w:type="dxa"/>
        <w:tblLayout w:type="fixed"/>
        <w:tblCellMar>
          <w:top w:w="0" w:type="dxa"/>
          <w:left w:w="0" w:type="dxa"/>
          <w:bottom w:w="0" w:type="dxa"/>
          <w:right w:w="0" w:type="dxa"/>
        </w:tblCellMar>
      </w:tblPr>
      <w:tblGrid>
        <w:gridCol w:w="4456"/>
        <w:gridCol w:w="326"/>
        <w:gridCol w:w="230"/>
        <w:gridCol w:w="756"/>
        <w:gridCol w:w="356"/>
        <w:gridCol w:w="230"/>
        <w:gridCol w:w="871"/>
        <w:gridCol w:w="146"/>
        <w:gridCol w:w="326"/>
        <w:gridCol w:w="211"/>
        <w:gridCol w:w="676"/>
        <w:gridCol w:w="109"/>
        <w:gridCol w:w="541"/>
        <w:gridCol w:w="316"/>
      </w:tblGrid>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29560" cy="175260"/>
                      <wp:effectExtent l="0" t="0" r="0" b="0"/>
                      <wp:wrapNone/>
                      <wp:docPr id="249" name="Frame249"/>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6050" cy="175260"/>
                      <wp:effectExtent l="0" t="0" r="0" b="0"/>
                      <wp:wrapNone/>
                      <wp:docPr id="251" name="Frame25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80060" cy="175260"/>
                      <wp:effectExtent l="0" t="0" r="0" b="0"/>
                      <wp:wrapNone/>
                      <wp:docPr id="252" name="Frame25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26060" cy="175260"/>
                      <wp:effectExtent l="0" t="0" r="0" b="0"/>
                      <wp:wrapNone/>
                      <wp:docPr id="253" name="Frame25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6050" cy="175260"/>
                      <wp:effectExtent l="0" t="0" r="0" b="0"/>
                      <wp:wrapNone/>
                      <wp:docPr id="254" name="Frame2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53085" cy="175260"/>
                      <wp:effectExtent l="0" t="0" r="0" b="0"/>
                      <wp:wrapNone/>
                      <wp:docPr id="255" name="Frame25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2710" cy="175260"/>
                      <wp:effectExtent l="0" t="0" r="0" b="0"/>
                      <wp:wrapNone/>
                      <wp:docPr id="256" name="Frame2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29260" cy="175260"/>
                      <wp:effectExtent l="0" t="0" r="0" b="0"/>
                      <wp:wrapNone/>
                      <wp:docPr id="259" name="Frame2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43535" cy="175260"/>
                      <wp:effectExtent l="0" t="0" r="0" b="0"/>
                      <wp:wrapNone/>
                      <wp:docPr id="261" name="Frame26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0660" cy="175260"/>
                      <wp:effectExtent l="0" t="0" r="0" b="0"/>
                      <wp:wrapNone/>
                      <wp:docPr id="262" name="Frame2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8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6" w:type="dxa"/>
            <w:tcBorders/>
            <w:vAlign w:val="center"/>
          </w:tcPr>
          <w:p>
            <w:pPr>
              <w:pStyle w:val="TableContents"/>
              <w:bidi w:val="0"/>
              <w:spacing w:before="0" w:after="1"/>
              <w:ind w:left="0" w:right="0" w:hanging="0"/>
              <w:jc w:val="left"/>
              <w:rPr/>
            </w:pPr>
            <w:r>
              <w:rPr/>
              <w:t>    </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r>
      <w:tr>
        <w:trPr/>
        <w:tc>
          <w:tcPr>
            <w:tcW w:w="955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443" w:type="dxa"/>
            <w:gridSpan w:val="5"/>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853" w:type="dxa"/>
            <w:gridSpan w:val="5"/>
            <w:tcBorders/>
            <w:vAlign w:val="center"/>
          </w:tcPr>
          <w:p>
            <w:pPr>
              <w:pStyle w:val="TableContents"/>
              <w:bidi w:val="0"/>
              <w:spacing w:before="0" w:after="1"/>
              <w:ind w:left="0" w:right="0" w:hanging="0"/>
              <w:jc w:val="center"/>
              <w:rPr/>
            </w:pPr>
            <w:r>
              <w:rPr/>
              <w:t>​</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(13,124)</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9,647</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investing activities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1"/>
              <w:ind w:left="0" w:right="0" w:hanging="0"/>
              <w:jc w:val="left"/>
              <w:rPr/>
            </w:pPr>
            <w:r>
              <w:rPr/>
              <w:t> </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5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4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(2,888)</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(13,133)</w:t>
            </w:r>
          </w:p>
        </w:tc>
        <w:tc>
          <w:tcPr>
            <w:tcW w:w="1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10,245</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use of cash in all periods resulted primarily from our net losses adjusted for non-cash charges and changes in components of working capital.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used in operating activities was $3.5 million for the three months ended March 31, 2024, as compared to net cash used in operating activities of $13.1 million for the three months ended March 31, 2023. The $9.6 million decrease in cash used in operating activities was primarily due to a decrease in cash used for working capital of $10.3 million, which was primarily driven by $8.0 million of increased accounts receivable collections, during the three months ended March 31, 2024 compared to the corresponding period in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Net Cash From Investing Activities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generate or use cash for investing activities during the three months ended March 31, 2024 and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Cash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$0.6 million for the three months ended March 31, 2024, which resulted from proceeds from exercised stock options. We did not generate or use cash for financing activities during the three months ended March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Funding Requirements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plan to advance the development of our pipeline programs, initiate new research and pre-clinical development efforts and seek marketing approval for any additional product candidates and indications that we successfully develop. If we obtain approval for any additional product candidates and indications, we expect to incur commercialization expenses, which may be significant, related to establishing sales, marketing, manufacturing capabilities, distribution and other commercial infrastructure to commercialize such products. Accordingly, we may need to obtain substantial additional funding in connection with our continuing operations. However, global economic conditions have been worsening, with disruptions to, and volatility in, the credit and financial markets in the U.S.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cash and cash equivalents were $75.7 million as of March 31, 2024. We estimate that our cash and cash equivalents, when combined with anticipated DANYELZA revenues, should support operations into 2027. This estimate is based on our current business plan and on assumptions that may prove to be wrong, and we could use our available capital resources sooner than we currently expect. This estimate assumes no new partnerships or other new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development and no further development of the omburtamab program, the GD2-GD3 Vaccine and the CD33 bispecific antibody constructs. We cannot provide any assurance that we will be able to obtain additional capital from new equity or debt financing, collaborations, licensing arrangements, or other 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Because of the numerous risks and uncertainties associated with the further development and commercialization of DANYELZA, and the research, development and commercialization of other potential product candidates, we are unable to estimate the exact amount of our operating capital requirements. Our future capital requirements will depend on many factors, including:</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clinical trials for developing DANYELZA, and conducting pre-clinical studies and clinical trials for our SADA PRIT constructs;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pre-clinical development efforts for any future product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and the terms and timing of any collaborations, licensing agreements, distribution agreements or other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any collaboration or other agreements;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future product candidates that we may pursue and their development requirements;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timing and costs of seeking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future revenue, if any, received from commercial sales of our current and future product candidates upon any marketing approvals;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received, if any, from monetization of any future PRVs;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and associated costs as we focus our research and development efforts on additional indications for DANYELZA and our SADA PRIT Technology and expand our commercial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 related claims;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additional marketing approval and achieve additional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Until such time, if ever, as we can generate substantial product revenues, we expect to finance our cash needs through a combination of equity offerings, debt financing,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 covenants limiting or restricting our ability to take specific actions, such as incurring additional debt, making capital expenditures or declaring 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the financial balances related to our material outstanding contractual commitments and the maximum financial impact related to milestones under those contractual obligations are included in </w:t>
      </w:r>
      <w:r>
        <w:rPr>
          <w:rFonts w:ascii="Times New Roman;Times;serif" w:hAnsi="Times New Roman;Times;serif"/>
          <w:i/>
          <w:sz w:val="20"/>
        </w:rPr>
        <w:t>NOTE 9—LICENSE AGREEMENTS AND COMMITMENTS</w:t>
      </w:r>
      <w:r>
        <w:rPr>
          <w:rFonts w:ascii="Times New Roman;Times;serif" w:hAnsi="Times New Roman;Times;serif"/>
          <w:sz w:val="20"/>
        </w:rPr>
        <w:t xml:space="preserve"> in the notes to the consolidated financial statements included in Item 1. Financial Statements in this Form 10-Q.</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a discussion of our material license agreements, see the section entitled “Contractual Obligations and Commitments” in Part II.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our Annual Report on Form 10-K for the fiscal year ended December 31,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is inherently uncertain and, should such research and development fail, the MSK License Agreement, the CD33 License Agreement, and SADA License Agreement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MabVax/Y-mAbs Sublicense. We have entered into sublicenses and distribution agreements with Swixx, SciClone and Takeda in 2020, Adium in 2021, and WEP in 2022,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Known Trends, Geopolitical Events and Uncertainties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2022, Russia launched a wide-ranging attack on Ukraine. The resulting conflict and retaliatory measures by the global community have created global security concerns, including the possibility of expanded conflict, which have had and are likely to continue to have, short-term and longer-term adverse impacts on Russia, Ukraine and Europe and around the globe.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This has negatively impacted our plans to commercialize and sell DANYELZA in Russia and may therefore adversely affect our business. In addition, the war between Russia and Ukraine has had significant ramifications on global financial and energy markets, including volatility in the U.S. and global financial markets, which has led to disruptions to trade, 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and supply-chain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continuity and reduced access to liquidity on acceptable terms, in both Europe and globally, and has introduced significant uncertainty into global markets.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conflict or its effects on our business, operations and financial condition. The ongoing conflict is rapidly evolving and developing and may have a material adverse impact on our business and/or our partners. For example, it may have an adverse impact on Takeda Israel’s ability to sell our products and/or collect receivables from customers in the State of Israel pursuant to the exclusive licensing and distribution agreement we entered into with Takeda Israel in November 2022, or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Inflation may also materially affect our business and corresponding financial position and cash flows. Inflationary factors, such as increases in the cost of our clinical trial materials and supplies, interest rates and overhead costs have and may continue to adversely affect our operating results. High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demand for our product and our operations. Furthermore, such economic conditions have produced downward pressure on share prices. We may experience increases in our operating costs, including our labor costs and research and development costs, due to supply-chain constraints, the ongoing conflict between Russia and Ukraine, the state of the war involving Israel, and employee availability and wage increases, which may result in additional stress on our working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closures of Silicon Valley Bank and Signature Bank in 2023 have resulted in broader financial institution liquidity risk and concerns, and future adverse developments with respect to specific financial institutions or the broader financial services industry may lead to market-wide liquidity shortages. The failure of any bank in which we deposit our funds could reduce the amount of cash we have available for our operations or corporate development or delay our ability to access such funds. Any such future bank failure may increase the possibility of a sustained deterioration of financial market liquidity, or illiquidity at clearing, cash management and/or custodial financial institutions. To help guard against that risk, our cash and cash equivalents are held at a large major federal, national bank.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and cash equivalents may be threatened and our ability to borrow or raise additional capital when needed to operate our business could be substantially impaired.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3—SUMMARY OF SIGNIFICANT ACCOUNTING POLICIES</w:t>
      </w:r>
      <w:r>
        <w:rPr>
          <w:rFonts w:ascii="Times New Roman;Times;serif" w:hAnsi="Times New Roman;Times;serif"/>
          <w:sz w:val="20"/>
        </w:rPr>
        <w:t xml:space="preserve"> in the notes to the consolidated financial statements included in Item 1. Financial Statements in this Form 10-Q for a discussion of recent accounting pronouncements.</w:t>
      </w:r>
    </w:p>
    <w:p>
      <w:pPr>
        <w:pStyle w:val="TextBody"/>
        <w:bidi w:val="0"/>
        <w:spacing w:before="0" w:after="240"/>
        <w:ind w:left="0" w:right="0" w:hanging="0"/>
        <w:jc w:val="left"/>
        <w:rPr>
          <w:rFonts w:ascii="Times New Roman;Times;serif" w:hAnsi="Times New Roman;Times;serif"/>
          <w:b/>
          <w:sz w:val="20"/>
        </w:rPr>
      </w:pPr>
      <w:bookmarkStart w:id="871" w:name="Item3QuantitativeandQualitativeDisclosur"/>
      <w:bookmarkStart w:id="872" w:name="_26a874b4_c289_4d10_898a_56881cf531a3"/>
      <w:bookmarkEnd w:id="871"/>
      <w:bookmarkEnd w:id="872"/>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“smaller reporting company” as defined by Item 10 of Regulation S-K, we are not required to provide the information required by this item.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3" w:name="Item4ControlsandProcedures_863456"/>
      <w:bookmarkStart w:id="874" w:name="_5fe701fa_4665_459e_9bc2_799abcc21f2f"/>
      <w:bookmarkEnd w:id="873"/>
      <w:bookmarkEnd w:id="874"/>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Chief Executive Officer and Chief Financial Officer concluded that our disclosure controls and procedures were effective at the reasonable assurance level as of March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There was no change in our internal control over financial reporting, (as defined in Rules 13a 15(f) and 15d 15(f) under the Exchange Act) during the quarter ended March 31, 2024, that has materially affected, or is reasonably likely to materially affect, our internal control over financial reporting.</w:t>
      </w:r>
      <w:r>
        <w:rPr>
          <w:rFonts w:ascii="Times New Roman;Times;serif" w:hAnsi="Times New Roman;Times;serif"/>
          <w:b/>
          <w:sz w:val="20"/>
        </w:rPr>
        <w:t xml:space="preserve"> </w:t>
      </w:r>
    </w:p>
    <w:p>
      <w:pPr>
        <w:pStyle w:val="TextBody"/>
        <w:bidi w:val="0"/>
        <w:spacing w:before="0" w:after="240"/>
        <w:ind w:left="0" w:right="0" w:hanging="0"/>
        <w:jc w:val="left"/>
        <w:rPr/>
      </w:pPr>
      <w:bookmarkStart w:id="875" w:name="_05d28efc_6488_4856_b531_5bcd67fa3d45"/>
      <w:bookmarkEnd w:id="875"/>
      <w:r>
        <w:rPr/>
        <w:t>​</w:t>
      </w:r>
    </w:p>
    <w:p>
      <w:pPr>
        <w:pStyle w:val="TextBody"/>
        <w:bidi w:val="0"/>
        <w:spacing w:before="0" w:after="240"/>
        <w:ind w:left="0" w:right="0" w:hanging="0"/>
        <w:jc w:val="left"/>
        <w:rPr>
          <w:rFonts w:ascii="Times New Roman;Times;serif" w:hAnsi="Times New Roman;Times;serif"/>
          <w:b/>
          <w:sz w:val="20"/>
        </w:rPr>
      </w:pPr>
      <w:bookmarkStart w:id="876" w:name="Part2"/>
      <w:bookmarkEnd w:id="87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877" w:name="Item1LegalProceedings_419220"/>
      <w:bookmarkEnd w:id="877"/>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Donoghue vs. Y-mAbs Therapeutics, Inc., and Gad </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On February 1, 2024, both the Plaintiff and Mr. Gad filed their respective motions for summary judgement.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 re Y-mAbs Therapeutics, Inc. Securities Litigation</w:t>
      </w:r>
    </w:p>
    <w:p>
      <w:pPr>
        <w:pStyle w:val="TextBody"/>
        <w:bidi w:val="0"/>
        <w:spacing w:before="0" w:after="24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September 29, 2023, the defendants’ motion to dismiss the amended complaint was fully briefed. On February 5, 2024, the Court granted in part and denied in part the defendants’ motion to dismiss. The Court dismissed the plaintiff’s claims relating to three of four categories of challenged statements and dismissed in part plaintiff’s claims relating to the fourth category of challenged statements. The Court also dismissed one of the individual defendants from the case. The Company believes that the remaining claims are without merit and intends to vigorously defend against these claims. The Company has not established a liability for this claim as of March 31, 2024 as the Company does not consider a loss on the claim to be probable.</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Hazelton vs. Y-mAbs Therapeutics Inc., and Gad, et al.</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Defendants’ motion to dismiss the amended complaint was fully briefed as of September 8, 2023. On April 3, 2024, the parties informed the Court that they had agreed to resolve the matter on mootness grounds and hoped to reach agreement on formal documentation. The Company has not established a liability for this claim as of March 31, 2024 as the Company does not consider a loss on the claim to be probable.</w:t>
      </w:r>
    </w:p>
    <w:p>
      <w:pPr>
        <w:pStyle w:val="TextBody"/>
        <w:bidi w:val="0"/>
        <w:spacing w:before="0" w:after="120"/>
        <w:ind w:left="0" w:right="0" w:hanging="0"/>
        <w:jc w:val="left"/>
        <w:rPr>
          <w:rFonts w:ascii="Times New Roman;Times;serif" w:hAnsi="Times New Roman;Times;serif"/>
          <w:b/>
          <w:sz w:val="20"/>
        </w:rPr>
      </w:pPr>
      <w:bookmarkStart w:id="878" w:name="Item1ARiskFactors_474954"/>
      <w:bookmarkStart w:id="879" w:name="_6eb9a3b7_55cb_4431_83e7_39af12564222"/>
      <w:bookmarkEnd w:id="878"/>
      <w:bookmarkEnd w:id="879"/>
      <w:r>
        <w:rPr>
          <w:rFonts w:ascii="Times New Roman;Times;serif" w:hAnsi="Times New Roman;Times;serif"/>
          <w:b/>
          <w:sz w:val="20"/>
        </w:rPr>
        <w:t xml:space="preserve">Item 1A.  Risk Factors. </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Our business is subject to numerous risks. You should carefully consider the risks and uncertainties described below together with all of the other information contained in this Quarterly Report on Form 10-Q,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Condition and Need for Additional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pStyle w:val="TextBody"/>
        <w:bidi w:val="0"/>
        <w:spacing w:lineRule="auto" w:line="302" w:before="0" w:after="0"/>
        <w:ind w:left="60" w:right="119" w:firstLine="648"/>
        <w:jc w:val="left"/>
        <w:rPr>
          <w:rFonts w:ascii="Times New Roman;Times;serif" w:hAnsi="Times New Roman;Times;serif"/>
          <w:sz w:val="20"/>
        </w:rPr>
      </w:pPr>
      <w:r>
        <w:rPr>
          <w:rFonts w:ascii="Times New Roman;Times;serif" w:hAnsi="Times New Roman;Times;serif"/>
          <w:sz w:val="20"/>
        </w:rPr>
        <w:t>We are a commercial-stage biopharmaceutical company with a limited operating history. Since our inception in 2015, we have incurred significant losses each year. As of March 31, 2024 our accumulated deficit was approximately $464.1 million. We have financed our operations principally through private placements, the initial public offering of our common stock in 2018 as well as subsequent public offerings of our common stock in November 2019 and February 2021, the proceeds from the sales of DANYELZA and the sale of the PRV granted to us upon FDA approval of DANYELZA.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2" w:before="0" w:after="0"/>
        <w:ind w:left="60" w:right="119" w:firstLine="648"/>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To date, we have devoted substantially all our efforts to research and development, and more recently, commercialization of DANYELZA, which is our only approved product to date and to development of omburtamab and SADA PRIT Technology. On November 25, 2020, DANYELZA was approved by the FDA for the treatment, in combination with GM-CSF, of pediatric patients one year of age and older and adult patients with relapsed/refractory, or R/R, high-risk neuroblastoma, or NB, in the bone or bone marrow who have demonstrated a partial response, minor response, or stable disease to prior therapy.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our strategic restructuring plan announced in January 2023, we deprioritized the omburtamab program for all indications and product candidates, following CRL from the FDA for the BLA for omburtamab in November 2022. While we received an 18-month extension for the BLA of omburtamab, which expires on May 30, 2025, we have further determined to discontinue our radiolabeled omburtamab development program for CNS-LM.</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We are using our proprietary Self-Assembly and Dis-Assembly Pre-targeted, or SADA PRIT, technology platform, a concept we also refer to as Liquid Radiation</w:t>
      </w:r>
      <w:r>
        <w:rPr>
          <w:rFonts w:ascii="Times New Roman;Times;serif" w:hAnsi="Times New Roman;Times;serif"/>
          <w:sz w:val="15"/>
        </w:rPr>
        <w:t>TM</w:t>
      </w:r>
      <w:r>
        <w:rPr>
          <w:rFonts w:ascii="Times New Roman;Times;serif" w:hAnsi="Times New Roman;Times;serif"/>
          <w:sz w:val="20"/>
        </w:rPr>
        <w:t>, to advance a series of antibody constructs, using a two-step pre-targeting approach. The bispecific antibody fragments bind to the tumor before a radioactive payload is subsequently injected. 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The IND for our first hematological target, the CD38-SADA construct for the treatment of patients with Relapsed or Refractory Non-Hodgkin Lymphoma was cleared in October 2023, and we expect to dose the first patient in 2024. We are still in early stages of development of SADA PRIT technology platform. We may not be successful in our efforts to use the SADA PRIT Technology to build a pipeline of product candidates. Our investment in developing SADA PRIT Technology may contribute to the risk that we may never achieve profitability.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other development programs are in the early stages of pre-clinical research. As a result, we expect that it will be a number of years, if ever, before we have any additional product candidates approved and ready for commercialization.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to incur significant expenses and operating losses for the foreseeable future. The net losses we incur may fluctuate significantly from quarter to quarter. Our only approved product for sale is DANYELZA, which received FDA accelerated approval on November 25, 2020. We began limited sales and shipments of DANYELZA in February 2021 and the revenue generated from product sales does not fully fund our operating expenses. We do not anticipate generating revenue that will fully fund our operating expenses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commercialization of DANYELZA and our product candidates for which we may obtain regulatory approvals and marketing authorizations, either directly or with a collaborator or distributor;</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research regarding, and non-clinical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approvals, marketing authorizations and coverage and reimbursements from payors for DANYELZA and product candidates for which we complete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a sustainable and scalable manufacturing process for DANYELZA and our other product candidates, including establishing and maintaining commercially viable supply relationships with third parties including, Patheon/Thermo Fisher and EMD/Merck, among others, or establishing our own manufacturing capabilities and infrastructure;</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 acceptance of DANYELZA and our product candidates as viable treatment options;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products, product candidates, related technologies and/or market developments;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assessing, acquiring and/or developing new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distribution or other arrangements into which we may enter;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protecting, and expanding our portfolio of intellectual property rights, including patents, trade secrets, and know-how;</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hiring, and retaining qualified personnel;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adequately financing our operations at acceptable terms.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anticipate incurring research, development, clinical trial, manufacturing and marketing costs associated with commercializing even approved products. For example, we continue to run clinical studies on our currently marketed product DANYELZA to fulfill the regulatory requirement from the accelerated approval of the product by FDA.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is designed to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expenses could increase beyond expectations if we are required by the FDA or other regulatory authorities, domestic or foreign, to change our manufacturing processes or assays, or to perform clinical, non-clinical, or other types of studies in addition to those that we currently anticipate. If we are successful in obtaining regulatory approvals to market more of our product candidates,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limited operating history may make it difficult for you to evaluate the success of our business to date and to assess our future viability.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were incorporated and began our operations on April 30, 2015. Our operations to date have been limited to organizing and staffing our company, business planning, raising capital, commercializing DANYELZA, conducting clinical trials of DANYELZA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multiple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$9.0 million, respectively. There are also sales-based milestones that become due should we achieve certain amounts of sales of licensed products with total sales-based milestones potentially due of $20.0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MSK CD33 License, we are obligated to make potential payments of $0.6 million, $0.5 million and $7.5 million for clinical, regulatory and sales-based milestones,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2020, we entered into the SADA License Agreement which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sales-based milestones payments totaling $23.8 million, that become due should we achieve certain amounts of sales of licensed products under the SADA License. In addition, for each of the SADA PRIT constructs generated by MSK and sold on our behalf by one of our sublicenses, we may pay sales-based milestone payments in the total amount of $60.0 million based on the achievement of various levels of cumulative net sales by the sublicensee.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also remain responsible for any potential downstream payment obligations to MSK related to the GD2-GD3 Vaccine. This includes our obligation to make development and regulatory milestone payments, if achieved, totaling $1.4 million, annual minimum royalties of $10,000, increasing to $25,000 from approval of the first new drug application, or NDA, or BLA for a licensed product over the royalty term, and mid-single digit royalty payments to MSK on sales.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payments could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grow our sales and marketing team to support sales of DANYELZA and conduct clinical trials of, and seek marketing approval for our other product candidates. We expect to incur commercialization expenses, which may be significant, related to product sales, marketing, manufacturing and distribution of DANYELZA.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cannot be certain that additional funding will be available on acceptable terms when needed, or at all. Our ability to raise additional capital may be adversely impacted by worsening global economic conditions, with disruptions to, and volatility in, the credit and financial markets in the U.S. and worldwide resulting from the effects of inflationary pressures, health crises, the military conflict between Ukraine and Russia, the state of the war involving Israel and the threat of a more global conflict, current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DANYELZA or our product candidates on terms unfavorable to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securities offerings, debt financing, collaborations, strategic alliances and/or licensing arrangements. To the extent that we raise additional capital through the sale of equity or convertible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management’s ability to oversee the commercialization of DANYELZA or other products candidates, if approved, or the development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expand our resources to pursue a particular product or product candidate or indication and fail to capitalize on other products or product candidates or indications that may be more profitable or for which there is a greater likelihood of success.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Historically, we have focused our efforts and managerial resources on specific products and product candidates and on specific indications such as DANYELZA for the treatment of R/R high-risk NB in bone and/or bone marrow and more, recently, SADA for solid tumors and Non-Hodgkin Lymphoma.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 For example, in November 2022 the FDA issued a CRL for our BLA for omburtamab. The letter indicated that the FDA completed the review of the application and determined that it is unable to approve the BLA in its current form.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While we have since determined to discontinue the radiolabeled omburtamab program for CNS-LM, we have historically allocated a large portion of our resources to the development of this product candidate.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financial condition and results of operations will be adversely affected. Moreover, the financial difficulties or insolvency of one or more of our major customers or their lack of willingness and ability to distribute our approved product, DANYELZA, could adversely affect our financial position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had product sales to certain customers that accounted for more than 10% of total product revenue, net for the three months ended March 31, 2024 and 2023. McKesson, AmerisourceBergen and Cardinal Health, accounted for 51%, 25%, and 22%, respectively, of the Company’s product revenue, net for the three months ended March 31, 2024. McKesson, AmerisourceBergen, Cardinal Health and WEP accounted for 45%, 29%, 13% and 12%, respectively, of the Company’s product revenue, net for the three months ended March 31, 2023. 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 consuming. There is no assurance that any of these conversations will result in a commercial agreement, or if an agreement is reached, that the resulting relationship will be successful. In addition, if our customers order our approved product, DANYELZA, but fail to pay on time or at all, our liquidity, financial condition, results of operations, cash flows and prospects could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our product sales are made through arrangements primarily with three national specialty distributors in the United States. As of March 31, 2024, the accounts receivable balances from such distributors totaled 76% of the Company’s outstanding accounts receivable. A default by any of these customers on their amounts owed to us could have a material adverse effect on our financial position. Future sales and our ability to collect accounts receivable depend, in part, on the financial strength of our customers and our distributors’ willingness and ability to successfully market our approved product, DANYELZA. We estimate an allowance for doubtful accounts based on our assessment of specific identifiable customer accounts considered at risk or uncollectible, as well as an analysis of current receivables aging and expected future write-offs and this allowance adversely impacts our results of operations. In the event customers experience greater than anticipated financial difficulties, insolvency, or difficulty marketing DANYELZA, we expect our financial position and results of operations to be further adversely impacted by our failure to collect accounts receivable in excess of the amount due, net of the estimated allowances.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product development and commercialization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on schedule, if at all. In addition, we cannot be sure that we will be able to submit investigational new drug applications, 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nature of the patient populations that we study in our clinical trials means that the treatment effect of our product candidates has to be demonstrated despite being the second or third-line of treatment, and in some cases, despite concomitant treatment with radiation or chemotherapy. Some of our target indications may also be difficult to assess via current imaging technology and other testing methods, which may lead to in-conclusory or equivocal data regarding treatment effect. Furthermore, because our study populations are small, statistical analyses may not fully adjust for these and other potential bias in the data. As was the case for omburtamab, any or all of these factors may mean that we are unable to demonstrate substantial evidence of the effectiveness of our product candidates to the satisfaction of the FDA or other comparable foreign regulatory authorities.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DANYELZA and our product candidates and related technologies represent novel approaches to cancer treatment generally. Developing and commercializing these products therefore subjects us to a number of challenges. On November 25, 2020, DANYELZA received regulatory approval by the FDA in the United States for the treatment in combination with GM-CSF of high-risk R/R NB. The FDA has issued a post-marketing commitment to provide data on PFS, supporting the efficacy of the product. We are currently performing clinical studies, such as Study 201, aimed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fulfill the requirements. There can be no assurance that these studies will generate data sufficient to support the efficacy of the product.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the FDA accepted our BLA for omburtamab for priority review, in November 2022 the FDA issued a CRL for our BLA for omburtamab. The letter indicated that the FDA completed the review of the application and determined that it is unable to approve the BLA in its current form. In the CRL,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While we received an 18-month extension for the BLA, which expires on May 30, 2025, we have further determined to discontinue our the radiolabeled omburtamab development program for CNS-LM.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SADA PRIT Technology is still in the early stages of clinical development or pre-clinical research. We may never be able to develop a marketable product other than DANYELZA. Our ability to generate product revenue is highly dependent on our ability to successfully commercialize DANYELZA and to obtain additional regulatory approvals of and successfully commercialize additional product candidates.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of our other product candidates will be successful in clinical studies and they may not receive regulatory approval even if they are successful in clinical studies.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product candidates in development will depend on several factors, including the following: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and timely completion of our ongoing clinical trials;</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and successful patient enrollment and completion of additional clinical trials on a timely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tolerability and efficacy profiles that are satisfactory to the FDA or any comparable foreign regulatory authority for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receipt of marketing and reimbursement approvals for our lead product candidates from applicable regulatory authorities;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future collaborators, if any;</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any required post-marketing approval commitments to applicable regulatory authorities;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supply arrangements with third-party raw materials and drug product suppliers and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scaled production arrangements with third-party manufacturers to obtain finished products that are appropriately packaged for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protection, trade secret protection and regulatory exclusivity, both in the United States and internationally;</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rights in our intellectual property portfolio, including our licensed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launch of commercial sales following any marketing approval including the hiring of a direct salesforce and creation of marketing campaigns;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following any marketing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by physicians and patients, the medical community and third-party payors;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therapies.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the technology that would potentially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our product candidates are based on similar technologies. Therefore, if one product candidate encounters safety or efficacy problems, developmental delays, regulatory issues, or other problems, our other development plans and business could be significantly harmed.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SADA PRIT Technology is still in early stages of clinical development or pre-clinical research and may not result in approvable or marketable products, which exposes us to unforeseen risks and makes it difficult for us to predict the time and cost of product development and potential for regulatory approval, and we may not be successful in our efforts to use the SADA PRIT Technology to build a pipeline of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seeking to identify and develop a broad pipeline of product candidates using the SADA PRIT Technology. We have not yet completed dosing patients in our Phase 1 trial of GD2-SADA. The scientific research that forms the basis of our efforts to develop product candidates with the SADA PRIT Technology is still ongoing. We are not aware of any FDA-approved therapeutics utilizing a similar technology. Further, the scientific evidence to support the feasibility of developing therapeutic treatments based on the SADA PRIT Technology is both preliminary and limited. As a result, we are exposed to a number of unforeseen risks, and it is difficult to predict the types of challenges and risks that we may encounter during development of our product candidates using the SADA PRIT Technology. For example, before the first dosing in our Phase 1 trial of GD1-SADA, we had not tested any of the product candidates being developed using the SADA PRIT platform in humans, and most of our current data is limited to animal models and pre-clinical cell lines, the results of which may not translate into humans. Further, relevant animal models and assays may not accurately predict the safety and efficacy of our product candidates based on the SADA PRIT Technology in humans, and we may encounter significant challenges creating appropriate models and assays for demonstrating the safety and purity of our product candidates. In addition, the SADA PRIT Technology has potential safety risks related to, but not limited to, the radiation stemming from the delivery of radioactive payloads. As a result, it is possible that safety events or concerns could negatively affect the development of our product candidates developed using the SADA PRIT Technology, including adversely affecting patient enrollment among the patient populations that we intend to treat.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Given the novelty of the SADA PRIT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developed using the SADA PRIT Technology, the FDA or comparable foreign regulatory agencies may lack experience in evaluating the safety and efficacy of our product candidates developed using the SADA PRIT Technology,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developed using the SADA PRIT Technology, alone or in combination with other therapies.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an element of our strategy is to use and expand the SADA PRIT Technology to build a pipeline of product candidates and progress those product candidates through clinical development for the treatment of a variety of different cancers. Although our research and development efforts to date have been focused on identifying a pipeline of product candidates directed at cancers, we may not be able to develop product candidates that are safe and effective. Even if we are successful in building a pipeline of product candidates developed using the SADA PRIT Technology,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developed using the SADA PRIT Technology, we will face difficulty in obtaining product revenue therefrom in future periods, which could result in significant harm to our financial position and adversely affect our share price.</w:t>
      </w:r>
    </w:p>
    <w:p>
      <w:pPr>
        <w:pStyle w:val="TextBody"/>
        <w:bidi w:val="0"/>
        <w:spacing w:lineRule="auto" w:line="336" w:before="0" w:after="0"/>
        <w:ind w:left="58" w:right="245" w:hanging="0"/>
        <w:jc w:val="left"/>
        <w:rPr>
          <w:rFonts w:ascii="Times New Roman;Times;serif" w:hAnsi="Times New Roman;Times;serif"/>
          <w:b/>
          <w:i/>
          <w:sz w:val="20"/>
        </w:rPr>
      </w:pPr>
      <w:r>
        <w:rPr>
          <w:rFonts w:ascii="Times New Roman;Times;serif" w:hAnsi="Times New Roman;Times;serif"/>
          <w:b/>
          <w:i/>
          <w:sz w:val="20"/>
        </w:rPr>
        <w:t>Russia’s invasion of Ukraine and ancillary developments have had and may continue to have an adverse effect on our business.</w:t>
      </w:r>
    </w:p>
    <w:p>
      <w:pPr>
        <w:pStyle w:val="TextBody"/>
        <w:bidi w:val="0"/>
        <w:spacing w:lineRule="atLeast" w:line="159"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24, 2022, Russia launched a wide-ranging attack on Ukraine. The resulting conflict and retaliatory measures by the global community have created global security concerns, including the possibility of expanded or global conflict, which have had and are likely to continue to have, short-term and more likely longer-term adverse impacts on Russia, Ukraine and Europe and around the globe. Sanctions issued by the U.S. and other countries against Russia in response to its attack on Ukraine and related counter-sanctions issued by Russia have made it very difficult for us to operate in Russia. In light of the conditions in the region, we terminated our clinical trials of DANYELZA in Russia and suspended our regulatory activities to obtain marketing authorization for DANYELZA in Russia. We have been able to make DANYELZA available in Russia on a compassionate (unapproved) use basis for a limited number of patients. Although we are considering expanding the compassionate use of DANYELZA in Russia through our partnership with Swixx BioPharma AG, the sanctions have negatively impacted our plans to commercialize and sell DANYELZA in Russia and may therefore adversely affect our business. At this time, we cannot guarantee that our clinical or regulatory activities will recommence or that we will be able to expand our collaboration with Swixx BioPharma AG. In addition, the conflict between Russia and Ukraine and related sanctions has had significant ramifications on global financial markets, including volatility in the U.S. and global financial markets experienced, which has led to disruptions to trade, 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commercial success of DANYELZA and of any future approved products, will depend upon the degree of market acceptance by physicians, patients, third-party payors, and others in the medical community.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of the product and the prevalence and severity of any side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processes for the safe administration of our products, including long-term follow-up for all patients who receive the product;</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the product compared to competitive therapies;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product is designated under physician treatment guidelines as a first-, second- or third-line therapy;</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the ability of any potential future collaborators, to offer the product for sale at competitive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convenience and ease of administration compared to alternative treatments and any requirement for in-patient versus out-patient administration;</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and of physicians to prescribe, the product;</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for the targeted indications for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willingness of the target patient populations to try new therapies and enroll in ongoing clinical trials, and of physicians to prescribe these therapies; </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relative convenience and ease of administration;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amount of coverage and reimbursement from government payors, managed care plans and other third-party payors; and</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competitive product introductions and other actions by competitors in the marketplace.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limited experience operating as a commercial company and the marketing and sale of DANYELZA or any future approved products may be unsuccessful or less successful than anticipated. We may not be successful in commercializing DANYELZA or any future approved product unless we are able to maintain and expand our sales and marketing capabilities or enter into agreements with third parties to sell and market such approved products.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While we have commercially launched DANYELZA in the United States and in several other countries, we have limited experience as a commercial company and there is limited information about our ability to successfully overcome many of the risks and uncertainties encountered by companies commercializing drugs in the biopharmaceutical industry. We began small shipments of DANYELZA in February 2021. Other than our commercialization partnerships for DANYELZA and omburtamab covering certain territories outside the United States, we are not currently a party to any strategic collaboration that provides us with access to a collaborator’s resources in selling or marketing drugs.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does not occur for any reason, or authorization is lost, we would have prematurely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unnecessarily incurred these commercialization expenses. This may be costly, and our investment would be lost if we cannot retain or reposition our sales and marketing personnel.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on our own after obtaining any marketing approval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and retain adequate numbers of effective sales and marketing personnel, and continue to develop and expand our sales and marketing efforts;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raise financing necessary to maintain and grow our commercialization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our failure to educate physicians on the benefits of prescribing DANYELZA or any future approved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drugs to be offered by our sales personnel, which may put us at a competitive disadvantage relative to companies with more extensive offerings, and the lack of accurately forecast demand for our products and scale manufacturing to meet that demand;</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sufficient coverage and reimbursement from third-party payors and governmental agencies;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establish and maintain our relationships with healthcare providers who will be treating the patients who may receive our products and any future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maintain or to gain regulatory authorization for the development and commercialization of our product candidates;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develop and maintain successful strategic alliances; and</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develop and maintain successful strategic alliances.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develop product candidates, commercialize DANYELZA or any future approved products, raise capital, expand our business, or continue our operations. In addition, our revenues from the sale of drugs or the profitability of these revenues to us are likely to be lower from arrangements that we enter into with third parties to perform sales and marketing services (such as with SciClone Pharmaceuticals International Ltd, Takeda Israel, Swixx Biopharma AG, Adium Pharma S.A. and WEP Clinical Ltd.)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our operating results will suffer if we fail to compete effectively.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biotechnology and pharmaceutical industries generally, and the cancer drug sector specifically, are characterized by rapidly advancing technologies, evolving understanding of disease etiology, intense competition and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competitors have substantially greater financial, technical and other resources, such as larger research and development staff and experienced manufacturing organizations as well as established marketing and sales forces. Our competitors, either alone or with collaborative partners, may succeed in developing, acquiring or licensing on an exclusive basis drug or biologic products that are more effective, safer, more easily commercialized, or less costly than DANYELZA, or our other product candidates, or may develop proprietary technologies or secure patent protection that we may need for the commercialization of DANYELZA and the development of our product candidates and related technologies.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 has maintained its efforts to develop a humanized version of Unituxin® and plans to develop Unituxin® within R/R NB. DANYELZA also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European Union and was approved by the European Commission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announced in August 2023 a development program focused on Hu14.18, a humanized anti-GD2 monoclonal antibody, licensed from St. Jude Children’s Research Hospital for the treatment of newly diagnosed high-risk neuroblastoma. Essential Pharma acquired Renaissance Pharma Ltd in April 2024. U.S. WorldMeds has also received FDA approval of eflornithine hydrochloride, or DFMO, to reduce the risk of relapse in pediatric patients with high-risk neuroblastoma who have completed multiagent, multimodality therapy.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SADA PRIT Technology, where bispecific antibody fragments bind to the tumor before a radioactive payload is injected in a two-step approach faces competition from a range of companies developing comparable approaches, involving one-step, two-step or three-step models to bind antibody constructs to the tumor and radiate the tumor. Perspective Therapeutics, Inc. has a two-step pre-targeting platform, where an antibody is first administered via intravenous injection and binds to the tumor. The antibody accumulates over time at the tumor site. Second, a radionuclide is administered and binds to the antibody to deliver radiation to the tumor sites. Clarity Pharmaceuticals Ltd is developing a platform, through which a bifunctional cage retaining copper isotopes is linked to a targeting molecule, which then finds and binds tumor specific receptors on cancer cells. Once the targeting molecule has found the tumor, the radioisotope can act in that location and emit radiation. Together with the targeting molecule and the isotope, the technology may enable the development of radiopharmaceuticals for diagnosis and therapy in oncology. In addition, OncoOne Research &amp; Development GmbH is developing several constructs under their PreTarg-it® technology, which is a modular platform utilizing bispecific antibodies for delivery of payloads, where the bispecific antibody is first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injected and accumulated on the tumor, while unbound antibodies are decomposed and excreted. Subsequently, a payload is administered through a second infusion and binds to the bispecific antibody in the tumor.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Additionally, the availability and price of our competitors’ products could limit the demand and the price we are able to charge for DANYELZA or for any other future products, if approved. We may not be able to implement our business plan if the acceptance of DANYELZA or for any other future products, if approved,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target patient populations are based on our beliefs and estimates regarding the incidence or prevalence of certain types of cancers that may be addressable by DANYELZA,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target patient populations are small as we have so far focused our clinical development efforts on rare pediatric cancers. By way of example, only approximately 700 children are diagnosed with NB in the United States each year. Even if we obtain significant market share for DANYELZA, or our other product candidates, if approved, 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is approved only as second-line treatment for patients with R/R high-risk NB in bone and/or bone marrow. Even if we would seek approval as front-line or third-line therapy for DANYELZA or another product candidate there is no guarantee that any will be approved. In addition, we may have to conduct additional clinical trials prior to gaining approval for front-line or third-line therapy.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study population required for analysis of the trial’s primary endpoints;</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trial sites;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for similar therapies or other new therapeutics not involving our product candidates and or related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consents;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not complete a clinical trial.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or any current or future product candidates, including those based on the SADA PRIT Technology, may cause serious adverse events, or SAEs, undesirable side effects or have other properties that could halt their clinical development, prevent, delay, or cause the withdrawal, variation or suspension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with most biological drug products, use of DANYELZA or any current or future product candidates, including those based on the SADA PRIT Technology,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both for our approved product DANYELZA and our current clinical trials. We anticipate this also to be the case for our future products, if approved, and clinical trials.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clinical studies, DANYELZA has been shown to cause serious infusion reactions including anaphylaxis, cardiac arrest, bronchospasm, stridor, and hypotension. The most common adverse events were mainly mild and moderate and included infusion 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 term follow up observation period recommended or required for patients who receive treatment using our products, a number of potentially significant negative consequences could result, including:</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suspend or vary approvals of such product or seize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required to recall the product, change the way such product is administered to patients or conduct additional clinical trials;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or the manufacturing processes for, the particular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narrow the indications for use of, or withdraw the approval for such product based on the outcome of post-marketing testing and safety or efficacy of the product, as the FDA did in its approval of DANYELZA for the treatment of R/R high-risk NB rather than NB that was not R/R;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required to create a Risk Evaluation and Mitigation Strategy, or REMS, or comparable foreign strategies, which could include a medication guide outlining the risks of such side effects for distribution to patients, a communication plan for healthcare providers, and/or other elements to assure safe use;</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may be subject to fines, injunctions or the imposition of civil or criminal penalties;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collaborators, could be sued and held liable for harm caused to patients;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may become less competitive;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 foregoing could prevent us from achieving or maintaining market acceptance of DANYELZA or a particular product candidate, if approved in the United States. or achieving additional approvals, and could significantly harm our business, results of operations, and prospects, and could adversely impact our financial condition, results of operations, ability to raise additional financing or the market price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Success in pre -clinical studies and early-stage clinical trials does not mean that future larger registration clinical trials will be successful because product candidates in later 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 stage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know whether any clinical trials we may conduct will demonstrate consistent or adequate efficacy and safety sufficient to obtain marketing approval to market our product candidates. We have multiple clinical trials currently ongoing or planned. In the event that an adverse safety issue, clinical hold or other adverse finding occurs in one or more of our clinical trials of the same product candidate, such event could adversely affect our other clinical trials of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BLA to the FDA for radiolabeled </w:t>
      </w:r>
      <w:r>
        <w:rPr>
          <w:rFonts w:ascii="Times New Roman;Times;serif" w:hAnsi="Times New Roman;Times;serif"/>
          <w:sz w:val="15"/>
        </w:rPr>
        <w:t>131</w:t>
      </w:r>
      <w:r>
        <w:rPr>
          <w:rFonts w:ascii="Times New Roman;Times;serif" w:hAnsi="Times New Roman;Times;serif"/>
          <w:sz w:val="20"/>
        </w:rPr>
        <w:t>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convened an Advisory Committee, which met on October 28, 2022, and voted 16 to 0 that we had not provided sufficient evidence to conclude that omburtamab improves overall survival among the target patient population . In November 2022, the FDA issued a CRL for our BLA for omburtamab indicating that the FDA determined that it was unable to approve the BLA in its current form since it did not provide substantial evidence of effectiveness of omburtamab for the proposed indication. We have determined to discontinue our radiolabeled omburtamab development program for CNS-LM.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know whether any clinical trials we may conduct will demonstrate consistent or adequate efficacy and safety sufficient to obtain marketing approval to market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 candidates for any indication. The FDA and non-U.S. regulatory authorities retain broad discretion in evaluating the results of our clinical trials and in determining whether the results demonstrate that a product candidate is safe and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November 2022 CRL for our BLA for omburtamab, the FDA determined that it was unable to approve the BLA in its current form since it did not provide substantial evidence of effectiveness of omburtamab for the proposed indication. Further, the FDA stated that comparisons of overall survival between our Study 101 and the external control could not be used to estimate the treatment effect of omburtamab on survival and support claims of effectiveness. Additionally, the FDA held that response rate data from our study 101 were not reliable to verify the anti-tumor activity of omburtamab.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and we have determined to discontinue our radiolabeled omburtamab development program for CNS-LM. If we are required and we determine to conduct additional clinical trials of a product candidate, we will need substantial additional funds and there is no assurance that the results of any such additional clinical trials will be sufficient for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DANYELZA, the product candidates and related technologies we have licensed have not yet led, and may never lead, to approved products. Our only approved product DANYELZA was only approved in late 2020 by the FDA and launched in the United States in early 2021. Further, DANYELZA was only approved by the Israeli Ministry of Health in Israel, in August 2022, by the NMPA in China in December 2022, by Anvisa in Brazil in April 2023, and by COFEPRIS in Mexico in September 2023. Hence its commercial potential cannot be judged with accuracy at this point in time. Even if we are successful in continuing to build our pipeline, obtaining regulatory approvals and commercializing our other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identifying additional product candidates;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assemble sufficient resources to acquire or discover additional product candidates;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may not succeed in pre-clinical 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on further study be shown to have harmful side effects or other characteristics that indicate it is unlikely to be effective or otherwise does not meet applicable regulatory criteria;</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alternatives that render our product candidates obsolete or less attractive;</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we develop may nevertheless be covered by third parties’ patents or other exclusive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a product candidate may change so that the continued development of that product candidate is no longer reasonable;</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not be capable of being produced in commercial quantities at an acceptable cost, or at all;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not be accepted as safe and effective by patients, the medical community or third-party payors, as applicable.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no assurance can be given that it will be successfully commercialized, widely accepted in any marketplace or more effective than other commercially available alternatives.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in place several agreements with MSK, including the MSK License, the CD33 License, the MabVax/MSK License Agreement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because it is a hospital where patients are treated,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face significant competition in seeking appropriate strategic partners and the negotiation of strategic collaborations is time 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arrangements with third parties, such as our arrangement with MSK or other current or potential future collaborations that we may enter, are subject to numerous risks,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have significant discretion in determining the efforts and resources that they will apply to a collaboration;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delay clinical trials, provide insufficient funding for a clinical trial, stop a clinical trial,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could independently develop, or develop with others, products that compete directly or indirectly with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with marketing and distribution rights to one or more products may not commit sufficient resources to their marketing and distribution;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third parties may not properly maintain or defend our intellectual property rights or may use our intellectual property or proprietary information in a way that gives rise to actual or threatened litigation that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19" w:type="dxa"/>
        <w:jc w:val="left"/>
        <w:tblInd w:w="0" w:type="dxa"/>
        <w:tblLayout w:type="fixed"/>
        <w:tblCellMar>
          <w:top w:w="28" w:type="dxa"/>
          <w:left w:w="28" w:type="dxa"/>
          <w:bottom w:w="28" w:type="dxa"/>
          <w:right w:w="28" w:type="dxa"/>
        </w:tblCellMar>
      </w:tblPr>
      <w:tblGrid>
        <w:gridCol w:w="124"/>
        <w:gridCol w:w="109"/>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such third 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infringe the intellectual property rights of others,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arrangements or any current or potential future collaborations may be terminated and, if terminated, may result in a need for additional capital to pursue further development or commercialization of the applicable product or product candidate;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third parties may own or co own intellectual property covering our products that results from our collaborating with them, and in such cases, we would not have the exclusive right to commercialize such intellectual property.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or third parties, such as contract research organizations, or CROs, or contract manufacturing organizations, or CMOs, use hazardous and biological materials in a manner that causes injury or violates applicable law, we may be liable for damages.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research and development activities may involve the controlled use of potentially hazardous substances, including chemical and biological materials, by us or third parties, such as CROs and CMOs. We have used Lutetium-177, Iodine-131 and Iodine-124 label and conjugated antibody treatments. Our uses involve the inherent risk of exposure from beta ray emissions, which can alter or harm healthy cells in the body. We, our CROs, our CMOs and other third parties are subject to federal, state, and local laws and regulations in the United States and foreign countries governing the use, manufacture, storage, handling, and disposal of medical and hazardous materials. Although we believe that our and such third 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consist primarily of waste disposal expenses. However, compliance could become expensive, and current or future environmental laws or regulations may impair our research, development, production and commercialization efforts. Furthermore, failure to comply with these laws and regulations may result in substantial fines, penalties or other sanctions.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 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foreign or state fraud and abuse or false claims laws and regulations or healthcare privacy and security laws.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varied or terminated and we may not be able to complete development of, obtain regulatory approval of or successfully commercialize our product candidates. We may also rely on investigator 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 reported interim data could have an adverse impact on our business prospects and the trading price of our common stock. Such revisions could also reduce investor confidence in investigator reported interim data that we disclose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manufacture DANYELZA for commercial supply and our product candidates, including our antibody constructs based on the SADA PRIT Technology, for our ongoing and planned pre-clinical studies and clinical studies. Our business could be harmed if third parties fail to provide us with sufficient quantities of DANYELZA or our other product candidates, including our antibody constructs based on the SADA PRIT Technology, or fail to do so at acceptable quantities, quality levels or prices or fail to maintain adequate compliance with CMC guidelines of the FDA and comparable foreign regulatory authorities. Our third-party manufacturers have in the past and may in the future experience manufacturing difficulties, and any such difficulties could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any facility that may be used for commercial or clinical-scale manufacturing and processing, and we rely on outside vendors to manufacture DANYELZA for commercial supply and for supplies and processing of our product candidates, including our antibody constructs based on the SADA PRIT Technology, for pre-clinical studies and clinical trials. Our other product candidates have only been manufactured or processed on a limited basis and we and our CMO may not be able to continue manufacturing any of our other product candidates. The manufacturing process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third-party research institution collaborators.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we have obtained the active pharmaceutical ingredient, or API, of DANYELZA from a limited number of third-party manufacturers. We have engaged a separate third-party manufacturer to conduct fill and finish and labeling services, as well as for the storage and distribution of DANYELZA to clinical sites and for commercial use. We do not have a long-term supply agreement with any of these third-party API manufacturers, and we purchase our required drug supplies on a purchase order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also on CMOs and third-party collaborators for the manufacture of DANYELZA for commercial supply, and we expect that this will be the manufacturing arrangement for any of our other potential products, if approved. If we are unable to establish agreements with CMOs on acceptable terms, or at all, our business and results of operations may be materially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the following additional risks with respect to the third-party manufacture of our antibody-based cancer treatments:</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If we need to qualify any new manufacturer of DANYELZA or other product candidates, the respective BLA submissions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 such potential new manufacturer. Any such potential new manufacturer would further need to pass cGMP compliance inspections by the FDA or comparable foreign regulatory authorities.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need to qualify any new manufacturer, such third party would have to be educated in, or develop substantially equivalent processes for, production of our product and/or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might be unable to timely manufacture our product and/or product candidates or to produce the quantity and quality required to meet our clinical and commercial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may not be able to execute our manufacturing procedures and other logistical support requirements appropriately.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may not perform as agreed, according to our schedule or specifications, or at all. Any such third-party manufacturer may not devote sufficient resources to our product candidates, may give greater priority to the supply of other products over our product candidates, or may not remain in the contract manufacturing business for the time required to supply our clinical trials or commercial needs.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cross-contamination from other drug substances if more than one product is manufactured at a third-party manufacturer’s production facilities.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manufacturers are subject to ongoing periodic unannounced inspection by the FDA, corresponding state agencies and comparable foreign regulatory authorities to ensure strict compliance with cGMPs and other government regulations and corresponding foreign standards. We have limited control over third-party manufacturers’ compliance with these and or any other applicable regulations and standards, and any of our third-party manufacturers could fail to comply with applicable government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own, or may have to share, the intellectual property rights to any improvements made by our third-party manufacturers in the manufacturing process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could breach, terminate or choose not to renew their agreement with us at a time that is costly or inconvenient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could potentially mislabel commercial or clinical supplies, which may result in the wrong dose amounts being supplied or active drug or placebo not being properly identified;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may be interrupted if third-party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third-party manufacturers may have unacceptable or inconsistent product quality success rates and yields and may have inadequate quality control systems.</w:t>
            </w:r>
          </w:p>
        </w:tc>
      </w:tr>
    </w:tbl>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Each of these risks could delay or prevent the completion of our clinical trials, could delay any additional BLA submissions or the approval of any of our product candidates by the FDA, or comparable foreign submission and approvals by the competent regulatory authorities, result in higher costs or adversely impact commercialization of our product candidates. Any shortage in the supply of such raw materials used in the manufacture of our product candidates could delay or prevent the completion of our clinical trials or the approval of any of our product candidates by the FDA, or comparable foreign regulatory authorities, result in higher costs or adversely impact commercialization of our product candidates. For example, in the past, we experienced a shortage in the supply of Iodine-131, one of the components of </w:t>
      </w:r>
      <w:r>
        <w:rPr>
          <w:rFonts w:ascii="Times New Roman;Times;serif" w:hAnsi="Times New Roman;Times;serif"/>
          <w:sz w:val="15"/>
        </w:rPr>
        <w:t>131</w:t>
      </w:r>
      <w:r>
        <w:rPr>
          <w:rFonts w:ascii="Times New Roman;Times;serif" w:hAnsi="Times New Roman;Times;serif"/>
          <w:sz w:val="20"/>
        </w:rPr>
        <w:t>I-omburtamab product candidate, from our single-source supplier.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or comparable foreign regulatory authorities could place significant restrictions on us until deficiencies are remedied.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CMOs to manufacture DANYELZA and our product candidates, including our antibody constructs based on the SADA PRIT Technology, must be approved by the FDA pursuant to inspections conducted after submittal of a BLA to the FDA. Comparable requirements are applicable outside the United States.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adversely affect our commercialization of approved products, such as DANYELZA, and delay clinical development or marketing approval of other product candidates. For example, we have had to scrap batches of DANYELZA due to our third-party manufacturer’s discontinuation of the batch manufacture. As a result, during the years ended December 31, 2023 and 2022, the Company recorded charges to write-off inventory of $0.8 million and $1.2 million, respectively. We do not currently have arrangements in place for redundant supply of DANYELZA or other product candidates, and we currently use only a single third-party manufacturer for fill-and-finish services for DANYELZA and other product candidates. If any of our current CMOs cannot perform as agreed, we may be required to replace such manufacturer and we may incur added costs and delays in identifying and qualifying any such replacement.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limited internal research and development capabilities. We conduct independent clinical trials and perform pre-clinical research but we also rely on third-party research institutions for both clinical trial and pre-clinical research.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Currently, MSK is conducting a clinical trial to address relapsed osteosarcoma using DANYELZA. Under the terms of the MCTA, we are obligated to pay for costs associated with this clinical trial.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conduct our clinical trial would involve substantial costs and delays and require extensive management time and focus, which can materially impact our ability to meet our desired clinical development timelines.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and our product candidates, including those based on the SADA PRIT Technology, are biologics and the manufacture of DANYELZA and our product candidates, including those based on the SADA PRIT Technology, is complex. We, or any of our third-party manufacturers, may encounter difficulties in production, particularly with respect to process development or scaling 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and our product candidates, including those based on the SADA PRIT Technology,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product candidates, including those based on the SADA PRIT Technology,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 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including those based on the SADA PRIT Technology, will not occur in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such changes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manufacturing process for any products that we may develop is subject to FDA and other foreign regulatory approval process, and we will need to contract with manufacturers who can meet all applicable FDA, EU and other foreign regulatory requirements on an ongoing basis. If we, or our CMOs, are unable to reliably produce products to specifications acceptable to the FDA, EMA and European Commission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and European Commission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 overruns, unexpected delays, equipment failures, labor shortages, natural disasters, power failures and numerous other factors that could prevent us from realizing the intended benefits of our manufacturing strategy and have a material adverse effect on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2020, we entered into an exclusive license and distribution agreement for DANYELZA and omburtamab with Takeda Israel, a wholly owned subsidiary of Takeda Pharmaceutical Company Limited covering the State of Israel, the West Bank and the Gaza Strip. The ongoing and rapidly evolving war involving Israel may have a material adverse impact on Takeda Israel’s ability to sell our products and/or collect receivables from customers in the State of Israel as well as on Takeda Israel’s ability to pursue the development, marketing and/or commercialization of DANYELZA in the State of Israel, the West Bank or in the Gaza Strip, which may ultimately have an adverse impact on the amount of royalties we receive pursuant to the Takeda Licensing Agreement.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For additional risks relating to our collaborations with entities operating in China, see “Risks related to government regulation; market approval and other legal compliance matters — Laws and regulations governing any international operations we may have in the future may preclude us from developing, manufacturing and selling certain products or product candidates outside of the United States and require us to develop and implement costly compliance programs.” In May 2021, we entered into an exclusive distribution agreement with Adium Pharma S.A., or Adium, for Latin America. Finally, in December 2022, we entered into a distribution agreement with WEP Clinical Ltd. in connection with an early access program for DANYELZA in Europe. We may enter into further strategic collaborations for the development, marketing and commercialization of all or some of our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any future potential collaborations involving our product candidates pose risks to us,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these collaborations;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collaborators may not pursue development, marketing and/or commercialization of our product candidates or may elect not to continue or renew development, marketing or commercialization programs based 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clinical trial results, changes in the collaborator’s strategic focus or available funding or external factors such as an acquisition that diverts resources or creates competing priorities;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drugs that compete directly or indirectly with our drugs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drugs may not commit sufficient resources to the marketing and distribution of such drug or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proprietary information or expose us to potential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certain valuable rights under circumstances identified in any collaboration arrangement that we enter into, such as if we undergo a change of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restricted under then existing collaboration agreements from entering into future agreements on certain terms with potential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and, if terminated, may result in a need for additional capital to pursue further development, marketing and/or commercialization of the applicable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learn about our discoveries, data, proprietary information, trade secrets, or compounds and use this knowledge to compete with us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our collaborations could adversely affect our attractiveness to potential future collaborators or acquirers.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any future collaboration agreements, if any, may not lead to development or commercialization of product candidates in the most efficient manner,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 market approval and other legal compliance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complete the necessary non-clinical studies and clinical trials, the FDA and comparable foreign regulatory authority approval processes are lengthy, time 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Europe, China, Israel, Brazil and Mexico for R/R high-risk NB in bone and/or bone marrow. We cannot predict when or if, and in which other territories, we, or any of our potential future collaborators, will obtain marketing approval to commercialize DANYELZA or any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research, testing, manufacturing, labeling, approval, selling, import, export, marketing, and distribution of drug products, including biologics, are subject to extensive regulation by the FDA and other regulatory authorities in the United States and foreign countries. Even if we complete the necessary pre-clinical studies and clinical trials, we will not be permitted to market any biological drug product in the United States or in foreign countries, until we receive a Biologics License from the FDA or foreign equivalent in other countries. Although we have received a Biologics License for DANYELZA for R/R high-risk NB in bone and/or bone marrow, we intend to discuss with the FDA submission of additional BLAs for approval of DANYELZA to treat additional indications that currently lack an FDA-approved treatment option.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FDA standard for regular approval of a BLA generally requires two well controlled Phase 3 studies or one large and robust, well 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 threatening illnesses and that provide meaningful therapeutic benefit over existing treatments may be eligible for accelerated approval and may be approved on the basis of adequate and well 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is the case with DANYELZA in the United States, as a condition of accelerated approval, the FDA may require a sponsor to perform post 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some, but only limited, experience in completing a submission of a BLA to the FDA, or similar approval submissions to comparable foreign authorities. Our BLA for DANYELZA was approved, but we received a CRL for our BLA for omburtamab and we have determined to discontinue our omburtamab program for CNS-LM.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and the small size of our target patient populations, to create further challenges in obtaining regulatory approval from the FDA and other regulatory authorities. For example, for product candidates targeting ultra-rare diseases, such as CNS/-LM from NB, where the very small patient population makes it difficult or impossible to conduct two traditional, adequate and well-controlled studies, the FDA or comparable foreign regulatory authorities may need to exercise flexibility in approving therapies for such diseases. Even flexibility from the FDA may not be sufficient to obtain approval. For instance, in its CRL for omburtamab, and in our Type A meeting held subsequent to receipt of the CRL, the FDA made recommendations for us to consider in terms of adequate and well-controlled trial design to demonstrate substantial evidence of effectiveness and a favorable benefit-risk profile.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in October 2022, which voted 16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our product candidates based on the completed clinical trials, as was the case with omburtamab. Accordingly, the regulatory approval pathway for our product candidates may be uncertain, complex, expensive, and lengthy, and approval may not be obtained.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and the European Commission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marketing approval we ultimately obtain may be limited or subject to restrictions or post approval commitments that render the approved product not commercially viable.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clinical trials can be delayed or terminated for a variety of reasons, including delays or failures related to:</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approval to begin a trial, if applicable;</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financial resources to begin and complete the planned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CROs and clinical trial sites, the terms of which can be subject to extensive negotiation and may vary significantly among different CROs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at each clinical trial site by an Institutional Review Board or IRB or positive opinions from Ethics Committees;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 treatment follow up;</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deviating from trial protocol, not complying with GCPs, or dropping out of a trial;</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patient safety concerns that arise during the course of a trial;</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conflicts with new or existing laws or regulations;</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clinical trial sites;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qualified materials under cGMPs for use in clinical trials;</w:t>
            </w:r>
          </w:p>
        </w:tc>
      </w:tr>
    </w:tbl>
    <w:tbl>
      <w:tblPr>
        <w:tblW w:w="5136" w:type="dxa"/>
        <w:jc w:val="left"/>
        <w:tblInd w:w="0" w:type="dxa"/>
        <w:tblLayout w:type="fixed"/>
        <w:tblCellMar>
          <w:top w:w="28" w:type="dxa"/>
          <w:left w:w="28" w:type="dxa"/>
          <w:bottom w:w="28" w:type="dxa"/>
          <w:right w:w="28" w:type="dxa"/>
        </w:tblCellMar>
      </w:tblPr>
      <w:tblGrid>
        <w:gridCol w:w="124"/>
        <w:gridCol w:w="256"/>
        <w:gridCol w:w="4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pandemics or other public-health emergencies;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 of the Russian invasion of Ukraine; </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the state of the war involving Israel, and the related risk of a more global conflict;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clinical trial sites and manufacturing facilities by regulatory authorities.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is a significant factor in the timing of clinical trials and is affected by many factors. See the risk factor above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or Ethics Committees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product candidates could fail to receive marketing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European Commission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EMA, European Commission or comparable foreign regulatory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EMA, European Commission or comparable foreign regulatory authorities for approval;</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European Commission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 BLA or other submission or to obtain marketing approval in the United States, the EU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European Commission, national competent authorities of EEA countries or comparable foreign regulatory authorities may fail to approve the manufacturing processes or facilities of third-party manufacturers with which we contract for clinical and commercial supplies;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any companion diagnostics, or the legal manufacturer may fail to CE mark companion diagnostics, which is an acronym for the French “Conformite Europeenne” that certifies that a product has met EU health, safety, and environmental requirement, that may be required in connection with approval of our therapeutic product candidates;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European Commission or comparable foreign regulatory authorities may significantly change in a manner rendering our clinical data insufficient for approval.</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lengthy approval process as well as the unpredictability of clinical trial results resulted in our failure to obtain marketing approval to market omburtamab. The same factors may also result in a failure for us to obtain marketing approval to market any of our other product candidates, which would further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 approval commitments that render the approved drug not commercially viable.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EMA, the European Commission or comparable foreign regulatory authorities, may disagree with our regulatory plans, including our plans to seek conditional marketing authorization, and we may fail to obtain regulatory approval of DANYELZA from the European Commission,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to market and sell our drugs in the European Union and many other jurisdictions, we, and any collaborators we may have in the future, must obtain separate marketing approvals and comply with numerous and varying regulatory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27, 2021 we submitted a MAA, to the EMA for omburtamab for the treatment of pediatric patients with CNS/LM from NB. In December 2022, the EMA’s CHMP, adopted a negative opinion recommending a refusal of the MAA. CHMP determined that it was not possible to conclude on the effectiveness of omburtamab as the main study did not have a randomized comparator. We have determined to discontinue our radiolabeled omburtamab development program for CNS-LM.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its marketing authorization process, the European Commission may grant a “conditional” marketing authorization in cases where all the required safety and efficacy data are not yet available. The European Commission may grant a conditional marketing authorization for a medicinal product if it is demonstrated that all of the following criteria are met:</w:t>
      </w:r>
    </w:p>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benefit balance of the medicinal product is positive;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likely that the applicant will be in a position to provide the comprehensive clinical data;</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medicinal product fulfills an unmet medical need;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to public health of the immediate availability on the market of the medicinal product concerned outweighs the risk inherent in the fact that additional data are still required.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Although we may seek a conditional marketing authorization for one or more of our product candidates by the European Commission, the EMA or the European Commission may ultimately not agree that the requirements for such conditional marketing authorization have been satisfied.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clinical trial results may also not support approval, whether accelerated approval, conditional marketing authorizations, or regular approval. The results of pre-clinical and clinical studies may not be predictive of the results of later stage clinical trials, and product candidates in later stages of clinical trials may fail to show the desired safety and efficacy despite having progressed through pre-clinical studies and initial clinical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Failure to obtain regulatory approval to market any of our product candidates outside of the US would significantly harm our business, results of operations, and prospects.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Breakthrough Therapy Designation, or BTD, for one or more of our product candidates. We may not receive such designation, and even if we do, such designation may not lead to a faster development or regulatory review or approval process.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seek BTD for some or all of our other product candidates, but we may never receive another BTD, or, if received, such designation for a product candidate may not result in a faster development or regulatory review or approval process compared to drugs considered for approval under conventional FDA procedures. BTD does not change the standards for product approval nor assure ultimate approval by the FDA.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may not be able to obtain or maintain Orphan Drug Designation, or ODD, or Rare Pediatric Disease Designation, or RPDD.</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w:t>
      </w:r>
      <w:r>
        <w:rPr>
          <w:rFonts w:ascii="Times New Roman;Times;serif" w:hAnsi="Times New Roman;Times;serif"/>
          <w:sz w:val="15"/>
        </w:rPr>
        <w:t>131</w:t>
      </w:r>
      <w:r>
        <w:rPr>
          <w:rFonts w:ascii="Times New Roman;Times;serif" w:hAnsi="Times New Roman;Times;serif"/>
          <w:sz w:val="20"/>
        </w:rPr>
        <w:t>I-omburtamab for the treatment of NB. In 2013, the FDA granted ODD to DANYELZA for the treatment of NB. In November 2018, the European Commission granted orphan medicinal product designation, or OMPD, for naxitamab for the treatment of NB. In February 2017, the European Commission granted orphan medicinal product designation to omburtamab for the treatment of NB. We have determined to discontinue our radiolabeled omburtamab development program for CNS-LM.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ODD entitles a party to financial incentives such as opportunities for grant funding towards clinical trial costs, tax advantages and user 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and can be reduced to six years if a drug no longer meets the criteria for ODD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candidate,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withdrawal of the license by FDA. The confirmatory post-marketing clinical trial required by the FDA to verify and to further characterize the clinical benefit is our ongoing Study 201, which will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 Other post-marketing requirements associated with the approval 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and comparable foreign regulatory authorities may also impose requirements for costly post 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or comparable foreign strategies, which could include requirements for a restricted distribution system. Manufacturers of approved drugs and those manufacturers’ facilities are also required to comply with extensive FDA and comparable foreign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and comparable foreign regulatory authorities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and our future potential collaborators, are not able to comply with post 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 approval regulations may have a negative effect on our operating results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DANYELZA and any of our product candidates for which we, or our potential future collaborators, obtain marketing approval in the future, will be subject to continual review by the FDA and other regulatory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and other agencies, including the Department of Justice, or the DOJ, as well as comparable foreign regulatory authorities closely regulate and monitor the post approval marketing and promotion of drugs to ensure that they are manufactured, marketed and distributed only for the approved indications and in accordance with the provisions of the approved labeling. The FDA and comparable foreign regulatory authorities impose stringent restrictions on manufacturers’ communications regarding off label use and if we, or our potential future collaborators, do not market any of our product candidates for which we, or they, receive marketing approval for only their approved indications, we, or they, may be subject to warnings or enforcement action for off 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later discovery of previously unknown adverse events or other problems with our drugs or their manufacturers or manufacturing processes, or failure to comply with regulatory requirements, may yield various results, including:</w:t>
      </w:r>
    </w:p>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patients taking our drug;</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such drugs, manufacturers or manufacturing processes;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a drug;</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drug distribution or use;</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bl>
    <w:tbl>
      <w:tblPr>
        <w:tblW w:w="3231" w:type="dxa"/>
        <w:jc w:val="left"/>
        <w:tblInd w:w="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drugs from the market;</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drugs;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relationships with any potential collaborators;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coverage by third-party payors;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press coverage and damage to our reputation;</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drugs;</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likelihood, nature or extent of government regulation that may arise from future legislation or administrative or executive action, either in the United States or abroad.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the Patient Protection and Affordable Care Act, as amended by the Health Care and Education Reconciliation Act, or collectively the Affordable Care Act, or ACA, substantially changed the way healthcare is financed by both governmental and private insurers.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until 2032 unless additional Congressional action is taken.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reimbursement or pricing approval in some countries, we may be required to conduct a clinical trial that compares the cost 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Legislative and regulatory proposals have also been made to expand post 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 marketing testing and other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Centers for Medicare &amp; Medicaid Services Innovation Center which will be evaluated on their ability to lower the cost of drugs, promote accessibility, and improve quality of care. It is unclear whether the models will be utilized in any health reform measures in the future. In some international markets, the government controls the pricing, which can affect the profitability of drugs.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markets outside of the United States, reimbursement and healthcare payment systems vary significantly by country, and many countries have instituted price ceilings on specific products and therapies. For example,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Privacy Provisions—as amended by the Health Information Technology for Economic and Clinical Health Act (“HITECH”) and its implementing regulations, HIPAA also imposes obligations on certain covered entity healthcare providers, health plans, and healthcare clearinghouse as well as their business associates and subcontractors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(defined to include doctors, dentists, optometrists, podiatrists, and chiropractors), other healthcare providers (such as physician assistants and nurse practitioners), and teaching hospitals, as well as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FDCA—the FDCA, which prohibits, among other things, the adulteration or misbranding of drugs, biologics and medical devices;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state and foreign laws require pharmaceutical companies to comply with the pharmaceutical industry’s voluntary compliance guidelines and the relevant compliance guidance promulgated by the government and require drug manufacturers to report information related to payments and other transfers of value to physicians and other healthcare providers or marketing expenditures and pricing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of drugs from government-funded healthcare programs, such as Medicare and Medicaid, or comparable foreign programs, and the curtailment or restructuring of our operations. We have established internal policies and procedures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 funded healthcare programs.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we and our collaborators and third-party providers may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our clinical trials.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laws and regulations, including federal health information privacy laws, state data breach notification laws, state health information privacy laws and federal and state consumer protection laws (e.g., Section 5 of the Federal Trade Commission Act), govern the collection, use, disclosure and protection of health-related and other personal data and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HITECH, which imposes specific requirements relating to the privacy, security, and transmission of individually identifiable health information. Depending on the facts and circumstances, we could be subject to significant penalties if we violate HIPAA.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the California Consumer Privacy Act of 2018, as amended by the California Privacy Rights Act of 2020, collectively the CCPA, applies to personal information of consumers, business representatives, and employees who are California residents and requires businesses to provide specific disclosures in privacy notices and honor requests of California residents to exercise certain privacy rights . The CCPA provides for fines of up to $7,500 per intentional violation and allows private litigants affected by certain data breaches to seek to recover potentially significant statutory damages. While the CCPA and many of these state laws also exempt some data processed in the context of clinical trials, these developments further complicate compliance efforts, and increase legal risk and compliance costs for us and the third parties upon whom we rely. We expect more states to pass similar laws in the future.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Outside the United States, an increasing number of laws, regulations, and industry standards govern data privacy and security. For example, the European Union’s General Data Protection Regulation, or EU GDPR, the United Kingdom’s GDPR, or UK GDPR, Brazil’s General Data Protection Law (Lei Geral de Proteção de Dados Pessoais, or LGPD) (Law No. 13,709/2018), and China’s Personal Information Protection Law, or PIPL, impose strict requirements for processing personal data. In particular,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 obligations from the EU GDPR and UK GDPR, together referred to as GDPR, may include limiting personal data processing to only what is necessary for specified, explicit, and legitimate purposes; requiring a legal basis for personal data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definitive bans on data processing and other corrective actions; fines of up to 20 million Euros under the EU GDPR (17.5 million British Pounds under the UK GDPR) or 4% of annual global revenue, in each case,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UK have significantly restricted the transfer of personal data to the United States and other countries whose data privacy laws they generally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Agreement/Addendum, and the EU-U.S. Data Privacy Framework and the UK extension thereto (which allows for transfers for relevant U.S.-based organizations who self-certify compliance and participate in the Framework), these mechanisms may be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GDPR’s cross-border data transfer limitations. In addition to data privacy and security laws,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publish privacy policies, marketing materials and other statements, such as confirmation of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indemnification obligations; negative publicity; reputational harm; monetary fund diversions; diversion of management’s attention; additional reporting requirements and/or oversight; bans on processing personal data; orders to destroy or not use personal data; and imprisonment of company officials. In particular, plaintiffs have become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ordinary course of our business, we and the third parties upon which we process proprietary, confidential, and sensitive data, including personal data (such as health-related data), intellectual property and trade secrets (collectively, sensitive information).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including our current and future CROs, CMOs, other contractors and consultants.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In particular, severe ransomware attacks are becoming increasingly prevalent – particularly for companies like ours in the medical field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rely on third-party service providers and technologies to operate critical business systems to process sensitive information in a variety of contexts, including, without limitation, communication systems, cloud-based infrastructure, data center facilities, encryption and authentication technology, employee email, content delivery to customers, and other functions. Our ability to monitor these third parties’ information security practices is limited,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risks to our business. Further, we may experience delays in developing and deploying remedial measures designed to address any such identified vulnerabilities.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including our research partners or collaborators. We may expend significant resources or modify our business activities (including our clinical trial activities or product development) to try to protect against security incidents.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data privacy and security obligations may require us to implement and maintain specific security measures or industry-standard or reasonable security measures to protect our information technology systems and sensitive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implemented security measures designed to protect against security incidents, there can be no assurance that these measures will be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Applicable data privacy and security obligations may require us to notify relevant stakeholders of security incidents, including affected individuals, customers, regulators, and investors. Such disclosures are costly, and the disclosure or the failure to comply with such requirements could lead to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diversions of management’s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disclosure of confidential or proprietary information, further development and commercialization of our product candidates could be delayed.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third parties may gather, collect, or infer competitively sensitive information about us from public sources, data brokers, or by other means that could be used to undermine our competitive advantage or market position. Additionally, any sensitive information (including confidential, competitive, proprietary, or personal data) that we input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into a third-party generative AI platform could be leaked or disclosed to others, including if sensitive information is used to train the third parties’ AI model.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DANYELZA and our product candidates, which could make it difficult for us to sell DANYELZA and our product candidates profitably.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covered benefit under its health plan;</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effective and medically necessary;</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for the specific patient;</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experimental nor investigational.</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United States, no uniform policy of coverage and reimbursement for products exists among third-party payors. As a result, obtaining coverage and reimbursement approval of a product from a government or other third-party payor is a time consuming and costly process that could require us to provide to each payor supporting scientific, clinical and cost effectiveness data for the use of our products on a payor-by-payor basis, with no assurance that coverage and adequate reimbursement will be obtained. To date, although a number of third-party providers have established coverage policies and provided reimbursement for DANYELZA, there is no guarantee that third-party providers will establish coverage policies or provided reimbursement for any of our other product candidates, if approved. The reimbursement payment rates for DANYELZA or any other product we commercialize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Third-party payors are increasingly challenging the prices charged, examining the medical necessity, and reviewing the cost-effectiveness of medical products and services, and imposing controls to manage costs. Our rebate payments may increase, or our prices may be adjusted under value-based purchasing arrangements based on evidence-based measures or outcomes-based measures for a patient or beneficiary based on use of DANYELZA or any other product we commercialize. Patients are unlikely to use our product unless coverage is provided and reimbursement is adequate to cover a significant portion of the cost of our products. Because our products and product candidates have a higher cost of goods than conventional therapies, and may require long term follow up evaluations, the risk that coverage and reimbursement rates may be inadequate for us to achieve profitability may be greater.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biological products. Similar challenges to obtaining coverage and reimbursement, applicable to pharmaceutical or biological products, will apply to companion diagnostics.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date DANYELZA has been approved for sale in the United States, Israel, China and Brazil only, but we intend to seek approval to market our products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significant liability if enforcement authorities allege or determine that we are engaging in commercial activities or promoting DANYELZA or another product candidate in a way that violates applicable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Physicians have the discretion to prescribe drug products for uses that are not described in the product’s labeling and that differ from those approved by the FDA or other applicable regulatory authorities. Off label uses are common across medical specialties. Although the FDA and other regulatory authorities do not regulate a physician’s choice of treatments, the FDA and other regulatory authorities regulate a manufacturer’s communications regarding off label use and prohibit off label promotion, as well as the dissemination of false or misleading labeling or promotional materials. Manufacturers may not promote drugs for off 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 label uses and the promotion of products for which marketing approval has not been obtained. A company that is found to have improperly promoted off label uses may be subject to significant liability, which may include civil and administrative remedies as well as criminal sanctions.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Due to the nature of radioactive isotopes in radioimmunotherapy product candidates, the product shelf life is limited and susceptible to spoilage and/or loss, which could adversely affect our business, financial condition and operating results.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radioimmunotherapy product candidates have a very limited shelf life once radiolabeled with radioactive elements. For commercial manufacture and supply these product candidates require reliable transportation and radiolabeling production facilities located in close proximity to our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handling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 liability could exceed our resources. We also could incur significant costs associated with civil or criminal fines and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operations in the United States and Denmark, and we maintain relationships with CMOs in the United States as well as other parts of Europe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Compliance with the FCPA is expensive and difficult, particularly in countries in which corruption is a recognized problem. In addition, the FCPA presents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developing, manufacturing, or selling certain drugs and product candidates outside of the United States, which could limit our growth potential and increase our development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certain Chinese biotechnology companies and contract development and manufacturing organizations may become subject to trade restrictions, sanctions, other regulatory requirements or proposed legislation by the U.S. government, which could restrict or even prohibit our ability to work with such entities, thereby potentially having an adverse impact on our development and commercialization efforts and potential revenues, including potential payments to us based on regulatory and commercial activities in China.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biotechnologies companies and authorizes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and commercialization of our product candidates and products, and our business and financial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 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 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patenting process is expensive and time 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in-license certain intellectual property from MSK and MIT. In the future we may in-license intellectual property from other licensors. We rely on certain of these licensors to file and prosecute patent applications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growth of our business may depend in part on our ability to acquire or in 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 licensed products or processes.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unable to acquire or in 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party to license agreements with MSK, MIT and others, pursuant to which we in 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 consuming, divert the attention of key personnel from business operations or otherwise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 licensed patent rights are highly uncertain. Our pending and future patent applications and in 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 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 licensed patent rights are highly uncertain.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post-grant review, inter partes review, ex-partes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degree of future protection for our proprietary rights is uncertain because legal means afford only limited protection and may not adequately protect our rights or permit us to gain or keep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or use compounds that are similar to the pharmaceutical compounds used in our products or product candidates but that are not covered by the claims of our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APIs in our current products or product candidates may eventually become commercially available in generic drug products, and no patent protection may be available with regard to formulation, method of manufacture or method of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parallel importation of products into the U.S., EU member states and/or other jurisdictions, which may reduce our profit margin;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as the case may be, may fail to meet our obligations to the U.S. government in regard to any in licensed patents and patent applications funded by U.S. government grants, leading to the loss of patent rights;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as the case may be, might not have been the first to file patent applications for these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products or product candidates and proprietary technologies;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owned or in licensed pending patent applications will not result in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prior public disclosures that could invalidate our or our licensors’ patents, as the case may be, or parts of our or their patents;</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patent term extensions or supplementary protection certificates covering our products;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others may circumvent our owned or in licensed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unpublished applications or patent applications maintained in secrecy that may later issue with claims covering our product candidates, products or technologies similar to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foreign countries may not protect our or our licensors’, as the case may be, proprietary rights to the same extent as the laws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our owned or in licensed issued patents or patent applications, if and when issued, may not cover our product candidates or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or in licensed issued patents may not provide us with any competitive advantages, may be narrowed in scope, or be held invalid or unenforceable as a result of legal challenges by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 of our owned or in licensed patents or patent applications may become involved with competitors, develop products or processes which design around our patents, or become hostile to us or the patents or patent applications on which they are named as inventors;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parties;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for which we can obtain patent protection;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products, product candidates or diagnostic tests we develop may be covered by third parties’ patents or other proprietary rights; or</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 how. If our confidential or proprietary information is divulged to or acquired by third parties, including our competitors, our competitive position in the marketplace will be harmed and this would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2026 through 2042,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2031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patents, and we may be unable to protect our rights to our product candidates, products and technologies.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or our licensors choose to go to court to stop a third party from using the inventions claimed in our owned or in licensed patents, that third party may ask the court to rule that the patents are invalid and/or should not be enforced against that third party. These lawsuits are expensive and would consume time and other resources even if we or they,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also a risk that, even if the validity of these patents is upheld, the court will refuse to stop the third party on the ground that such third party’s activities do not infringe our owned or in 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 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or our licensors, may not be able to detect infringement against our owned or in licensed patents, as the case may be, which may be especially difficult for manufacturing processes or formulation patents. Even if we or our licensors detect infringement by a third party of our owned or in 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 licensed patents, as the case may be, against such third party. If another party questions the patentability of any of our claims in our owned or in licensed U.S. patents, the third party can request that the USPTO review the patent claims such as in an inter partes review, ex parte re exam or post 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 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intellectual property rights other than patents, and we may be unable to protect our rights to our product candidates, products and technologies.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 how.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sued for infringing patents or other intellectual property rights of third parties, it will be costly and time consuming, and an unfavorable outcome in that litigation may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related to our products or product candidates, technology covered by our owned and in 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 licensed patent applications or patents, which could require us to obtain rights to issued patents covering such technologies. If another party has filed a U.S. patent application on inventions similar to those owned by or in licensed to us, we or, in the case of in 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 licensed to us, we may incur substantial costs, divert management’s time and expend other resources, even if we are successful.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third party claims that we infringe its intellectual property rights, we may face a number of issues,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and other intellectual property claims, which, regardless of merit, may be expensive and time-consuming to litigate and may divert our management’s attention from our core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prohibiting us from developing, manufacturing, marketing or selling our product candidates or products, or from using our proprietary technologies, unless the third party licenses its product rights to us, which it is not required to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 is available from a third party, it may not be offered on reasonable terms and may require that we pay substantial royalties, upfront fees and other amounts, and/or grant cross-licenses to intellectual property rights for our products;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redesigning our products or product candidates or processes so they do not infringe, which may not be possible or may require substantial monetary expenditures and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choose to challenge the patentability of claims in a third party’s U.S. patent by requesting that the USPTO review the patent claims in an ex-partes re-exam, inter partes review or post 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with patents throughout the world.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secure trademark registrations could adversely affect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which may have a material adverse effect on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long-term, if we are unable to establish name recognition based on our trademarks, trade names, service marks and domain names, then we may not be able to compete effectively, resulting in a material adverse effect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members of our executive management as well as the other principal members of our management and scientific teams. Our agreements with any of them do not prevent them from terminating their employment with us at any time.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2023, we announced the appointment of a new President and Chief Executive Officer and transition of our President and Interim Chief Executive Officer to Chief Business Officer. In addition, in March 2024, we announced the resignation of our Executive Vice President, Chief Financial Officer, Secretary and Treasurer, effective as of the date we appoint his successor and such successor commences employment with us. We cannot assure you that these management changes or any future management changes will not have an adverse impact on our business operations. The loss of the services of members of our executive management team and the failure to find appropriate replacements in a timely fashion could impede the achievement of our research, development and commercialization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President and Chief Executive Officer joined us in November 2023. It is important to our success that our President and Chief Executive Officer, as well as any other key employees that join us in the future, quickly adapt to and excel in their new roles. If they are unable to do so, our business and financial results could be materially adversely affected.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Recruiting and retaining qualified scientific, clinical, manufacturing and sales and marketing personnel remains critical to our success. We currently conduct a significant portion of our operations in the New York City metropolitan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need to increase the size of our organization in the future, and we may experience difficulties managing growth. If we are unable to manage the anticipated growth of our business, our future revenue and operating results may be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may need to expand the size of our organization in the future. The growth we may experience in the future may provide challenges to our organization, requiring us to also rapidly expand other aspects of our business, including our manufacturing operations. Rapid expansion in personnel may result in less experienced people producing and selling our products, which could result in unanticipated costs and disruptions to our operations. If we cannot scale and manage our business appropriately, our potential growth may be impaired and our financial results will suffer.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and principal stockholders have ownership of a significant percentage of our stock and will be able to exercise significant influence over matters subject to stockholder 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April 30, 2024, our executive officers, directors and our stockholders, who own more than 5% of our outstanding common stock in the aggregate beneficially, own shares representing approximately 22.5% of our common stock. As a result, if these stockholders were to choose to act together, they would be able to exert significant influence over all matters submitted to our stockholders for approval, as well as our management and affairs. For example, these persons, if they chose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stockholders to replace or remove our current management by making it more difficult for stockholders to replace members of our board of directors. Among other things, these provisions:</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classified board of directors such that not all members of the board are elected at one time;</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authorized number of our directors to be changed only by resolution of our board of directors;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manner in which stockholders can remove directors from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stockholder proposals that can be acted on at stockholder meetings and nominations to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actions by our stockholders by written consent;</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approval of the holders of at least 75% of the votes that all our stockholders would be entitled to cast to amend or repeal certain provisions of our charter or bylaws.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ability to utilize our net operating loss carry-forwards and certain other tax attributes depends on many factors, including our future income, which cannot be assured, and the impact of any tax reform legislation or proposals. Under current law, U.S. federal net operating loss carryforwards generated in tax years beginning before January 1, 2018 may be carried forward for 20 tax years. U.S. federal net operating loss carryforwards generated in tax years beginning after December 31, 2017 may be carried forward indefinitely, but the deductibility of such net operating loss carryforwards is limited to 80% of taxable income. It is uncertain if and to what extent various states will conform to U.S. federal income tax law.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three-year period), an annual limitation is imposed on the corporation’s use of its change net operating loss carry-forwards and certain other pre-change tax attributes to offset its post-change taxable income or taxes. Based on our analysis of our Section 382 ownership changes through December 31, 2022, we believe that it is more likely than not that none of our net operating loss carryforwards will expire because of existing limitations under Section 382 of the Code, due to the large size of such limitations. We may experience Section 382 ownership changes in the future as a result of subsequent shifts in our equity ownership, many of which are outside our control. State net operating loss carryforwards may be similarly limited, and there may be periods during which the use of such net operating loss carryforwards is suspended or otherwise limited, which could accelerate or permanently increase our state taxes owed.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New income, sales and use, or other tax laws or regulations could be enacted at any time, and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interpreted or applied differently also could increase our compliance, operating, and other costs, as well as the costs of our products. Recent legislation in the United States, commonly referred to as the Inflation Reduction Act, enacts a 15% minimum tax on the adjusted financial statement income of certain large U.S. corporations for tax years beginning after December 31, 2022, as well as a 1% excise tax on stock repurchases made by public corporations after December 31, 2022. Further, the Tax Cuts and Jobs Act of 2017, or the Tax Act, enacted many significant changes to U.S. tax laws, some of which were further modified by the Coronavirus Aid, Relief, and Economic Security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for the foreseeable future, capital appreciation, if any, of our common stock will be the source of gain associated with investment in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common stock by us or our stockholders may cause substantial dilution to our existing stockholders and have an adverse effect on the then prevailing market price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of our common stock may be made by holders of our public float or by holders of restricted securities in compliance with the provisions of Rule 144 of the Securities Act of 1933, or the Securities Act. There were 43,882,638 shares of common stock outstanding as of April 30, 2024. In addition, we have issued stock options and other equity awards under our equity compensation plans. The shares underlying these awards are registered on a registration statement on Form S-8. As a result, upon vesting, these shares can be freely exercised, as applicable, and sold in the public market upon issuance, subject to volume limitations applicable to 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also registered 16,025,771 shares of our common stock that we may issue under our equity compensation plans as of April 30, 2024, and we plan to increase that number further.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issue additional shares of our common stock or securities convertible into our common stock from time to time in connection with financing, acquisition, investments or otherwise. Any such issuance could result in substantial dilution to our existing stockholders and cause the trading price of our common stock to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on file with the SEC a shelf registration statement, which allows us to offer and sell certain registered securities, such as common stock, preferred stock, debt securities, warrants and units, from time to time pursuant to one or more offerings at prices and terms to be determined at the time of sale. We may sell common stock, convertible securities or other equity or debt securities in one or more transactions at prices and in a manner we determine from time to time. If we sell common stock, convertible securities or other equity or debt securities in more than one transaction, investors may be materially diluted by subsequent sales. These sales may also result in material dilution to our existing stockholders, and new investors could gain rights superior to our existing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$2.70 per share and as high as $55.22 per share through April 30, 2024. In the last 12 months, our stock has traded at prices as low as $4.60 per share and as high as $20.90 per share through April 30, 2024.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 price for our common stock may be influenced by many factors, including:</w:t>
      </w:r>
    </w:p>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launch and commercialize DANYELZA and any other product candidates, if approved;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results of clinical trials of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actions with respect to our products or product candidates or our competitors’ products and product candidates;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existing or new competitive products or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collaborations or capital commitments;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or termination of collaborations for our products and product candidates or development programs;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discontinuation of any of our development programs;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product candidates of our competitors;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revenues and expenses related to any of our products, product candidates or development programs;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 or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demand for our products, actual or anticipated changes in forecasts of financial performance, or changes in development timelines;</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financing efforts;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insiders or other stockholders;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estimates or recommendations by securities analysts, if any, that cover our stock;</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and investor sentiment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such as an increased rate of inflation, increased cost of goods, supply chain disruptions and uncertain global financial markets, and geopolitical events, such as the conflict between Ukraine and Russia and related sanctions;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the past, securities class-action litigation has often been instituted against companies following periods of volatility in the price of their common stock. For example, following volatility in the price of our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following the ODAC meeting in October 2022, one of our stockholders filed a putative class action lawsuit in the federal district court for alleged violations of the Securities Exchange Act of 1934, as amended. Litigation could result in substantial costs and divert our management’s attention and resources, which could have a material and adverse effect on our financial condition, business, and the per share trading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our Chief Business Officer and Vice Chairman Mr. Thomas Gad, and our former Chief Executive Officer, Dr. Claus Juan Møller San Pedro, have been named as defendants in a lawsuit that could result in substantial costs and divert management’s attention, and we have also been named in other lawsuits. Any of these lawsuits could result in substantial costs and divert management’s attention.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described elsewhere in this report in “Part II, Item 1—Legal Proceedings,” we and our Chief Business Officer and Vice Chairman Mr. Thomas Gad, and our former Chief Executive Officer Dr. Claus Juan Møller San Pedro, have been named as defendants in a class-action lawsuit that alleges that we and the individuals named in the lawsuit violated Sections 10(b) and/or 20(a) of the Exchange Act and Rule 10b-5 promulgated thereunder. Further, as also described elsewhere in this report in “Part II, Item 1—Legal Proceedings,” on February 8, 2023, Jeffrey Hazelton, a purported Y-mAbs stockholder, filed a putative stockholder derivative action. These complaints seek, among other things, unspecified damages, and reasonable costs and expenses, including attorneys’ fees.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the class-action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financial condition and results of operations have been and may in the future be adversely affected by pandemics or similar health crises, macroeconomic conditions and by geopolitical events, including the global conflict resulting from the invasion of Ukraine by Russia, and sanctions related thereto, which resulted in the suspension of our clinical trial and regulatory activities in Russia, as well as the state of the war involving Israel.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as well as from international conflicts, terrorism or other geopolitical events, such as the Russian invasion of Ukraine, and related sanctions and other economic disruptions or concerns.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Sanctions imposed by the United States and other countries in response to such conflicts, may also adversely impact the financial markets and the global 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economies, and the global economy. While it is difficult to anticipate the ultimate impact of any of the foregoing on our company in particular, the conflict and actions taken in response to the conflict has caused us to terminate our clinical trials and suspend our regulatory activities to obtain marketing authorization for DANYELZA in Russia although we may still provide drug to be used on a compassionate use basis. Additional actions that we or others may take in response to the conflict could increase our costs, disrupt our supply chain, impair our ability to raise or access additional capital when needed on acceptable terms, if at all, or otherwise adversely affect our business, financial condition, and results of operations. For additional detail regarding this conflict, see the risk factor above “—</w:t>
      </w:r>
      <w:r>
        <w:rPr>
          <w:rFonts w:ascii="Times New Roman;Times;serif" w:hAnsi="Times New Roman;Times;serif"/>
          <w:i/>
          <w:sz w:val="20"/>
        </w:rPr>
        <w:t>Russia’s invasion of Ukraine and ancillary developments may have an adverse effect on our business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conflict or its effects on our business, operations and financial conditions. The ongoing conflict is rapidly evolving and developing and may have a material adverse impact on Takeda Israel’s ability to sell our products and/or collect receivables from customers in the State of Israel pursuant to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can be no assurance that further deterioration in credit and financial markets, global banking stability,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evaluate various acquisitions, partnerships or other strategic transactions, including licensing or acquiring complementary products, intellectual property rights, technologies, or businesses. Any potential acquisition or strategic partnership may entail numerous risks, including:</w:t>
      </w:r>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our equity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products of an acquired company, including difficulties associated with integration;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product programs and initiatives in pursuing such a strategic merger or acquisition;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products or product candidates and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our operating results to fluctuate in future periods, which may adversely affect our stock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variety of risks associated with operating our business internationally, including through collaboration partners, could materially adversely affect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obtained and plan to continue to seek regulatory approval of our product candidates outside of the United States. We also have existing commercialization collaborations in certain territories outside the United States such as with SciClone, Takeda Israel, Swixx Biopharma AG, Adium, and WEP Clinical Ltd. Takeda Israel obtained regulatory approval for DANYELZA in Israel in August 2022 and we obtained regulatory approval for DANYELZA in China in December 2022. In May 2023, we obtained regulatory approval for DANYELZA in Brazil and in September 2023, we obtained regulatory approval for DANYELZA in Mexico. Accordingly, we and our existing and potential collaborators in jurisdictions outside the US, are subject to additional risks related to operating in foreign countries, including: </w:t>
      </w:r>
    </w:p>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regulatory requirements in foreign countries;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price and exchange controls, and other regulatory requirements;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local transfer pricing regulations and withholding of payroll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 and other obligations incident to doing business in another country;</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staffing and managing foreign operations;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under the FCPA, or OFAC, Anti-Money Laundering Program as required by the Bank Secrecy Act and its implementing regulations, or comparable foreign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enforcing our contractual and intellectual property rights, especially in those foreign countries that do not respect and protect intellectual property rights to the same extent as the United States;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and other risks associated with our current and planned international operations may materially adversely affect our ability to attain or maintain profitable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disruptions could seriously harm our future revenue and financial condition and increase our costs and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operations, and those of our third-party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and the state of the war involving Israel and a potential more global conflict, cyber security attacks and other natural or man-made disasters or business interruptions, for which we are predominantly self-insured, and other severe hazards or global health crises, such as an outbreak of Ebola or COVID-19,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DANYELZA, and our other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 and inability to continue clinical trials;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any available insurance and our capital resources;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 candidate;</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potential future revenue; and</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share price.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EU and other similar foreign regulatory requirements; provide true, complete and accurate information to the FDA, the EMA, the European Commission,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our licensors, employees, consultants or advisors have wrongfully used or disclosed alleged trade secrets of their former employers or their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increasing use of social media platforms presents new risks and challenges.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analysts do not publish research or reports about our business or if they publish negative evaluations of our stock, the price of our stock could decline.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industry or financial analysts publish about us or our business. If one or more of the analysts covering our business downgrades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consolidated financial statements could be impaired, which could harm our operating results, investors’ views of us and, as a result, the value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qualified as a smaller reporting company and as a non-accelerated filer for the year ended December 31, 2023. As a public company we are required to provide management’s attestation on internal controls pursuant to Section 404 of the Sarbanes-Oxley Act. However, as a non-accelerated filer, we are not required to include an attestation report on internal control over financial reporting issued by our independent registered public accounting firm in this Annual Report on Form 10-K for the fiscal year ended December 31,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inability to operate controls effectively could cause material weaknesses in our internal control over financial reporting in the future, could have a material adverse impact on our company and financial statements and we may not be able to accurately or timely report our financial condition or results of operations, which may adversely affect investor confidence in us and, as a result, the value of our common stock. In addition, we may be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financial statements, investor confidence in us and, as a result, the value of our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continue to incur costs associated with satisfying our obligations as public company, and our management is required to devote substantial time to new compliance initiatives.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public company, we continue to incur significant legal, accounting and other expenses. In addition, the Sarbanes 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 consuming and costly. For example, these rules and regulations make it more difficult and more expensive for us to obtain director and officer liability insurance.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adversely affected by global climate change or by legal, regulatory or market responses to such 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supply-chain and production continuity, which may impact our ability to achieve our business objectives. Changes in environmental and climate change laws or regulations could lead to additional operational restrictions and compliance requirements upon us or our third-party providers or otherwise could negatively impact our business. 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pStyle w:val="TextBody"/>
        <w:bidi w:val="0"/>
        <w:spacing w:before="0" w:after="240"/>
        <w:ind w:left="0" w:right="0" w:hanging="0"/>
        <w:jc w:val="left"/>
        <w:rPr>
          <w:rFonts w:ascii="Times New Roman;Times;serif" w:hAnsi="Times New Roman;Times;serif"/>
          <w:b/>
          <w:sz w:val="20"/>
        </w:rPr>
      </w:pPr>
      <w:bookmarkStart w:id="880" w:name="Item2UnregisteredSalesofEquitySecurities"/>
      <w:bookmarkStart w:id="881" w:name="_194d56c2_f31d_4530_8e52_36c347372b7b"/>
      <w:bookmarkEnd w:id="880"/>
      <w:bookmarkEnd w:id="881"/>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882" w:name="Item3DefaultsonSeniorSecurities_18311"/>
      <w:bookmarkStart w:id="883" w:name="_1d31ebea_c030_47e7_9e85_499796ca4786"/>
      <w:bookmarkEnd w:id="882"/>
      <w:bookmarkEnd w:id="883"/>
      <w:r>
        <w:rPr>
          <w:rFonts w:ascii="Times New Roman;Times;serif" w:hAnsi="Times New Roman;Times;serif"/>
          <w:b/>
          <w:sz w:val="20"/>
        </w:rPr>
        <w:t>Item 3.  Defaults 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84" w:name="Item4MineSafetyDisclosures_32372"/>
      <w:bookmarkStart w:id="885" w:name="_69d8a1e1_3005_4c53_bacc_196803bbf6ac"/>
      <w:bookmarkEnd w:id="884"/>
      <w:bookmarkEnd w:id="885"/>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86" w:name="Item5OtherInformation_485886"/>
      <w:bookmarkStart w:id="887" w:name="_ee54fd50_9f70_453f_95ec_a7c6629a604e"/>
      <w:bookmarkEnd w:id="886"/>
      <w:bookmarkEnd w:id="887"/>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8" w:name="Item6Exhibits_681099"/>
      <w:bookmarkStart w:id="889" w:name="_da552dc8_0f54_48af_86f2_831301374962"/>
      <w:bookmarkEnd w:id="888"/>
      <w:bookmarkEnd w:id="889"/>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tbl>
      <w:tblPr>
        <w:tblW w:w="10205" w:type="dxa"/>
        <w:jc w:val="left"/>
        <w:tblInd w:w="0" w:type="dxa"/>
        <w:tblLayout w:type="fixed"/>
        <w:tblCellMar>
          <w:top w:w="0" w:type="dxa"/>
          <w:left w:w="0" w:type="dxa"/>
          <w:bottom w:w="0" w:type="dxa"/>
          <w:right w:w="0" w:type="dxa"/>
        </w:tblCellMar>
      </w:tblPr>
      <w:tblGrid>
        <w:gridCol w:w="3946"/>
        <w:gridCol w:w="109"/>
        <w:gridCol w:w="6150"/>
      </w:tblGrid>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Exhibit Index, which Exhibit Index is incorporated herein by reference.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29210"/>
                      <wp:effectExtent l="0" t="0" r="0" b="0"/>
                      <wp:wrapNone/>
                      <wp:docPr id="263" name="Frame26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50" w:type="dxa"/>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Registrant’s Current Report on Form 8-K (File No. 001-38650) filed with the Securities and Exchange Commission on September 26, 2018)</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the Registrant (incorporated by reference to Exhibit 3.4 to the Registrant’s Current Report on Form 8-K (File No. 001-38650) filed with the Securities and Exchange Commission on September 26, 2018)</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to Employment Agreement for Dr. Vignesh Rajah, effective as of January 1, 2024 (incorporated by reference to Exhibit 10.34 to Registrant’s Form 10-K filed, February 29, 2024)</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Performance Restricted Stock Unit Award Grant Notice and Restricted Stock Unit Award Agreement under the 2018 Equity Incentive Plan (incorporated by reference to Exhibit 10.46 to Registrant’s Form 10-K filed, February 29, 2024)</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hyperlink w:anchor="ymab-20240331xex10d3.htm">
              <w:r>
                <w:rPr>
                  <w:rStyle w:val="InternetLink"/>
                  <w:rFonts w:ascii="Times New Roman;Times;serif" w:hAnsi="Times New Roman;Times;serif"/>
                  <w:b w:val="false"/>
                  <w:i w:val="false"/>
                  <w:caps w:val="false"/>
                  <w:smallCaps w:val="false"/>
                  <w:sz w:val="20"/>
                </w:rPr>
                <w:t>Severance Agreement dated March 21, 2024 between Y-mAbs Therapeutics A/S and Steen Lisby (filed herewith)</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hyperlink w:anchor="ymab-20240331xex10d4.htm">
              <w:r>
                <w:rPr>
                  <w:rStyle w:val="InternetLink"/>
                  <w:rFonts w:ascii="Times New Roman;Times;serif" w:hAnsi="Times New Roman;Times;serif"/>
                  <w:b w:val="false"/>
                  <w:i w:val="false"/>
                  <w:caps w:val="false"/>
                  <w:smallCaps w:val="false"/>
                  <w:sz w:val="20"/>
                </w:rPr>
                <w:t>Amended and Restated Non-Employee Director Compensation Policy, effective April 26, 2024 (filed herewith)</w:t>
              </w:r>
            </w:hyperlink>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w:anchor="ymab-20240331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w:anchor="ymab-20240331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w:anchor="ymab-2024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pPr>
            <w:hyperlink w:anchor="ymab-2024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3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397" w:type="dxa"/>
        <w:jc w:val="left"/>
        <w:tblInd w:w="0" w:type="dxa"/>
        <w:tblLayout w:type="fixed"/>
        <w:tblCellMar>
          <w:top w:w="0" w:type="dxa"/>
          <w:left w:w="0" w:type="dxa"/>
          <w:bottom w:w="0" w:type="dxa"/>
          <w:right w:w="0" w:type="dxa"/>
        </w:tblCellMar>
      </w:tblPr>
      <w:tblGrid>
        <w:gridCol w:w="211"/>
        <w:gridCol w:w="1186"/>
      </w:tblGrid>
      <w:tr>
        <w:trPr/>
        <w:tc>
          <w:tcPr>
            <w:tcW w:w="21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186"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Filed herewith.</w:t>
            </w:r>
          </w:p>
        </w:tc>
      </w:tr>
    </w:tbl>
    <w:tbl>
      <w:tblPr>
        <w:tblW w:w="1742" w:type="dxa"/>
        <w:jc w:val="left"/>
        <w:tblInd w:w="0" w:type="dxa"/>
        <w:tblLayout w:type="fixed"/>
        <w:tblCellMar>
          <w:top w:w="0" w:type="dxa"/>
          <w:left w:w="0" w:type="dxa"/>
          <w:bottom w:w="0" w:type="dxa"/>
          <w:right w:w="0" w:type="dxa"/>
        </w:tblCellMar>
      </w:tblPr>
      <w:tblGrid>
        <w:gridCol w:w="211"/>
        <w:gridCol w:w="1531"/>
      </w:tblGrid>
      <w:tr>
        <w:trPr/>
        <w:tc>
          <w:tcPr>
            <w:tcW w:w="21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w:t>
            </w:r>
          </w:p>
        </w:tc>
        <w:tc>
          <w:tcPr>
            <w:tcW w:w="153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Furnished herewith.</w:t>
            </w:r>
          </w:p>
        </w:tc>
      </w:tr>
    </w:tbl>
    <w:tbl>
      <w:tblPr>
        <w:tblW w:w="4202" w:type="dxa"/>
        <w:jc w:val="left"/>
        <w:tblInd w:w="0" w:type="dxa"/>
        <w:tblLayout w:type="fixed"/>
        <w:tblCellMar>
          <w:top w:w="0" w:type="dxa"/>
          <w:left w:w="0" w:type="dxa"/>
          <w:bottom w:w="0" w:type="dxa"/>
          <w:right w:w="0" w:type="dxa"/>
        </w:tblCellMar>
      </w:tblPr>
      <w:tblGrid>
        <w:gridCol w:w="301"/>
        <w:gridCol w:w="3901"/>
      </w:tblGrid>
      <w:tr>
        <w:trPr/>
        <w:tc>
          <w:tcPr>
            <w:tcW w:w="301" w:type="dxa"/>
            <w:tcBorders/>
            <w:vAlign w:val="center"/>
          </w:tcPr>
          <w:p>
            <w:pPr>
              <w:pStyle w:val="TableContents"/>
              <w:bidi w:val="0"/>
              <w:spacing w:before="0" w:after="120"/>
              <w:jc w:val="left"/>
              <w:rPr/>
            </w:pPr>
            <w:r>
              <w:rPr/>
              <w:t xml:space="preserve">† </w:t>
            </w:r>
          </w:p>
        </w:tc>
        <w:tc>
          <w:tcPr>
            <w:tcW w:w="390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Indicates management contract or compensatory plan.</w:t>
            </w:r>
          </w:p>
        </w:tc>
      </w:tr>
    </w:tbl>
    <w:p>
      <w:pPr>
        <w:pStyle w:val="TextBody"/>
        <w:pBdr/>
        <w:bidi w:val="0"/>
        <w:spacing w:before="0" w:after="120"/>
        <w:ind w:left="0" w:right="0" w:hanging="27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0" w:name="SIGNATURES_161943"/>
      <w:bookmarkStart w:id="891" w:name="_ac61dfa2_b4c6_4978_a6a3_574c3b703d5a"/>
      <w:bookmarkEnd w:id="890"/>
      <w:bookmarkEnd w:id="891"/>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28" w:type="dxa"/>
        <w:jc w:val="left"/>
        <w:tblInd w:w="0" w:type="dxa"/>
        <w:tblLayout w:type="fixed"/>
        <w:tblCellMar>
          <w:top w:w="0" w:type="dxa"/>
          <w:left w:w="0" w:type="dxa"/>
          <w:bottom w:w="0" w:type="dxa"/>
          <w:right w:w="0" w:type="dxa"/>
        </w:tblCellMar>
      </w:tblPr>
      <w:tblGrid>
        <w:gridCol w:w="1786"/>
        <w:gridCol w:w="406"/>
        <w:gridCol w:w="4636"/>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636"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w:t>
            </w:r>
          </w:p>
        </w:tc>
        <w:tc>
          <w:tcPr>
            <w:tcW w:w="50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Y-MABS THERAPEUTICS, INC.</w:t>
            </w:r>
          </w:p>
        </w:tc>
      </w:tr>
      <w:tr>
        <w:trPr/>
        <w:tc>
          <w:tcPr>
            <w:tcW w:w="1786" w:type="dxa"/>
            <w:tcBorders/>
            <w:vAlign w:val="center"/>
          </w:tcPr>
          <w:p>
            <w:pPr>
              <w:pStyle w:val="TableContents"/>
              <w:bidi w:val="0"/>
              <w:spacing w:before="0" w:after="0"/>
              <w:ind w:left="0" w:right="0" w:hanging="0"/>
              <w:jc w:val="left"/>
              <w:rPr/>
            </w:pPr>
            <w:r>
              <w:rPr/>
              <w:t>​</w:t>
            </w:r>
          </w:p>
        </w:tc>
        <w:tc>
          <w:tcPr>
            <w:tcW w:w="5042"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Chief Executive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Executive Vice President,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0"/>
        <w:ind w:left="0" w:right="0" w:hanging="0"/>
        <w:jc w:val="right"/>
        <w:rPr>
          <w:rFonts w:ascii="Times New Roman;Times;serif" w:hAnsi="Times New Roman;Times;serif"/>
          <w:b/>
          <w:sz w:val="20"/>
        </w:rPr>
      </w:pPr>
      <w:bookmarkStart w:id="892" w:name="ymab-20240331xex10d3.htm"/>
      <w:bookmarkStart w:id="893" w:name="ksymab20240331xex10d3"/>
      <w:bookmarkEnd w:id="892"/>
      <w:bookmarkEnd w:id="893"/>
      <w:r>
        <w:rPr>
          <w:rFonts w:ascii="Times New Roman;Times;serif" w:hAnsi="Times New Roman;Times;serif"/>
          <w:b/>
          <w:sz w:val="20"/>
        </w:rPr>
        <w:t>Exhibit 10.3</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2056765" cy="352425"/>
            <wp:effectExtent l="0" t="0" r="0" b="0"/>
            <wp:docPr id="2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 descr=""/>
                    <pic:cNvPicPr>
                      <a:picLocks noChangeAspect="1" noChangeArrowheads="1"/>
                    </pic:cNvPicPr>
                  </pic:nvPicPr>
                  <pic:blipFill>
                    <a:blip r:embed="rId6"/>
                    <a:stretch>
                      <a:fillRect/>
                    </a:stretch>
                  </pic:blipFill>
                  <pic:spPr bwMode="auto">
                    <a:xfrm>
                      <a:off x="0" y="0"/>
                      <a:ext cx="2056765" cy="3524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severance agreement (the “Agreement”) has been entered into by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Y-mAbs Therapeutics 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CVR No. 37053678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Agern Allé 11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DK – 2970 Hørsholm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(hereinafter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Steen Lisby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Vibevang 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DK – 2970 Hørsholm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(hereinafter the “Employee”)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and the Employee each a “Party” and together the “Parties”)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 AGREEMENT</w:t>
      </w:r>
    </w:p>
    <w:p>
      <w:pPr>
        <w:pStyle w:val="TextBody"/>
        <w:bidi w:val="0"/>
        <w:spacing w:before="0" w:after="0"/>
        <w:ind w:left="0" w:right="0" w:hanging="0"/>
        <w:jc w:val="left"/>
        <w:rPr/>
      </w:pPr>
      <w:r>
        <w:rPr/>
        <w:t>​</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14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BACKGROUND</w:t>
            </w:r>
          </w:p>
        </w:tc>
      </w:tr>
    </w:tbl>
    <w:p>
      <w:pPr>
        <w:pStyle w:val="TextBody"/>
        <w:pBdr/>
        <w:bidi w:val="0"/>
        <w:spacing w:before="0" w:after="0"/>
        <w:ind w:left="0" w:right="0" w:hanging="426"/>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has been employed with the Company since July 1, 2017. Subject to the terms of this Agreement, the Parties agree that by his signature to this Agreement, the Employee resigns from his position with the Company effectively from March 31, 2024 (the “Effective Date of Termination”).</w:t>
            </w:r>
          </w:p>
        </w:tc>
      </w:tr>
    </w:tbl>
    <w:p>
      <w:pPr>
        <w:pStyle w:val="TextBody"/>
        <w:bidi w:val="0"/>
        <w:spacing w:before="0" w:after="0"/>
        <w:ind w:left="426" w:right="0" w:hanging="0"/>
        <w:jc w:val="left"/>
        <w:rPr/>
      </w:pPr>
      <w:r>
        <w:rPr/>
        <w:t>​</w:t>
      </w:r>
    </w:p>
    <w:tbl>
      <w:tblPr>
        <w:tblW w:w="5530" w:type="dxa"/>
        <w:jc w:val="left"/>
        <w:tblInd w:w="0" w:type="dxa"/>
        <w:tblLayout w:type="fixed"/>
        <w:tblCellMar>
          <w:top w:w="0" w:type="dxa"/>
          <w:left w:w="0" w:type="dxa"/>
          <w:bottom w:w="0" w:type="dxa"/>
          <w:right w:w="0" w:type="dxa"/>
        </w:tblCellMar>
      </w:tblPr>
      <w:tblGrid>
        <w:gridCol w:w="275"/>
        <w:gridCol w:w="525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1.2</w:t>
            </w:r>
          </w:p>
        </w:tc>
        <w:tc>
          <w:tcPr>
            <w:tcW w:w="52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Agreement is subject to the following terms and conditions.</w:t>
            </w:r>
          </w:p>
        </w:tc>
      </w:tr>
    </w:tbl>
    <w:p>
      <w:pPr>
        <w:pStyle w:val="TextBody"/>
        <w:bidi w:val="0"/>
        <w:spacing w:before="0" w:after="0"/>
        <w:ind w:left="780" w:right="0" w:hanging="0"/>
        <w:jc w:val="left"/>
        <w:rPr/>
      </w:pPr>
      <w:r>
        <w:rPr/>
        <w:t>​</w:t>
      </w:r>
    </w:p>
    <w:tbl>
      <w:tblPr>
        <w:tblW w:w="6670" w:type="dxa"/>
        <w:jc w:val="left"/>
        <w:tblInd w:w="0" w:type="dxa"/>
        <w:tblLayout w:type="fixed"/>
        <w:tblCellMar>
          <w:top w:w="0" w:type="dxa"/>
          <w:left w:w="0" w:type="dxa"/>
          <w:bottom w:w="0" w:type="dxa"/>
          <w:right w:w="0" w:type="dxa"/>
        </w:tblCellMar>
      </w:tblPr>
      <w:tblGrid>
        <w:gridCol w:w="170"/>
        <w:gridCol w:w="6500"/>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65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JOB OBLIGATIONS UNTIL THE EFFECTIVE DATE OF TERMINATION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is not obliged to perform any work for the Company, except upon request from CEO, Mike Rossi. The requests will be kept to a minimum level and will primarily consist of telephone calls.</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SALARY, BENEFITS, BONUS AND SEVERANCE PAY</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will receive his usual pay and keep all his benefits (incl. mobile phone and paid internet) until the Effective Date of Termination. The Company laptop must, however, be returned immediately.</w:t>
            </w:r>
          </w:p>
        </w:tc>
      </w:tr>
    </w:tbl>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bonus for the fiscal year 2024 will be settled according to the bonus agreement and the ordinary payment terms. For the fiscal year 2024, the Employee will be entitled to 3/12 of an eventual bonus, corresponding the 3 months of employment in 2024, cf. the Act on Salaried Employees.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3.3</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Parties have agreed that the Employee will keep his warrants according to the Company’s Equity Incentive Plan vested on March 31, 2024, at latest. The Employee is not entitled to warrants granted but not vested after March 31, 2024.</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3.4</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severance payment of 6 month’s salary, corresponding DKK 1,205,016.48 will be paid as a lump sum with the last salary payment in March 2024.</w:t>
            </w:r>
          </w:p>
        </w:tc>
      </w:tr>
    </w:tbl>
    <w:p>
      <w:pPr>
        <w:pStyle w:val="TextBody"/>
        <w:bidi w:val="0"/>
        <w:spacing w:before="0" w:after="0"/>
        <w:ind w:left="426"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3.5</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severance payment may be subject to tax under section 7U of the Tax Assessment Act, meaning that an amount of DKK 8,000 is exempt from tax while the remaining amount is subject to tax as ordinary earned income. However, The Employee carries the risk of the tax assessment of the severance payment.</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HOLIDAYS</w:t>
      </w:r>
    </w:p>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Obtained and unspent holiday and holiday allowance will be paid to FerieKonto in accordance with the rules laid down in the Act on Holiday with Pay.</w:t>
            </w:r>
          </w:p>
        </w:tc>
      </w:tr>
    </w:tbl>
    <w:p>
      <w:pPr>
        <w:pStyle w:val="TextBody"/>
        <w:pBdr/>
        <w:bidi w:val="0"/>
        <w:spacing w:before="0" w:after="0"/>
        <w:ind w:left="0" w:right="0" w:hanging="426"/>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INTELLECTUAL PROPERTY</w:t>
      </w:r>
    </w:p>
    <w:p>
      <w:pPr>
        <w:pStyle w:val="TextBody"/>
        <w:pBdr/>
        <w:bidi w:val="0"/>
        <w:spacing w:before="0" w:after="0"/>
        <w:ind w:left="0" w:right="0" w:hanging="851"/>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During the term of employment, the Employee may have created, discovered and/or developed inventions, creations, works, designs, concepts, data, methods, software, information, brands, etc. (“IP Assets”). Such IP Assets may be protected and/or be protectable by one or more intellectual property rights and/or similar rights, including but not limited to patents, utility models, rights in inventions/creations, design rights, trademark rights, copy rights, rights under marketing practices acts, rights protecting trade secrets, etc. (“IP Rights”). Any and all IP Rights that pertain to IP Assets created during the Employee's employment at the Company are automatically assigned from the Employee to the Company. The Employee acknowledges that the Employee's salary has been negotiated to fully cover such full assignment, and that the Employee therefore is not entitled to any separate renumeration under the Danish Act on Inventions made by Employees.</w:t>
            </w:r>
          </w:p>
        </w:tc>
      </w:tr>
    </w:tbl>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undertakes a perpetual obligation to sign any document as may be deemed necessary or desirable by the Company and/or any group company with a view to obtain registration of IP Rights and/or to enforce IP Rights. The Employee further undertakes a perpetual obligation to provide the Company with information regarding the IP Assets to e.g., enable the Company and/or any group company to apply for or register IP Rights.</w:t>
            </w:r>
          </w:p>
        </w:tc>
      </w:tr>
    </w:tbl>
    <w:p>
      <w:pPr>
        <w:pStyle w:val="TextBody"/>
        <w:bidi w:val="0"/>
        <w:spacing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5.3</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Subject to reimbursement of out-of-pocket costs, the Employee is obligated to assist the Company in prosecuting, defending and enforcing the Company's and/or any group company’s IP Rights. This assistance may encompass activities such as providing information and participating in legal proceedings (e.g.as a witness in litigation). The Employee acknowledges and agrees that this obligation remains in effect perpetually unless explicitly terminated by mutual agreement in writing between the Company and the Employee.</w:t>
            </w:r>
          </w:p>
        </w:tc>
      </w:tr>
    </w:tbl>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5.4</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 has the exclusive right to and is entitled to exploit and dispose of the IP Assets and IP Rights in any way, including but not limited to development, changes, production, reproduction, assignment, sale, licensing, etc. The Company is not obliged to exploit any of the IP Rights.</w:t>
            </w:r>
          </w:p>
        </w:tc>
      </w:tr>
    </w:tbl>
    <w:p>
      <w:pPr>
        <w:pStyle w:val="TextBody"/>
        <w:bidi w:val="0"/>
        <w:spacing w:before="0" w:after="0"/>
        <w:ind w:left="426"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EFFECTS BELONGING TO THE COMPANY</w:t>
      </w:r>
    </w:p>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later than at the Effective Date of Termination, the Employee shall return all effects, including keys/access cards, payment cards, etc. and all other materials which belong to the Company, or which concern the Company’s affairs including handwritten notes (whether in lab notebooks, composition notebooks, or otherwise), and which are kept at the Employee's address or elsewhere. The above applies to all material in a paper-based or electronic form and irrespective of whether the material was prepared by the Employee or others.</w:t>
            </w:r>
          </w:p>
        </w:tc>
      </w:tr>
    </w:tbl>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declares that, after the return as described above, he is not in possession of any other materials, effects, documents (neither originals nor copies irrespective of medium) or any other effects, including electronic or physical copies or versions thereof, that belong to the Company.</w:t>
            </w:r>
          </w:p>
        </w:tc>
      </w:tr>
    </w:tbl>
    <w:p>
      <w:pPr>
        <w:pStyle w:val="TextBody"/>
        <w:pBdr/>
        <w:bidi w:val="0"/>
        <w:spacing w:before="0" w:after="0"/>
        <w:ind w:left="0" w:right="0" w:hanging="426"/>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CONFIDENTIALITY – TRADE SECRETS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is aware of his duties under section 4 of the Danish Trade Secrets Act and potentially also section 3 of the Danish Marketing Practices Act on good marketing practices, according to which the Employee may not bring-along, store, use or share the Company’s confidential information, such as confidential information regarding customers, business methods, know-how or other proprietary information (collectively “Trade Secrets”).</w:t>
            </w:r>
          </w:p>
        </w:tc>
      </w:tr>
    </w:tbl>
    <w:p>
      <w:pPr>
        <w:pStyle w:val="TextBody"/>
        <w:bidi w:val="0"/>
        <w:spacing w:before="0" w:after="0"/>
        <w:ind w:left="42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acknowledges and agrees that he will not bring along, store, use or share any of the Company’s Trade Secrets.</w:t>
            </w:r>
          </w:p>
        </w:tc>
      </w:tr>
    </w:tbl>
    <w:p>
      <w:pPr>
        <w:pStyle w:val="TextBody"/>
        <w:pBdr/>
        <w:bidi w:val="0"/>
        <w:spacing w:before="0" w:after="0"/>
        <w:ind w:left="0" w:right="0" w:hanging="426"/>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DUTY OF PROFESSIONAL SECRECY AND LOYALTY</w:t>
      </w:r>
    </w:p>
    <w:p>
      <w:pPr>
        <w:pStyle w:val="TextBody"/>
        <w:bidi w:val="0"/>
        <w:spacing w:before="0" w:after="0"/>
        <w:ind w:left="720" w:right="0" w:hanging="0"/>
        <w:jc w:val="left"/>
        <w:rPr/>
      </w:pPr>
      <w:r>
        <w:rPr/>
        <w:t>​</w:t>
      </w:r>
    </w:p>
    <w:tbl>
      <w:tblPr>
        <w:tblW w:w="9145" w:type="dxa"/>
        <w:jc w:val="left"/>
        <w:tblInd w:w="0" w:type="dxa"/>
        <w:tblLayout w:type="fixed"/>
        <w:tblCellMar>
          <w:top w:w="0" w:type="dxa"/>
          <w:left w:w="0" w:type="dxa"/>
          <w:bottom w:w="0" w:type="dxa"/>
          <w:right w:w="0" w:type="dxa"/>
        </w:tblCellMar>
      </w:tblPr>
      <w:tblGrid>
        <w:gridCol w:w="275"/>
        <w:gridCol w:w="887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8.1</w:t>
            </w:r>
          </w:p>
        </w:tc>
        <w:tc>
          <w:tcPr>
            <w:tcW w:w="88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Parties agree to keep the content of this Agreement and all matters relating to its conclusion confidential.</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 has been agreed between the Parties that communication about the resignation to the Company’s stakeholders, employees, customers, suppliers, and other working relationships etc. solely will be handled by the Company.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8.3</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Further, the Parties agree that the Employee shall be prohibited from making any contact, whether verbally or in writing to any of the Company's employees. The prohibition does not apply to situations where the Employee's contact to a Company employee is of a private nature.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8.4</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Notwithstanding the resignation, the Employee shall observe his duty of professional secrecy and loyalty towards the Company.</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FULL AND FINAL SETTLEMENT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9.1</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terms and payments stipulated in the Agreement are in full discharge of any claims and rights that the Employee may have against the Company and the Company's employees. The discharge include any claims for the Employee under the employment relationship, another agreement, legislation or otherwise in relation to the Employee's employment with the Company and the expiry of the employment, including without limitation, claims for salary, pension, other pay elements and claims under the Act on Salaried Employees (“Funktionærloven”), the Act on Holiday with Pay (Ferieloven), the Employment Certificate Act (Ansættelsesbevisloven) and the Act on Discrimination (“Forskelsbehandlingsloven”).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9.2</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Notwithstanding anything to the contrary herein, the Parties acknowledge that should circumstances apply, nothing herein releases Employee from potential liability under the Company’s Claw back Policies and that the terms of any claw back provisions of applicable laws and regulations applicable to the Company would still apply to Employee.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9.3</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Employee declares that he has been able to consider the terms of the Agreement thoroughly and seek legal advice thereon before the conclusion of the Agreement.</w:t>
            </w:r>
          </w:p>
        </w:tc>
      </w:tr>
    </w:tbl>
    <w:p>
      <w:pPr>
        <w:pStyle w:val="TextBody"/>
        <w:bidi w:val="0"/>
        <w:spacing w:before="0" w:after="0"/>
        <w:ind w:left="720" w:right="0" w:hanging="0"/>
        <w:jc w:val="left"/>
        <w:rPr/>
      </w:pPr>
      <w:r>
        <w:rPr/>
        <w:t>​</w:t>
      </w:r>
    </w:p>
    <w:tbl>
      <w:tblPr>
        <w:tblW w:w="7780" w:type="dxa"/>
        <w:jc w:val="left"/>
        <w:tblInd w:w="0" w:type="dxa"/>
        <w:tblLayout w:type="fixed"/>
        <w:tblCellMar>
          <w:top w:w="0" w:type="dxa"/>
          <w:left w:w="0" w:type="dxa"/>
          <w:bottom w:w="0" w:type="dxa"/>
          <w:right w:w="0" w:type="dxa"/>
        </w:tblCellMar>
      </w:tblPr>
      <w:tblGrid>
        <w:gridCol w:w="275"/>
        <w:gridCol w:w="750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9.4</w:t>
            </w:r>
          </w:p>
        </w:tc>
        <w:tc>
          <w:tcPr>
            <w:tcW w:w="75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Agreement shall be governed by and construed in accordance with the laws of Denmark.</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9.5</w:t>
            </w:r>
          </w:p>
        </w:tc>
        <w:tc>
          <w:tcPr>
            <w:tcW w:w="99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This Agreement will expire in its entirety and without prejudice if not signed by the Employee and returned to the Company </w:t>
            </w:r>
            <w:r>
              <w:rPr>
                <w:rFonts w:ascii="Times New Roman;Times;serif" w:hAnsi="Times New Roman;Times;serif"/>
                <w:sz w:val="20"/>
                <w:u w:val="single"/>
              </w:rPr>
              <w:t>before 4pm on Thursday March 21, 2024</w:t>
            </w:r>
            <w:r>
              <w:rPr>
                <w:rFonts w:ascii="Times New Roman;Times;serif" w:hAnsi="Times New Roman;Times;serif"/>
                <w:sz w:val="20"/>
              </w:rPr>
              <w:t>.</w:t>
            </w:r>
          </w:p>
        </w:tc>
      </w:tr>
    </w:tbl>
    <w:p>
      <w:pPr>
        <w:pStyle w:val="TextBody"/>
        <w:pBdr/>
        <w:bidi w:val="0"/>
        <w:spacing w:before="0" w:after="0"/>
        <w:ind w:left="0" w:right="0" w:hanging="426"/>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9.6</w:t>
            </w:r>
          </w:p>
        </w:tc>
        <w:tc>
          <w:tcPr>
            <w:tcW w:w="39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Agreement is signed digitally via DocuSign.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82" w:type="dxa"/>
        <w:jc w:val="center"/>
        <w:tblInd w:w="0" w:type="dxa"/>
        <w:tblLayout w:type="fixed"/>
        <w:tblCellMar>
          <w:top w:w="0" w:type="dxa"/>
          <w:left w:w="0" w:type="dxa"/>
          <w:bottom w:w="0" w:type="dxa"/>
          <w:right w:w="0" w:type="dxa"/>
        </w:tblCellMar>
      </w:tblPr>
      <w:tblGrid>
        <w:gridCol w:w="571"/>
        <w:gridCol w:w="3211"/>
      </w:tblGrid>
      <w:tr>
        <w:trPr/>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Steen Lisby</w:t>
            </w:r>
          </w:p>
        </w:tc>
      </w:tr>
      <w:tr>
        <w:trPr/>
        <w:tc>
          <w:tcPr>
            <w:tcW w:w="571" w:type="dxa"/>
            <w:tcBorders/>
            <w:vAlign w:val="center"/>
          </w:tcPr>
          <w:p>
            <w:pPr>
              <w:pStyle w:val="TableContents"/>
              <w:bidi w:val="0"/>
              <w:spacing w:before="0" w:after="0"/>
              <w:ind w:left="0" w:right="0" w:hanging="0"/>
              <w:jc w:val="righ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Scientific Officer</w:t>
            </w:r>
          </w:p>
        </w:tc>
      </w:tr>
      <w:tr>
        <w:trPr/>
        <w:tc>
          <w:tcPr>
            <w:tcW w:w="571" w:type="dxa"/>
            <w:tcBorders/>
            <w:vAlign w:val="center"/>
          </w:tcPr>
          <w:p>
            <w:pPr>
              <w:pStyle w:val="TableContents"/>
              <w:bidi w:val="0"/>
              <w:spacing w:before="0" w:after="0"/>
              <w:ind w:left="0" w:right="0" w:hanging="0"/>
              <w:jc w:val="righ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Date: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21, 2024</w:t>
            </w:r>
          </w:p>
        </w:tc>
      </w:tr>
      <w:tr>
        <w:trPr/>
        <w:tc>
          <w:tcPr>
            <w:tcW w:w="571" w:type="dxa"/>
            <w:tcBorders/>
            <w:vAlign w:val="center"/>
          </w:tcPr>
          <w:p>
            <w:pPr>
              <w:pStyle w:val="TableContents"/>
              <w:bidi w:val="0"/>
              <w:spacing w:before="0" w:after="0"/>
              <w:ind w:left="0" w:right="0" w:hanging="0"/>
              <w:jc w:val="center"/>
              <w:rPr/>
            </w:pPr>
            <w:r>
              <w:rPr/>
              <w:t>​</w:t>
            </w:r>
          </w:p>
        </w:tc>
        <w:tc>
          <w:tcPr>
            <w:tcW w:w="3211" w:type="dxa"/>
            <w:tcBorders/>
            <w:vAlign w:val="center"/>
          </w:tcPr>
          <w:p>
            <w:pPr>
              <w:pStyle w:val="TableContents"/>
              <w:bidi w:val="0"/>
              <w:spacing w:before="0" w:after="0"/>
              <w:ind w:left="0" w:right="0" w:hanging="0"/>
              <w:jc w:val="center"/>
              <w:rPr/>
            </w:pPr>
            <w:r>
              <w:rPr/>
              <w:t>​</w:t>
            </w:r>
          </w:p>
        </w:tc>
      </w:tr>
      <w:tr>
        <w:trPr/>
        <w:tc>
          <w:tcPr>
            <w:tcW w:w="571" w:type="dxa"/>
            <w:tcBorders/>
            <w:vAlign w:val="center"/>
          </w:tcPr>
          <w:p>
            <w:pPr>
              <w:pStyle w:val="TableContents"/>
              <w:bidi w:val="0"/>
              <w:spacing w:before="0" w:after="0"/>
              <w:ind w:left="0" w:right="0" w:hanging="0"/>
              <w:jc w:val="center"/>
              <w:rPr/>
            </w:pPr>
            <w:r>
              <w:rPr/>
              <w:t>​</w:t>
            </w:r>
          </w:p>
        </w:tc>
        <w:tc>
          <w:tcPr>
            <w:tcW w:w="3211" w:type="dxa"/>
            <w:tcBorders/>
            <w:vAlign w:val="center"/>
          </w:tcPr>
          <w:p>
            <w:pPr>
              <w:pStyle w:val="TableContents"/>
              <w:bidi w:val="0"/>
              <w:spacing w:before="0" w:after="0"/>
              <w:ind w:left="0" w:right="0" w:hanging="0"/>
              <w:jc w:val="center"/>
              <w:rPr/>
            </w:pPr>
            <w:r>
              <w:rPr/>
              <w:t>​</w:t>
            </w:r>
          </w:p>
        </w:tc>
      </w:tr>
      <w:tr>
        <w:trPr/>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571" w:type="dxa"/>
            <w:tcBorders/>
            <w:vAlign w:val="center"/>
          </w:tcPr>
          <w:p>
            <w:pPr>
              <w:pStyle w:val="TableContents"/>
              <w:bidi w:val="0"/>
              <w:spacing w:before="0" w:after="0"/>
              <w:ind w:left="0" w:right="0" w:hanging="0"/>
              <w:jc w:val="righ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571" w:type="dxa"/>
            <w:tcBorders/>
            <w:vAlign w:val="center"/>
          </w:tcPr>
          <w:p>
            <w:pPr>
              <w:pStyle w:val="TableContents"/>
              <w:bidi w:val="0"/>
              <w:spacing w:before="0" w:after="0"/>
              <w:ind w:left="0" w:right="0" w:hanging="0"/>
              <w:jc w:val="righ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Date: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21, 2024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49" w:right="0" w:hanging="0"/>
        <w:jc w:val="right"/>
        <w:rPr>
          <w:rFonts w:ascii="Times New Roman;Times;serif" w:hAnsi="Times New Roman;Times;serif"/>
          <w:b/>
          <w:sz w:val="20"/>
        </w:rPr>
      </w:pPr>
      <w:bookmarkStart w:id="894" w:name="ymab-20240331xex10d4.htm"/>
      <w:bookmarkStart w:id="895" w:name="ksymab20240331xex10d4"/>
      <w:bookmarkEnd w:id="894"/>
      <w:bookmarkEnd w:id="895"/>
      <w:r>
        <w:rPr>
          <w:rFonts w:ascii="Times New Roman;Times;serif" w:hAnsi="Times New Roman;Times;serif"/>
          <w:b/>
          <w:sz w:val="20"/>
        </w:rPr>
        <w:t>Exhibit 10.4</w:t>
      </w:r>
      <w:r>
        <w:br w:type="page"/>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Y-MABS 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NON-EMPLOYEE DIRECTOR COMPENSATION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(the “</w:t>
      </w:r>
      <w:r>
        <w:rPr>
          <w:rFonts w:ascii="Times New Roman;Times;serif" w:hAnsi="Times New Roman;Times;serif"/>
          <w:sz w:val="20"/>
          <w:u w:val="single"/>
        </w:rPr>
        <w:t>Board</w:t>
      </w:r>
      <w:r>
        <w:rPr>
          <w:rFonts w:ascii="Times New Roman;Times;serif" w:hAnsi="Times New Roman;Times;serif"/>
          <w:sz w:val="20"/>
        </w:rPr>
        <w:t>”) of Y-mAbs Therapeutics, Inc. (the “</w:t>
      </w:r>
      <w:r>
        <w:rPr>
          <w:rFonts w:ascii="Times New Roman;Times;serif" w:hAnsi="Times New Roman;Times;serif"/>
          <w:sz w:val="20"/>
          <w:u w:val="single"/>
        </w:rPr>
        <w:t>Company</w:t>
      </w:r>
      <w:r>
        <w:rPr>
          <w:rFonts w:ascii="Times New Roman;Times;serif" w:hAnsi="Times New Roman;Times;serif"/>
          <w:sz w:val="20"/>
        </w:rPr>
        <w:t>”) has approved the following Amended and Restated Non-Employee Director Compensation Policy (the “</w:t>
      </w:r>
      <w:r>
        <w:rPr>
          <w:rFonts w:ascii="Times New Roman;Times;serif" w:hAnsi="Times New Roman;Times;serif"/>
          <w:sz w:val="20"/>
          <w:u w:val="single"/>
        </w:rPr>
        <w:t>Policy</w:t>
      </w:r>
      <w:r>
        <w:rPr>
          <w:rFonts w:ascii="Times New Roman;Times;serif" w:hAnsi="Times New Roman;Times;serif"/>
          <w:sz w:val="20"/>
        </w:rPr>
        <w:t>”), which establishes compensation to be paid to Non-Employee Directors (as defined below) of the Company, as an inducement to obtain and retain the services of qualified persons to serve as members of the Board. This Policy, as hereby amended and restated, is effective as of April [•], 2024 (the “</w:t>
      </w:r>
      <w:r>
        <w:rPr>
          <w:rFonts w:ascii="Times New Roman;Times;serif" w:hAnsi="Times New Roman;Times;serif"/>
          <w:sz w:val="20"/>
          <w:u w:val="single"/>
        </w:rPr>
        <w:t>Effective Date</w:t>
      </w:r>
      <w:r>
        <w:rPr>
          <w:rFonts w:ascii="Times New Roman;Times;serif" w:hAnsi="Times New Roman;Times;serif"/>
          <w:sz w:val="20"/>
        </w:rPr>
        <w:t>”) and replaces and supersedes any and all compensation policies or programs previously established or maintained by the Company with respect to Non- Employee Directors; provided, however, that any equity awards outstanding on the Effective Date shall not be affected by this Policy and shall continue to be governed by the applicable terms set forth in the Company’s amended and restated 2015 Equity Incentive Plan or the Company’s 2018 Equity Incentive Plan (each a “</w:t>
      </w:r>
      <w:r>
        <w:rPr>
          <w:rFonts w:ascii="Times New Roman;Times;serif" w:hAnsi="Times New Roman;Times;serif"/>
          <w:sz w:val="20"/>
          <w:u w:val="single"/>
        </w:rPr>
        <w:t>Plan</w:t>
      </w:r>
      <w:r>
        <w:rPr>
          <w:rFonts w:ascii="Times New Roman;Times;serif" w:hAnsi="Times New Roman;Times;serif"/>
          <w:sz w:val="20"/>
        </w:rPr>
        <w:t>”) and in the applicable grant agreements relating to such awards.</w:t>
      </w:r>
    </w:p>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16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Applicable Persons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Policy shall apply to each director of the Company who is not also an employee of the Company or any Affiliate (each, a “</w:t>
      </w:r>
      <w:r>
        <w:rPr>
          <w:rFonts w:ascii="Times New Roman;Times;serif" w:hAnsi="Times New Roman;Times;serif"/>
          <w:sz w:val="20"/>
          <w:u w:val="single"/>
        </w:rPr>
        <w:t>Non-Employee Director</w:t>
      </w:r>
      <w:r>
        <w:rPr>
          <w:rFonts w:ascii="Times New Roman;Times;serif" w:hAnsi="Times New Roman;Times;serif"/>
          <w:sz w:val="20"/>
        </w:rPr>
        <w:t>”). “</w:t>
      </w:r>
      <w:r>
        <w:rPr>
          <w:rFonts w:ascii="Times New Roman;Times;serif" w:hAnsi="Times New Roman;Times;serif"/>
          <w:sz w:val="20"/>
          <w:u w:val="single"/>
        </w:rPr>
        <w:t>Affiliate</w:t>
      </w:r>
      <w:r>
        <w:rPr>
          <w:rFonts w:ascii="Times New Roman;Times;serif" w:hAnsi="Times New Roman;Times;serif"/>
          <w:sz w:val="20"/>
        </w:rPr>
        <w:t>” shall mean an entity which is a direct or indirect parent or subsidiary of the Company, as determined pursuant to Section 424 of the Internal Revenue Code of 1986, as amended.</w:t>
      </w:r>
    </w:p>
    <w:tbl>
      <w:tblPr>
        <w:tblW w:w="1390" w:type="dxa"/>
        <w:jc w:val="left"/>
        <w:tblInd w:w="0" w:type="dxa"/>
        <w:tblLayout w:type="fixed"/>
        <w:tblCellMar>
          <w:top w:w="0" w:type="dxa"/>
          <w:left w:w="0" w:type="dxa"/>
          <w:bottom w:w="0" w:type="dxa"/>
          <w:right w:w="0" w:type="dxa"/>
        </w:tblCellMar>
      </w:tblPr>
      <w:tblGrid>
        <w:gridCol w:w="170"/>
        <w:gridCol w:w="122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2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Equity Grants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share amounts set forth herein shall be subject to automatic adjustment in the event of any stock split or other recapitalization affecting the Company’s common stock, par value $0.0001 per share (the “</w:t>
      </w:r>
      <w:r>
        <w:rPr>
          <w:rFonts w:ascii="Times New Roman;Times;serif" w:hAnsi="Times New Roman;Times;serif"/>
          <w:sz w:val="20"/>
          <w:u w:val="single"/>
        </w:rPr>
        <w:t>Common Stock</w:t>
      </w:r>
      <w:r>
        <w:rPr>
          <w:rFonts w:ascii="Times New Roman;Times;serif" w:hAnsi="Times New Roman;Times;serif"/>
          <w:sz w:val="20"/>
        </w:rPr>
        <w:t>”).</w:t>
      </w:r>
    </w:p>
    <w:tbl>
      <w:tblPr>
        <w:tblW w:w="2043" w:type="dxa"/>
        <w:jc w:val="left"/>
        <w:tblInd w:w="0" w:type="dxa"/>
        <w:tblLayout w:type="fixed"/>
        <w:tblCellMar>
          <w:top w:w="0" w:type="dxa"/>
          <w:left w:w="0" w:type="dxa"/>
          <w:bottom w:w="0" w:type="dxa"/>
          <w:right w:w="0" w:type="dxa"/>
        </w:tblCellMar>
      </w:tblPr>
      <w:tblGrid>
        <w:gridCol w:w="23"/>
        <w:gridCol w:w="23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79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Annual Equity Grants</w:t>
            </w:r>
          </w:p>
        </w:tc>
      </w:tr>
    </w:tbl>
    <w:p>
      <w:pPr>
        <w:pStyle w:val="TextBody"/>
        <w:bidi w:val="0"/>
        <w:spacing w:before="0" w:after="240"/>
        <w:ind w:left="0" w:right="0" w:firstLine="719"/>
        <w:jc w:val="left"/>
        <w:rPr>
          <w:rFonts w:ascii="Times New Roman;Times;serif" w:hAnsi="Times New Roman;Times;serif"/>
          <w:sz w:val="20"/>
        </w:rPr>
      </w:pPr>
      <w:r>
        <w:rPr>
          <w:rFonts w:ascii="Times New Roman;Times;serif" w:hAnsi="Times New Roman;Times;serif"/>
          <w:sz w:val="20"/>
        </w:rPr>
        <w:t>Without any further action of the Board or the compensation committee of the Board (the “</w:t>
      </w:r>
      <w:r>
        <w:rPr>
          <w:rFonts w:ascii="Times New Roman;Times;serif" w:hAnsi="Times New Roman;Times;serif"/>
          <w:sz w:val="20"/>
          <w:u w:val="single"/>
        </w:rPr>
        <w:t>Compensation Committee</w:t>
      </w:r>
      <w:r>
        <w:rPr>
          <w:rFonts w:ascii="Times New Roman;Times;serif" w:hAnsi="Times New Roman;Times;serif"/>
          <w:sz w:val="20"/>
        </w:rPr>
        <w:t>”), each year, at the earlier of the close of business of (i) each annual meeting of the Company’s stockholders following the Effective Date (an “</w:t>
      </w:r>
      <w:r>
        <w:rPr>
          <w:rFonts w:ascii="Times New Roman;Times;serif" w:hAnsi="Times New Roman;Times;serif"/>
          <w:sz w:val="20"/>
          <w:u w:val="single"/>
        </w:rPr>
        <w:t>Annual Meeting</w:t>
      </w:r>
      <w:r>
        <w:rPr>
          <w:rFonts w:ascii="Times New Roman;Times;serif" w:hAnsi="Times New Roman;Times;serif"/>
          <w:sz w:val="20"/>
        </w:rPr>
        <w:t>”), or (ii) if the Annual Meeting for a given year has not yet occurred by such date, June 30 (or the next trading day immediately thereafter, if such date falls on a non- trading day), each Non-Employee Director shall automatically be granted (1) a non-qualified stock option with an aggregate grant date fair value equal to $127,500 (the “</w:t>
      </w:r>
      <w:r>
        <w:rPr>
          <w:rFonts w:ascii="Times New Roman;Times;serif" w:hAnsi="Times New Roman;Times;serif"/>
          <w:sz w:val="20"/>
          <w:u w:val="single"/>
        </w:rPr>
        <w:t>Annual Option Grant</w:t>
      </w:r>
      <w:r>
        <w:rPr>
          <w:rFonts w:ascii="Times New Roman;Times;serif" w:hAnsi="Times New Roman;Times;serif"/>
          <w:sz w:val="20"/>
        </w:rPr>
        <w:t>”); and (2) restricted stock units (“</w:t>
      </w:r>
      <w:r>
        <w:rPr>
          <w:rFonts w:ascii="Times New Roman;Times;serif" w:hAnsi="Times New Roman;Times;serif"/>
          <w:sz w:val="20"/>
          <w:u w:val="single"/>
        </w:rPr>
        <w:t>RSUs</w:t>
      </w:r>
      <w:r>
        <w:rPr>
          <w:rFonts w:ascii="Times New Roman;Times;serif" w:hAnsi="Times New Roman;Times;serif"/>
          <w:sz w:val="20"/>
        </w:rPr>
        <w:t>”) with an aggregate grant date fair value equal to $42,500 (the “</w:t>
      </w:r>
      <w:r>
        <w:rPr>
          <w:rFonts w:ascii="Times New Roman;Times;serif" w:hAnsi="Times New Roman;Times;serif"/>
          <w:sz w:val="20"/>
          <w:u w:val="single"/>
        </w:rPr>
        <w:t>Annual RSU Grant</w:t>
      </w:r>
      <w:r>
        <w:rPr>
          <w:rFonts w:ascii="Times New Roman;Times;serif" w:hAnsi="Times New Roman;Times;serif"/>
          <w:sz w:val="20"/>
        </w:rPr>
        <w:t>”). Subject to the continued service of each Non-Employee Director through each applicable vesting date, each Annual Option Grant shall vest in equal monthly installments until the first anniversary of the date of grant, and each Annual RSU Grant shall vest in full on the earlier of the first anniversary of the date of grant or the date immediately preceding the date of the following Annual Meeting.</w:t>
      </w:r>
    </w:p>
    <w:tbl>
      <w:tblPr>
        <w:tblW w:w="5403" w:type="dxa"/>
        <w:jc w:val="left"/>
        <w:tblInd w:w="0" w:type="dxa"/>
        <w:tblLayout w:type="fixed"/>
        <w:tblCellMar>
          <w:top w:w="0" w:type="dxa"/>
          <w:left w:w="0" w:type="dxa"/>
          <w:bottom w:w="0" w:type="dxa"/>
          <w:right w:w="0" w:type="dxa"/>
        </w:tblCellMar>
      </w:tblPr>
      <w:tblGrid>
        <w:gridCol w:w="23"/>
        <w:gridCol w:w="245"/>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513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Initial Equity Grants For Newly Appointed or Elected Directors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 respect to any Non-Employee Director who is first appointed or elected to the Board after the Effective Date, without any further action of the Board or the Compensation Committee, on the date on which such new Non-Employee Director commences service in such position pursuant to his or her initial appointment or election to the Board (or, if the date of such commencement of service is not a trading day, the first trading day following the date of such commencement of service), each such new Non-Employee Director shall be granted (1) a non-qualified stock option with an aggregate grant date fair value equal to $255,000 (the “</w:t>
      </w:r>
      <w:r>
        <w:rPr>
          <w:rFonts w:ascii="Times New Roman;Times;serif" w:hAnsi="Times New Roman;Times;serif"/>
          <w:sz w:val="20"/>
          <w:u w:val="single"/>
        </w:rPr>
        <w:t>Initial Option Grant</w:t>
      </w:r>
      <w:r>
        <w:rPr>
          <w:rFonts w:ascii="Times New Roman;Times;serif" w:hAnsi="Times New Roman;Times;serif"/>
          <w:sz w:val="20"/>
        </w:rPr>
        <w:t>”); and (2) RSUs with an aggregate grant date fair value equal to $85,000 (the “</w:t>
      </w:r>
      <w:r>
        <w:rPr>
          <w:rFonts w:ascii="Times New Roman;Times;serif" w:hAnsi="Times New Roman;Times;serif"/>
          <w:sz w:val="20"/>
          <w:u w:val="single"/>
        </w:rPr>
        <w:t>Initial RSU Grant</w:t>
      </w:r>
      <w:r>
        <w:rPr>
          <w:rFonts w:ascii="Times New Roman;Times;serif" w:hAnsi="Times New Roman;Times;serif"/>
          <w:sz w:val="20"/>
        </w:rPr>
        <w:t>”). Subject to the continued service of each Non-Employee Director through each applicable vesting date, each Initial Option Grant shall vest in equal monthly installments until the third anniversary of the date of grant, and each Initial RSU Grant shall vest in equal quarterly installments (i.e., every three months on the same day of the month as the date of grant) until the third anniversary of the date of grant.</w:t>
      </w:r>
    </w:p>
    <w:tbl>
      <w:tblPr>
        <w:tblW w:w="2508" w:type="dxa"/>
        <w:jc w:val="left"/>
        <w:tblInd w:w="0" w:type="dxa"/>
        <w:tblLayout w:type="fixed"/>
        <w:tblCellMar>
          <w:top w:w="0" w:type="dxa"/>
          <w:left w:w="0" w:type="dxa"/>
          <w:bottom w:w="0" w:type="dxa"/>
          <w:right w:w="0" w:type="dxa"/>
        </w:tblCellMar>
      </w:tblPr>
      <w:tblGrid>
        <w:gridCol w:w="23"/>
        <w:gridCol w:w="23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Terms for All Equity Grants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options granted under this Policy shall (i) have an exercise price equal to the fair market value of the Company’s Common Stock as determined in the applicable Plan on the date of grant; (ii) terminate on the tenth anniversary of the date of grant and (iii) contain such other terms and conditions as set forth in the form of option agreement approved by the Board or the Compensation Committee. All RSUs granted under this Policy shall contain such other terms and conditions as set forth in the form of RSU agreement approved by the Board or the Compensation Committee. The number of shares of Common Stock subject to an option granted under this Policy will be determined based on a Black Scholes model calculated using the average closing price per share of Common Stock over the 30-calendar day period immediately preceding the grant date. The number of shares of Common Stock subject to RSUs granted under this Policy will be determined based on the average closing price per share of Common Stock for the 30-calendar day period immediately preceding the grant date.</w:t>
      </w:r>
    </w:p>
    <w:tbl>
      <w:tblPr>
        <w:tblW w:w="1225" w:type="dxa"/>
        <w:jc w:val="left"/>
        <w:tblInd w:w="0" w:type="dxa"/>
        <w:tblLayout w:type="fixed"/>
        <w:tblCellMar>
          <w:top w:w="0" w:type="dxa"/>
          <w:left w:w="0" w:type="dxa"/>
          <w:bottom w:w="0" w:type="dxa"/>
          <w:right w:w="0" w:type="dxa"/>
        </w:tblCellMar>
      </w:tblPr>
      <w:tblGrid>
        <w:gridCol w:w="170"/>
        <w:gridCol w:w="105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0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Annual Fees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Non-Employee Director serving on the Board and the Company’s duly appointed audit committee of the Board (the “</w:t>
      </w:r>
      <w:r>
        <w:rPr>
          <w:rFonts w:ascii="Times New Roman;Times;serif" w:hAnsi="Times New Roman;Times;serif"/>
          <w:sz w:val="20"/>
          <w:u w:val="single"/>
        </w:rPr>
        <w:t>Audit Committee</w:t>
      </w:r>
      <w:r>
        <w:rPr>
          <w:rFonts w:ascii="Times New Roman;Times;serif" w:hAnsi="Times New Roman;Times;serif"/>
          <w:sz w:val="20"/>
        </w:rPr>
        <w:t>”), the Compensation Committee and/or duly appointed nominating and corporate governance committee of the Board (the “</w:t>
      </w:r>
      <w:r>
        <w:rPr>
          <w:rFonts w:ascii="Times New Roman;Times;serif" w:hAnsi="Times New Roman;Times;serif"/>
          <w:sz w:val="20"/>
          <w:u w:val="single"/>
        </w:rPr>
        <w:t>Nominating and Corporate Governance Committee</w:t>
      </w:r>
      <w:r>
        <w:rPr>
          <w:rFonts w:ascii="Times New Roman;Times;serif" w:hAnsi="Times New Roman;Times;serif"/>
          <w:sz w:val="20"/>
        </w:rPr>
        <w:t>”), as applicable, shall be entitled to the following annual amounts (the “</w:t>
      </w:r>
      <w:r>
        <w:rPr>
          <w:rFonts w:ascii="Times New Roman;Times;serif" w:hAnsi="Times New Roman;Times;serif"/>
          <w:sz w:val="20"/>
          <w:u w:val="single"/>
        </w:rPr>
        <w:t>Annual Fees</w:t>
      </w:r>
      <w:r>
        <w:rPr>
          <w:rFonts w:ascii="Times New Roman;Times;serif" w:hAnsi="Times New Roman;Times;serif"/>
          <w:sz w:val="20"/>
        </w:rPr>
        <w:t>”):</w:t>
      </w:r>
    </w:p>
    <w:tbl>
      <w:tblPr>
        <w:tblW w:w="7667" w:type="dxa"/>
        <w:jc w:val="center"/>
        <w:tblInd w:w="0" w:type="dxa"/>
        <w:tblLayout w:type="fixed"/>
        <w:tblCellMar>
          <w:top w:w="28" w:type="dxa"/>
          <w:left w:w="28" w:type="dxa"/>
          <w:bottom w:w="28" w:type="dxa"/>
          <w:right w:w="0" w:type="dxa"/>
        </w:tblCellMar>
      </w:tblPr>
      <w:tblGrid>
        <w:gridCol w:w="3631"/>
        <w:gridCol w:w="206"/>
        <w:gridCol w:w="206"/>
        <w:gridCol w:w="357"/>
        <w:gridCol w:w="1144"/>
        <w:gridCol w:w="206"/>
        <w:gridCol w:w="206"/>
        <w:gridCol w:w="295"/>
        <w:gridCol w:w="1416"/>
      </w:tblGrid>
      <w:tr>
        <w:trPr/>
        <w:tc>
          <w:tcPr>
            <w:tcW w:w="36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bookmarkStart w:id="896" w:name="_Hlk165415610"/>
            <w:bookmarkEnd w:id="896"/>
            <w:r>
              <w:rPr>
                <w:rFonts w:ascii="Times New Roman;Times;serif" w:hAnsi="Times New Roman;Times;serif"/>
                <w:b/>
                <w:sz w:val="20"/>
              </w:rPr>
              <w:t>Board of Directors and Board Committee</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  </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501"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 Retainer</w:t>
              <w:br/>
              <w:t>Amount for</w:t>
              <w:br/>
              <w:t>Member</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  </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711" w:type="dxa"/>
            <w:gridSpan w:val="2"/>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 Annual</w:t>
              <w:br/>
              <w:t>Retainer Amount</w:t>
              <w:br/>
              <w:t>for Chair</w:t>
            </w:r>
          </w:p>
        </w:tc>
      </w:tr>
      <w:tr>
        <w:trPr/>
        <w:tc>
          <w:tcPr>
            <w:tcW w:w="36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Member</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35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36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35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6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35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6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Governance Committee</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357"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20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pPr>
            <w:r>
              <w:rPr/>
              <w:t>​</w:t>
            </w:r>
          </w:p>
        </w:tc>
        <w:tc>
          <w:tcPr>
            <w:tcW w:w="206"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288" w:hanging="0"/>
              <w:jc w:val="right"/>
              <w:rPr>
                <w:rFonts w:ascii="Times New Roman;Times;serif" w:hAnsi="Times New Roman;Times;serif"/>
                <w:sz w:val="20"/>
              </w:rPr>
            </w:pPr>
            <w:r>
              <w:rPr>
                <w:rFonts w:ascii="Times New Roman;Times;serif" w:hAnsi="Times New Roman;Times;serif"/>
                <w:sz w:val="20"/>
              </w:rPr>
              <w:t>10,000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as otherwise set forth in this Policy, all Annual Fees shall be paid for the period from January 1 through December 31 of each year. Such Annual Fees shall be paid in cash. Amounts payable to Non-Employee Directors shall be made quarterly in arrears promptly following the end of each fiscal quarter, provided that (i) the amount of such payment shall be prorated for any portion of such quarter that such director was not serving on the Board or a committee and (ii) no fee shall be payable in respect of any period prior to the date such director was elected to the Board or a committee.</w:t>
      </w:r>
    </w:p>
    <w:tbl>
      <w:tblPr>
        <w:tblW w:w="970" w:type="dxa"/>
        <w:jc w:val="left"/>
        <w:tblInd w:w="0" w:type="dxa"/>
        <w:tblLayout w:type="fixed"/>
        <w:tblCellMar>
          <w:top w:w="0" w:type="dxa"/>
          <w:left w:w="0" w:type="dxa"/>
          <w:bottom w:w="0" w:type="dxa"/>
          <w:right w:w="0" w:type="dxa"/>
        </w:tblCellMar>
      </w:tblPr>
      <w:tblGrid>
        <w:gridCol w:w="170"/>
        <w:gridCol w:w="80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8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Expenses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presentation of documentation of such expenses reasonably satisfactory to the Company, each Non- Employee Director shall be reimbursed for his or her reasonable out-of-pocket business expenses incurred in connection with attending meetings of the Board and committees thereof or in connection with other business related to the Board.</w:t>
      </w:r>
    </w:p>
    <w:tbl>
      <w:tblPr>
        <w:tblW w:w="1285" w:type="dxa"/>
        <w:jc w:val="left"/>
        <w:tblInd w:w="0" w:type="dxa"/>
        <w:tblLayout w:type="fixed"/>
        <w:tblCellMar>
          <w:top w:w="0" w:type="dxa"/>
          <w:left w:w="0" w:type="dxa"/>
          <w:bottom w:w="0" w:type="dxa"/>
          <w:right w:w="0" w:type="dxa"/>
        </w:tblCellMar>
      </w:tblPr>
      <w:tblGrid>
        <w:gridCol w:w="170"/>
        <w:gridCol w:w="111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shall periodically review this Policy to assess whether any amendments in the type and amount of compensation provided herein should be made and shall make recommendations to the Board for its approval of any amendments to this Policy. Notwithstanding anything herein to the contrary, the equity and cash retainer amounts set forth in this Policy are subject to periodic review and modification by the Compensation Committee and the limit on non-employee director compensation set forth in Section 5.5 of the Company’s 2018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Adopted April [●], 2024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7" w:name="ymab-20240331xex31d1.htm"/>
      <w:bookmarkStart w:id="898" w:name="ksymab20240331xex31d1"/>
      <w:bookmarkEnd w:id="897"/>
      <w:bookmarkEnd w:id="898"/>
      <w:r>
        <w:rPr>
          <w:rFonts w:ascii="Times New Roman;Times;serif" w:hAnsi="Times New Roman;Times;serif"/>
          <w:b/>
          <w:sz w:val="20"/>
        </w:rPr>
        <w:t>Exhibit 31.1</w:t>
      </w:r>
      <w:r>
        <w:br w:type="page"/>
      </w:r>
    </w:p>
    <w:p>
      <w:pPr>
        <w:pStyle w:val="TextBody"/>
        <w:bidi w:val="0"/>
        <w:spacing w:before="0" w:after="2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br/>
        <w:t>PURSUANT TO SECTION 302 OF THE SARBANES-OXLEY ACT OF 2002</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I, Michael Rossi certify that: </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Y-mAbs Therapeutics,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779" w:type="dxa"/>
        <w:jc w:val="center"/>
        <w:tblInd w:w="0" w:type="dxa"/>
        <w:tblLayout w:type="fixed"/>
        <w:tblCellMar>
          <w:top w:w="0" w:type="dxa"/>
          <w:left w:w="0" w:type="dxa"/>
          <w:bottom w:w="0" w:type="dxa"/>
          <w:right w:w="0" w:type="dxa"/>
        </w:tblCellMar>
      </w:tblPr>
      <w:tblGrid>
        <w:gridCol w:w="1786"/>
        <w:gridCol w:w="406"/>
        <w:gridCol w:w="631"/>
        <w:gridCol w:w="2956"/>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956"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Chief Executive Officer </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99" w:name="ymab-20240331xex31d2.htm"/>
      <w:bookmarkStart w:id="900" w:name="ksymab20240331xex31d2"/>
      <w:bookmarkEnd w:id="899"/>
      <w:bookmarkEnd w:id="90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b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Bo Kruse, certify that: </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Y-mAbs Therapeutics,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964" w:type="dxa"/>
        <w:jc w:val="center"/>
        <w:tblInd w:w="0" w:type="dxa"/>
        <w:tblLayout w:type="fixed"/>
        <w:tblCellMar>
          <w:top w:w="0" w:type="dxa"/>
          <w:left w:w="0" w:type="dxa"/>
          <w:bottom w:w="0" w:type="dxa"/>
          <w:right w:w="0" w:type="dxa"/>
        </w:tblCellMar>
      </w:tblPr>
      <w:tblGrid>
        <w:gridCol w:w="1786"/>
        <w:gridCol w:w="406"/>
        <w:gridCol w:w="631"/>
        <w:gridCol w:w="4141"/>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7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901" w:name="ymab-20240331xex32d1.htm"/>
      <w:bookmarkStart w:id="902" w:name="ksymab20240331xex32d1"/>
      <w:bookmarkEnd w:id="901"/>
      <w:bookmarkEnd w:id="902"/>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Y-mAbs Therapeutics, Inc. (the “Company”) hereby certifies, to his knowledge, that: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fiscal quarter ended March 31, 2024 (the “Report”) fully complies with the requirements of Section 13(a) or Section 15(d), as applicable,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779" w:type="dxa"/>
        <w:jc w:val="center"/>
        <w:tblInd w:w="0" w:type="dxa"/>
        <w:tblLayout w:type="fixed"/>
        <w:tblCellMar>
          <w:top w:w="0" w:type="dxa"/>
          <w:left w:w="0" w:type="dxa"/>
          <w:bottom w:w="0" w:type="dxa"/>
          <w:right w:w="0" w:type="dxa"/>
        </w:tblCellMar>
      </w:tblPr>
      <w:tblGrid>
        <w:gridCol w:w="1786"/>
        <w:gridCol w:w="406"/>
        <w:gridCol w:w="631"/>
        <w:gridCol w:w="2956"/>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956"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Rossi</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President, Chief Executive Officer </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560" w:right="0" w:hanging="0"/>
        <w:jc w:val="right"/>
        <w:rPr>
          <w:rFonts w:ascii="Times New Roman;Times;serif" w:hAnsi="Times New Roman;Times;serif"/>
          <w:b/>
          <w:sz w:val="20"/>
        </w:rPr>
      </w:pPr>
      <w:bookmarkStart w:id="903" w:name="ymab-20240331xex32d2.htm"/>
      <w:bookmarkStart w:id="904" w:name="ksymab20240331xex32d2"/>
      <w:bookmarkEnd w:id="903"/>
      <w:bookmarkEnd w:id="904"/>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Y-mAbs Therapeutics, Inc. (the “Company”) hereby certifies, to his knowledge, that: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Quarterly Report on Form 10-Q of the Company for the fiscal quarter ended March 31, 2024 (the “Report”) fully complies with the requirements of Section 13(a) or Section 15(d), as applicable,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6964" w:type="dxa"/>
        <w:jc w:val="center"/>
        <w:tblInd w:w="0" w:type="dxa"/>
        <w:tblLayout w:type="fixed"/>
        <w:tblCellMar>
          <w:top w:w="0" w:type="dxa"/>
          <w:left w:w="0" w:type="dxa"/>
          <w:bottom w:w="0" w:type="dxa"/>
          <w:right w:w="0" w:type="dxa"/>
        </w:tblCellMar>
      </w:tblPr>
      <w:tblGrid>
        <w:gridCol w:w="1786"/>
        <w:gridCol w:w="406"/>
        <w:gridCol w:w="631"/>
        <w:gridCol w:w="4141"/>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7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Kruse</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w:t>
            </w:r>
          </w:p>
        </w:tc>
      </w:tr>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22964/000110465918058483/a18-5676_14ex3d1.htm" TargetMode="External"/><Relationship Id="rId3" Type="http://schemas.openxmlformats.org/officeDocument/2006/relationships/hyperlink" Target="http://www.sec.gov/Archives/edgar/data/1722964/000104746918005786/a2236551zex-3_4.htm" TargetMode="External"/><Relationship Id="rId4" Type="http://schemas.openxmlformats.org/officeDocument/2006/relationships/hyperlink" Target="https://www.sec.gov/Archives/edgar/data/1722964/000155837024002188/ymab-20231231xex10d34.htm" TargetMode="External"/><Relationship Id="rId5" Type="http://schemas.openxmlformats.org/officeDocument/2006/relationships/hyperlink" Target="https://www.sec.gov/Archives/edgar/data/1722964/000155837024002188/ymab-20231231xex10d46.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74350</Words>
  <Characters>414046</Characters>
  <CharactersWithSpaces>488070</CharactersWithSpaces>
  <Paragraphs>5348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