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SCHEDULE 13G</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(Amendment No. 4)*</w:t>
      </w:r>
    </w:p>
    <w:p>
      <w:pPr>
        <w:spacing w:after="0" w:line="184"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1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Stock, par value $0.0001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984241109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December 31, 2021 &amp; January 28,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79" w:lineRule="exact"/>
        <w:rPr>
          <w:sz w:val="24"/>
          <w:szCs w:val="24"/>
          <w:color w:val="auto"/>
        </w:rPr>
      </w:pPr>
    </w:p>
    <w:p>
      <w:pPr>
        <w:ind w:left="1080" w:hanging="647"/>
        <w:spacing w:after="0"/>
        <w:tabs>
          <w:tab w:leader="none" w:pos="10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117" w:lineRule="exact"/>
        <w:rPr>
          <w:sz w:val="24"/>
          <w:szCs w:val="24"/>
          <w:color w:val="auto"/>
        </w:rPr>
      </w:pPr>
    </w:p>
    <w:p>
      <w:pPr>
        <w:ind w:left="1080" w:hanging="647"/>
        <w:spacing w:after="0"/>
        <w:tabs>
          <w:tab w:leader="none" w:pos="10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117" w:lineRule="exact"/>
        <w:rPr>
          <w:sz w:val="24"/>
          <w:szCs w:val="24"/>
          <w:color w:val="auto"/>
        </w:rPr>
      </w:pPr>
    </w:p>
    <w:p>
      <w:pPr>
        <w:ind w:left="1080" w:hanging="647"/>
        <w:spacing w:after="0"/>
        <w:tabs>
          <w:tab w:leader="none" w:pos="1080" w:val="left"/>
        </w:tabs>
        <w:numPr>
          <w:ilvl w:val="1"/>
          <w:numId w:val="3"/>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79" w:lineRule="exact"/>
        <w:rPr>
          <w:rFonts w:ascii="MS PGothic" w:cs="MS PGothic" w:eastAsia="MS PGothic" w:hAnsi="MS PGothic"/>
          <w:sz w:val="18"/>
          <w:szCs w:val="18"/>
          <w:color w:val="auto"/>
        </w:rPr>
      </w:pPr>
    </w:p>
    <w:p>
      <w:pPr>
        <w:ind w:right="100"/>
        <w:spacing w:after="0" w:line="277" w:lineRule="auto"/>
        <w:rPr>
          <w:rFonts w:ascii="MS PGothic" w:cs="MS PGothic" w:eastAsia="MS PGothic" w:hAnsi="MS PGothic"/>
          <w:sz w:val="18"/>
          <w:szCs w:val="18"/>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70" w:lineRule="exact"/>
        <w:rPr>
          <w:sz w:val="24"/>
          <w:szCs w:val="24"/>
          <w:color w:val="auto"/>
        </w:rPr>
      </w:pPr>
    </w:p>
    <w:p>
      <w:pPr>
        <w:spacing w:after="0" w:line="263"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160020</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177165</wp:posOffset>
            </wp:positionV>
            <wp:extent cx="713232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511175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567" w:right="339" w:bottom="1440" w:gutter="0" w:footer="0" w:header="0"/>
        </w:sectPr>
      </w:pPr>
    </w:p>
    <w:bookmarkStart w:id="1" w:name="page2"/>
    <w:bookmarkEnd w:id="1"/>
    <w:p>
      <w:pPr>
        <w:ind w:left="340"/>
        <w:spacing w:after="0"/>
        <w:rPr>
          <w:sz w:val="20"/>
          <w:szCs w:val="20"/>
          <w:color w:val="auto"/>
        </w:rPr>
      </w:pPr>
      <w:r>
        <w:rPr>
          <w:rFonts w:ascii="Arial" w:cs="Arial" w:eastAsia="Arial" w:hAnsi="Arial"/>
          <w:sz w:val="18"/>
          <w:szCs w:val="18"/>
          <w:color w:val="auto"/>
        </w:rPr>
        <w:t>1.</w:t>
      </w:r>
    </w:p>
    <w:p>
      <w:pPr>
        <w:spacing w:after="0" w:line="27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2.</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3.</w:t>
      </w:r>
    </w:p>
    <w:p>
      <w:pPr>
        <w:spacing w:after="0" w:line="6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Number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Shares</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Beneficially</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Owned by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Each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Reporting</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Person With</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Name of Reporting Persons: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HBM Healthcare Investments (Cayman)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22860</wp:posOffset>
            </wp:positionV>
            <wp:extent cx="648906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489065" cy="8255"/>
                    </a:xfrm>
                    <a:prstGeom prst="rect">
                      <a:avLst/>
                    </a:prstGeom>
                    <a:noFill/>
                  </pic:spPr>
                </pic:pic>
              </a:graphicData>
            </a:graphic>
          </wp:anchor>
        </w:drawing>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Check the Appropriate Box if a Member of a Group</w:t>
      </w:r>
    </w:p>
    <w:p>
      <w:pPr>
        <w:spacing w:after="0" w:line="53" w:lineRule="exact"/>
        <w:rPr>
          <w:sz w:val="20"/>
          <w:szCs w:val="20"/>
          <w:color w:val="auto"/>
        </w:rPr>
      </w:pPr>
    </w:p>
    <w:p>
      <w:pPr>
        <w:ind w:left="340" w:hanging="340"/>
        <w:spacing w:after="0" w:line="207" w:lineRule="exact"/>
        <w:tabs>
          <w:tab w:leader="none" w:pos="340" w:val="left"/>
        </w:tabs>
        <w:numPr>
          <w:ilvl w:val="0"/>
          <w:numId w:val="4"/>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76" w:lineRule="exact"/>
        <w:rPr>
          <w:rFonts w:ascii="Arial" w:cs="Arial" w:eastAsia="Arial" w:hAnsi="Arial"/>
          <w:sz w:val="18"/>
          <w:szCs w:val="18"/>
          <w:color w:val="auto"/>
        </w:rPr>
      </w:pPr>
    </w:p>
    <w:p>
      <w:pPr>
        <w:ind w:left="340" w:hanging="340"/>
        <w:spacing w:after="0" w:line="207" w:lineRule="exact"/>
        <w:tabs>
          <w:tab w:leader="none" w:pos="340" w:val="left"/>
        </w:tabs>
        <w:numPr>
          <w:ilvl w:val="0"/>
          <w:numId w:val="4"/>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214630</wp:posOffset>
            </wp:positionH>
            <wp:positionV relativeFrom="paragraph">
              <wp:posOffset>52705</wp:posOffset>
            </wp:positionV>
            <wp:extent cx="627507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275070" cy="8890"/>
                    </a:xfrm>
                    <a:prstGeom prst="rect">
                      <a:avLst/>
                    </a:prstGeom>
                    <a:noFill/>
                  </pic:spPr>
                </pic:pic>
              </a:graphicData>
            </a:graphic>
          </wp:anchor>
        </w:drawing>
        <w:drawing>
          <wp:anchor simplePos="0" relativeHeight="251657728" behindDoc="1" locked="0" layoutInCell="0" allowOverlap="1">
            <wp:simplePos x="0" y="0"/>
            <wp:positionH relativeFrom="column">
              <wp:posOffset>214630</wp:posOffset>
            </wp:positionH>
            <wp:positionV relativeFrom="paragraph">
              <wp:posOffset>-126365</wp:posOffset>
            </wp:positionV>
            <wp:extent cx="627507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275070" cy="8255"/>
                    </a:xfrm>
                    <a:prstGeom prst="rect">
                      <a:avLst/>
                    </a:prstGeom>
                    <a:noFill/>
                  </pic:spPr>
                </pic:pic>
              </a:graphicData>
            </a:graphic>
          </wp:anchor>
        </w:drawing>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color w:val="auto"/>
        </w:rPr>
        <w:t>SEC Use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31750</wp:posOffset>
            </wp:positionV>
            <wp:extent cx="648906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489065" cy="8890"/>
                    </a:xfrm>
                    <a:prstGeom prst="rect">
                      <a:avLst/>
                    </a:prstGeom>
                    <a:noFill/>
                  </pic:spPr>
                </pic:pic>
              </a:graphicData>
            </a:graphic>
          </wp:anchor>
        </w:drawing>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Citizenship or Place of Organization: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Cayman Islands, British West Indies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22860</wp:posOffset>
            </wp:positionV>
            <wp:extent cx="648906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489065" cy="8255"/>
                    </a:xfrm>
                    <a:prstGeom prst="rect">
                      <a:avLst/>
                    </a:prstGeom>
                    <a:noFill/>
                  </pic:spPr>
                </pic:pic>
              </a:graphicData>
            </a:graphic>
          </wp:anchor>
        </w:drawing>
      </w:r>
    </w:p>
    <w:p>
      <w:pPr>
        <w:spacing w:after="0" w:line="42" w:lineRule="exact"/>
        <w:rPr>
          <w:sz w:val="20"/>
          <w:szCs w:val="20"/>
          <w:color w:val="auto"/>
        </w:rPr>
      </w:pPr>
    </w:p>
    <w:p>
      <w:pPr>
        <w:ind w:left="1020" w:right="7800" w:hanging="682"/>
        <w:spacing w:after="0" w:line="342" w:lineRule="auto"/>
        <w:tabs>
          <w:tab w:leader="none" w:pos="1020" w:val="left"/>
        </w:tabs>
        <w:numPr>
          <w:ilvl w:val="0"/>
          <w:numId w:val="5"/>
        </w:numPr>
        <w:rPr>
          <w:rFonts w:ascii="Arial" w:cs="Arial" w:eastAsia="Arial" w:hAnsi="Arial"/>
          <w:sz w:val="16"/>
          <w:szCs w:val="16"/>
          <w:color w:val="auto"/>
        </w:rPr>
      </w:pPr>
      <w:r>
        <w:rPr>
          <w:rFonts w:ascii="Arial" w:cs="Arial" w:eastAsia="Arial" w:hAnsi="Arial"/>
          <w:sz w:val="16"/>
          <w:szCs w:val="16"/>
          <w:color w:val="auto"/>
        </w:rPr>
        <w:t>Sole Voting Power: 3,090,954 (1)</w:t>
      </w:r>
    </w:p>
    <w:p>
      <w:pPr>
        <w:spacing w:after="0" w:line="177" w:lineRule="exact"/>
        <w:rPr>
          <w:rFonts w:ascii="Arial" w:cs="Arial" w:eastAsia="Arial" w:hAnsi="Arial"/>
          <w:sz w:val="16"/>
          <w:szCs w:val="16"/>
          <w:color w:val="auto"/>
        </w:rPr>
      </w:pPr>
    </w:p>
    <w:p>
      <w:pPr>
        <w:ind w:left="1020" w:right="7620" w:hanging="682"/>
        <w:spacing w:after="0" w:line="277" w:lineRule="auto"/>
        <w:tabs>
          <w:tab w:leader="none" w:pos="1020" w:val="left"/>
        </w:tabs>
        <w:numPr>
          <w:ilvl w:val="0"/>
          <w:numId w:val="5"/>
        </w:numPr>
        <w:rPr>
          <w:rFonts w:ascii="Arial" w:cs="Arial" w:eastAsia="Arial" w:hAnsi="Arial"/>
          <w:sz w:val="18"/>
          <w:szCs w:val="18"/>
          <w:color w:val="auto"/>
        </w:rPr>
      </w:pPr>
      <w:r>
        <w:rPr>
          <w:rFonts w:ascii="Arial" w:cs="Arial" w:eastAsia="Arial" w:hAnsi="Arial"/>
          <w:sz w:val="18"/>
          <w:szCs w:val="18"/>
          <w:color w:val="auto"/>
        </w:rPr>
        <w:t>Shared Voting Power: 0</w:t>
      </w:r>
    </w:p>
    <w:p>
      <w:pPr>
        <w:spacing w:after="0" w:line="224" w:lineRule="exact"/>
        <w:rPr>
          <w:rFonts w:ascii="Arial" w:cs="Arial" w:eastAsia="Arial" w:hAnsi="Arial"/>
          <w:sz w:val="18"/>
          <w:szCs w:val="18"/>
          <w:color w:val="auto"/>
        </w:rPr>
      </w:pPr>
    </w:p>
    <w:p>
      <w:pPr>
        <w:ind w:left="1020" w:right="7440" w:hanging="682"/>
        <w:spacing w:after="0" w:line="277" w:lineRule="auto"/>
        <w:tabs>
          <w:tab w:leader="none" w:pos="1020" w:val="left"/>
        </w:tabs>
        <w:numPr>
          <w:ilvl w:val="0"/>
          <w:numId w:val="5"/>
        </w:numPr>
        <w:rPr>
          <w:rFonts w:ascii="Arial" w:cs="Arial" w:eastAsia="Arial" w:hAnsi="Arial"/>
          <w:sz w:val="18"/>
          <w:szCs w:val="18"/>
          <w:color w:val="auto"/>
        </w:rPr>
      </w:pPr>
      <w:r>
        <w:rPr>
          <w:rFonts w:ascii="Arial" w:cs="Arial" w:eastAsia="Arial" w:hAnsi="Arial"/>
          <w:sz w:val="18"/>
          <w:szCs w:val="18"/>
          <w:color w:val="auto"/>
        </w:rPr>
        <w:t>Sole Dispositive Power: 3,090,954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643255</wp:posOffset>
            </wp:positionH>
            <wp:positionV relativeFrom="paragraph">
              <wp:posOffset>-1905</wp:posOffset>
            </wp:positionV>
            <wp:extent cx="584644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846445" cy="8255"/>
                    </a:xfrm>
                    <a:prstGeom prst="rect">
                      <a:avLst/>
                    </a:prstGeom>
                    <a:noFill/>
                  </pic:spPr>
                </pic:pic>
              </a:graphicData>
            </a:graphic>
          </wp:anchor>
        </w:drawing>
        <w:drawing>
          <wp:anchor simplePos="0" relativeHeight="251657728" behindDoc="1" locked="0" layoutInCell="0" allowOverlap="1">
            <wp:simplePos x="0" y="0"/>
            <wp:positionH relativeFrom="column">
              <wp:posOffset>643255</wp:posOffset>
            </wp:positionH>
            <wp:positionV relativeFrom="paragraph">
              <wp:posOffset>-447675</wp:posOffset>
            </wp:positionV>
            <wp:extent cx="584644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846445" cy="8890"/>
                    </a:xfrm>
                    <a:prstGeom prst="rect">
                      <a:avLst/>
                    </a:prstGeom>
                    <a:noFill/>
                  </pic:spPr>
                </pic:pic>
              </a:graphicData>
            </a:graphic>
          </wp:anchor>
        </w:drawing>
        <w:drawing>
          <wp:anchor simplePos="0" relativeHeight="251657728" behindDoc="1" locked="0" layoutInCell="0" allowOverlap="1">
            <wp:simplePos x="0" y="0"/>
            <wp:positionH relativeFrom="column">
              <wp:posOffset>643255</wp:posOffset>
            </wp:positionH>
            <wp:positionV relativeFrom="paragraph">
              <wp:posOffset>-893445</wp:posOffset>
            </wp:positionV>
            <wp:extent cx="584644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846445" cy="8255"/>
                    </a:xfrm>
                    <a:prstGeom prst="rect">
                      <a:avLst/>
                    </a:prstGeom>
                    <a:noFill/>
                  </pic:spPr>
                </pic:pic>
              </a:graphicData>
            </a:graphic>
          </wp:anchor>
        </w:drawing>
      </w:r>
    </w:p>
    <w:p>
      <w:pPr>
        <w:spacing w:after="0" w:line="224" w:lineRule="exact"/>
        <w:rPr>
          <w:sz w:val="20"/>
          <w:szCs w:val="20"/>
          <w:color w:val="auto"/>
        </w:rPr>
      </w:pPr>
    </w:p>
    <w:p>
      <w:pPr>
        <w:sectPr>
          <w:pgSz w:w="11900" w:h="16838" w:orient="portrait"/>
          <w:cols w:equalWidth="0" w:num="2">
            <w:col w:w="900" w:space="120"/>
            <w:col w:w="10200"/>
          </w:cols>
          <w:pgMar w:left="320" w:top="935" w:right="359" w:bottom="1440" w:gutter="0" w:footer="0" w:header="0"/>
        </w:sectPr>
      </w:pPr>
    </w:p>
    <w:p>
      <w:pPr>
        <w:ind w:left="2040" w:right="7260" w:hanging="682"/>
        <w:spacing w:after="0" w:line="277" w:lineRule="auto"/>
        <w:tabs>
          <w:tab w:leader="none" w:pos="2040" w:val="left"/>
        </w:tabs>
        <w:numPr>
          <w:ilvl w:val="2"/>
          <w:numId w:val="6"/>
        </w:numPr>
        <w:rPr>
          <w:rFonts w:ascii="Arial" w:cs="Arial" w:eastAsia="Arial" w:hAnsi="Arial"/>
          <w:sz w:val="18"/>
          <w:szCs w:val="18"/>
          <w:color w:val="auto"/>
        </w:rPr>
      </w:pPr>
      <w:r>
        <w:rPr>
          <w:rFonts w:ascii="Arial" w:cs="Arial" w:eastAsia="Arial" w:hAnsi="Arial"/>
          <w:sz w:val="18"/>
          <w:szCs w:val="18"/>
          <w:color w:val="auto"/>
        </w:rPr>
        <w:t>Shared Dispositive Power: 0</w:t>
      </w:r>
    </w:p>
    <w:p>
      <w:pPr>
        <w:spacing w:after="0" w:line="21" w:lineRule="exact"/>
        <w:rPr>
          <w:rFonts w:ascii="Arial" w:cs="Arial" w:eastAsia="Arial" w:hAnsi="Arial"/>
          <w:sz w:val="18"/>
          <w:szCs w:val="18"/>
          <w:color w:val="auto"/>
        </w:rPr>
      </w:pPr>
    </w:p>
    <w:p>
      <w:pPr>
        <w:ind w:left="1020" w:hanging="675"/>
        <w:spacing w:after="0"/>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3" w:lineRule="exact"/>
        <w:rPr>
          <w:rFonts w:ascii="Arial" w:cs="Arial" w:eastAsia="Arial" w:hAnsi="Arial"/>
          <w:sz w:val="18"/>
          <w:szCs w:val="18"/>
          <w:color w:val="auto"/>
        </w:rPr>
      </w:pPr>
    </w:p>
    <w:p>
      <w:pPr>
        <w:ind w:left="1020"/>
        <w:spacing w:after="0"/>
        <w:rPr>
          <w:rFonts w:ascii="Arial" w:cs="Arial" w:eastAsia="Arial" w:hAnsi="Arial"/>
          <w:sz w:val="18"/>
          <w:szCs w:val="18"/>
          <w:color w:val="auto"/>
        </w:rPr>
      </w:pPr>
      <w:r>
        <w:rPr>
          <w:rFonts w:ascii="Arial" w:cs="Arial" w:eastAsia="Arial" w:hAnsi="Arial"/>
          <w:sz w:val="18"/>
          <w:szCs w:val="18"/>
          <w:color w:val="auto"/>
        </w:rPr>
        <w:t>3,090,954 (1)</w:t>
      </w:r>
    </w:p>
    <w:p>
      <w:pPr>
        <w:spacing w:after="0" w:line="232" w:lineRule="exact"/>
        <w:rPr>
          <w:rFonts w:ascii="Arial" w:cs="Arial" w:eastAsia="Arial" w:hAnsi="Arial"/>
          <w:sz w:val="18"/>
          <w:szCs w:val="18"/>
          <w:color w:val="auto"/>
        </w:rPr>
      </w:pPr>
    </w:p>
    <w:p>
      <w:pPr>
        <w:ind w:left="1020" w:hanging="675"/>
        <w:spacing w:after="0" w:line="207" w:lineRule="exact"/>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(9) Excludes Certain Shares (See Instructions) </w:t>
      </w:r>
      <w:r>
        <w:rPr>
          <w:rFonts w:ascii="MS PGothic" w:cs="MS PGothic" w:eastAsia="MS PGothic" w:hAnsi="MS PGothic"/>
          <w:sz w:val="18"/>
          <w:szCs w:val="18"/>
          <w:color w:val="auto"/>
        </w:rPr>
        <w:t>☐</w:t>
      </w:r>
    </w:p>
    <w:p>
      <w:pPr>
        <w:spacing w:after="0" w:line="311" w:lineRule="exact"/>
        <w:rPr>
          <w:rFonts w:ascii="Arial" w:cs="Arial" w:eastAsia="Arial" w:hAnsi="Arial"/>
          <w:sz w:val="18"/>
          <w:szCs w:val="18"/>
          <w:color w:val="auto"/>
        </w:rPr>
      </w:pPr>
    </w:p>
    <w:p>
      <w:pPr>
        <w:ind w:left="1020" w:hanging="675"/>
        <w:spacing w:after="0"/>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3" w:lineRule="exact"/>
        <w:rPr>
          <w:rFonts w:ascii="Arial" w:cs="Arial" w:eastAsia="Arial" w:hAnsi="Arial"/>
          <w:sz w:val="18"/>
          <w:szCs w:val="18"/>
          <w:color w:val="auto"/>
        </w:rPr>
      </w:pPr>
    </w:p>
    <w:p>
      <w:pPr>
        <w:ind w:left="1020"/>
        <w:spacing w:after="0"/>
        <w:rPr>
          <w:rFonts w:ascii="Arial" w:cs="Arial" w:eastAsia="Arial" w:hAnsi="Arial"/>
          <w:sz w:val="18"/>
          <w:szCs w:val="18"/>
          <w:color w:val="auto"/>
        </w:rPr>
      </w:pPr>
      <w:r>
        <w:rPr>
          <w:rFonts w:ascii="Arial" w:cs="Arial" w:eastAsia="Arial" w:hAnsi="Arial"/>
          <w:sz w:val="18"/>
          <w:szCs w:val="18"/>
          <w:color w:val="auto"/>
        </w:rPr>
        <w:t>7.1% (2)</w:t>
      </w:r>
    </w:p>
    <w:p>
      <w:pPr>
        <w:spacing w:after="0" w:line="264" w:lineRule="exact"/>
        <w:rPr>
          <w:rFonts w:ascii="Arial" w:cs="Arial" w:eastAsia="Arial" w:hAnsi="Arial"/>
          <w:sz w:val="18"/>
          <w:szCs w:val="18"/>
          <w:color w:val="auto"/>
        </w:rPr>
      </w:pPr>
    </w:p>
    <w:p>
      <w:pPr>
        <w:ind w:left="1020" w:hanging="675"/>
        <w:spacing w:after="0"/>
        <w:tabs>
          <w:tab w:leader="none" w:pos="10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Type of Reporting Person (See Instructions):</w:t>
      </w:r>
    </w:p>
    <w:p>
      <w:pPr>
        <w:spacing w:after="0" w:line="23" w:lineRule="exact"/>
        <w:rPr>
          <w:rFonts w:ascii="Arial" w:cs="Arial" w:eastAsia="Arial" w:hAnsi="Arial"/>
          <w:sz w:val="18"/>
          <w:szCs w:val="18"/>
          <w:color w:val="auto"/>
        </w:rPr>
      </w:pPr>
    </w:p>
    <w:p>
      <w:pPr>
        <w:ind w:left="1020"/>
        <w:spacing w:after="0"/>
        <w:rPr>
          <w:rFonts w:ascii="Arial" w:cs="Arial" w:eastAsia="Arial" w:hAnsi="Arial"/>
          <w:sz w:val="18"/>
          <w:szCs w:val="18"/>
          <w:color w:val="auto"/>
        </w:rPr>
      </w:pPr>
      <w:r>
        <w:rPr>
          <w:rFonts w:ascii="Arial" w:cs="Arial" w:eastAsia="Arial" w:hAnsi="Arial"/>
          <w:sz w:val="18"/>
          <w:szCs w:val="18"/>
          <w:color w:val="auto"/>
        </w:rPr>
        <w:t>CO</w:t>
      </w:r>
    </w:p>
    <w:p>
      <w:pPr>
        <w:spacing w:after="0" w:line="251" w:lineRule="exact"/>
        <w:rPr>
          <w:rFonts w:ascii="Arial" w:cs="Arial" w:eastAsia="Arial" w:hAnsi="Arial"/>
          <w:sz w:val="18"/>
          <w:szCs w:val="18"/>
          <w:color w:val="auto"/>
        </w:rPr>
      </w:pPr>
    </w:p>
    <w:p>
      <w:pPr>
        <w:ind w:left="880" w:right="980" w:hanging="319"/>
        <w:spacing w:after="0" w:line="277" w:lineRule="auto"/>
        <w:tabs>
          <w:tab w:leader="none" w:pos="880" w:val="left"/>
        </w:tabs>
        <w:numPr>
          <w:ilvl w:val="1"/>
          <w:numId w:val="7"/>
        </w:numPr>
        <w:rPr>
          <w:rFonts w:ascii="Arial" w:cs="Arial" w:eastAsia="Arial" w:hAnsi="Arial"/>
          <w:sz w:val="18"/>
          <w:szCs w:val="18"/>
          <w:color w:val="auto"/>
        </w:rPr>
      </w:pPr>
      <w:r>
        <w:rPr>
          <w:rFonts w:ascii="Arial" w:cs="Arial" w:eastAsia="Arial" w:hAnsi="Arial"/>
          <w:sz w:val="18"/>
          <w:szCs w:val="18"/>
          <w:color w:val="auto"/>
        </w:rPr>
        <w:t>As of December 31, 2021, the Reporting Person beneficially owned 1,877,494 shares of the Issuer’s Common Stock, representing approximately 4.3% of the shares of Issuer’s Common Stock outstanding.</w:t>
      </w:r>
    </w:p>
    <w:p>
      <w:pPr>
        <w:spacing w:after="0" w:line="170" w:lineRule="exact"/>
        <w:rPr>
          <w:rFonts w:ascii="Arial" w:cs="Arial" w:eastAsia="Arial" w:hAnsi="Arial"/>
          <w:sz w:val="18"/>
          <w:szCs w:val="18"/>
          <w:color w:val="auto"/>
        </w:rPr>
      </w:pPr>
    </w:p>
    <w:p>
      <w:pPr>
        <w:ind w:left="880" w:hanging="319"/>
        <w:spacing w:after="0" w:line="277" w:lineRule="auto"/>
        <w:tabs>
          <w:tab w:leader="none" w:pos="880" w:val="left"/>
        </w:tabs>
        <w:numPr>
          <w:ilvl w:val="1"/>
          <w:numId w:val="7"/>
        </w:numPr>
        <w:rPr>
          <w:rFonts w:ascii="Arial" w:cs="Arial" w:eastAsia="Arial" w:hAnsi="Arial"/>
          <w:sz w:val="18"/>
          <w:szCs w:val="18"/>
          <w:color w:val="auto"/>
        </w:rPr>
      </w:pPr>
      <w:r>
        <w:rPr>
          <w:rFonts w:ascii="Arial" w:cs="Arial" w:eastAsia="Arial" w:hAnsi="Arial"/>
          <w:sz w:val="18"/>
          <w:szCs w:val="18"/>
          <w:color w:val="auto"/>
        </w:rPr>
        <w:t>Based on 43,643,916 shares of the Issuer’s Common Stock outstanding as of November 2, 2021, as reported in the Issuer’s Quarterly Report on Form 10-Q, filed with the SEC on November 4,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1290955</wp:posOffset>
            </wp:positionH>
            <wp:positionV relativeFrom="paragraph">
              <wp:posOffset>-2367915</wp:posOffset>
            </wp:positionV>
            <wp:extent cx="584644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846445" cy="8255"/>
                    </a:xfrm>
                    <a:prstGeom prst="rect">
                      <a:avLst/>
                    </a:prstGeom>
                    <a:noFill/>
                  </pic:spPr>
                </pic:pic>
              </a:graphicData>
            </a:graphic>
          </wp:anchor>
        </w:drawing>
        <w:drawing>
          <wp:anchor simplePos="0" relativeHeight="251657728" behindDoc="1" locked="0" layoutInCell="0" allowOverlap="1">
            <wp:simplePos x="0" y="0"/>
            <wp:positionH relativeFrom="column">
              <wp:posOffset>647700</wp:posOffset>
            </wp:positionH>
            <wp:positionV relativeFrom="paragraph">
              <wp:posOffset>-850900</wp:posOffset>
            </wp:positionV>
            <wp:extent cx="648906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489065" cy="8255"/>
                    </a:xfrm>
                    <a:prstGeom prst="rect">
                      <a:avLst/>
                    </a:prstGeom>
                    <a:noFill/>
                  </pic:spPr>
                </pic:pic>
              </a:graphicData>
            </a:graphic>
          </wp:anchor>
        </w:drawing>
        <w:drawing>
          <wp:anchor simplePos="0" relativeHeight="251657728" behindDoc="1" locked="0" layoutInCell="0" allowOverlap="1">
            <wp:simplePos x="0" y="0"/>
            <wp:positionH relativeFrom="column">
              <wp:posOffset>647700</wp:posOffset>
            </wp:positionH>
            <wp:positionV relativeFrom="paragraph">
              <wp:posOffset>-1296670</wp:posOffset>
            </wp:positionV>
            <wp:extent cx="648906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489065" cy="8255"/>
                    </a:xfrm>
                    <a:prstGeom prst="rect">
                      <a:avLst/>
                    </a:prstGeom>
                    <a:noFill/>
                  </pic:spPr>
                </pic:pic>
              </a:graphicData>
            </a:graphic>
          </wp:anchor>
        </w:drawing>
        <w:drawing>
          <wp:anchor simplePos="0" relativeHeight="251657728" behindDoc="1" locked="0" layoutInCell="0" allowOverlap="1">
            <wp:simplePos x="0" y="0"/>
            <wp:positionH relativeFrom="column">
              <wp:posOffset>647700</wp:posOffset>
            </wp:positionH>
            <wp:positionV relativeFrom="paragraph">
              <wp:posOffset>-1742440</wp:posOffset>
            </wp:positionV>
            <wp:extent cx="648906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489065" cy="8890"/>
                    </a:xfrm>
                    <a:prstGeom prst="rect">
                      <a:avLst/>
                    </a:prstGeom>
                    <a:noFill/>
                  </pic:spPr>
                </pic:pic>
              </a:graphicData>
            </a:graphic>
          </wp:anchor>
        </w:drawing>
        <w:drawing>
          <wp:anchor simplePos="0" relativeHeight="251657728" behindDoc="1" locked="0" layoutInCell="0" allowOverlap="1">
            <wp:simplePos x="0" y="0"/>
            <wp:positionH relativeFrom="column">
              <wp:posOffset>647700</wp:posOffset>
            </wp:positionH>
            <wp:positionV relativeFrom="paragraph">
              <wp:posOffset>-2051050</wp:posOffset>
            </wp:positionV>
            <wp:extent cx="648906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48906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35" w:right="359" w:bottom="144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20"/>
        </w:trPr>
        <w:tc>
          <w:tcPr>
            <w:tcW w:w="84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740" w:type="dxa"/>
            <w:vAlign w:val="bottom"/>
          </w:tcPr>
          <w:p>
            <w:pPr>
              <w:ind w:left="80"/>
              <w:spacing w:after="0"/>
              <w:rPr>
                <w:sz w:val="20"/>
                <w:szCs w:val="20"/>
                <w:color w:val="auto"/>
              </w:rPr>
            </w:pPr>
            <w:r>
              <w:rPr>
                <w:rFonts w:ascii="Arial" w:cs="Arial" w:eastAsia="Arial" w:hAnsi="Arial"/>
                <w:sz w:val="18"/>
                <w:szCs w:val="18"/>
                <w:color w:val="auto"/>
              </w:rPr>
              <w:t>(a).</w:t>
            </w:r>
          </w:p>
        </w:tc>
        <w:tc>
          <w:tcPr>
            <w:tcW w:w="9660" w:type="dxa"/>
            <w:vAlign w:val="bottom"/>
          </w:tcPr>
          <w:p>
            <w:pPr>
              <w:spacing w:after="0"/>
              <w:rPr>
                <w:sz w:val="20"/>
                <w:szCs w:val="20"/>
                <w:color w:val="auto"/>
              </w:rPr>
            </w:pPr>
            <w:r>
              <w:rPr>
                <w:rFonts w:ascii="Arial" w:cs="Arial" w:eastAsia="Arial" w:hAnsi="Arial"/>
                <w:sz w:val="18"/>
                <w:szCs w:val="18"/>
                <w:color w:val="auto"/>
              </w:rPr>
              <w:t>Name of Issuer:</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Y-mAbs Therapeutics, Inc.</w:t>
            </w:r>
          </w:p>
        </w:tc>
        <w:tc>
          <w:tcPr>
            <w:tcW w:w="0" w:type="dxa"/>
            <w:vAlign w:val="bottom"/>
          </w:tcPr>
          <w:p>
            <w:pPr>
              <w:spacing w:after="0"/>
              <w:rPr>
                <w:sz w:val="1"/>
                <w:szCs w:val="1"/>
                <w:color w:val="auto"/>
              </w:rPr>
            </w:pPr>
          </w:p>
        </w:tc>
      </w:tr>
      <w:tr>
        <w:trPr>
          <w:trHeight w:val="249"/>
        </w:trPr>
        <w:tc>
          <w:tcPr>
            <w:tcW w:w="840" w:type="dxa"/>
            <w:vAlign w:val="bottom"/>
          </w:tcPr>
          <w:p>
            <w:pPr>
              <w:spacing w:after="0"/>
              <w:rPr>
                <w:sz w:val="21"/>
                <w:szCs w:val="21"/>
                <w:color w:val="auto"/>
              </w:rPr>
            </w:pPr>
          </w:p>
        </w:tc>
        <w:tc>
          <w:tcPr>
            <w:tcW w:w="740" w:type="dxa"/>
            <w:vAlign w:val="bottom"/>
          </w:tcPr>
          <w:p>
            <w:pPr>
              <w:ind w:left="80"/>
              <w:spacing w:after="0"/>
              <w:rPr>
                <w:sz w:val="20"/>
                <w:szCs w:val="20"/>
                <w:color w:val="auto"/>
              </w:rPr>
            </w:pPr>
            <w:r>
              <w:rPr>
                <w:rFonts w:ascii="Arial" w:cs="Arial" w:eastAsia="Arial" w:hAnsi="Arial"/>
                <w:sz w:val="18"/>
                <w:szCs w:val="18"/>
                <w:color w:val="auto"/>
              </w:rPr>
              <w:t>(b).</w:t>
            </w:r>
          </w:p>
        </w:tc>
        <w:tc>
          <w:tcPr>
            <w:tcW w:w="9660" w:type="dxa"/>
            <w:vAlign w:val="bottom"/>
          </w:tcPr>
          <w:p>
            <w:pPr>
              <w:spacing w:after="0"/>
              <w:rPr>
                <w:sz w:val="20"/>
                <w:szCs w:val="20"/>
                <w:color w:val="auto"/>
              </w:rPr>
            </w:pPr>
            <w:r>
              <w:rPr>
                <w:rFonts w:ascii="Arial" w:cs="Arial" w:eastAsia="Arial" w:hAnsi="Arial"/>
                <w:sz w:val="18"/>
                <w:szCs w:val="18"/>
                <w:color w:val="auto"/>
              </w:rPr>
              <w:t>Address of Issuer’s Principal Executive Offices:</w:t>
            </w: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230 Park Avenue</w:t>
            </w: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Suite 3350</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New York, New York 10169</w:t>
            </w:r>
          </w:p>
        </w:tc>
        <w:tc>
          <w:tcPr>
            <w:tcW w:w="0" w:type="dxa"/>
            <w:vAlign w:val="bottom"/>
          </w:tcPr>
          <w:p>
            <w:pPr>
              <w:spacing w:after="0"/>
              <w:rPr>
                <w:sz w:val="1"/>
                <w:szCs w:val="1"/>
                <w:color w:val="auto"/>
              </w:rPr>
            </w:pPr>
          </w:p>
        </w:tc>
      </w:tr>
      <w:tr>
        <w:trPr>
          <w:trHeight w:val="54"/>
        </w:trPr>
        <w:tc>
          <w:tcPr>
            <w:tcW w:w="840" w:type="dxa"/>
            <w:vAlign w:val="bottom"/>
            <w:vMerge w:val="restart"/>
          </w:tcPr>
          <w:p>
            <w:pPr>
              <w:spacing w:after="0"/>
              <w:rPr>
                <w:sz w:val="20"/>
                <w:szCs w:val="20"/>
                <w:color w:val="auto"/>
              </w:rPr>
            </w:pPr>
            <w:r>
              <w:rPr>
                <w:rFonts w:ascii="Arial" w:cs="Arial" w:eastAsia="Arial" w:hAnsi="Arial"/>
                <w:sz w:val="18"/>
                <w:szCs w:val="18"/>
                <w:b w:val="1"/>
                <w:bCs w:val="1"/>
                <w:color w:val="auto"/>
              </w:rPr>
              <w:t>Item 2(a).</w:t>
            </w:r>
          </w:p>
        </w:tc>
        <w:tc>
          <w:tcPr>
            <w:tcW w:w="740" w:type="dxa"/>
            <w:vAlign w:val="bottom"/>
          </w:tcPr>
          <w:p>
            <w:pPr>
              <w:spacing w:after="0"/>
              <w:rPr>
                <w:sz w:val="4"/>
                <w:szCs w:val="4"/>
                <w:color w:val="auto"/>
              </w:rPr>
            </w:pPr>
          </w:p>
        </w:tc>
        <w:tc>
          <w:tcPr>
            <w:tcW w:w="96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9"/>
        </w:trPr>
        <w:tc>
          <w:tcPr>
            <w:tcW w:w="840" w:type="dxa"/>
            <w:vAlign w:val="bottom"/>
            <w:vMerge w:val="continue"/>
          </w:tcPr>
          <w:p>
            <w:pPr>
              <w:spacing w:after="0"/>
              <w:rPr>
                <w:sz w:val="21"/>
                <w:szCs w:val="21"/>
                <w:color w:val="auto"/>
              </w:rPr>
            </w:pPr>
          </w:p>
        </w:tc>
        <w:tc>
          <w:tcPr>
            <w:tcW w:w="740" w:type="dxa"/>
            <w:vAlign w:val="bottom"/>
          </w:tcPr>
          <w:p>
            <w:pPr>
              <w:spacing w:after="0"/>
              <w:rPr>
                <w:sz w:val="21"/>
                <w:szCs w:val="21"/>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Name of Person Filing:</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HBM Healthcare Investments (Cayman) Ltd.</w:t>
            </w:r>
          </w:p>
        </w:tc>
        <w:tc>
          <w:tcPr>
            <w:tcW w:w="0" w:type="dxa"/>
            <w:vAlign w:val="bottom"/>
          </w:tcPr>
          <w:p>
            <w:pPr>
              <w:spacing w:after="0"/>
              <w:rPr>
                <w:sz w:val="1"/>
                <w:szCs w:val="1"/>
                <w:color w:val="auto"/>
              </w:rPr>
            </w:pPr>
          </w:p>
        </w:tc>
      </w:tr>
      <w:tr>
        <w:trPr>
          <w:trHeight w:val="54"/>
        </w:trPr>
        <w:tc>
          <w:tcPr>
            <w:tcW w:w="840" w:type="dxa"/>
            <w:vAlign w:val="bottom"/>
            <w:vMerge w:val="restart"/>
          </w:tcPr>
          <w:p>
            <w:pPr>
              <w:spacing w:after="0"/>
              <w:rPr>
                <w:sz w:val="20"/>
                <w:szCs w:val="20"/>
                <w:color w:val="auto"/>
              </w:rPr>
            </w:pPr>
            <w:r>
              <w:rPr>
                <w:rFonts w:ascii="Arial" w:cs="Arial" w:eastAsia="Arial" w:hAnsi="Arial"/>
                <w:sz w:val="18"/>
                <w:szCs w:val="18"/>
                <w:b w:val="1"/>
                <w:bCs w:val="1"/>
                <w:color w:val="auto"/>
              </w:rPr>
              <w:t>Item 2(b).</w:t>
            </w:r>
          </w:p>
        </w:tc>
        <w:tc>
          <w:tcPr>
            <w:tcW w:w="740" w:type="dxa"/>
            <w:vAlign w:val="bottom"/>
          </w:tcPr>
          <w:p>
            <w:pPr>
              <w:spacing w:after="0"/>
              <w:rPr>
                <w:sz w:val="4"/>
                <w:szCs w:val="4"/>
                <w:color w:val="auto"/>
              </w:rPr>
            </w:pPr>
          </w:p>
        </w:tc>
        <w:tc>
          <w:tcPr>
            <w:tcW w:w="96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9"/>
        </w:trPr>
        <w:tc>
          <w:tcPr>
            <w:tcW w:w="840" w:type="dxa"/>
            <w:vAlign w:val="bottom"/>
            <w:vMerge w:val="continue"/>
          </w:tcPr>
          <w:p>
            <w:pPr>
              <w:spacing w:after="0"/>
              <w:rPr>
                <w:sz w:val="21"/>
                <w:szCs w:val="21"/>
                <w:color w:val="auto"/>
              </w:rPr>
            </w:pPr>
          </w:p>
        </w:tc>
        <w:tc>
          <w:tcPr>
            <w:tcW w:w="740" w:type="dxa"/>
            <w:vAlign w:val="bottom"/>
          </w:tcPr>
          <w:p>
            <w:pPr>
              <w:spacing w:after="0"/>
              <w:rPr>
                <w:sz w:val="21"/>
                <w:szCs w:val="21"/>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Address of Principal Business Office:</w:t>
            </w: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Governors Square</w:t>
            </w: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23 Lime Tree Bay Avenue</w:t>
            </w:r>
          </w:p>
        </w:tc>
        <w:tc>
          <w:tcPr>
            <w:tcW w:w="0" w:type="dxa"/>
            <w:vAlign w:val="bottom"/>
          </w:tcPr>
          <w:p>
            <w:pPr>
              <w:spacing w:after="0"/>
              <w:rPr>
                <w:sz w:val="1"/>
                <w:szCs w:val="1"/>
                <w:color w:val="auto"/>
              </w:rPr>
            </w:pPr>
          </w:p>
        </w:tc>
      </w:tr>
      <w:tr>
        <w:trPr>
          <w:trHeight w:val="216"/>
        </w:trPr>
        <w:tc>
          <w:tcPr>
            <w:tcW w:w="8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PO Box 30852</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Grand Cayman, Cayman Islands</w:t>
            </w:r>
          </w:p>
        </w:tc>
        <w:tc>
          <w:tcPr>
            <w:tcW w:w="0" w:type="dxa"/>
            <w:vAlign w:val="bottom"/>
          </w:tcPr>
          <w:p>
            <w:pPr>
              <w:spacing w:after="0"/>
              <w:rPr>
                <w:sz w:val="1"/>
                <w:szCs w:val="1"/>
                <w:color w:val="auto"/>
              </w:rPr>
            </w:pPr>
          </w:p>
        </w:tc>
      </w:tr>
      <w:tr>
        <w:trPr>
          <w:trHeight w:val="54"/>
        </w:trPr>
        <w:tc>
          <w:tcPr>
            <w:tcW w:w="840" w:type="dxa"/>
            <w:vAlign w:val="bottom"/>
            <w:vMerge w:val="restart"/>
          </w:tcPr>
          <w:p>
            <w:pPr>
              <w:spacing w:after="0"/>
              <w:rPr>
                <w:sz w:val="20"/>
                <w:szCs w:val="20"/>
                <w:color w:val="auto"/>
              </w:rPr>
            </w:pPr>
            <w:r>
              <w:rPr>
                <w:rFonts w:ascii="Arial" w:cs="Arial" w:eastAsia="Arial" w:hAnsi="Arial"/>
                <w:sz w:val="18"/>
                <w:szCs w:val="18"/>
                <w:b w:val="1"/>
                <w:bCs w:val="1"/>
                <w:color w:val="auto"/>
              </w:rPr>
              <w:t>Item 2(c).</w:t>
            </w:r>
          </w:p>
        </w:tc>
        <w:tc>
          <w:tcPr>
            <w:tcW w:w="740" w:type="dxa"/>
            <w:vAlign w:val="bottom"/>
          </w:tcPr>
          <w:p>
            <w:pPr>
              <w:spacing w:after="0"/>
              <w:rPr>
                <w:sz w:val="4"/>
                <w:szCs w:val="4"/>
                <w:color w:val="auto"/>
              </w:rPr>
            </w:pPr>
          </w:p>
        </w:tc>
        <w:tc>
          <w:tcPr>
            <w:tcW w:w="96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9"/>
        </w:trPr>
        <w:tc>
          <w:tcPr>
            <w:tcW w:w="840" w:type="dxa"/>
            <w:vAlign w:val="bottom"/>
            <w:vMerge w:val="continue"/>
          </w:tcPr>
          <w:p>
            <w:pPr>
              <w:spacing w:after="0"/>
              <w:rPr>
                <w:sz w:val="21"/>
                <w:szCs w:val="21"/>
                <w:color w:val="auto"/>
              </w:rPr>
            </w:pPr>
          </w:p>
        </w:tc>
        <w:tc>
          <w:tcPr>
            <w:tcW w:w="740" w:type="dxa"/>
            <w:vAlign w:val="bottom"/>
          </w:tcPr>
          <w:p>
            <w:pPr>
              <w:spacing w:after="0"/>
              <w:rPr>
                <w:sz w:val="21"/>
                <w:szCs w:val="21"/>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Citizenship:</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660" w:type="dxa"/>
            <w:vAlign w:val="bottom"/>
          </w:tcPr>
          <w:p>
            <w:pPr>
              <w:spacing w:after="0"/>
              <w:rPr>
                <w:sz w:val="20"/>
                <w:szCs w:val="20"/>
                <w:color w:val="auto"/>
              </w:rPr>
            </w:pPr>
            <w:r>
              <w:rPr>
                <w:rFonts w:ascii="Arial" w:cs="Arial" w:eastAsia="Arial" w:hAnsi="Arial"/>
                <w:sz w:val="18"/>
                <w:szCs w:val="18"/>
                <w:color w:val="auto"/>
              </w:rPr>
              <w:t>Cayman Islands, British West Indies</w:t>
            </w:r>
          </w:p>
        </w:tc>
        <w:tc>
          <w:tcPr>
            <w:tcW w:w="0" w:type="dxa"/>
            <w:vAlign w:val="bottom"/>
          </w:tcPr>
          <w:p>
            <w:pPr>
              <w:spacing w:after="0"/>
              <w:rPr>
                <w:sz w:val="1"/>
                <w:szCs w:val="1"/>
                <w:color w:val="auto"/>
              </w:rPr>
            </w:pPr>
          </w:p>
        </w:tc>
      </w:tr>
      <w:tr>
        <w:trPr>
          <w:trHeight w:val="54"/>
        </w:trPr>
        <w:tc>
          <w:tcPr>
            <w:tcW w:w="840" w:type="dxa"/>
            <w:vAlign w:val="bottom"/>
          </w:tcPr>
          <w:p>
            <w:pPr>
              <w:spacing w:after="0"/>
              <w:rPr>
                <w:sz w:val="4"/>
                <w:szCs w:val="4"/>
                <w:color w:val="auto"/>
              </w:rPr>
            </w:pPr>
          </w:p>
        </w:tc>
        <w:tc>
          <w:tcPr>
            <w:tcW w:w="740" w:type="dxa"/>
            <w:vAlign w:val="bottom"/>
          </w:tcPr>
          <w:p>
            <w:pPr>
              <w:spacing w:after="0"/>
              <w:rPr>
                <w:sz w:val="4"/>
                <w:szCs w:val="4"/>
                <w:color w:val="auto"/>
              </w:rPr>
            </w:pPr>
          </w:p>
        </w:tc>
        <w:tc>
          <w:tcPr>
            <w:tcW w:w="96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52" w:lineRule="exact"/>
        <w:rPr>
          <w:sz w:val="20"/>
          <w:szCs w:val="20"/>
          <w:color w:val="auto"/>
        </w:rPr>
      </w:pPr>
    </w:p>
    <w:p>
      <w:pPr>
        <w:ind w:left="60"/>
        <w:spacing w:after="0"/>
        <w:tabs>
          <w:tab w:leader="none" w:pos="1180" w:val="left"/>
        </w:tabs>
        <w:rPr>
          <w:sz w:val="20"/>
          <w:szCs w:val="20"/>
          <w:color w:val="auto"/>
        </w:rPr>
      </w:pPr>
      <w:r>
        <w:rPr>
          <w:rFonts w:ascii="Arial" w:cs="Arial" w:eastAsia="Arial" w:hAnsi="Arial"/>
          <w:sz w:val="18"/>
          <w:szCs w:val="18"/>
          <w:b w:val="1"/>
          <w:bCs w:val="1"/>
          <w:color w:val="auto"/>
        </w:rPr>
        <w:t>Item 2(d).</w:t>
      </w:r>
      <w:r>
        <w:rPr>
          <w:sz w:val="20"/>
          <w:szCs w:val="20"/>
          <w:color w:val="auto"/>
        </w:rPr>
        <w:tab/>
      </w:r>
      <w:r>
        <w:rPr>
          <w:rFonts w:ascii="Arial" w:cs="Arial" w:eastAsia="Arial" w:hAnsi="Arial"/>
          <w:sz w:val="16"/>
          <w:szCs w:val="16"/>
          <w:color w:val="auto"/>
        </w:rPr>
        <w:t>Title of Class of Securities:</w:t>
      </w:r>
    </w:p>
    <w:p>
      <w:pPr>
        <w:spacing w:after="0" w:line="27" w:lineRule="exact"/>
        <w:rPr>
          <w:sz w:val="20"/>
          <w:szCs w:val="20"/>
          <w:color w:val="auto"/>
        </w:rPr>
      </w:pPr>
    </w:p>
    <w:p>
      <w:pPr>
        <w:ind w:left="1200"/>
        <w:spacing w:after="0"/>
        <w:rPr>
          <w:sz w:val="20"/>
          <w:szCs w:val="20"/>
          <w:color w:val="auto"/>
        </w:rPr>
      </w:pPr>
      <w:r>
        <w:rPr>
          <w:rFonts w:ascii="Arial" w:cs="Arial" w:eastAsia="Arial" w:hAnsi="Arial"/>
          <w:sz w:val="18"/>
          <w:szCs w:val="18"/>
          <w:color w:val="auto"/>
        </w:rPr>
        <w:t>Common Stock, $0.0001 par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725170</wp:posOffset>
            </wp:positionH>
            <wp:positionV relativeFrom="paragraph">
              <wp:posOffset>40005</wp:posOffset>
            </wp:positionV>
            <wp:extent cx="641223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412230" cy="8255"/>
                    </a:xfrm>
                    <a:prstGeom prst="rect">
                      <a:avLst/>
                    </a:prstGeom>
                    <a:noFill/>
                  </pic:spPr>
                </pic:pic>
              </a:graphicData>
            </a:graphic>
          </wp:anchor>
        </w:drawing>
      </w:r>
    </w:p>
    <w:p>
      <w:pPr>
        <w:spacing w:after="0" w:line="308"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1580" w:type="dxa"/>
            <w:vAlign w:val="bottom"/>
          </w:tcPr>
          <w:p>
            <w:pPr>
              <w:spacing w:after="0"/>
              <w:rPr>
                <w:sz w:val="20"/>
                <w:szCs w:val="20"/>
                <w:color w:val="auto"/>
              </w:rPr>
            </w:pPr>
            <w:r>
              <w:rPr>
                <w:rFonts w:ascii="Arial" w:cs="Arial" w:eastAsia="Arial" w:hAnsi="Arial"/>
                <w:sz w:val="18"/>
                <w:szCs w:val="18"/>
                <w:b w:val="1"/>
                <w:bCs w:val="1"/>
                <w:color w:val="auto"/>
              </w:rPr>
              <w:t>Item 2(e).</w:t>
            </w:r>
          </w:p>
        </w:tc>
        <w:tc>
          <w:tcPr>
            <w:tcW w:w="9660" w:type="dxa"/>
            <w:vAlign w:val="bottom"/>
          </w:tcPr>
          <w:p>
            <w:pPr>
              <w:spacing w:after="0"/>
              <w:rPr>
                <w:sz w:val="20"/>
                <w:szCs w:val="20"/>
                <w:color w:val="auto"/>
              </w:rPr>
            </w:pPr>
            <w:r>
              <w:rPr>
                <w:rFonts w:ascii="Arial" w:cs="Arial" w:eastAsia="Arial" w:hAnsi="Arial"/>
                <w:sz w:val="18"/>
                <w:szCs w:val="18"/>
                <w:color w:val="auto"/>
              </w:rPr>
              <w:t>CUSIP Number:</w:t>
            </w:r>
          </w:p>
        </w:tc>
      </w:tr>
      <w:tr>
        <w:trPr>
          <w:trHeight w:val="230"/>
        </w:trPr>
        <w:tc>
          <w:tcPr>
            <w:tcW w:w="1580" w:type="dxa"/>
            <w:vAlign w:val="bottom"/>
          </w:tcPr>
          <w:p>
            <w:pPr>
              <w:spacing w:after="0"/>
              <w:rPr>
                <w:sz w:val="20"/>
                <w:szCs w:val="20"/>
                <w:color w:val="auto"/>
              </w:rPr>
            </w:pPr>
          </w:p>
        </w:tc>
        <w:tc>
          <w:tcPr>
            <w:tcW w:w="9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984241109</w:t>
            </w:r>
          </w:p>
        </w:tc>
      </w:tr>
    </w:tbl>
    <w:p>
      <w:pPr>
        <w:spacing w:after="0" w:line="29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If this statement is filed pursuant to Rule 13d-1(b), or 13d-2(b) or (c), check whether the person filing is a:</w:t>
      </w:r>
    </w:p>
    <w:p>
      <w:pPr>
        <w:spacing w:after="0" w:line="94"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Not Applicable.</w:t>
      </w:r>
    </w:p>
    <w:p>
      <w:pPr>
        <w:spacing w:after="0" w:line="14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94" w:lineRule="exact"/>
        <w:rPr>
          <w:sz w:val="20"/>
          <w:szCs w:val="20"/>
          <w:color w:val="auto"/>
        </w:rPr>
      </w:pPr>
    </w:p>
    <w:p>
      <w:pPr>
        <w:ind w:left="1580" w:hanging="430"/>
        <w:spacing w:after="0"/>
        <w:tabs>
          <w:tab w:leader="none" w:pos="1580" w:val="left"/>
        </w:tabs>
        <w:numPr>
          <w:ilvl w:val="0"/>
          <w:numId w:val="8"/>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134" w:lineRule="exact"/>
        <w:rPr>
          <w:rFonts w:ascii="Arial" w:cs="Arial" w:eastAsia="Arial" w:hAnsi="Arial"/>
          <w:sz w:val="18"/>
          <w:szCs w:val="18"/>
          <w:color w:val="auto"/>
        </w:rPr>
      </w:pPr>
    </w:p>
    <w:p>
      <w:pPr>
        <w:ind w:left="1580"/>
        <w:spacing w:after="0"/>
        <w:rPr>
          <w:rFonts w:ascii="Arial" w:cs="Arial" w:eastAsia="Arial" w:hAnsi="Arial"/>
          <w:sz w:val="18"/>
          <w:szCs w:val="18"/>
          <w:color w:val="auto"/>
        </w:rPr>
      </w:pPr>
      <w:r>
        <w:rPr>
          <w:rFonts w:ascii="Arial" w:cs="Arial" w:eastAsia="Arial" w:hAnsi="Arial"/>
          <w:sz w:val="18"/>
          <w:szCs w:val="18"/>
          <w:color w:val="auto"/>
        </w:rPr>
        <w:t xml:space="preserve">3,090,954 </w:t>
      </w:r>
      <w:r>
        <w:rPr>
          <w:rFonts w:ascii="Arial" w:cs="Arial" w:eastAsia="Arial" w:hAnsi="Arial"/>
          <w:sz w:val="29"/>
          <w:szCs w:val="29"/>
          <w:color w:val="auto"/>
          <w:vertAlign w:val="superscript"/>
        </w:rPr>
        <w:t>(1)</w:t>
      </w:r>
    </w:p>
    <w:p>
      <w:pPr>
        <w:spacing w:after="0" w:line="94" w:lineRule="exact"/>
        <w:rPr>
          <w:rFonts w:ascii="Arial" w:cs="Arial" w:eastAsia="Arial" w:hAnsi="Arial"/>
          <w:sz w:val="18"/>
          <w:szCs w:val="18"/>
          <w:color w:val="auto"/>
        </w:rPr>
      </w:pPr>
    </w:p>
    <w:p>
      <w:pPr>
        <w:ind w:left="1580" w:hanging="435"/>
        <w:spacing w:after="0"/>
        <w:tabs>
          <w:tab w:leader="none" w:pos="1580" w:val="left"/>
        </w:tabs>
        <w:numPr>
          <w:ilvl w:val="0"/>
          <w:numId w:val="8"/>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107" w:lineRule="exact"/>
        <w:rPr>
          <w:rFonts w:ascii="Arial" w:cs="Arial" w:eastAsia="Arial" w:hAnsi="Arial"/>
          <w:sz w:val="18"/>
          <w:szCs w:val="18"/>
          <w:color w:val="auto"/>
        </w:rPr>
      </w:pPr>
    </w:p>
    <w:p>
      <w:pPr>
        <w:ind w:left="1580"/>
        <w:spacing w:after="0"/>
        <w:rPr>
          <w:rFonts w:ascii="Arial" w:cs="Arial" w:eastAsia="Arial" w:hAnsi="Arial"/>
          <w:sz w:val="18"/>
          <w:szCs w:val="18"/>
          <w:color w:val="auto"/>
        </w:rPr>
      </w:pPr>
      <w:r>
        <w:rPr>
          <w:rFonts w:ascii="Arial" w:cs="Arial" w:eastAsia="Arial" w:hAnsi="Arial"/>
          <w:sz w:val="18"/>
          <w:szCs w:val="18"/>
          <w:color w:val="auto"/>
        </w:rPr>
        <w:t xml:space="preserve">7.1% </w:t>
      </w:r>
      <w:r>
        <w:rPr>
          <w:rFonts w:ascii="Arial" w:cs="Arial" w:eastAsia="Arial" w:hAnsi="Arial"/>
          <w:sz w:val="29"/>
          <w:szCs w:val="29"/>
          <w:color w:val="auto"/>
          <w:vertAlign w:val="superscript"/>
        </w:rPr>
        <w:t>(2)</w:t>
      </w:r>
    </w:p>
    <w:p>
      <w:pPr>
        <w:spacing w:after="0" w:line="67" w:lineRule="exact"/>
        <w:rPr>
          <w:rFonts w:ascii="Arial" w:cs="Arial" w:eastAsia="Arial" w:hAnsi="Arial"/>
          <w:sz w:val="18"/>
          <w:szCs w:val="18"/>
          <w:color w:val="auto"/>
        </w:rPr>
      </w:pPr>
    </w:p>
    <w:p>
      <w:pPr>
        <w:ind w:left="1580" w:hanging="430"/>
        <w:spacing w:after="0"/>
        <w:tabs>
          <w:tab w:leader="none" w:pos="1580" w:val="left"/>
        </w:tabs>
        <w:numPr>
          <w:ilvl w:val="0"/>
          <w:numId w:val="8"/>
        </w:numPr>
        <w:rPr>
          <w:rFonts w:ascii="Arial" w:cs="Arial" w:eastAsia="Arial" w:hAnsi="Arial"/>
          <w:sz w:val="18"/>
          <w:szCs w:val="18"/>
          <w:color w:val="auto"/>
        </w:rPr>
      </w:pPr>
      <w:r>
        <w:rPr>
          <w:rFonts w:ascii="Arial" w:cs="Arial" w:eastAsia="Arial" w:hAnsi="Arial"/>
          <w:sz w:val="18"/>
          <w:szCs w:val="18"/>
          <w:color w:val="auto"/>
        </w:rPr>
        <w:t>Number of shares as to which the Reporting Person has:</w:t>
      </w:r>
    </w:p>
    <w:p>
      <w:pPr>
        <w:spacing w:after="0" w:line="200" w:lineRule="exact"/>
        <w:rPr>
          <w:rFonts w:ascii="Arial" w:cs="Arial" w:eastAsia="Arial" w:hAnsi="Arial"/>
          <w:sz w:val="18"/>
          <w:szCs w:val="18"/>
          <w:color w:val="auto"/>
        </w:rPr>
      </w:pPr>
    </w:p>
    <w:p>
      <w:pPr>
        <w:spacing w:after="0" w:line="308" w:lineRule="exact"/>
        <w:rPr>
          <w:rFonts w:ascii="Arial" w:cs="Arial" w:eastAsia="Arial" w:hAnsi="Arial"/>
          <w:sz w:val="18"/>
          <w:szCs w:val="18"/>
          <w:color w:val="auto"/>
        </w:rPr>
      </w:pPr>
    </w:p>
    <w:p>
      <w:pPr>
        <w:ind w:left="1920" w:hanging="249"/>
        <w:spacing w:after="0"/>
        <w:tabs>
          <w:tab w:leader="none" w:pos="1920" w:val="left"/>
        </w:tabs>
        <w:numPr>
          <w:ilvl w:val="1"/>
          <w:numId w:val="8"/>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1007745</wp:posOffset>
            </wp:positionH>
            <wp:positionV relativeFrom="paragraph">
              <wp:posOffset>-164465</wp:posOffset>
            </wp:positionV>
            <wp:extent cx="61290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129020" cy="8255"/>
                    </a:xfrm>
                    <a:prstGeom prst="rect">
                      <a:avLst/>
                    </a:prstGeom>
                    <a:noFill/>
                  </pic:spPr>
                </pic:pic>
              </a:graphicData>
            </a:graphic>
          </wp:anchor>
        </w:drawing>
        <w:drawing>
          <wp:anchor simplePos="0" relativeHeight="251657728" behindDoc="1" locked="0" layoutInCell="0" allowOverlap="1">
            <wp:simplePos x="0" y="0"/>
            <wp:positionH relativeFrom="column">
              <wp:posOffset>1007745</wp:posOffset>
            </wp:positionH>
            <wp:positionV relativeFrom="paragraph">
              <wp:posOffset>-619125</wp:posOffset>
            </wp:positionV>
            <wp:extent cx="61290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129020" cy="8255"/>
                    </a:xfrm>
                    <a:prstGeom prst="rect">
                      <a:avLst/>
                    </a:prstGeom>
                    <a:noFill/>
                  </pic:spPr>
                </pic:pic>
              </a:graphicData>
            </a:graphic>
          </wp:anchor>
        </w:drawing>
        <w:drawing>
          <wp:anchor simplePos="0" relativeHeight="251657728" behindDoc="1" locked="0" layoutInCell="0" allowOverlap="1">
            <wp:simplePos x="0" y="0"/>
            <wp:positionH relativeFrom="column">
              <wp:posOffset>1007745</wp:posOffset>
            </wp:positionH>
            <wp:positionV relativeFrom="paragraph">
              <wp:posOffset>-1090295</wp:posOffset>
            </wp:positionV>
            <wp:extent cx="61290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129020" cy="8890"/>
                    </a:xfrm>
                    <a:prstGeom prst="rect">
                      <a:avLst/>
                    </a:prstGeom>
                    <a:noFill/>
                  </pic:spPr>
                </pic:pic>
              </a:graphicData>
            </a:graphic>
          </wp:anchor>
        </w:drawing>
      </w:r>
    </w:p>
    <w:p>
      <w:pPr>
        <w:spacing w:after="0" w:line="114" w:lineRule="exact"/>
        <w:rPr>
          <w:sz w:val="20"/>
          <w:szCs w:val="20"/>
          <w:color w:val="auto"/>
        </w:rPr>
      </w:pPr>
    </w:p>
    <w:p>
      <w:pPr>
        <w:ind w:left="1920"/>
        <w:spacing w:after="0"/>
        <w:rPr>
          <w:sz w:val="20"/>
          <w:szCs w:val="20"/>
          <w:color w:val="auto"/>
        </w:rPr>
      </w:pPr>
      <w:r>
        <w:rPr>
          <w:rFonts w:ascii="Arial" w:cs="Arial" w:eastAsia="Arial" w:hAnsi="Arial"/>
          <w:sz w:val="18"/>
          <w:szCs w:val="18"/>
          <w:color w:val="auto"/>
        </w:rPr>
        <w:t>3,090,954</w:t>
      </w:r>
      <w:r>
        <w:rPr>
          <w:rFonts w:ascii="Arial" w:cs="Arial" w:eastAsia="Arial" w:hAnsi="Arial"/>
          <w:sz w:val="29"/>
          <w:szCs w:val="29"/>
          <w:color w:val="auto"/>
          <w:vertAlign w:val="superscript"/>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1222375</wp:posOffset>
            </wp:positionH>
            <wp:positionV relativeFrom="paragraph">
              <wp:posOffset>-6985</wp:posOffset>
            </wp:positionV>
            <wp:extent cx="591502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915025" cy="8890"/>
                    </a:xfrm>
                    <a:prstGeom prst="rect">
                      <a:avLst/>
                    </a:prstGeom>
                    <a:noFill/>
                  </pic:spPr>
                </pic:pic>
              </a:graphicData>
            </a:graphic>
          </wp:anchor>
        </w:drawing>
      </w:r>
    </w:p>
    <w:p>
      <w:pPr>
        <w:spacing w:after="0" w:line="23" w:lineRule="exact"/>
        <w:rPr>
          <w:sz w:val="20"/>
          <w:szCs w:val="20"/>
          <w:color w:val="auto"/>
        </w:rPr>
      </w:pPr>
    </w:p>
    <w:p>
      <w:pPr>
        <w:ind w:left="1920" w:right="6280" w:hanging="274"/>
        <w:spacing w:after="0" w:line="382" w:lineRule="auto"/>
        <w:tabs>
          <w:tab w:leader="none" w:pos="192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Shared power to vote or to direct the vote: 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1222375</wp:posOffset>
            </wp:positionH>
            <wp:positionV relativeFrom="paragraph">
              <wp:posOffset>-24765</wp:posOffset>
            </wp:positionV>
            <wp:extent cx="591502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915025" cy="8255"/>
                    </a:xfrm>
                    <a:prstGeom prst="rect">
                      <a:avLst/>
                    </a:prstGeom>
                    <a:noFill/>
                  </pic:spPr>
                </pic:pic>
              </a:graphicData>
            </a:graphic>
          </wp:anchor>
        </w:drawing>
      </w:r>
    </w:p>
    <w:p>
      <w:pPr>
        <w:ind w:left="1920" w:right="5560" w:hanging="299"/>
        <w:spacing w:after="0" w:line="324" w:lineRule="auto"/>
        <w:tabs>
          <w:tab w:leader="none" w:pos="19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3,090,954</w:t>
      </w:r>
      <w:r>
        <w:rPr>
          <w:rFonts w:ascii="Arial" w:cs="Arial" w:eastAsia="Arial" w:hAnsi="Arial"/>
          <w:sz w:val="29"/>
          <w:szCs w:val="29"/>
          <w:color w:val="auto"/>
          <w:vertAlign w:val="superscript"/>
        </w:rPr>
        <w:t>(1)</w:t>
      </w:r>
    </w:p>
    <w:p>
      <w:pPr>
        <w:spacing w:after="0" w:line="1" w:lineRule="exact"/>
        <w:rPr>
          <w:rFonts w:ascii="Arial" w:cs="Arial" w:eastAsia="Arial" w:hAnsi="Arial"/>
          <w:sz w:val="18"/>
          <w:szCs w:val="18"/>
          <w:color w:val="auto"/>
        </w:rPr>
      </w:pPr>
    </w:p>
    <w:p>
      <w:pPr>
        <w:ind w:left="1920" w:right="5380" w:hanging="294"/>
        <w:spacing w:after="0" w:line="400" w:lineRule="auto"/>
        <w:tabs>
          <w:tab w:leader="none" w:pos="19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1222375</wp:posOffset>
            </wp:positionH>
            <wp:positionV relativeFrom="paragraph">
              <wp:posOffset>-52705</wp:posOffset>
            </wp:positionV>
            <wp:extent cx="591502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915025" cy="8890"/>
                    </a:xfrm>
                    <a:prstGeom prst="rect">
                      <a:avLst/>
                    </a:prstGeom>
                    <a:noFill/>
                  </pic:spPr>
                </pic:pic>
              </a:graphicData>
            </a:graphic>
          </wp:anchor>
        </w:drawing>
        <w:drawing>
          <wp:anchor simplePos="0" relativeHeight="251657728" behindDoc="1" locked="0" layoutInCell="0" allowOverlap="1">
            <wp:simplePos x="0" y="0"/>
            <wp:positionH relativeFrom="column">
              <wp:posOffset>1222375</wp:posOffset>
            </wp:positionH>
            <wp:positionV relativeFrom="paragraph">
              <wp:posOffset>-481330</wp:posOffset>
            </wp:positionV>
            <wp:extent cx="591502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91502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229870</wp:posOffset>
            </wp:positionV>
            <wp:extent cx="71323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58" w:right="339" w:bottom="1440" w:gutter="0" w:footer="0" w:header="0"/>
        </w:sectPr>
      </w:pPr>
    </w:p>
    <w:bookmarkStart w:id="3" w:name="page4"/>
    <w:bookmarkEnd w:id="3"/>
    <w:p>
      <w:pPr>
        <w:spacing w:after="0"/>
        <w:tabs>
          <w:tab w:leader="none" w:pos="9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Ownership of Five Percent or Less of a Class</w:t>
      </w:r>
    </w:p>
    <w:p>
      <w:pPr>
        <w:spacing w:after="0" w:line="121" w:lineRule="exact"/>
        <w:rPr>
          <w:sz w:val="20"/>
          <w:szCs w:val="20"/>
          <w:color w:val="auto"/>
        </w:rPr>
      </w:pPr>
    </w:p>
    <w:p>
      <w:pPr>
        <w:ind w:left="1240"/>
        <w:spacing w:after="0" w:line="263" w:lineRule="auto"/>
        <w:rPr>
          <w:sz w:val="20"/>
          <w:szCs w:val="20"/>
          <w:color w:val="auto"/>
        </w:rPr>
      </w:pPr>
      <w:r>
        <w:rPr>
          <w:rFonts w:ascii="Arial" w:cs="Arial" w:eastAsia="Arial" w:hAnsi="Arial"/>
          <w:sz w:val="18"/>
          <w:szCs w:val="18"/>
          <w:color w:val="auto"/>
        </w:rPr>
        <w:t>As of December 31, 2021, the Reporting Person ceased to be the beneficial owner of more than five percentage of the shares of Issuer’s Common Stock. Subsequently, on January 28, 2022, the Reporting Person again surpassed five percent beneficial ownership of the shares of Issuer’s Common Stock.</w:t>
      </w:r>
    </w:p>
    <w:p>
      <w:pPr>
        <w:spacing w:after="0" w:line="7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121"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6"/>
          <w:szCs w:val="16"/>
          <w:b w:val="1"/>
          <w:bCs w:val="1"/>
          <w:color w:val="auto"/>
        </w:rPr>
        <w:t>Identification and Classification of the Subsidiary Which Acquired the Security Being Reported on By the Parent Holding Company.</w:t>
      </w:r>
    </w:p>
    <w:p>
      <w:pPr>
        <w:spacing w:after="0" w:line="121"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121"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121"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Not Applicable.</w:t>
      </w:r>
    </w:p>
    <w:p>
      <w:pPr>
        <w:spacing w:after="0" w:line="11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Certification.</w:t>
      </w:r>
    </w:p>
    <w:p>
      <w:pPr>
        <w:spacing w:after="0" w:line="121" w:lineRule="exact"/>
        <w:rPr>
          <w:sz w:val="20"/>
          <w:szCs w:val="20"/>
          <w:color w:val="auto"/>
        </w:rPr>
      </w:pPr>
    </w:p>
    <w:p>
      <w:pPr>
        <w:jc w:val="both"/>
        <w:ind w:left="1220" w:right="40"/>
        <w:spacing w:after="0" w:line="259"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§240.14a-11.</w:t>
      </w:r>
    </w:p>
    <w:p>
      <w:pPr>
        <w:spacing w:after="0" w:line="268" w:lineRule="exact"/>
        <w:rPr>
          <w:sz w:val="20"/>
          <w:szCs w:val="20"/>
          <w:color w:val="auto"/>
        </w:rPr>
      </w:pPr>
    </w:p>
    <w:p>
      <w:pPr>
        <w:ind w:left="1260" w:right="140" w:hanging="348"/>
        <w:spacing w:after="0" w:line="259" w:lineRule="auto"/>
        <w:tabs>
          <w:tab w:leader="none" w:pos="12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Voting and investment power over the shares held by HBM Healthcare Investments (Cayman) Ltd. is exercised by the board of directors of HBM Healthcare Investments (Cayman) Ltd. (the “Board”). The Board consists of Jean-Marc LeSieur, Richard H. Coles, Sophia Harris, Dr. Andreas Wicki, Mark Kronenfeld, M.D. and Richard Paul Woodhouse, none of whom has individual voting or investment power with respect to the shares.</w:t>
      </w:r>
    </w:p>
    <w:p>
      <w:pPr>
        <w:spacing w:after="0" w:line="186" w:lineRule="exact"/>
        <w:rPr>
          <w:rFonts w:ascii="Arial" w:cs="Arial" w:eastAsia="Arial" w:hAnsi="Arial"/>
          <w:sz w:val="18"/>
          <w:szCs w:val="18"/>
          <w:color w:val="auto"/>
        </w:rPr>
      </w:pPr>
    </w:p>
    <w:p>
      <w:pPr>
        <w:ind w:left="1260" w:right="380" w:hanging="348"/>
        <w:spacing w:after="0" w:line="277" w:lineRule="auto"/>
        <w:tabs>
          <w:tab w:leader="none" w:pos="12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43,643,916 shares of the Issuer’s Common Stock outstanding as of November 2, 2021, as reported in the Issuer’s Quarterly Report on Form 10-Q, filed with the SEC on November 4,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1174" w:right="379" w:bottom="1440" w:gutter="0" w:footer="0" w:header="0"/>
        </w:sectPr>
      </w:pPr>
    </w:p>
    <w:bookmarkStart w:id="4" w:name="page5"/>
    <w:bookmarkEnd w:id="4"/>
    <w:p>
      <w:pPr>
        <w:jc w:val="center"/>
        <w:ind w:right="-13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7, 2022</w:t>
      </w:r>
    </w:p>
    <w:p>
      <w:pPr>
        <w:spacing w:after="0" w:line="221" w:lineRule="exact"/>
        <w:rPr>
          <w:sz w:val="20"/>
          <w:szCs w:val="20"/>
          <w:color w:val="auto"/>
        </w:rPr>
      </w:pPr>
    </w:p>
    <w:p>
      <w:pPr>
        <w:ind w:left="5640"/>
        <w:spacing w:after="0"/>
        <w:rPr>
          <w:sz w:val="20"/>
          <w:szCs w:val="20"/>
          <w:color w:val="auto"/>
        </w:rPr>
      </w:pPr>
      <w:r>
        <w:rPr>
          <w:rFonts w:ascii="Arial" w:cs="Arial" w:eastAsia="Arial" w:hAnsi="Arial"/>
          <w:sz w:val="18"/>
          <w:szCs w:val="18"/>
          <w:b w:val="1"/>
          <w:bCs w:val="1"/>
          <w:color w:val="auto"/>
        </w:rPr>
        <w:t>HBM HEALTHCARE INVESTMENTS (CAYMAN) LTD.</w:t>
      </w:r>
    </w:p>
    <w:p>
      <w:pPr>
        <w:spacing w:after="0" w:line="200" w:lineRule="exact"/>
        <w:rPr>
          <w:sz w:val="20"/>
          <w:szCs w:val="20"/>
          <w:color w:val="auto"/>
        </w:rPr>
      </w:pPr>
    </w:p>
    <w:p>
      <w:pPr>
        <w:spacing w:after="0" w:line="245" w:lineRule="exact"/>
        <w:rPr>
          <w:sz w:val="20"/>
          <w:szCs w:val="20"/>
          <w:color w:val="auto"/>
        </w:rPr>
      </w:pPr>
    </w:p>
    <w:p>
      <w:pPr>
        <w:ind w:left="5640"/>
        <w:spacing w:after="0"/>
        <w:tabs>
          <w:tab w:leader="none" w:pos="61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Jean-Marc LeSieur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14605</wp:posOffset>
            </wp:positionV>
            <wp:extent cx="320611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Name: Jean-Marc LeSieur</w:t>
      </w:r>
    </w:p>
    <w:p>
      <w:pPr>
        <w:spacing w:after="0" w:line="23" w:lineRule="exact"/>
        <w:rPr>
          <w:sz w:val="20"/>
          <w:szCs w:val="20"/>
          <w:color w:val="auto"/>
        </w:rPr>
      </w:pPr>
    </w:p>
    <w:p>
      <w:pPr>
        <w:ind w:left="5640"/>
        <w:spacing w:after="0"/>
        <w:tabs>
          <w:tab w:leader="none" w:pos="61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Managing Director</w:t>
      </w:r>
    </w:p>
    <w:p>
      <w:pPr>
        <w:spacing w:after="0" w:line="21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SIGNATURE PAGE TO SCHEDULE 13G AMENDMENT NO. 4 (Y-MABS THERAPEUTICS,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120"/>
      </w:cols>
      <w:pgMar w:left="320" w:top="904"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
      <w:numFmt w:val="bullet"/>
      <w:start w:val="1"/>
    </w:lvl>
    <w:lvl w:ilvl="1">
      <w:lvlJc w:val="left"/>
      <w:lvlText w:val="☐"/>
      <w:numFmt w:val="bullet"/>
      <w:start w:val="1"/>
    </w:lvl>
  </w:abstractNum>
  <w:abstractNum w:abstractNumId="3">
    <w:nsid w:val="79E2A9E3"/>
    <w:multiLevelType w:val="hybridMultilevel"/>
    <w:lvl w:ilvl="0">
      <w:lvlJc w:val="left"/>
      <w:lvlText w:val="(%1)"/>
      <w:numFmt w:val="lowerLetter"/>
      <w:start w:val="1"/>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
    </w:lvl>
    <w:lvl w:ilvl="1">
      <w:lvlJc w:val="left"/>
      <w:lvlText w:val="%2"/>
      <w:numFmt w:val="decimal"/>
      <w:start w:val="1"/>
    </w:lvl>
    <w:lvl w:ilvl="2">
      <w:lvlJc w:val="left"/>
      <w:lvlText w:val="%3."/>
      <w:numFmt w:val="decimal"/>
      <w:start w:val="8"/>
    </w:lvl>
  </w:abstractNum>
  <w:abstractNum w:abstractNumId="6">
    <w:nsid w:val="5BD062C2"/>
    <w:multiLevelType w:val="hybridMultilevel"/>
    <w:lvl w:ilvl="0">
      <w:lvlJc w:val="left"/>
      <w:lvlText w:val="%1."/>
      <w:numFmt w:val="decimal"/>
      <w:start w:val="9"/>
    </w:lvl>
    <w:lvl w:ilvl="1">
      <w:lvlJc w:val="left"/>
      <w:lvlText w:val="(%2)"/>
      <w:numFmt w:val="decimal"/>
      <w:start w:val="1"/>
    </w:lvl>
    <w:lvl w:ilvl="2">
      <w:lvlJc w:val="left"/>
      <w:lvlText w:val="%3"/>
      <w:numFmt w:val="decimal"/>
      <w:start w:val="1"/>
    </w:lvl>
  </w:abstractNum>
  <w:abstractNum w:abstractNumId="7">
    <w:nsid w:val="12200854"/>
    <w:multiLevelType w:val="hybridMultilevel"/>
    <w:lvl w:ilvl="0">
      <w:lvlJc w:val="left"/>
      <w:lvlText w:val="(%1)"/>
      <w:numFmt w:val="lowerLetter"/>
      <w:start w:val="1"/>
    </w:lvl>
    <w:lvl w:ilvl="1">
      <w:lvlJc w:val="left"/>
      <w:lvlText w:val="(%2)"/>
      <w:numFmt w:val="lowerLetter"/>
      <w:start w:val="9"/>
    </w:lvl>
  </w:abstractNum>
  <w:abstractNum w:abstractNumId="8">
    <w:nsid w:val="4DB127F8"/>
    <w:multiLevelType w:val="hybridMultilevel"/>
    <w:lvl w:ilvl="0">
      <w:lvlJc w:val="left"/>
      <w:lvlText w:val="(%1)"/>
      <w:numFmt w:val="lowerRoman"/>
      <w:start w:val="2"/>
    </w:lvl>
  </w:abstractNum>
  <w:abstractNum w:abstractNumId="9">
    <w:nsid w:val="216231B"/>
    <w:multiLevelType w:val="hybridMultilevel"/>
    <w:lvl w:ilvl="0">
      <w:lvlJc w:val="left"/>
      <w:lvlText w:val="(%1)"/>
      <w:numFmt w:val="lowerRoman"/>
      <w:start w:val="3"/>
    </w:lvl>
  </w:abstractNum>
  <w:abstractNum w:abstractNumId="10">
    <w:nsid w:val="1F16E9E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2022-02-07T17:44:02Z</dcterms:created>
  <dcterms:modified xsi:type="dcterms:W3CDTF">2022-02-07T17:44:02Z</dcterms:modified>
</cp:coreProperties>
</file>