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83"/>
        <w:jc w:val="left"/>
        <w:rPr>
          <w:bdr w:val="single" w:sz="16" w:space="1" w:color="000000"/>
        </w:rPr>
      </w:pPr>
      <w:bookmarkStart w:id="0" w:name="tm2318388d1_8k.htm"/>
      <w:bookmarkStart w:id="1" w:name="kstm2318388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Washington, D.C. 20549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30608__20"/>
      <w:bookmarkEnd w:id="2"/>
      <w:r>
        <w:rPr>
          <w:rFonts w:ascii="Times New Roman;Times;Serif" w:hAnsi="Times New Roman;Times;Serif"/>
          <w:b/>
          <w:i w:val="false"/>
          <w:caps w:val="false"/>
          <w:smallCaps w:val="false"/>
          <w:sz w:val="36"/>
        </w:rPr>
        <w:t xml:space="preserve">8-K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June 8, 2023</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3"/>
      <w:bookmarkEnd w:id="4"/>
      <w:r>
        <w:rPr>
          <w:rFonts w:ascii="Times New Roman;Times;Serif" w:hAnsi="Times New Roman;Times;Serif"/>
          <w:b/>
          <w:i w:val="false"/>
          <w:caps w:val="false"/>
          <w:smallCaps w:val="false"/>
          <w:sz w:val="36"/>
        </w:rPr>
        <w:t>Y-MABS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660"/>
        <w:gridCol w:w="60"/>
        <w:gridCol w:w="1145"/>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30608"/>
            <w:bookmarkEnd w:id="6"/>
            <w:r>
              <w:rPr>
                <w:rFonts w:ascii="Times New Roman;Times;Serif" w:hAnsi="Times New Roman;Times;Serif"/>
                <w:b/>
                <w:i w:val="false"/>
                <w:caps w:val="false"/>
                <w:smallCaps w:val="false"/>
                <w:sz w:val="20"/>
              </w:rPr>
              <w:t>001-38650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47-4619612</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230 Park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AddressLine2_"/>
      <w:bookmarkEnd w:id="9"/>
      <w:r>
        <w:rPr>
          <w:rFonts w:ascii="Times New Roman;Times;Serif" w:hAnsi="Times New Roman;Times;Serif"/>
          <w:b/>
          <w:i w:val="false"/>
          <w:caps w:val="false"/>
          <w:smallCaps w:val="false"/>
          <w:sz w:val="20"/>
        </w:rPr>
        <w:t>Suite 3350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New York, </w:t>
      </w:r>
      <w:bookmarkStart w:id="11" w:name="xdx_907_edei--EntityAddressStateOrProvin"/>
      <w:bookmarkEnd w:id="11"/>
      <w:r>
        <w:rPr>
          <w:rFonts w:ascii="Times New Roman;Times;Serif" w:hAnsi="Times New Roman;Times;Serif"/>
          <w:b/>
          <w:i w:val="false"/>
          <w:caps w:val="false"/>
          <w:smallCaps w:val="false"/>
          <w:sz w:val="20"/>
        </w:rPr>
        <w:t xml:space="preserve">New York </w:t>
      </w:r>
      <w:bookmarkStart w:id="12" w:name="xdx_900_edei--EntityAddressPostalZipCode"/>
      <w:bookmarkEnd w:id="12"/>
      <w:r>
        <w:rPr>
          <w:rFonts w:ascii="Times New Roman;Times;Serif" w:hAnsi="Times New Roman;Times;Serif"/>
          <w:b/>
          <w:i w:val="false"/>
          <w:caps w:val="false"/>
          <w:smallCaps w:val="false"/>
          <w:sz w:val="20"/>
        </w:rPr>
        <w:t xml:space="preserve">10169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30608__20"/>
      <w:bookmarkEnd w:id="13"/>
      <w:r>
        <w:rPr>
          <w:rFonts w:ascii="Times New Roman;Times;Serif" w:hAnsi="Times New Roman;Times;Serif"/>
          <w:b/>
          <w:i w:val="false"/>
          <w:caps w:val="false"/>
          <w:smallCaps w:val="false"/>
          <w:sz w:val="20"/>
        </w:rPr>
        <w:t xml:space="preserve">646) </w:t>
      </w:r>
      <w:bookmarkStart w:id="14" w:name="xdx_901_edei--LocalPhoneNumber_c20230608"/>
      <w:bookmarkEnd w:id="14"/>
      <w:r>
        <w:rPr>
          <w:rFonts w:ascii="Times New Roman;Times;Serif" w:hAnsi="Times New Roman;Times;Serif"/>
          <w:b/>
          <w:i w:val="false"/>
          <w:caps w:val="false"/>
          <w:smallCaps w:val="false"/>
          <w:sz w:val="20"/>
        </w:rPr>
        <w:t xml:space="preserve">885-8505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include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caps w:val="false"/>
                <w:smallCaps w:val="false"/>
              </w:rPr>
            </w:pPr>
            <w:bookmarkStart w:id="15" w:name="xdx_900_edei--WrittenCommunications_c202"/>
            <w:bookmarkEnd w:id="15"/>
            <w:r>
              <w:rPr>
                <w:caps w:val="false"/>
                <w:smallCaps w:val="false"/>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caps w:val="false"/>
                <w:smallCaps w:val="false"/>
              </w:rPr>
            </w:pPr>
            <w:bookmarkStart w:id="16" w:name="xdx_902_edei--SolicitingMaterial_c202306"/>
            <w:bookmarkEnd w:id="16"/>
            <w:r>
              <w:rPr>
                <w:caps w:val="false"/>
                <w:smallCaps w:val="false"/>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13e-4(c) under the Exchange Act (17 CFR 240.13e-4(c)) </w:t>
            </w:r>
          </w:p>
        </w:tc>
      </w:tr>
    </w:tbl>
    <w:p>
      <w:pPr>
        <w:pStyle w:val="TextBody"/>
        <w:bidi w:val="0"/>
        <w:spacing w:before="0" w:after="0"/>
        <w:ind w:left="4" w:right="4" w:hanging="0"/>
        <w:jc w:val="left"/>
        <w:rPr>
          <w:caps w:val="false"/>
          <w:smallCaps w:val="false"/>
        </w:rPr>
      </w:pPr>
      <w:r>
        <w:rPr>
          <w:caps w:val="false"/>
          <w:smallCaps w:val="false"/>
        </w:rPr>
        <w:t> </w:t>
      </w:r>
    </w:p>
    <w:p>
      <w:pPr>
        <w:pStyle w:val="TextBody"/>
        <w:bidi w:val="0"/>
        <w:spacing w:before="0" w:after="0"/>
        <w:ind w:left="4" w:right="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4" w:right="4" w:hanging="0"/>
        <w:jc w:val="left"/>
        <w:rPr>
          <w:caps w:val="false"/>
          <w:smallCaps w:val="false"/>
        </w:rPr>
      </w:pPr>
      <w:r>
        <w:rPr>
          <w:caps w:val="false"/>
          <w:smallCaps w:val="false"/>
        </w:rPr>
        <w:t> </w:t>
      </w:r>
    </w:p>
    <w:tbl>
      <w:tblPr>
        <w:tblW w:w="7200" w:type="dxa"/>
        <w:jc w:val="left"/>
        <w:tblInd w:w="0" w:type="dxa"/>
        <w:tblLayout w:type="fixed"/>
        <w:tblCellMar>
          <w:top w:w="0" w:type="dxa"/>
          <w:left w:w="0" w:type="dxa"/>
          <w:bottom w:w="28" w:type="dxa"/>
          <w:right w:w="0" w:type="dxa"/>
        </w:tblCellMar>
      </w:tblPr>
      <w:tblGrid>
        <w:gridCol w:w="2855"/>
        <w:gridCol w:w="60"/>
        <w:gridCol w:w="1415"/>
        <w:gridCol w:w="60"/>
        <w:gridCol w:w="2810"/>
      </w:tblGrid>
      <w:tr>
        <w:trPr/>
        <w:tc>
          <w:tcPr>
            <w:tcW w:w="2855"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30608"/>
            <w:bookmarkEnd w:id="19"/>
            <w:r>
              <w:rPr>
                <w:rFonts w:ascii="Times New Roman;Times;Serif" w:hAnsi="Times New Roman;Times;Serif"/>
                <w:b w:val="false"/>
                <w:i w:val="false"/>
                <w:caps w:val="false"/>
                <w:smallCaps w:val="false"/>
                <w:sz w:val="20"/>
              </w:rPr>
              <w:t>Common Stock, $0.0001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30608__2"/>
            <w:bookmarkEnd w:id="20"/>
            <w:r>
              <w:rPr>
                <w:rFonts w:ascii="Times New Roman;Times;Serif" w:hAnsi="Times New Roman;Times;Serif"/>
                <w:b w:val="false"/>
                <w:i w:val="false"/>
                <w:caps w:val="false"/>
                <w:smallCaps w:val="false"/>
                <w:sz w:val="20"/>
              </w:rPr>
              <w:t>YMAB</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3"/>
            <w:bookmarkEnd w:id="21"/>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830"/>
        <w:gridCol w:w="4385"/>
      </w:tblGrid>
      <w:tr>
        <w:trPr/>
        <w:tc>
          <w:tcPr>
            <w:tcW w:w="830" w:type="dxa"/>
            <w:tcBorders/>
            <w:vAlign w:val="center"/>
          </w:tcPr>
          <w:p>
            <w:pPr>
              <w:pStyle w:val="TableContents"/>
              <w:bidi w:val="0"/>
              <w:spacing w:before="0" w:after="283"/>
              <w:jc w:val="left"/>
              <w:rPr>
                <w:b/>
                <w:sz w:val="20"/>
              </w:rPr>
            </w:pPr>
            <w:r>
              <w:rPr>
                <w:b/>
                <w:sz w:val="20"/>
              </w:rPr>
              <w:t>Item 5.07</w:t>
            </w:r>
          </w:p>
        </w:tc>
        <w:tc>
          <w:tcPr>
            <w:tcW w:w="4385" w:type="dxa"/>
            <w:tcBorders/>
            <w:vAlign w:val="center"/>
          </w:tcPr>
          <w:p>
            <w:pPr>
              <w:pStyle w:val="TableContents"/>
              <w:bidi w:val="0"/>
              <w:spacing w:before="0" w:after="283"/>
              <w:jc w:val="left"/>
              <w:rPr>
                <w:b/>
                <w:sz w:val="20"/>
              </w:rPr>
            </w:pPr>
            <w:r>
              <w:rPr>
                <w:b/>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2023, Y-mAbs Therapeutics, Inc. (the “Company”) held its annual meeting of stockholders (the “Annual Meeting”), at which a quorum was present. At the Annual Meeting, the stockholders of the Company voted on the following three proposals: (1) the election of three Class II directors, James I. Healy, M.D., Ashutosh Tyagi, M.D. and Laura J. Hamill, each to hold office until the Company’s 2026 Annual Meeting of Stockholders, subject to the election and qualification of his or her successor or to his or her earlier death, resignation or removal, (“Proposal 1”); (2) the ratification of the appointment of PricewaterhouseCoopers LLP as the independent registered public accounting firm of the Company for its fiscal year ending December 31, 2023 (“Proposal 2”); and (3) the approval, in a non-binding advisory vote, of the compensation of the Company’s named executive officers as disclosed in the proxy materials (“Proposal 3”). The final results of the voting on each proposal are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1 -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elected the three persons listed below as directors, each to serve until the Company’s 2026 Annual Meeting of Stockholders, subject to the election and qualification of his or her successor or to his or her earlier death, resignation or removal. The votes cast were as follows:</w:t>
      </w:r>
    </w:p>
    <w:p>
      <w:pPr>
        <w:pStyle w:val="TextBody"/>
        <w:bidi w:val="0"/>
        <w:spacing w:before="0" w:after="0"/>
        <w:ind w:left="0" w:right="0" w:hanging="0"/>
        <w:jc w:val="left"/>
        <w:rPr>
          <w:caps w:val="false"/>
          <w:smallCaps w:val="false"/>
        </w:rPr>
      </w:pPr>
      <w:r>
        <w:rPr>
          <w:caps w:val="false"/>
          <w:smallCaps w:val="false"/>
        </w:rPr>
        <w:t> </w:t>
      </w:r>
    </w:p>
    <w:tbl>
      <w:tblPr>
        <w:tblW w:w="5479" w:type="dxa"/>
        <w:jc w:val="left"/>
        <w:tblInd w:w="0" w:type="dxa"/>
        <w:tblLayout w:type="fixed"/>
        <w:tblCellMar>
          <w:top w:w="0" w:type="dxa"/>
          <w:left w:w="0" w:type="dxa"/>
          <w:bottom w:w="28" w:type="dxa"/>
          <w:right w:w="0" w:type="dxa"/>
        </w:tblCellMar>
      </w:tblPr>
      <w:tblGrid>
        <w:gridCol w:w="1820"/>
        <w:gridCol w:w="60"/>
        <w:gridCol w:w="950"/>
        <w:gridCol w:w="60"/>
        <w:gridCol w:w="60"/>
        <w:gridCol w:w="845"/>
        <w:gridCol w:w="60"/>
        <w:gridCol w:w="60"/>
        <w:gridCol w:w="1437"/>
        <w:gridCol w:w="127"/>
      </w:tblGrid>
      <w:tr>
        <w:trPr/>
        <w:tc>
          <w:tcPr>
            <w:tcW w:w="1820" w:type="dxa"/>
            <w:tcBorders>
              <w:bottom w:val="single" w:sz="8" w:space="0" w:color="000000"/>
            </w:tcBorders>
            <w:vAlign w:val="center"/>
          </w:tcPr>
          <w:p>
            <w:pPr>
              <w:pStyle w:val="TableContents"/>
              <w:bidi w:val="0"/>
              <w:spacing w:before="0" w:after="283"/>
              <w:jc w:val="left"/>
              <w:rPr>
                <w:b/>
                <w:sz w:val="20"/>
              </w:rPr>
            </w:pPr>
            <w:r>
              <w:rPr>
                <w:b/>
                <w:sz w:val="20"/>
              </w:rPr>
              <w:t>Nominees</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b/>
                <w:sz w:val="20"/>
              </w:rPr>
            </w:pPr>
            <w:r>
              <w:rPr>
                <w:b/>
                <w:sz w:val="20"/>
              </w:rPr>
              <w:t>Withheld</w:t>
            </w:r>
          </w:p>
        </w:tc>
        <w:tc>
          <w:tcPr>
            <w:tcW w:w="60" w:type="dxa"/>
            <w:tcBorders/>
            <w:tcMar>
              <w:bottom w:w="0" w:type="dxa"/>
            </w:tcMar>
            <w:vAlign w:val="center"/>
          </w:tcPr>
          <w:p>
            <w:pPr>
              <w:pStyle w:val="TableContents"/>
              <w:bidi w:val="0"/>
              <w:spacing w:before="0" w:after="283"/>
              <w:jc w:val="left"/>
              <w:rPr/>
            </w:pPr>
            <w:r>
              <w:rPr/>
              <w:t> </w:t>
            </w:r>
          </w:p>
        </w:tc>
        <w:tc>
          <w:tcPr>
            <w:tcW w:w="1564" w:type="dxa"/>
            <w:gridSpan w:val="2"/>
            <w:tcBorders>
              <w:bottom w:val="single" w:sz="8" w:space="0" w:color="000000"/>
            </w:tcBorders>
            <w:vAlign w:val="center"/>
          </w:tcPr>
          <w:p>
            <w:pPr>
              <w:pStyle w:val="TableContents"/>
              <w:bidi w:val="0"/>
              <w:spacing w:before="0" w:after="283"/>
              <w:jc w:val="center"/>
              <w:rPr>
                <w:b/>
                <w:sz w:val="20"/>
              </w:rPr>
            </w:pPr>
            <w:r>
              <w:rPr>
                <w:b/>
                <w:sz w:val="20"/>
              </w:rPr>
              <w:t>Broker Non-Votes</w:t>
            </w:r>
          </w:p>
        </w:tc>
      </w:tr>
      <w:tr>
        <w:trPr/>
        <w:tc>
          <w:tcPr>
            <w:tcW w:w="1820" w:type="dxa"/>
            <w:tcBorders/>
            <w:shd w:fill="CCEEFF" w:val="clear"/>
            <w:tcMar>
              <w:bottom w:w="0" w:type="dxa"/>
            </w:tcMar>
            <w:vAlign w:val="center"/>
          </w:tcPr>
          <w:p>
            <w:pPr>
              <w:pStyle w:val="TableContents"/>
              <w:bidi w:val="0"/>
              <w:spacing w:before="0" w:after="283"/>
              <w:jc w:val="left"/>
              <w:rPr>
                <w:sz w:val="20"/>
              </w:rPr>
            </w:pPr>
            <w:r>
              <w:rPr>
                <w:sz w:val="20"/>
              </w:rPr>
              <w:t>James I. Healy,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17,547,627</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4,394,531</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right"/>
              <w:rPr>
                <w:sz w:val="20"/>
              </w:rPr>
            </w:pPr>
            <w:r>
              <w:rPr>
                <w:sz w:val="20"/>
              </w:rPr>
              <w:t>4,478,802</w:t>
            </w:r>
          </w:p>
        </w:tc>
        <w:tc>
          <w:tcPr>
            <w:tcW w:w="127" w:type="dxa"/>
            <w:tcBorders/>
            <w:shd w:fill="CCEEFF" w:val="clear"/>
            <w:tcMar>
              <w:bottom w:w="0" w:type="dxa"/>
            </w:tcMar>
            <w:vAlign w:val="center"/>
          </w:tcPr>
          <w:p>
            <w:pPr>
              <w:pStyle w:val="TableContents"/>
              <w:bidi w:val="0"/>
              <w:spacing w:before="0" w:after="283"/>
              <w:jc w:val="right"/>
              <w:rPr/>
            </w:pPr>
            <w:r>
              <w:rPr/>
              <w:t> </w:t>
            </w:r>
          </w:p>
        </w:tc>
      </w:tr>
      <w:tr>
        <w:trPr/>
        <w:tc>
          <w:tcPr>
            <w:tcW w:w="1820" w:type="dxa"/>
            <w:tcBorders/>
            <w:tcMar>
              <w:bottom w:w="0" w:type="dxa"/>
            </w:tcMar>
            <w:vAlign w:val="center"/>
          </w:tcPr>
          <w:p>
            <w:pPr>
              <w:pStyle w:val="TableContents"/>
              <w:bidi w:val="0"/>
              <w:spacing w:before="0" w:after="283"/>
              <w:jc w:val="left"/>
              <w:rPr>
                <w:sz w:val="20"/>
              </w:rPr>
            </w:pPr>
            <w:r>
              <w:rPr>
                <w:sz w:val="20"/>
              </w:rPr>
              <w:t>Ashutosh Tyagi, M.D.</w:t>
            </w:r>
          </w:p>
        </w:tc>
        <w:tc>
          <w:tcPr>
            <w:tcW w:w="6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sz w:val="20"/>
              </w:rPr>
            </w:pPr>
            <w:r>
              <w:rPr>
                <w:sz w:val="20"/>
              </w:rPr>
              <w:t>16,091,327</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right"/>
              <w:rPr>
                <w:sz w:val="20"/>
              </w:rPr>
            </w:pPr>
            <w:r>
              <w:rPr>
                <w:sz w:val="20"/>
              </w:rPr>
              <w:t>5,850,831</w:t>
            </w:r>
          </w:p>
        </w:tc>
        <w:tc>
          <w:tcPr>
            <w:tcW w:w="6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437" w:type="dxa"/>
            <w:tcBorders/>
            <w:tcMar>
              <w:bottom w:w="0" w:type="dxa"/>
            </w:tcMar>
            <w:vAlign w:val="center"/>
          </w:tcPr>
          <w:p>
            <w:pPr>
              <w:pStyle w:val="TableContents"/>
              <w:bidi w:val="0"/>
              <w:spacing w:before="0" w:after="283"/>
              <w:jc w:val="right"/>
              <w:rPr>
                <w:sz w:val="20"/>
              </w:rPr>
            </w:pPr>
            <w:r>
              <w:rPr>
                <w:sz w:val="20"/>
              </w:rPr>
              <w:t>4,478,802</w:t>
            </w:r>
          </w:p>
        </w:tc>
        <w:tc>
          <w:tcPr>
            <w:tcW w:w="127" w:type="dxa"/>
            <w:tcBorders/>
            <w:tcMar>
              <w:bottom w:w="0" w:type="dxa"/>
            </w:tcMar>
            <w:vAlign w:val="center"/>
          </w:tcPr>
          <w:p>
            <w:pPr>
              <w:pStyle w:val="TableContents"/>
              <w:bidi w:val="0"/>
              <w:spacing w:before="0" w:after="283"/>
              <w:jc w:val="right"/>
              <w:rPr/>
            </w:pPr>
            <w:r>
              <w:rPr/>
              <w:t> </w:t>
            </w:r>
          </w:p>
        </w:tc>
      </w:tr>
      <w:tr>
        <w:trPr/>
        <w:tc>
          <w:tcPr>
            <w:tcW w:w="1820" w:type="dxa"/>
            <w:tcBorders/>
            <w:shd w:fill="CCEEFF" w:val="clear"/>
            <w:tcMar>
              <w:bottom w:w="0" w:type="dxa"/>
            </w:tcMar>
            <w:vAlign w:val="center"/>
          </w:tcPr>
          <w:p>
            <w:pPr>
              <w:pStyle w:val="TableContents"/>
              <w:bidi w:val="0"/>
              <w:spacing w:before="0" w:after="283"/>
              <w:jc w:val="left"/>
              <w:rPr>
                <w:sz w:val="20"/>
              </w:rPr>
            </w:pPr>
            <w:r>
              <w:rPr>
                <w:sz w:val="20"/>
              </w:rPr>
              <w:t>Laura J. Hamill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16,797,068</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5,145,090</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right"/>
              <w:rPr>
                <w:sz w:val="20"/>
              </w:rPr>
            </w:pPr>
            <w:r>
              <w:rPr>
                <w:sz w:val="20"/>
              </w:rPr>
              <w:t>4,478,802</w:t>
            </w:r>
          </w:p>
        </w:tc>
        <w:tc>
          <w:tcPr>
            <w:tcW w:w="127" w:type="dxa"/>
            <w:tcBorders/>
            <w:shd w:fill="CCEEFF" w:val="clear"/>
            <w:tcMar>
              <w:bottom w:w="0" w:type="dxa"/>
            </w:tcMar>
            <w:vAlign w:val="center"/>
          </w:tcPr>
          <w:p>
            <w:pPr>
              <w:pStyle w:val="TableContents"/>
              <w:bidi w:val="0"/>
              <w:spacing w:before="0" w:after="283"/>
              <w:jc w:val="righ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2 – Ratification of the Appointment of the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approved Proposal 2. The votes cast were as follows:</w:t>
      </w:r>
    </w:p>
    <w:p>
      <w:pPr>
        <w:pStyle w:val="TextBody"/>
        <w:bidi w:val="0"/>
        <w:spacing w:before="0" w:after="0"/>
        <w:ind w:left="0" w:right="0" w:hanging="0"/>
        <w:jc w:val="left"/>
        <w:rPr>
          <w:caps w:val="false"/>
          <w:smallCaps w:val="false"/>
        </w:rPr>
      </w:pPr>
      <w:r>
        <w:rPr>
          <w:caps w:val="false"/>
          <w:smallCaps w:val="false"/>
        </w:rPr>
        <w:t> </w:t>
      </w:r>
    </w:p>
    <w:tbl>
      <w:tblPr>
        <w:tblW w:w="2490" w:type="dxa"/>
        <w:jc w:val="left"/>
        <w:tblInd w:w="0" w:type="dxa"/>
        <w:tblLayout w:type="fixed"/>
        <w:tblCellMar>
          <w:top w:w="0" w:type="dxa"/>
          <w:left w:w="0" w:type="dxa"/>
          <w:bottom w:w="28" w:type="dxa"/>
          <w:right w:w="0" w:type="dxa"/>
        </w:tblCellMar>
      </w:tblPr>
      <w:tblGrid>
        <w:gridCol w:w="965"/>
        <w:gridCol w:w="60"/>
        <w:gridCol w:w="60"/>
        <w:gridCol w:w="591"/>
        <w:gridCol w:w="74"/>
        <w:gridCol w:w="60"/>
        <w:gridCol w:w="603"/>
        <w:gridCol w:w="77"/>
      </w:tblGrid>
      <w:tr>
        <w:trPr/>
        <w:tc>
          <w:tcPr>
            <w:tcW w:w="1025" w:type="dxa"/>
            <w:gridSpan w:val="2"/>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sz w:val="20"/>
              </w:rPr>
            </w:pPr>
            <w:r>
              <w:rPr>
                <w:b/>
                <w:sz w:val="20"/>
              </w:rPr>
              <w:t>Abstain</w:t>
            </w:r>
          </w:p>
        </w:tc>
      </w:tr>
      <w:tr>
        <w:trPr/>
        <w:tc>
          <w:tcPr>
            <w:tcW w:w="965" w:type="dxa"/>
            <w:tcBorders/>
            <w:shd w:fill="CCEEFF" w:val="clear"/>
            <w:tcMar>
              <w:bottom w:w="0" w:type="dxa"/>
            </w:tcMar>
            <w:vAlign w:val="center"/>
          </w:tcPr>
          <w:p>
            <w:pPr>
              <w:pStyle w:val="TableContents"/>
              <w:bidi w:val="0"/>
              <w:spacing w:before="0" w:after="283"/>
              <w:jc w:val="right"/>
              <w:rPr>
                <w:sz w:val="20"/>
              </w:rPr>
            </w:pPr>
            <w:r>
              <w:rPr>
                <w:sz w:val="20"/>
              </w:rPr>
              <w:t>26,405,976</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sz w:val="20"/>
              </w:rPr>
            </w:pPr>
            <w:r>
              <w:rPr>
                <w:sz w:val="20"/>
              </w:rPr>
              <w:t>2,239</w:t>
            </w:r>
          </w:p>
        </w:tc>
        <w:tc>
          <w:tcPr>
            <w:tcW w:w="7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3" w:type="dxa"/>
            <w:tcBorders/>
            <w:shd w:fill="CCEEFF" w:val="clear"/>
            <w:tcMar>
              <w:bottom w:w="0" w:type="dxa"/>
            </w:tcMar>
            <w:vAlign w:val="center"/>
          </w:tcPr>
          <w:p>
            <w:pPr>
              <w:pStyle w:val="TableContents"/>
              <w:bidi w:val="0"/>
              <w:spacing w:before="0" w:after="283"/>
              <w:jc w:val="right"/>
              <w:rPr>
                <w:sz w:val="20"/>
              </w:rPr>
            </w:pPr>
            <w:r>
              <w:rPr>
                <w:sz w:val="20"/>
              </w:rPr>
              <w:t>12,745</w:t>
            </w:r>
          </w:p>
        </w:tc>
        <w:tc>
          <w:tcPr>
            <w:tcW w:w="77" w:type="dxa"/>
            <w:tcBorders/>
            <w:shd w:fill="CCEEFF" w:val="clear"/>
            <w:tcMar>
              <w:bottom w:w="0" w:type="dxa"/>
            </w:tcM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3 – Advisory Vote on the Compensation of the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approved Proposal 3. The votes cast were as follows:</w:t>
      </w:r>
    </w:p>
    <w:p>
      <w:pPr>
        <w:pStyle w:val="TextBody"/>
        <w:bidi w:val="0"/>
        <w:spacing w:before="0" w:after="0"/>
        <w:ind w:left="0" w:right="0" w:hanging="0"/>
        <w:jc w:val="left"/>
        <w:rPr>
          <w:caps w:val="false"/>
          <w:smallCaps w:val="false"/>
        </w:rPr>
      </w:pPr>
      <w:r>
        <w:rPr>
          <w:caps w:val="false"/>
          <w:smallCaps w:val="false"/>
        </w:rPr>
        <w:t> </w:t>
      </w:r>
    </w:p>
    <w:tbl>
      <w:tblPr>
        <w:tblW w:w="4339" w:type="dxa"/>
        <w:jc w:val="left"/>
        <w:tblInd w:w="0" w:type="dxa"/>
        <w:tblLayout w:type="fixed"/>
        <w:tblCellMar>
          <w:top w:w="0" w:type="dxa"/>
          <w:left w:w="0" w:type="dxa"/>
          <w:bottom w:w="28" w:type="dxa"/>
          <w:right w:w="0" w:type="dxa"/>
        </w:tblCellMar>
      </w:tblPr>
      <w:tblGrid>
        <w:gridCol w:w="965"/>
        <w:gridCol w:w="60"/>
        <w:gridCol w:w="60"/>
        <w:gridCol w:w="845"/>
        <w:gridCol w:w="60"/>
        <w:gridCol w:w="60"/>
        <w:gridCol w:w="591"/>
        <w:gridCol w:w="74"/>
        <w:gridCol w:w="60"/>
        <w:gridCol w:w="1437"/>
        <w:gridCol w:w="127"/>
      </w:tblGrid>
      <w:tr>
        <w:trPr/>
        <w:tc>
          <w:tcPr>
            <w:tcW w:w="1025" w:type="dxa"/>
            <w:gridSpan w:val="2"/>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sz w:val="20"/>
              </w:rPr>
            </w:pPr>
            <w:r>
              <w:rPr>
                <w:b/>
                <w:sz w:val="20"/>
              </w:rPr>
              <w:t>Abstain</w:t>
            </w:r>
          </w:p>
        </w:tc>
        <w:tc>
          <w:tcPr>
            <w:tcW w:w="60" w:type="dxa"/>
            <w:tcBorders/>
            <w:tcMar>
              <w:bottom w:w="0" w:type="dxa"/>
            </w:tcMar>
            <w:vAlign w:val="center"/>
          </w:tcPr>
          <w:p>
            <w:pPr>
              <w:pStyle w:val="TableContents"/>
              <w:bidi w:val="0"/>
              <w:spacing w:before="0" w:after="283"/>
              <w:jc w:val="left"/>
              <w:rPr/>
            </w:pPr>
            <w:r>
              <w:rPr/>
              <w:t> </w:t>
            </w:r>
          </w:p>
        </w:tc>
        <w:tc>
          <w:tcPr>
            <w:tcW w:w="1564" w:type="dxa"/>
            <w:gridSpan w:val="2"/>
            <w:tcBorders>
              <w:bottom w:val="single" w:sz="8" w:space="0" w:color="000000"/>
            </w:tcBorders>
            <w:vAlign w:val="center"/>
          </w:tcPr>
          <w:p>
            <w:pPr>
              <w:pStyle w:val="TableContents"/>
              <w:bidi w:val="0"/>
              <w:spacing w:before="0" w:after="283"/>
              <w:jc w:val="center"/>
              <w:rPr>
                <w:b/>
                <w:sz w:val="20"/>
              </w:rPr>
            </w:pPr>
            <w:r>
              <w:rPr>
                <w:b/>
                <w:sz w:val="20"/>
              </w:rPr>
              <w:t>Broker Non-Votes</w:t>
            </w:r>
          </w:p>
        </w:tc>
      </w:tr>
      <w:tr>
        <w:trPr/>
        <w:tc>
          <w:tcPr>
            <w:tcW w:w="965" w:type="dxa"/>
            <w:tcBorders/>
            <w:shd w:fill="CCEEFF" w:val="clear"/>
            <w:tcMar>
              <w:bottom w:w="0" w:type="dxa"/>
            </w:tcMar>
            <w:vAlign w:val="center"/>
          </w:tcPr>
          <w:p>
            <w:pPr>
              <w:pStyle w:val="TableContents"/>
              <w:bidi w:val="0"/>
              <w:spacing w:before="0" w:after="283"/>
              <w:jc w:val="right"/>
              <w:rPr>
                <w:sz w:val="20"/>
              </w:rPr>
            </w:pPr>
            <w:r>
              <w:rPr>
                <w:sz w:val="20"/>
              </w:rPr>
              <w:t>15,934,564</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5,999,462</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right"/>
              <w:rPr>
                <w:sz w:val="20"/>
              </w:rPr>
            </w:pPr>
            <w:r>
              <w:rPr>
                <w:sz w:val="20"/>
              </w:rPr>
              <w:t>8,132</w:t>
            </w:r>
          </w:p>
        </w:tc>
        <w:tc>
          <w:tcPr>
            <w:tcW w:w="7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right"/>
              <w:rPr>
                <w:sz w:val="20"/>
              </w:rPr>
            </w:pPr>
            <w:r>
              <w:rPr>
                <w:sz w:val="20"/>
              </w:rPr>
              <w:t>4,478,802</w:t>
            </w:r>
          </w:p>
        </w:tc>
        <w:tc>
          <w:tcPr>
            <w:tcW w:w="127" w:type="dxa"/>
            <w:tcBorders/>
            <w:shd w:fill="CCEEFF" w:val="clear"/>
            <w:tcMar>
              <w:bottom w:w="0" w:type="dxa"/>
            </w:tcM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900" w:type="dxa"/>
        <w:jc w:val="left"/>
        <w:tblInd w:w="0" w:type="dxa"/>
        <w:tblLayout w:type="fixed"/>
        <w:tblCellMar>
          <w:top w:w="0" w:type="dxa"/>
          <w:left w:w="0" w:type="dxa"/>
          <w:bottom w:w="0" w:type="dxa"/>
          <w:right w:w="0" w:type="dxa"/>
        </w:tblCellMar>
      </w:tblPr>
      <w:tblGrid>
        <w:gridCol w:w="1550"/>
        <w:gridCol w:w="320"/>
        <w:gridCol w:w="8030"/>
      </w:tblGrid>
      <w:tr>
        <w:trPr/>
        <w:tc>
          <w:tcPr>
            <w:tcW w:w="1550" w:type="dxa"/>
            <w:tcBorders/>
            <w:vAlign w:val="center"/>
          </w:tcPr>
          <w:p>
            <w:pPr>
              <w:pStyle w:val="TableContents"/>
              <w:bidi w:val="0"/>
              <w:spacing w:before="0" w:after="283"/>
              <w:jc w:val="left"/>
              <w:rPr/>
            </w:pPr>
            <w:r>
              <w:rPr/>
              <w:t> </w:t>
            </w:r>
          </w:p>
        </w:tc>
        <w:tc>
          <w:tcPr>
            <w:tcW w:w="8350" w:type="dxa"/>
            <w:gridSpan w:val="2"/>
            <w:tcBorders/>
            <w:vAlign w:val="center"/>
          </w:tcPr>
          <w:p>
            <w:pPr>
              <w:pStyle w:val="TableContents"/>
              <w:bidi w:val="0"/>
              <w:spacing w:before="0" w:after="283"/>
              <w:jc w:val="left"/>
              <w:rPr>
                <w:sz w:val="20"/>
              </w:rPr>
            </w:pPr>
            <w:r>
              <w:rPr>
                <w:sz w:val="20"/>
              </w:rPr>
              <w:t>Y-MABS THERAPEUTICS, INC.</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20"/>
              </w:rPr>
            </w:pPr>
            <w:r>
              <w:rPr>
                <w:sz w:val="20"/>
              </w:rPr>
              <w:t>Date: June 9, 2023</w:t>
            </w:r>
          </w:p>
        </w:tc>
        <w:tc>
          <w:tcPr>
            <w:tcW w:w="320" w:type="dxa"/>
            <w:tcBorders/>
            <w:vAlign w:val="center"/>
          </w:tcPr>
          <w:p>
            <w:pPr>
              <w:pStyle w:val="TableContents"/>
              <w:bidi w:val="0"/>
              <w:spacing w:before="0" w:after="283"/>
              <w:jc w:val="left"/>
              <w:rPr>
                <w:sz w:val="20"/>
              </w:rPr>
            </w:pPr>
            <w:r>
              <w:rPr>
                <w:sz w:val="20"/>
              </w:rPr>
              <w:t>By:</w:t>
            </w:r>
          </w:p>
        </w:tc>
        <w:tc>
          <w:tcPr>
            <w:tcW w:w="803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Thomas Gad</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sz w:val="20"/>
              </w:rPr>
            </w:pPr>
            <w:r>
              <w:rPr>
                <w:sz w:val="20"/>
              </w:rPr>
              <w:t>Thomas Gad</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both"/>
              <w:rPr>
                <w:sz w:val="20"/>
              </w:rPr>
            </w:pPr>
            <w:r>
              <w:rPr>
                <w:sz w:val="20"/>
              </w:rPr>
              <w:t>Founder, President, Interim Chief Executive Officer and Head of Business Development &amp;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3729</Characters>
  <CharactersWithSpaces>4433</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