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Paradigm BioCapital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Paradigm BioCapital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Senai Asefaw, M.D.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1" w:orient="portrait"/>
          <w:cols w:equalWidth="0" w:num="1">
            <w:col w:w="10139"/>
          </w:cols>
          <w:pgMar w:left="320" w:top="126"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1" w:orient="portrait"/>
          <w:cols w:equalWidth="0" w:num="2">
            <w:col w:w="1100" w:space="60"/>
            <w:col w:w="8979"/>
          </w:cols>
          <w:pgMar w:left="32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jc w:val="right"/>
        <w:ind w:right="5079"/>
        <w:spacing w:after="0"/>
        <w:rPr>
          <w:sz w:val="20"/>
          <w:szCs w:val="20"/>
          <w:color w:val="auto"/>
        </w:rPr>
      </w:pPr>
      <w:r>
        <w:rPr>
          <w:rFonts w:ascii="Times New Roman" w:cs="Times New Roman" w:eastAsia="Times New Roman" w:hAnsi="Times New Roman"/>
          <w:sz w:val="22"/>
          <w:szCs w:val="22"/>
          <w:color w:val="auto"/>
        </w:rPr>
        <w:t>Paradigm BioCapital International Fund Ltd.</w:t>
      </w:r>
    </w:p>
    <w:p>
      <w:pPr>
        <w:sectPr>
          <w:pgSz w:w="11900" w:h="16871" w:orient="portrait"/>
          <w:cols w:equalWidth="0" w:num="1">
            <w:col w:w="10139"/>
          </w:cols>
          <w:pgMar w:left="320" w:top="126" w:right="1440" w:bottom="0" w:gutter="0" w:footer="0" w:header="0"/>
          <w:type w:val="continuous"/>
        </w:sectPr>
      </w:pPr>
    </w:p>
    <w:bookmarkStart w:id="3" w:name="page4"/>
    <w:bookmarkEnd w:id="3"/>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58"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60" w:top="112" w:right="41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Y-mAbs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202 Carnegie Center, Suite 301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60"/>
        <w:spacing w:after="0" w:line="249" w:lineRule="auto"/>
        <w:rPr>
          <w:sz w:val="20"/>
          <w:szCs w:val="20"/>
          <w:color w:val="auto"/>
        </w:rPr>
      </w:pPr>
      <w:r>
        <w:rPr>
          <w:rFonts w:ascii="Times New Roman" w:cs="Times New Roman" w:eastAsia="Times New Roman" w:hAnsi="Times New Roman"/>
          <w:sz w:val="21"/>
          <w:szCs w:val="21"/>
          <w:color w:val="auto"/>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w:t>
      </w:r>
    </w:p>
    <w:p>
      <w:pPr>
        <w:spacing w:after="0" w:line="1" w:lineRule="exact"/>
        <w:rPr>
          <w:sz w:val="20"/>
          <w:szCs w:val="20"/>
          <w:color w:val="auto"/>
        </w:rPr>
      </w:pPr>
    </w:p>
    <w:p>
      <w:pPr>
        <w:ind w:left="920" w:hanging="912"/>
        <w:spacing w:after="0" w:line="239"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vehicle. The Fund and one or more separately managed accounts managed by the Adviser (the "Account") directly beneficially own the Common Stock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 Address or principal business office or, if none, residence:</w:t>
      </w:r>
    </w:p>
    <w:p>
      <w:pPr>
        <w:spacing w:after="0" w:line="210" w:lineRule="exact"/>
        <w:rPr>
          <w:rFonts w:ascii="Times New Roman" w:cs="Times New Roman" w:eastAsia="Times New Roman" w:hAnsi="Times New Roman"/>
          <w:sz w:val="22"/>
          <w:szCs w:val="22"/>
          <w:color w:val="auto"/>
        </w:rPr>
      </w:pPr>
    </w:p>
    <w:p>
      <w:pPr>
        <w:ind w:left="920" w:right="2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office of the Fund is c/o Walkers, 190 Elgin Avenue, George Town, Grand Cayman KY1-9001, Cayman Islands. The principal business office of the Adviser, the Adviser GP and Senai Asefaw is 767 Third Avenue, 17th Floor, New York, NY 10017.</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For citizenship or place of organization see Item 4 of the cover page of each Reporting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984241109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See Item 9 on the cover page for each Reporting Person, and Item 2, which information is given as of the close of business on the Event Date of September 30, 2025.</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on the cover page for each Reporting Person.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47" w:orient="portrait"/>
          <w:cols w:equalWidth="0" w:num="1">
            <w:col w:w="10740"/>
          </w:cols>
          <w:pgMar w:left="360" w:top="355" w:right="7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5 on the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6 on the cover page for each Reporting Person.</w:t>
      </w:r>
    </w:p>
    <w:p>
      <w:pPr>
        <w:spacing w:after="0" w:line="287" w:lineRule="exact"/>
        <w:rPr>
          <w:sz w:val="20"/>
          <w:szCs w:val="20"/>
          <w:color w:val="auto"/>
        </w:rPr>
      </w:pPr>
    </w:p>
    <w:p>
      <w:pPr>
        <w:jc w:val="both"/>
        <w:ind w:right="492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Item 7 on the cover page for each Reporting Person.</w:t>
      </w:r>
    </w:p>
    <w:p>
      <w:pPr>
        <w:spacing w:after="0" w:line="1" w:lineRule="exact"/>
        <w:rPr>
          <w:rFonts w:ascii="Times New Roman" w:cs="Times New Roman" w:eastAsia="Times New Roman" w:hAnsi="Times New Roman"/>
          <w:sz w:val="21"/>
          <w:szCs w:val="21"/>
          <w:color w:val="auto"/>
        </w:rPr>
      </w:pPr>
    </w:p>
    <w:p>
      <w:pPr>
        <w:ind w:right="4720" w:firstLine="6"/>
        <w:spacing w:after="0" w:line="509" w:lineRule="auto"/>
        <w:tabs>
          <w:tab w:leader="none" w:pos="36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Item 8 on the cover page for each Reporting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47" w:orient="portrait"/>
          <w:cols w:equalWidth="0" w:num="2">
            <w:col w:w="620" w:space="300"/>
            <w:col w:w="9820"/>
          </w:cols>
          <w:pgMar w:left="360" w:top="355" w:right="79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Paradigm BioCapital Advisors LP</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 Kim</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David K. Kim / Authorized Signatory</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Paradigm BioCapital Advisors GP LLC</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 Kim</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David K. Kim / Authorized Signatory</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Senai Asefaw, M.D.</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Senai Asefaw, M.D.</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N/A</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Paradigm BioCapital International Fund Ltd.</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 Kim</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David K. Kim / Authorized Signatory</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2025-11-14T15:37:13Z</dcterms:created>
  <dcterms:modified xsi:type="dcterms:W3CDTF">2025-11-14T15:37:13Z</dcterms:modified>
</cp:coreProperties>
</file>