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346075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3" w:lineRule="exact"/>
        <w:rPr>
          <w:sz w:val="24"/>
          <w:szCs w:val="24"/>
          <w:color w:val="auto"/>
        </w:rPr>
      </w:pPr>
    </w:p>
    <w:p>
      <w:pPr>
        <w:ind w:left="4660"/>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the Securities Exchange Act of 1934</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Date of report (Date of earliest event reported): August 5, 2021</w:t>
      </w:r>
    </w:p>
    <w:p>
      <w:pPr>
        <w:spacing w:after="0" w:line="20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Y-MABS THERAPEUTICS,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24130</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5" w:lineRule="exact"/>
        <w:rPr>
          <w:sz w:val="24"/>
          <w:szCs w:val="24"/>
          <w:color w:val="auto"/>
        </w:rPr>
      </w:pPr>
    </w:p>
    <w:tbl>
      <w:tblPr>
        <w:tblLayout w:type="fixed"/>
        <w:tblInd w:w="800" w:type="dxa"/>
        <w:tblCellMar>
          <w:top w:w="0" w:type="dxa"/>
          <w:left w:w="0" w:type="dxa"/>
          <w:bottom w:w="0" w:type="dxa"/>
          <w:right w:w="0" w:type="dxa"/>
        </w:tblCellMar>
      </w:tblPr>
      <w:tr>
        <w:trPr>
          <w:trHeight w:val="216"/>
        </w:trPr>
        <w:tc>
          <w:tcPr>
            <w:tcW w:w="2620" w:type="dxa"/>
            <w:vAlign w:val="bottom"/>
          </w:tcPr>
          <w:p>
            <w:pPr>
              <w:jc w:val="center"/>
              <w:ind w:right="170"/>
              <w:spacing w:after="0"/>
              <w:rPr>
                <w:sz w:val="20"/>
                <w:szCs w:val="20"/>
                <w:color w:val="auto"/>
              </w:rPr>
            </w:pPr>
            <w:r>
              <w:rPr>
                <w:rFonts w:ascii="Arial" w:cs="Arial" w:eastAsia="Arial" w:hAnsi="Arial"/>
                <w:sz w:val="18"/>
                <w:szCs w:val="18"/>
                <w:b w:val="1"/>
                <w:bCs w:val="1"/>
                <w:color w:val="auto"/>
                <w:w w:val="91"/>
              </w:rPr>
              <w:t>Delaware</w:t>
            </w:r>
          </w:p>
        </w:tc>
        <w:tc>
          <w:tcPr>
            <w:tcW w:w="4660" w:type="dxa"/>
            <w:vAlign w:val="bottom"/>
          </w:tcPr>
          <w:p>
            <w:pPr>
              <w:jc w:val="center"/>
              <w:ind w:right="150"/>
              <w:spacing w:after="0"/>
              <w:rPr>
                <w:sz w:val="20"/>
                <w:szCs w:val="20"/>
                <w:color w:val="auto"/>
              </w:rPr>
            </w:pPr>
            <w:r>
              <w:rPr>
                <w:rFonts w:ascii="Arial" w:cs="Arial" w:eastAsia="Arial" w:hAnsi="Arial"/>
                <w:sz w:val="18"/>
                <w:szCs w:val="18"/>
                <w:b w:val="1"/>
                <w:bCs w:val="1"/>
                <w:color w:val="auto"/>
                <w:w w:val="90"/>
              </w:rPr>
              <w:t>001-38650</w:t>
            </w:r>
          </w:p>
        </w:tc>
        <w:tc>
          <w:tcPr>
            <w:tcW w:w="1900" w:type="dxa"/>
            <w:vAlign w:val="bottom"/>
          </w:tcPr>
          <w:p>
            <w:pPr>
              <w:jc w:val="center"/>
              <w:ind w:left="410"/>
              <w:spacing w:after="0"/>
              <w:rPr>
                <w:sz w:val="20"/>
                <w:szCs w:val="20"/>
                <w:color w:val="auto"/>
              </w:rPr>
            </w:pPr>
            <w:r>
              <w:rPr>
                <w:rFonts w:ascii="Arial" w:cs="Arial" w:eastAsia="Arial" w:hAnsi="Arial"/>
                <w:sz w:val="18"/>
                <w:szCs w:val="18"/>
                <w:b w:val="1"/>
                <w:bCs w:val="1"/>
                <w:color w:val="auto"/>
                <w:w w:val="91"/>
              </w:rPr>
              <w:t>47-4619612</w:t>
            </w:r>
          </w:p>
        </w:tc>
      </w:tr>
      <w:tr>
        <w:trPr>
          <w:trHeight w:val="216"/>
        </w:trPr>
        <w:tc>
          <w:tcPr>
            <w:tcW w:w="2620" w:type="dxa"/>
            <w:vAlign w:val="bottom"/>
          </w:tcPr>
          <w:p>
            <w:pPr>
              <w:jc w:val="center"/>
              <w:ind w:right="170"/>
              <w:spacing w:after="0"/>
              <w:rPr>
                <w:sz w:val="20"/>
                <w:szCs w:val="20"/>
                <w:color w:val="auto"/>
              </w:rPr>
            </w:pPr>
            <w:r>
              <w:rPr>
                <w:rFonts w:ascii="Arial" w:cs="Arial" w:eastAsia="Arial" w:hAnsi="Arial"/>
                <w:sz w:val="18"/>
                <w:szCs w:val="18"/>
                <w:b w:val="1"/>
                <w:bCs w:val="1"/>
                <w:color w:val="auto"/>
                <w:w w:val="90"/>
              </w:rPr>
              <w:t>(State or other jurisdiction of</w:t>
            </w:r>
          </w:p>
        </w:tc>
        <w:tc>
          <w:tcPr>
            <w:tcW w:w="4660" w:type="dxa"/>
            <w:vAlign w:val="bottom"/>
          </w:tcPr>
          <w:p>
            <w:pPr>
              <w:jc w:val="center"/>
              <w:ind w:right="130"/>
              <w:spacing w:after="0"/>
              <w:rPr>
                <w:sz w:val="20"/>
                <w:szCs w:val="20"/>
                <w:color w:val="auto"/>
              </w:rPr>
            </w:pPr>
            <w:r>
              <w:rPr>
                <w:rFonts w:ascii="Arial" w:cs="Arial" w:eastAsia="Arial" w:hAnsi="Arial"/>
                <w:sz w:val="18"/>
                <w:szCs w:val="18"/>
                <w:b w:val="1"/>
                <w:bCs w:val="1"/>
                <w:color w:val="auto"/>
                <w:w w:val="87"/>
              </w:rPr>
              <w:t>(Commission</w:t>
            </w:r>
          </w:p>
        </w:tc>
        <w:tc>
          <w:tcPr>
            <w:tcW w:w="1900" w:type="dxa"/>
            <w:vAlign w:val="bottom"/>
          </w:tcPr>
          <w:p>
            <w:pPr>
              <w:jc w:val="center"/>
              <w:ind w:left="390"/>
              <w:spacing w:after="0"/>
              <w:rPr>
                <w:sz w:val="20"/>
                <w:szCs w:val="20"/>
                <w:color w:val="auto"/>
              </w:rPr>
            </w:pPr>
            <w:r>
              <w:rPr>
                <w:rFonts w:ascii="Arial" w:cs="Arial" w:eastAsia="Arial" w:hAnsi="Arial"/>
                <w:sz w:val="18"/>
                <w:szCs w:val="18"/>
                <w:b w:val="1"/>
                <w:bCs w:val="1"/>
                <w:color w:val="auto"/>
                <w:w w:val="94"/>
              </w:rPr>
              <w:t>(I.R.S. Employer</w:t>
            </w:r>
          </w:p>
        </w:tc>
      </w:tr>
      <w:tr>
        <w:trPr>
          <w:trHeight w:val="234"/>
        </w:trPr>
        <w:tc>
          <w:tcPr>
            <w:tcW w:w="2620" w:type="dxa"/>
            <w:vAlign w:val="bottom"/>
          </w:tcPr>
          <w:p>
            <w:pPr>
              <w:jc w:val="center"/>
              <w:ind w:right="170"/>
              <w:spacing w:after="0"/>
              <w:rPr>
                <w:sz w:val="20"/>
                <w:szCs w:val="20"/>
                <w:color w:val="auto"/>
              </w:rPr>
            </w:pPr>
            <w:r>
              <w:rPr>
                <w:rFonts w:ascii="Arial" w:cs="Arial" w:eastAsia="Arial" w:hAnsi="Arial"/>
                <w:sz w:val="18"/>
                <w:szCs w:val="18"/>
                <w:b w:val="1"/>
                <w:bCs w:val="1"/>
                <w:color w:val="auto"/>
                <w:w w:val="91"/>
              </w:rPr>
              <w:t>incorporation or organization)</w:t>
            </w:r>
          </w:p>
        </w:tc>
        <w:tc>
          <w:tcPr>
            <w:tcW w:w="4660" w:type="dxa"/>
            <w:vAlign w:val="bottom"/>
          </w:tcPr>
          <w:p>
            <w:pPr>
              <w:jc w:val="center"/>
              <w:ind w:right="130"/>
              <w:spacing w:after="0"/>
              <w:rPr>
                <w:sz w:val="20"/>
                <w:szCs w:val="20"/>
                <w:color w:val="auto"/>
              </w:rPr>
            </w:pPr>
            <w:r>
              <w:rPr>
                <w:rFonts w:ascii="Arial" w:cs="Arial" w:eastAsia="Arial" w:hAnsi="Arial"/>
                <w:sz w:val="18"/>
                <w:szCs w:val="18"/>
                <w:b w:val="1"/>
                <w:bCs w:val="1"/>
                <w:color w:val="auto"/>
                <w:w w:val="94"/>
              </w:rPr>
              <w:t>File Number)</w:t>
            </w:r>
          </w:p>
        </w:tc>
        <w:tc>
          <w:tcPr>
            <w:tcW w:w="1900" w:type="dxa"/>
            <w:vAlign w:val="bottom"/>
          </w:tcPr>
          <w:p>
            <w:pPr>
              <w:jc w:val="center"/>
              <w:ind w:left="410"/>
              <w:spacing w:after="0"/>
              <w:rPr>
                <w:sz w:val="20"/>
                <w:szCs w:val="20"/>
                <w:color w:val="auto"/>
              </w:rPr>
            </w:pPr>
            <w:r>
              <w:rPr>
                <w:rFonts w:ascii="Arial" w:cs="Arial" w:eastAsia="Arial" w:hAnsi="Arial"/>
                <w:sz w:val="18"/>
                <w:szCs w:val="18"/>
                <w:b w:val="1"/>
                <w:bCs w:val="1"/>
                <w:color w:val="auto"/>
                <w:w w:val="92"/>
              </w:rPr>
              <w:t>Identification No.)</w:t>
            </w:r>
          </w:p>
        </w:tc>
      </w:tr>
      <w:tr>
        <w:trPr>
          <w:trHeight w:val="414"/>
        </w:trPr>
        <w:tc>
          <w:tcPr>
            <w:tcW w:w="2620" w:type="dxa"/>
            <w:vAlign w:val="bottom"/>
          </w:tcPr>
          <w:p>
            <w:pPr>
              <w:spacing w:after="0"/>
              <w:rPr>
                <w:sz w:val="24"/>
                <w:szCs w:val="24"/>
                <w:color w:val="auto"/>
              </w:rPr>
            </w:pPr>
          </w:p>
        </w:tc>
        <w:tc>
          <w:tcPr>
            <w:tcW w:w="4660" w:type="dxa"/>
            <w:vAlign w:val="bottom"/>
          </w:tcPr>
          <w:p>
            <w:pPr>
              <w:jc w:val="center"/>
              <w:ind w:right="150"/>
              <w:spacing w:after="0"/>
              <w:rPr>
                <w:sz w:val="20"/>
                <w:szCs w:val="20"/>
                <w:color w:val="auto"/>
              </w:rPr>
            </w:pPr>
            <w:r>
              <w:rPr>
                <w:rFonts w:ascii="Arial" w:cs="Arial" w:eastAsia="Arial" w:hAnsi="Arial"/>
                <w:sz w:val="18"/>
                <w:szCs w:val="18"/>
                <w:b w:val="1"/>
                <w:bCs w:val="1"/>
                <w:color w:val="auto"/>
                <w:w w:val="90"/>
              </w:rPr>
              <w:t>230 Park Avenue</w:t>
            </w:r>
          </w:p>
        </w:tc>
        <w:tc>
          <w:tcPr>
            <w:tcW w:w="1900" w:type="dxa"/>
            <w:vAlign w:val="bottom"/>
          </w:tcPr>
          <w:p>
            <w:pPr>
              <w:spacing w:after="0"/>
              <w:rPr>
                <w:sz w:val="24"/>
                <w:szCs w:val="24"/>
                <w:color w:val="auto"/>
              </w:rPr>
            </w:pPr>
          </w:p>
        </w:tc>
      </w:tr>
      <w:tr>
        <w:trPr>
          <w:trHeight w:val="216"/>
        </w:trPr>
        <w:tc>
          <w:tcPr>
            <w:tcW w:w="2620" w:type="dxa"/>
            <w:vAlign w:val="bottom"/>
          </w:tcPr>
          <w:p>
            <w:pPr>
              <w:spacing w:after="0"/>
              <w:rPr>
                <w:sz w:val="18"/>
                <w:szCs w:val="18"/>
                <w:color w:val="auto"/>
              </w:rPr>
            </w:pPr>
          </w:p>
        </w:tc>
        <w:tc>
          <w:tcPr>
            <w:tcW w:w="4660" w:type="dxa"/>
            <w:vAlign w:val="bottom"/>
          </w:tcPr>
          <w:p>
            <w:pPr>
              <w:jc w:val="center"/>
              <w:ind w:right="170"/>
              <w:spacing w:after="0"/>
              <w:rPr>
                <w:sz w:val="20"/>
                <w:szCs w:val="20"/>
                <w:color w:val="auto"/>
              </w:rPr>
            </w:pPr>
            <w:r>
              <w:rPr>
                <w:rFonts w:ascii="Arial" w:cs="Arial" w:eastAsia="Arial" w:hAnsi="Arial"/>
                <w:sz w:val="18"/>
                <w:szCs w:val="18"/>
                <w:b w:val="1"/>
                <w:bCs w:val="1"/>
                <w:color w:val="auto"/>
                <w:w w:val="89"/>
              </w:rPr>
              <w:t>Suite 3350</w:t>
            </w:r>
          </w:p>
        </w:tc>
        <w:tc>
          <w:tcPr>
            <w:tcW w:w="1900" w:type="dxa"/>
            <w:vAlign w:val="bottom"/>
          </w:tcPr>
          <w:p>
            <w:pPr>
              <w:spacing w:after="0"/>
              <w:rPr>
                <w:sz w:val="18"/>
                <w:szCs w:val="18"/>
                <w:color w:val="auto"/>
              </w:rPr>
            </w:pPr>
          </w:p>
        </w:tc>
      </w:tr>
      <w:tr>
        <w:trPr>
          <w:trHeight w:val="216"/>
        </w:trPr>
        <w:tc>
          <w:tcPr>
            <w:tcW w:w="2620" w:type="dxa"/>
            <w:vAlign w:val="bottom"/>
          </w:tcPr>
          <w:p>
            <w:pPr>
              <w:spacing w:after="0"/>
              <w:rPr>
                <w:sz w:val="18"/>
                <w:szCs w:val="18"/>
                <w:color w:val="auto"/>
              </w:rPr>
            </w:pPr>
          </w:p>
        </w:tc>
        <w:tc>
          <w:tcPr>
            <w:tcW w:w="4660" w:type="dxa"/>
            <w:vAlign w:val="bottom"/>
          </w:tcPr>
          <w:p>
            <w:pPr>
              <w:jc w:val="center"/>
              <w:ind w:right="170"/>
              <w:spacing w:after="0"/>
              <w:rPr>
                <w:sz w:val="20"/>
                <w:szCs w:val="20"/>
                <w:color w:val="auto"/>
              </w:rPr>
            </w:pPr>
            <w:r>
              <w:rPr>
                <w:rFonts w:ascii="Arial" w:cs="Arial" w:eastAsia="Arial" w:hAnsi="Arial"/>
                <w:sz w:val="18"/>
                <w:szCs w:val="18"/>
                <w:b w:val="1"/>
                <w:bCs w:val="1"/>
                <w:color w:val="auto"/>
                <w:w w:val="92"/>
              </w:rPr>
              <w:t>New York, New York 10169</w:t>
            </w:r>
          </w:p>
        </w:tc>
        <w:tc>
          <w:tcPr>
            <w:tcW w:w="1900" w:type="dxa"/>
            <w:vAlign w:val="bottom"/>
          </w:tcPr>
          <w:p>
            <w:pPr>
              <w:spacing w:after="0"/>
              <w:rPr>
                <w:sz w:val="18"/>
                <w:szCs w:val="18"/>
                <w:color w:val="auto"/>
              </w:rPr>
            </w:pPr>
          </w:p>
        </w:tc>
      </w:tr>
      <w:tr>
        <w:trPr>
          <w:trHeight w:val="234"/>
        </w:trPr>
        <w:tc>
          <w:tcPr>
            <w:tcW w:w="2620" w:type="dxa"/>
            <w:vAlign w:val="bottom"/>
          </w:tcPr>
          <w:p>
            <w:pPr>
              <w:spacing w:after="0"/>
              <w:rPr>
                <w:sz w:val="20"/>
                <w:szCs w:val="20"/>
                <w:color w:val="auto"/>
              </w:rPr>
            </w:pPr>
          </w:p>
        </w:tc>
        <w:tc>
          <w:tcPr>
            <w:tcW w:w="4660" w:type="dxa"/>
            <w:vAlign w:val="bottom"/>
          </w:tcPr>
          <w:p>
            <w:pPr>
              <w:jc w:val="center"/>
              <w:ind w:right="150"/>
              <w:spacing w:after="0"/>
              <w:rPr>
                <w:sz w:val="20"/>
                <w:szCs w:val="20"/>
                <w:color w:val="auto"/>
              </w:rPr>
            </w:pPr>
            <w:r>
              <w:rPr>
                <w:rFonts w:ascii="Arial" w:cs="Arial" w:eastAsia="Arial" w:hAnsi="Arial"/>
                <w:sz w:val="18"/>
                <w:szCs w:val="18"/>
                <w:b w:val="1"/>
                <w:bCs w:val="1"/>
                <w:color w:val="auto"/>
                <w:w w:val="89"/>
              </w:rPr>
              <w:t>(Address of principal executive offices) (Zip Code)</w:t>
            </w:r>
          </w:p>
        </w:tc>
        <w:tc>
          <w:tcPr>
            <w:tcW w:w="1900" w:type="dxa"/>
            <w:vAlign w:val="bottom"/>
          </w:tcPr>
          <w:p>
            <w:pPr>
              <w:spacing w:after="0"/>
              <w:rPr>
                <w:sz w:val="20"/>
                <w:szCs w:val="20"/>
                <w:color w:val="auto"/>
              </w:rPr>
            </w:pPr>
          </w:p>
        </w:tc>
      </w:tr>
      <w:tr>
        <w:trPr>
          <w:trHeight w:val="414"/>
        </w:trPr>
        <w:tc>
          <w:tcPr>
            <w:tcW w:w="2620" w:type="dxa"/>
            <w:vAlign w:val="bottom"/>
          </w:tcPr>
          <w:p>
            <w:pPr>
              <w:spacing w:after="0"/>
              <w:rPr>
                <w:sz w:val="24"/>
                <w:szCs w:val="24"/>
                <w:color w:val="auto"/>
              </w:rPr>
            </w:pPr>
          </w:p>
        </w:tc>
        <w:tc>
          <w:tcPr>
            <w:tcW w:w="4660" w:type="dxa"/>
            <w:vAlign w:val="bottom"/>
          </w:tcPr>
          <w:p>
            <w:pPr>
              <w:jc w:val="center"/>
              <w:ind w:right="170"/>
              <w:spacing w:after="0"/>
              <w:rPr>
                <w:sz w:val="20"/>
                <w:szCs w:val="20"/>
                <w:color w:val="auto"/>
              </w:rPr>
            </w:pPr>
            <w:r>
              <w:rPr>
                <w:rFonts w:ascii="Arial" w:cs="Arial" w:eastAsia="Arial" w:hAnsi="Arial"/>
                <w:sz w:val="18"/>
                <w:szCs w:val="18"/>
                <w:b w:val="1"/>
                <w:bCs w:val="1"/>
                <w:color w:val="auto"/>
                <w:w w:val="90"/>
              </w:rPr>
              <w:t>(646) 885-8505</w:t>
            </w:r>
          </w:p>
        </w:tc>
        <w:tc>
          <w:tcPr>
            <w:tcW w:w="1900" w:type="dxa"/>
            <w:vAlign w:val="bottom"/>
          </w:tcPr>
          <w:p>
            <w:pPr>
              <w:spacing w:after="0"/>
              <w:rPr>
                <w:sz w:val="24"/>
                <w:szCs w:val="24"/>
                <w:color w:val="auto"/>
              </w:rPr>
            </w:pPr>
          </w:p>
        </w:tc>
      </w:tr>
      <w:tr>
        <w:trPr>
          <w:trHeight w:val="234"/>
        </w:trPr>
        <w:tc>
          <w:tcPr>
            <w:tcW w:w="2620" w:type="dxa"/>
            <w:vAlign w:val="bottom"/>
          </w:tcPr>
          <w:p>
            <w:pPr>
              <w:spacing w:after="0"/>
              <w:rPr>
                <w:sz w:val="20"/>
                <w:szCs w:val="20"/>
                <w:color w:val="auto"/>
              </w:rPr>
            </w:pPr>
          </w:p>
        </w:tc>
        <w:tc>
          <w:tcPr>
            <w:tcW w:w="4660" w:type="dxa"/>
            <w:vAlign w:val="bottom"/>
          </w:tcPr>
          <w:p>
            <w:pPr>
              <w:jc w:val="center"/>
              <w:ind w:right="150"/>
              <w:spacing w:after="0"/>
              <w:rPr>
                <w:sz w:val="20"/>
                <w:szCs w:val="20"/>
                <w:color w:val="auto"/>
              </w:rPr>
            </w:pPr>
            <w:r>
              <w:rPr>
                <w:rFonts w:ascii="Arial" w:cs="Arial" w:eastAsia="Arial" w:hAnsi="Arial"/>
                <w:sz w:val="18"/>
                <w:szCs w:val="18"/>
                <w:b w:val="1"/>
                <w:bCs w:val="1"/>
                <w:color w:val="auto"/>
                <w:w w:val="88"/>
              </w:rPr>
              <w:t>(Registrant’s telephone number, include area code)</w:t>
            </w:r>
          </w:p>
        </w:tc>
        <w:tc>
          <w:tcPr>
            <w:tcW w:w="1900" w:type="dxa"/>
            <w:vAlign w:val="bottom"/>
          </w:tcPr>
          <w:p>
            <w:pPr>
              <w:spacing w:after="0"/>
              <w:rPr>
                <w:sz w:val="20"/>
                <w:szCs w:val="20"/>
                <w:color w:val="auto"/>
              </w:rPr>
            </w:pPr>
          </w:p>
        </w:tc>
      </w:tr>
    </w:tbl>
    <w:p>
      <w:pPr>
        <w:spacing w:after="0" w:line="19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N/A</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(Former Name or Former Address, if Changed Since Last Report)</w:t>
      </w:r>
    </w:p>
    <w:p>
      <w:pPr>
        <w:spacing w:after="0" w:line="211"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740" w:firstLine="8"/>
        <w:spacing w:after="0" w:line="498" w:lineRule="auto"/>
        <w:tabs>
          <w:tab w:leader="none" w:pos="445"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440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8"/>
              </w:rPr>
              <w:t>Title of each class:</w:t>
            </w:r>
          </w:p>
        </w:tc>
        <w:tc>
          <w:tcPr>
            <w:tcW w:w="25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1"/>
              </w:rPr>
              <w:t>Trading Symbol</w:t>
            </w:r>
          </w:p>
        </w:tc>
        <w:tc>
          <w:tcPr>
            <w:tcW w:w="4260" w:type="dxa"/>
            <w:vAlign w:val="bottom"/>
          </w:tcPr>
          <w:p>
            <w:pPr>
              <w:jc w:val="center"/>
              <w:spacing w:after="0"/>
              <w:rPr>
                <w:sz w:val="20"/>
                <w:szCs w:val="20"/>
                <w:color w:val="auto"/>
              </w:rPr>
            </w:pPr>
            <w:r>
              <w:rPr>
                <w:rFonts w:ascii="Arial" w:cs="Arial" w:eastAsia="Arial" w:hAnsi="Arial"/>
                <w:sz w:val="18"/>
                <w:szCs w:val="18"/>
                <w:b w:val="1"/>
                <w:bCs w:val="1"/>
                <w:color w:val="auto"/>
                <w:w w:val="88"/>
              </w:rPr>
              <w:t>Name of each exchange on which registered:</w:t>
            </w:r>
          </w:p>
        </w:tc>
      </w:tr>
      <w:tr>
        <w:trPr>
          <w:trHeight w:val="224"/>
        </w:trPr>
        <w:tc>
          <w:tcPr>
            <w:tcW w:w="428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0"/>
              </w:rPr>
              <w:t>Common Stock, $0.0001 par value</w:t>
            </w:r>
          </w:p>
        </w:tc>
        <w:tc>
          <w:tcPr>
            <w:tcW w:w="120" w:type="dxa"/>
            <w:vAlign w:val="bottom"/>
          </w:tcPr>
          <w:p>
            <w:pPr>
              <w:spacing w:after="0"/>
              <w:rPr>
                <w:sz w:val="19"/>
                <w:szCs w:val="19"/>
                <w:color w:val="auto"/>
              </w:rPr>
            </w:pPr>
          </w:p>
        </w:tc>
        <w:tc>
          <w:tcPr>
            <w:tcW w:w="246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rPr>
              <w:t>YMAB</w:t>
            </w:r>
          </w:p>
        </w:tc>
        <w:tc>
          <w:tcPr>
            <w:tcW w:w="120" w:type="dxa"/>
            <w:vAlign w:val="bottom"/>
          </w:tcPr>
          <w:p>
            <w:pPr>
              <w:spacing w:after="0"/>
              <w:rPr>
                <w:sz w:val="19"/>
                <w:szCs w:val="19"/>
                <w:color w:val="auto"/>
              </w:rPr>
            </w:pPr>
          </w:p>
        </w:tc>
        <w:tc>
          <w:tcPr>
            <w:tcW w:w="426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4"/>
              </w:rPr>
              <w:t>NASDAQ Global Select Market</w:t>
            </w:r>
          </w:p>
        </w:tc>
      </w:tr>
    </w:tbl>
    <w:p>
      <w:pPr>
        <w:spacing w:after="0" w:line="187" w:lineRule="exact"/>
        <w:rPr>
          <w:sz w:val="24"/>
          <w:szCs w:val="24"/>
          <w:color w:val="auto"/>
        </w:rPr>
      </w:pPr>
    </w:p>
    <w:p>
      <w:pPr>
        <w:jc w:val="both"/>
        <w:ind w:right="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jc w:val="both"/>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142240</wp:posOffset>
            </wp:positionV>
            <wp:extent cx="7132320" cy="260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605155</wp:posOffset>
            </wp:positionV>
            <wp:extent cx="71323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60" w:right="3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2.02. Results of Operations and Financial Condition.</w:t>
      </w:r>
    </w:p>
    <w:p>
      <w:pPr>
        <w:spacing w:after="0" w:line="229"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On August 5, 2021, Y-mAbs Therapeutics, Inc., announced its financial results for the quarter ended June 30, 2021. A copy of the press release is attached hereto as Exhibit 99.1.</w:t>
      </w:r>
    </w:p>
    <w:p>
      <w:pPr>
        <w:spacing w:after="0" w:line="1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information furnished pursuant to Item 2.02 on this Form 8-K, including Exhibit 99.1 attached hereto, shall not be deemed “filed” for purposes of Section 18 of the Securities Exchange Act of 1934, as amended (the “Exchange Act”), or otherwise subject to the liabilities of that section, nor shall it be deemed incorporated by reference into any other filing under the Securities Act or the Exchange Act, except as expressly set forth by specific reference in such a filing.</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0200" w:type="dxa"/>
            <w:vAlign w:val="bottom"/>
            <w:gridSpan w:val="3"/>
          </w:tcPr>
          <w:p>
            <w:pPr>
              <w:ind w:left="520"/>
              <w:spacing w:after="0"/>
              <w:rPr>
                <w:sz w:val="20"/>
                <w:szCs w:val="20"/>
                <w:color w:val="auto"/>
              </w:rPr>
            </w:pPr>
            <w:r>
              <w:rPr>
                <w:rFonts w:ascii="Arial" w:cs="Arial" w:eastAsia="Arial" w:hAnsi="Arial"/>
                <w:sz w:val="18"/>
                <w:szCs w:val="18"/>
                <w:color w:val="auto"/>
              </w:rPr>
              <w:t>(d) Exhibits</w:t>
            </w:r>
          </w:p>
        </w:tc>
      </w:tr>
      <w:tr>
        <w:trPr>
          <w:trHeight w:val="439"/>
        </w:trPr>
        <w:tc>
          <w:tcPr>
            <w:tcW w:w="1040" w:type="dxa"/>
            <w:vAlign w:val="bottom"/>
            <w:tcBorders>
              <w:bottom w:val="single" w:sz="8" w:color="auto"/>
            </w:tcBorders>
            <w:gridSpan w:val="2"/>
          </w:tcPr>
          <w:p>
            <w:pPr>
              <w:ind w:left="80"/>
              <w:spacing w:after="0"/>
              <w:rPr>
                <w:sz w:val="20"/>
                <w:szCs w:val="20"/>
                <w:color w:val="auto"/>
              </w:rPr>
            </w:pPr>
            <w:r>
              <w:rPr>
                <w:rFonts w:ascii="Arial" w:cs="Arial" w:eastAsia="Arial" w:hAnsi="Arial"/>
                <w:sz w:val="18"/>
                <w:szCs w:val="18"/>
                <w:b w:val="1"/>
                <w:bCs w:val="1"/>
                <w:color w:val="auto"/>
                <w:w w:val="99"/>
              </w:rPr>
              <w:t>Exhibit No.</w:t>
            </w:r>
          </w:p>
        </w:tc>
        <w:tc>
          <w:tcPr>
            <w:tcW w:w="540" w:type="dxa"/>
            <w:vAlign w:val="bottom"/>
          </w:tcPr>
          <w:p>
            <w:pPr>
              <w:spacing w:after="0"/>
              <w:rPr>
                <w:sz w:val="24"/>
                <w:szCs w:val="24"/>
                <w:color w:val="auto"/>
              </w:rPr>
            </w:pPr>
          </w:p>
        </w:tc>
        <w:tc>
          <w:tcPr>
            <w:tcW w:w="9660" w:type="dxa"/>
            <w:vAlign w:val="bottom"/>
            <w:tcBorders>
              <w:bottom w:val="single" w:sz="8" w:color="auto"/>
            </w:tcBorders>
            <w:gridSpan w:val="2"/>
          </w:tcPr>
          <w:p>
            <w:pPr>
              <w:spacing w:after="0"/>
              <w:rPr>
                <w:sz w:val="20"/>
                <w:szCs w:val="20"/>
                <w:color w:val="auto"/>
              </w:rPr>
            </w:pPr>
            <w:r>
              <w:rPr>
                <w:rFonts w:ascii="Arial" w:cs="Arial" w:eastAsia="Arial" w:hAnsi="Arial"/>
                <w:sz w:val="18"/>
                <w:szCs w:val="18"/>
                <w:b w:val="1"/>
                <w:bCs w:val="1"/>
                <w:color w:val="auto"/>
              </w:rPr>
              <w:t>Description</w:t>
            </w:r>
          </w:p>
        </w:tc>
      </w:tr>
      <w:tr>
        <w:trPr>
          <w:trHeight w:val="392"/>
        </w:trPr>
        <w:tc>
          <w:tcPr>
            <w:tcW w:w="1040" w:type="dxa"/>
            <w:vAlign w:val="bottom"/>
            <w:gridSpan w:val="2"/>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99.</w:t>
              </w:r>
              <w:r>
                <w:rPr>
                  <w:rFonts w:ascii="Arial" w:cs="Arial" w:eastAsia="Arial" w:hAnsi="Arial"/>
                  <w:sz w:val="18"/>
                  <w:szCs w:val="18"/>
                  <w:u w:val="single" w:color="auto"/>
                  <w:color w:val="0000EE"/>
                </w:rPr>
                <w:t>1</w:t>
              </w:r>
            </w:hyperlink>
          </w:p>
        </w:tc>
        <w:tc>
          <w:tcPr>
            <w:tcW w:w="540" w:type="dxa"/>
            <w:vAlign w:val="bottom"/>
          </w:tcPr>
          <w:p>
            <w:pPr>
              <w:spacing w:after="0"/>
              <w:rPr>
                <w:sz w:val="24"/>
                <w:szCs w:val="24"/>
                <w:color w:val="auto"/>
              </w:rPr>
            </w:pPr>
          </w:p>
        </w:tc>
        <w:tc>
          <w:tcPr>
            <w:tcW w:w="9660" w:type="dxa"/>
            <w:vAlign w:val="bottom"/>
            <w:gridSpan w:val="2"/>
          </w:tcPr>
          <w:p>
            <w:pPr>
              <w:spacing w:after="0"/>
              <w:rPr>
                <w:rFonts w:ascii="Arial" w:cs="Arial" w:eastAsia="Arial" w:hAnsi="Arial"/>
                <w:sz w:val="18"/>
                <w:szCs w:val="18"/>
                <w:color w:val="0000EE"/>
              </w:rPr>
            </w:pPr>
            <w:hyperlink w:anchor="page4">
              <w:r>
                <w:rPr>
                  <w:rFonts w:ascii="Arial" w:cs="Arial" w:eastAsia="Arial" w:hAnsi="Arial"/>
                  <w:sz w:val="18"/>
                  <w:szCs w:val="18"/>
                  <w:color w:val="0000EE"/>
                </w:rPr>
                <w:t>Press Release, dated August 5, 2021.</w:t>
              </w:r>
            </w:hyperlink>
          </w:p>
        </w:tc>
      </w:tr>
      <w:tr>
        <w:trPr>
          <w:trHeight w:val="20"/>
        </w:trPr>
        <w:tc>
          <w:tcPr>
            <w:tcW w:w="320" w:type="dxa"/>
            <w:vAlign w:val="bottom"/>
            <w:shd w:val="clear" w:color="auto" w:fill="0000EE"/>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660" w:type="dxa"/>
            <w:vAlign w:val="bottom"/>
            <w:shd w:val="clear" w:color="auto" w:fill="0000EE"/>
          </w:tcPr>
          <w:p>
            <w:pPr>
              <w:spacing w:after="0" w:line="20" w:lineRule="exact"/>
              <w:rPr>
                <w:sz w:val="1"/>
                <w:szCs w:val="1"/>
                <w:color w:val="auto"/>
              </w:rPr>
            </w:pPr>
          </w:p>
        </w:tc>
        <w:tc>
          <w:tcPr>
            <w:tcW w:w="7000" w:type="dxa"/>
            <w:vAlign w:val="bottom"/>
          </w:tcPr>
          <w:p>
            <w:pPr>
              <w:spacing w:after="0" w:line="20" w:lineRule="exact"/>
              <w:rPr>
                <w:sz w:val="1"/>
                <w:szCs w:val="1"/>
                <w:color w:val="auto"/>
              </w:rPr>
            </w:pPr>
          </w:p>
        </w:tc>
      </w:tr>
      <w:tr>
        <w:trPr>
          <w:trHeight w:val="453"/>
        </w:trPr>
        <w:tc>
          <w:tcPr>
            <w:tcW w:w="320" w:type="dxa"/>
            <w:vAlign w:val="bottom"/>
          </w:tcPr>
          <w:p>
            <w:pPr>
              <w:spacing w:after="0"/>
              <w:rPr>
                <w:sz w:val="20"/>
                <w:szCs w:val="20"/>
                <w:color w:val="auto"/>
              </w:rPr>
            </w:pPr>
            <w:r>
              <w:rPr>
                <w:rFonts w:ascii="Arial" w:cs="Arial" w:eastAsia="Arial" w:hAnsi="Arial"/>
                <w:sz w:val="18"/>
                <w:szCs w:val="18"/>
                <w:color w:val="auto"/>
                <w:w w:val="99"/>
              </w:rPr>
              <w:t>104</w:t>
            </w:r>
          </w:p>
        </w:tc>
        <w:tc>
          <w:tcPr>
            <w:tcW w:w="7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9660" w:type="dxa"/>
            <w:vAlign w:val="bottom"/>
            <w:gridSpan w:val="2"/>
          </w:tcPr>
          <w:p>
            <w:pPr>
              <w:spacing w:after="0"/>
              <w:rPr>
                <w:sz w:val="20"/>
                <w:szCs w:val="20"/>
                <w:color w:val="auto"/>
              </w:rPr>
            </w:pPr>
            <w:r>
              <w:rPr>
                <w:rFonts w:ascii="Arial" w:cs="Arial" w:eastAsia="Arial" w:hAnsi="Arial"/>
                <w:sz w:val="18"/>
                <w:szCs w:val="18"/>
                <w:color w:val="auto"/>
              </w:rPr>
              <w:t>Interactive Data File (embedded within the Inline XBRL document).</w:t>
            </w:r>
          </w:p>
        </w:tc>
      </w:tr>
      <w:tr>
        <w:trPr>
          <w:trHeight w:val="432"/>
        </w:trPr>
        <w:tc>
          <w:tcPr>
            <w:tcW w:w="32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2660" w:type="dxa"/>
            <w:vAlign w:val="bottom"/>
            <w:tcBorders>
              <w:bottom w:val="single" w:sz="8" w:color="auto"/>
            </w:tcBorders>
          </w:tcPr>
          <w:p>
            <w:pPr>
              <w:spacing w:after="0"/>
              <w:rPr>
                <w:sz w:val="24"/>
                <w:szCs w:val="24"/>
                <w:color w:val="auto"/>
              </w:rPr>
            </w:pPr>
          </w:p>
        </w:tc>
        <w:tc>
          <w:tcPr>
            <w:tcW w:w="70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4" w:right="3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color w:val="auto"/>
        </w:rPr>
        <w:t>SIGNATURES</w:t>
      </w:r>
    </w:p>
    <w:p>
      <w:pPr>
        <w:spacing w:after="0" w:line="225" w:lineRule="exact"/>
        <w:rPr>
          <w:sz w:val="20"/>
          <w:szCs w:val="20"/>
          <w:color w:val="auto"/>
        </w:rPr>
      </w:pPr>
    </w:p>
    <w:p>
      <w:pPr>
        <w:ind w:firstLine="441"/>
        <w:spacing w:after="0" w:line="277" w:lineRule="auto"/>
        <w:rPr>
          <w:sz w:val="20"/>
          <w:szCs w:val="20"/>
          <w:color w:val="auto"/>
        </w:rPr>
      </w:pPr>
      <w:r>
        <w:rPr>
          <w:rFonts w:ascii="Arial" w:cs="Arial" w:eastAsia="Arial" w:hAnsi="Arial"/>
          <w:sz w:val="18"/>
          <w:szCs w:val="18"/>
          <w:color w:val="auto"/>
        </w:rPr>
        <w:t>Pursuant to the requirements of the Securities Exchange Act of 1934, as amended, the registrant has duly caused this report to be signed on its behalf by the undersigned hereunto duly authorized.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600" w:type="dxa"/>
            <w:vAlign w:val="bottom"/>
          </w:tcPr>
          <w:p>
            <w:pPr>
              <w:spacing w:after="0"/>
              <w:rPr>
                <w:sz w:val="20"/>
                <w:szCs w:val="20"/>
                <w:color w:val="auto"/>
              </w:rPr>
            </w:pPr>
          </w:p>
        </w:tc>
        <w:tc>
          <w:tcPr>
            <w:tcW w:w="7640" w:type="dxa"/>
            <w:vAlign w:val="bottom"/>
            <w:gridSpan w:val="2"/>
          </w:tcPr>
          <w:p>
            <w:pPr>
              <w:ind w:left="2040"/>
              <w:spacing w:after="0"/>
              <w:rPr>
                <w:sz w:val="20"/>
                <w:szCs w:val="20"/>
                <w:color w:val="auto"/>
              </w:rPr>
            </w:pPr>
            <w:r>
              <w:rPr>
                <w:rFonts w:ascii="Arial" w:cs="Arial" w:eastAsia="Arial" w:hAnsi="Arial"/>
                <w:sz w:val="18"/>
                <w:szCs w:val="18"/>
                <w:color w:val="auto"/>
              </w:rPr>
              <w:t>Y-MABS THERAPEUTICS, INC.</w:t>
            </w:r>
          </w:p>
        </w:tc>
      </w:tr>
      <w:tr>
        <w:trPr>
          <w:trHeight w:val="432"/>
        </w:trPr>
        <w:tc>
          <w:tcPr>
            <w:tcW w:w="3600" w:type="dxa"/>
            <w:vAlign w:val="bottom"/>
          </w:tcPr>
          <w:p>
            <w:pPr>
              <w:spacing w:after="0"/>
              <w:rPr>
                <w:sz w:val="20"/>
                <w:szCs w:val="20"/>
                <w:color w:val="auto"/>
              </w:rPr>
            </w:pPr>
            <w:r>
              <w:rPr>
                <w:rFonts w:ascii="Arial" w:cs="Arial" w:eastAsia="Arial" w:hAnsi="Arial"/>
                <w:sz w:val="18"/>
                <w:szCs w:val="18"/>
                <w:color w:val="auto"/>
              </w:rPr>
              <w:t>Date: August 5, 2021</w:t>
            </w:r>
          </w:p>
        </w:tc>
        <w:tc>
          <w:tcPr>
            <w:tcW w:w="7640" w:type="dxa"/>
            <w:vAlign w:val="bottom"/>
            <w:gridSpan w:val="2"/>
          </w:tcPr>
          <w:p>
            <w:pPr>
              <w:ind w:left="2040"/>
              <w:spacing w:after="0"/>
              <w:rPr>
                <w:sz w:val="20"/>
                <w:szCs w:val="20"/>
                <w:color w:val="auto"/>
              </w:rPr>
            </w:pPr>
            <w:r>
              <w:rPr>
                <w:rFonts w:ascii="Arial" w:cs="Arial" w:eastAsia="Arial" w:hAnsi="Arial"/>
                <w:sz w:val="18"/>
                <w:szCs w:val="18"/>
                <w:color w:val="auto"/>
              </w:rPr>
              <w:t>By: /s/ Thomas Gad</w:t>
            </w:r>
          </w:p>
        </w:tc>
      </w:tr>
      <w:tr>
        <w:trPr>
          <w:trHeight w:val="195"/>
        </w:trPr>
        <w:tc>
          <w:tcPr>
            <w:tcW w:w="3600" w:type="dxa"/>
            <w:vAlign w:val="bottom"/>
          </w:tcPr>
          <w:p>
            <w:pPr>
              <w:spacing w:after="0"/>
              <w:rPr>
                <w:sz w:val="16"/>
                <w:szCs w:val="16"/>
                <w:color w:val="auto"/>
              </w:rPr>
            </w:pPr>
          </w:p>
        </w:tc>
        <w:tc>
          <w:tcPr>
            <w:tcW w:w="2360" w:type="dxa"/>
            <w:vAlign w:val="bottom"/>
          </w:tcPr>
          <w:p>
            <w:pPr>
              <w:spacing w:after="0"/>
              <w:rPr>
                <w:sz w:val="16"/>
                <w:szCs w:val="16"/>
                <w:color w:val="auto"/>
              </w:rPr>
            </w:pPr>
          </w:p>
        </w:tc>
        <w:tc>
          <w:tcPr>
            <w:tcW w:w="528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Thomas Gad</w:t>
            </w:r>
          </w:p>
        </w:tc>
      </w:tr>
      <w:tr>
        <w:trPr>
          <w:trHeight w:val="216"/>
        </w:trPr>
        <w:tc>
          <w:tcPr>
            <w:tcW w:w="3600" w:type="dxa"/>
            <w:vAlign w:val="bottom"/>
          </w:tcPr>
          <w:p>
            <w:pPr>
              <w:spacing w:after="0"/>
              <w:rPr>
                <w:sz w:val="18"/>
                <w:szCs w:val="18"/>
                <w:color w:val="auto"/>
              </w:rPr>
            </w:pPr>
          </w:p>
        </w:tc>
        <w:tc>
          <w:tcPr>
            <w:tcW w:w="2360" w:type="dxa"/>
            <w:vAlign w:val="bottom"/>
          </w:tcPr>
          <w:p>
            <w:pPr>
              <w:spacing w:after="0"/>
              <w:rPr>
                <w:sz w:val="18"/>
                <w:szCs w:val="18"/>
                <w:color w:val="auto"/>
              </w:rPr>
            </w:pPr>
          </w:p>
        </w:tc>
        <w:tc>
          <w:tcPr>
            <w:tcW w:w="5280" w:type="dxa"/>
            <w:vAlign w:val="bottom"/>
          </w:tcPr>
          <w:p>
            <w:pPr>
              <w:spacing w:after="0"/>
              <w:rPr>
                <w:sz w:val="20"/>
                <w:szCs w:val="20"/>
                <w:color w:val="auto"/>
              </w:rPr>
            </w:pPr>
            <w:r>
              <w:rPr>
                <w:rFonts w:ascii="Arial" w:cs="Arial" w:eastAsia="Arial" w:hAnsi="Arial"/>
                <w:sz w:val="18"/>
                <w:szCs w:val="18"/>
                <w:color w:val="auto"/>
                <w:w w:val="95"/>
              </w:rPr>
              <w:t>Founder, Chairman, President and Head of Business Development &amp;</w:t>
            </w:r>
          </w:p>
        </w:tc>
      </w:tr>
      <w:tr>
        <w:trPr>
          <w:trHeight w:val="230"/>
        </w:trPr>
        <w:tc>
          <w:tcPr>
            <w:tcW w:w="3600" w:type="dxa"/>
            <w:vAlign w:val="bottom"/>
          </w:tcPr>
          <w:p>
            <w:pPr>
              <w:spacing w:after="0"/>
              <w:rPr>
                <w:sz w:val="20"/>
                <w:szCs w:val="20"/>
                <w:color w:val="auto"/>
              </w:rPr>
            </w:pPr>
          </w:p>
        </w:tc>
        <w:tc>
          <w:tcPr>
            <w:tcW w:w="2360" w:type="dxa"/>
            <w:vAlign w:val="bottom"/>
          </w:tcPr>
          <w:p>
            <w:pPr>
              <w:spacing w:after="0"/>
              <w:rPr>
                <w:sz w:val="20"/>
                <w:szCs w:val="20"/>
                <w:color w:val="auto"/>
              </w:rPr>
            </w:pPr>
          </w:p>
        </w:tc>
        <w:tc>
          <w:tcPr>
            <w:tcW w:w="5280" w:type="dxa"/>
            <w:vAlign w:val="bottom"/>
          </w:tcPr>
          <w:p>
            <w:pPr>
              <w:spacing w:after="0"/>
              <w:rPr>
                <w:sz w:val="20"/>
                <w:szCs w:val="20"/>
                <w:color w:val="auto"/>
              </w:rPr>
            </w:pPr>
            <w:r>
              <w:rPr>
                <w:rFonts w:ascii="Arial" w:cs="Arial" w:eastAsia="Arial" w:hAnsi="Arial"/>
                <w:sz w:val="18"/>
                <w:szCs w:val="18"/>
                <w:color w:val="auto"/>
              </w:rPr>
              <w:t>Strategy</w:t>
            </w:r>
          </w:p>
        </w:tc>
      </w:tr>
      <w:tr>
        <w:trPr>
          <w:trHeight w:val="432"/>
        </w:trPr>
        <w:tc>
          <w:tcPr>
            <w:tcW w:w="3600" w:type="dxa"/>
            <w:vAlign w:val="bottom"/>
            <w:tcBorders>
              <w:bottom w:val="single" w:sz="8" w:color="auto"/>
            </w:tcBorders>
          </w:tcPr>
          <w:p>
            <w:pPr>
              <w:spacing w:after="0"/>
              <w:rPr>
                <w:sz w:val="24"/>
                <w:szCs w:val="24"/>
                <w:color w:val="auto"/>
              </w:rPr>
            </w:pPr>
          </w:p>
        </w:tc>
        <w:tc>
          <w:tcPr>
            <w:tcW w:w="2360" w:type="dxa"/>
            <w:vAlign w:val="bottom"/>
            <w:tcBorders>
              <w:bottom w:val="single" w:sz="8" w:color="auto"/>
            </w:tcBorders>
          </w:tcPr>
          <w:p>
            <w:pPr>
              <w:spacing w:after="0"/>
              <w:rPr>
                <w:sz w:val="24"/>
                <w:szCs w:val="24"/>
                <w:color w:val="auto"/>
              </w:rPr>
            </w:pPr>
          </w:p>
        </w:tc>
        <w:tc>
          <w:tcPr>
            <w:tcW w:w="528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8" w:right="33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4342765</wp:posOffset>
            </wp:positionH>
            <wp:positionV relativeFrom="paragraph">
              <wp:posOffset>165100</wp:posOffset>
            </wp:positionV>
            <wp:extent cx="2760345" cy="7797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2760345" cy="7797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Y-mAbs Announces Second Quarter Financial Results and Recent Corporate Developments</w:t>
      </w:r>
    </w:p>
    <w:p>
      <w:pPr>
        <w:spacing w:after="0" w:line="22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New York, NY, August 5, 2021 (GLOBE NEWSWIRE) – Y-mAbs Therapeutics, Inc. (the “Company” or “Y-mAbs”) (Nasdaq: YMAB) a commercial-stage biopharmaceutical company focused on the development and commercialization of novel, antibody-based therapeutic products for the treatment of cancer, today reported financial results for the second quarter of 2021.</w:t>
      </w:r>
    </w:p>
    <w:p>
      <w:pPr>
        <w:spacing w:after="0" w:line="184"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“We are very pleased with our second quarter 2021 results. The commercialization of DANYELZA® (naxitamab-gqgk) is progressing throughout the U.S. as we continue to see new sites gaining experience with DANYELZA. In addition, the DANYELZA BLA submission has recently been accepted by the National Medical Products Administration of China (“NMPA”), and we continue to advance our deep pipeline. We ended the quarter with a cash balance of $233.6 million, so we believe we are well positioned to elevate our business to new levels,” stated Thomas Gad, founder, Chairman and President.</w:t>
      </w:r>
    </w:p>
    <w:p>
      <w:pPr>
        <w:spacing w:after="0" w:line="15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Dr. Claus Moller, Chief Executive Officer, continued, “We submitted the European Marketing Authorization Application to the European Medicines Agency (the “EMA”) for omburtamab in April. In parallel, after our Type B meeting with the FDA in June, we believe we now have a clearer path towards the resubmission of the omburtamab BLA to the FDA. Pending a positive Type B meeting with the FDA in the third quarter, we hope to initiate rolling resubmission of the omburtamab BLA by the end of the year.”</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Corporate Developments</w:t>
      </w:r>
    </w:p>
    <w:p>
      <w:pPr>
        <w:spacing w:after="0" w:line="229" w:lineRule="exact"/>
        <w:rPr>
          <w:sz w:val="20"/>
          <w:szCs w:val="20"/>
          <w:color w:val="auto"/>
        </w:rPr>
      </w:pPr>
    </w:p>
    <w:p>
      <w:pPr>
        <w:jc w:val="both"/>
        <w:ind w:left="660" w:hanging="328"/>
        <w:spacing w:after="0" w:line="263" w:lineRule="auto"/>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After the close of the first quarter, on July 6, 2021, Y-mAbs announced that SciClone Pharmaceuticals had submitted the Biologics License Application to the National Medical Products Administration (“NMPA”) of China for DANYELZA for the treatment of patients with relapsed/refractory high-risk neuroblastoma.</w:t>
      </w:r>
    </w:p>
    <w:p>
      <w:pPr>
        <w:spacing w:after="0" w:line="183"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On June 25, 2021, Y-mAbs announced that 177Lu-omburtamab-DTPA for the treatment of medulloblastoma had received a positive opinion on Orphan Medicinal Product Designation by EMA.</w:t>
      </w:r>
    </w:p>
    <w:p>
      <w:pPr>
        <w:spacing w:after="0" w:line="170"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On June 23, 2021, Y-mAbs announced updated timelines for resubmission of the BLA for omburtamab for neuroblastoma, with an anticipated initiation of a rolling BLA submission by the end of 2021.</w:t>
      </w:r>
    </w:p>
    <w:p>
      <w:pPr>
        <w:spacing w:after="0" w:line="170" w:lineRule="exact"/>
        <w:rPr>
          <w:rFonts w:ascii="Arial" w:cs="Arial" w:eastAsia="Arial" w:hAnsi="Arial"/>
          <w:sz w:val="18"/>
          <w:szCs w:val="18"/>
          <w:color w:val="auto"/>
        </w:rPr>
      </w:pPr>
    </w:p>
    <w:p>
      <w:pPr>
        <w:ind w:left="660" w:right="20" w:hanging="328"/>
        <w:spacing w:after="0" w:line="277" w:lineRule="auto"/>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On May 19, 2021, Y-mAbs announced an exclusive distribution agreement with Adium Pharma S.A. for DANYELZA and omburtamab in Latin America.</w:t>
      </w:r>
    </w:p>
    <w:p>
      <w:pPr>
        <w:spacing w:after="0" w:line="170" w:lineRule="exact"/>
        <w:rPr>
          <w:rFonts w:ascii="Arial" w:cs="Arial" w:eastAsia="Arial" w:hAnsi="Arial"/>
          <w:sz w:val="18"/>
          <w:szCs w:val="18"/>
          <w:color w:val="auto"/>
        </w:rPr>
      </w:pPr>
    </w:p>
    <w:p>
      <w:pPr>
        <w:ind w:left="660" w:right="20" w:hanging="328"/>
        <w:spacing w:after="0" w:line="277" w:lineRule="auto"/>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On April 27, 2021, Y-mAbs announced the submission to the EMA of a European Marketing Authorization Application for omburtamab for the treatment of pediatric patients with central nervous system/leptomeningeal metastasis from neuroblastoma.</w:t>
      </w:r>
    </w:p>
    <w:p>
      <w:pPr>
        <w:spacing w:after="0" w:line="170" w:lineRule="exact"/>
        <w:rPr>
          <w:rFonts w:ascii="Arial" w:cs="Arial" w:eastAsia="Arial" w:hAnsi="Arial"/>
          <w:sz w:val="18"/>
          <w:szCs w:val="18"/>
          <w:color w:val="auto"/>
        </w:rPr>
      </w:pPr>
    </w:p>
    <w:p>
      <w:pPr>
        <w:ind w:left="660" w:hanging="328"/>
        <w:spacing w:after="0" w:line="308" w:lineRule="auto"/>
        <w:tabs>
          <w:tab w:leader="none" w:pos="660" w:val="left"/>
        </w:tabs>
        <w:numPr>
          <w:ilvl w:val="0"/>
          <w:numId w:val="2"/>
        </w:numPr>
        <w:rPr>
          <w:rFonts w:ascii="Arial" w:cs="Arial" w:eastAsia="Arial" w:hAnsi="Arial"/>
          <w:sz w:val="17"/>
          <w:szCs w:val="17"/>
          <w:color w:val="auto"/>
        </w:rPr>
      </w:pPr>
      <w:r>
        <w:rPr>
          <w:rFonts w:ascii="Arial" w:cs="Arial" w:eastAsia="Arial" w:hAnsi="Arial"/>
          <w:sz w:val="17"/>
          <w:szCs w:val="17"/>
          <w:color w:val="auto"/>
        </w:rPr>
        <w:t>On April 12, 2021, Y-mAbs announced data from GPA33-SADA, which in a xenograft model of colorectal cancer showed radioactivity uptake with a tumor to blood ratio of 122 measured 24 hours after injection. We expect to file an IND for GPA33-SADA next year.</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Results</w:t>
      </w:r>
    </w:p>
    <w:p>
      <w:pPr>
        <w:spacing w:after="0" w:line="229" w:lineRule="exact"/>
        <w:rPr>
          <w:sz w:val="20"/>
          <w:szCs w:val="20"/>
          <w:color w:val="auto"/>
        </w:rPr>
      </w:pPr>
    </w:p>
    <w:p>
      <w:pPr>
        <w:jc w:val="both"/>
        <w:ind w:right="20"/>
        <w:spacing w:after="0" w:line="286" w:lineRule="auto"/>
        <w:rPr>
          <w:sz w:val="20"/>
          <w:szCs w:val="20"/>
          <w:color w:val="auto"/>
        </w:rPr>
      </w:pPr>
      <w:r>
        <w:rPr>
          <w:rFonts w:ascii="Arial" w:cs="Arial" w:eastAsia="Arial" w:hAnsi="Arial"/>
          <w:sz w:val="17"/>
          <w:szCs w:val="17"/>
          <w:color w:val="auto"/>
        </w:rPr>
        <w:t>Y-mAbs reported net loss of $22.9 million, or ($0.53) per basic and diluted share, for the quarter ended June 30, 2021, compared to a net loss of $40.4 million, or ($1.01) per basic and diluted share, reported for the quarter ended June 30, 2020. The decreased net loss was caused by the DANYELZA revenues in 2021 and the reduced R&amp;D expenses for the quarter ended June 30, 2021 compared to June 30,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405765</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355" w:right="339" w:bottom="1440" w:gutter="0" w:footer="0" w:header="0"/>
        </w:sectPr>
      </w:pPr>
    </w:p>
    <w:bookmarkStart w:id="4" w:name="page5"/>
    <w:bookmarkEnd w:id="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4554220</wp:posOffset>
            </wp:positionH>
            <wp:positionV relativeFrom="page">
              <wp:posOffset>586105</wp:posOffset>
            </wp:positionV>
            <wp:extent cx="2760345" cy="7797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2760345" cy="7797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For the six months ended June 30, 2021, Y-mAbs reported a net income of $10.5 million, or $0.25 per basic share and $0.23 per diluted share, compared to the net loss of $66.6 million, or ($1.67) per basic and diluted share, reported for the six months ended June 30, 2020. The net income was primarily caused by the sale of a priority review voucher and the DANYELZA revenues in the first six months of 2021.</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Revenues</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Y-mAbs reported net revenues of $11.0 million for the quarter ended June 30, 2021, consisting of $9.0 million of DANYELZA revenues and $2.0 million of licensing revenue.</w:t>
      </w:r>
    </w:p>
    <w:p>
      <w:pPr>
        <w:spacing w:after="0" w:line="170"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Revenues were $16.3 million for the six months ended June 30, 2021 and consisted of $14.3 million from the sales of DANYELZA and $2.0 million of licensing revenue.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No revenues were reported for the quarter ended and six months ended June 30, 2020.</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Operating Expenses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Research and Development</w:t>
      </w: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Research and development expenses were $19.8 million for the three months ended June 30, 2021, compared to $30.1 million for the three months ended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June 30, 2020, a decrease of $10.3 million. The decrease in research and development expenses was primarily due to the following:</w:t>
      </w:r>
    </w:p>
    <w:p>
      <w:pPr>
        <w:spacing w:after="0" w:line="211" w:lineRule="exact"/>
        <w:rPr>
          <w:sz w:val="20"/>
          <w:szCs w:val="20"/>
          <w:color w:val="auto"/>
        </w:rPr>
      </w:pPr>
    </w:p>
    <w:p>
      <w:pPr>
        <w:jc w:val="both"/>
        <w:ind w:left="660" w:hanging="328"/>
        <w:spacing w:after="0" w:line="301" w:lineRule="auto"/>
        <w:tabs>
          <w:tab w:leader="none" w:pos="660" w:val="left"/>
        </w:tabs>
        <w:numPr>
          <w:ilvl w:val="0"/>
          <w:numId w:val="3"/>
        </w:numPr>
        <w:rPr>
          <w:rFonts w:ascii="Arial" w:cs="Arial" w:eastAsia="Arial" w:hAnsi="Arial"/>
          <w:sz w:val="16"/>
          <w:szCs w:val="16"/>
          <w:color w:val="auto"/>
        </w:rPr>
      </w:pPr>
      <w:r>
        <w:rPr>
          <w:rFonts w:ascii="Arial" w:cs="Arial" w:eastAsia="Arial" w:hAnsi="Arial"/>
          <w:sz w:val="16"/>
          <w:szCs w:val="16"/>
          <w:color w:val="auto"/>
        </w:rPr>
        <w:t>$13.3 million decrease in milestone payments and license acquisition costs driven by the $13.3 million SADA agreement entered into in 2020 which included an upfront payment of $2.0 million, $3.3 million in equity issuances to Memorial Sloan Kettering (“MSK”) and Massachusetts Institute of Technology (“MIT”), $7.4 million for the issuance of shares to two non-employees, and $0.6 million for milestone payments which were deemed probable for the period ending June 30, 2020.This decrease was partially offset by a $3.0 million increase in personnel costs.</w:t>
      </w:r>
    </w:p>
    <w:p>
      <w:pPr>
        <w:spacing w:after="0" w:line="157"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Research and development expenses were $41.4 million for the six months ended June 30, 2021, compared to $48.7 million for the six months ended June 30, 2020, a decrease of $7.3 million. The decrease in research and development expenses was primarily due to:</w:t>
      </w:r>
    </w:p>
    <w:p>
      <w:pPr>
        <w:spacing w:after="0" w:line="170" w:lineRule="exact"/>
        <w:rPr>
          <w:sz w:val="20"/>
          <w:szCs w:val="20"/>
          <w:color w:val="auto"/>
        </w:rPr>
      </w:pPr>
    </w:p>
    <w:p>
      <w:pPr>
        <w:jc w:val="both"/>
        <w:ind w:left="660" w:hanging="328"/>
        <w:spacing w:after="0" w:line="255"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$13.3 million decrease in milestone payments and license acquisition costs driven by the $13.3 million SADA agreement which included an upfront payment of $2.0 million, $3.3 million in equity issuances to MSK and MIT, $7.4 million for the issuance of shares to two non-employees, and $0.6 million for milestone payments which were probable for the period ending June 30, 2020; and</w:t>
      </w:r>
    </w:p>
    <w:p>
      <w:pPr>
        <w:spacing w:after="0" w:line="2"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$3.5 million decrease in outsourced manufacturing expenses.</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These decreases were partially offset by increases of:</w:t>
      </w:r>
    </w:p>
    <w:p>
      <w:pPr>
        <w:spacing w:after="0" w:line="225" w:lineRule="exact"/>
        <w:rPr>
          <w:sz w:val="20"/>
          <w:szCs w:val="20"/>
          <w:color w:val="auto"/>
        </w:rPr>
      </w:pPr>
    </w:p>
    <w:p>
      <w:pPr>
        <w:ind w:left="700" w:hanging="328"/>
        <w:spacing w:after="0"/>
        <w:tabs>
          <w:tab w:leader="none" w:pos="700" w:val="left"/>
        </w:tabs>
        <w:numPr>
          <w:ilvl w:val="0"/>
          <w:numId w:val="5"/>
        </w:numPr>
        <w:rPr>
          <w:rFonts w:ascii="Arial" w:cs="Arial" w:eastAsia="Arial" w:hAnsi="Arial"/>
          <w:sz w:val="18"/>
          <w:szCs w:val="18"/>
          <w:color w:val="auto"/>
        </w:rPr>
      </w:pPr>
      <w:r>
        <w:rPr>
          <w:rFonts w:ascii="Arial" w:cs="Arial" w:eastAsia="Arial" w:hAnsi="Arial"/>
          <w:sz w:val="18"/>
          <w:szCs w:val="18"/>
          <w:color w:val="auto"/>
        </w:rPr>
        <w:t>$5.5 million in personnel costs;</w:t>
      </w:r>
    </w:p>
    <w:p>
      <w:pPr>
        <w:spacing w:after="0" w:line="23" w:lineRule="exact"/>
        <w:rPr>
          <w:rFonts w:ascii="Arial" w:cs="Arial" w:eastAsia="Arial" w:hAnsi="Arial"/>
          <w:sz w:val="18"/>
          <w:szCs w:val="18"/>
          <w:color w:val="auto"/>
        </w:rPr>
      </w:pPr>
    </w:p>
    <w:p>
      <w:pPr>
        <w:ind w:left="700" w:hanging="328"/>
        <w:spacing w:after="0"/>
        <w:tabs>
          <w:tab w:leader="none" w:pos="700" w:val="left"/>
        </w:tabs>
        <w:numPr>
          <w:ilvl w:val="0"/>
          <w:numId w:val="5"/>
        </w:numPr>
        <w:rPr>
          <w:rFonts w:ascii="Arial" w:cs="Arial" w:eastAsia="Arial" w:hAnsi="Arial"/>
          <w:sz w:val="18"/>
          <w:szCs w:val="18"/>
          <w:color w:val="auto"/>
        </w:rPr>
      </w:pPr>
      <w:r>
        <w:rPr>
          <w:rFonts w:ascii="Arial" w:cs="Arial" w:eastAsia="Arial" w:hAnsi="Arial"/>
          <w:sz w:val="18"/>
          <w:szCs w:val="18"/>
          <w:color w:val="auto"/>
        </w:rPr>
        <w:t>$1.3 million in outsourced manufacturing;</w:t>
      </w:r>
    </w:p>
    <w:p>
      <w:pPr>
        <w:spacing w:after="0" w:line="9" w:lineRule="exact"/>
        <w:rPr>
          <w:rFonts w:ascii="Arial" w:cs="Arial" w:eastAsia="Arial" w:hAnsi="Arial"/>
          <w:sz w:val="18"/>
          <w:szCs w:val="18"/>
          <w:color w:val="auto"/>
        </w:rPr>
      </w:pPr>
    </w:p>
    <w:p>
      <w:pPr>
        <w:ind w:left="700" w:hanging="328"/>
        <w:spacing w:after="0"/>
        <w:tabs>
          <w:tab w:leader="none" w:pos="700" w:val="left"/>
        </w:tabs>
        <w:numPr>
          <w:ilvl w:val="0"/>
          <w:numId w:val="5"/>
        </w:numPr>
        <w:rPr>
          <w:rFonts w:ascii="Arial" w:cs="Arial" w:eastAsia="Arial" w:hAnsi="Arial"/>
          <w:sz w:val="18"/>
          <w:szCs w:val="18"/>
          <w:color w:val="auto"/>
        </w:rPr>
      </w:pPr>
      <w:r>
        <w:rPr>
          <w:rFonts w:ascii="Arial" w:cs="Arial" w:eastAsia="Arial" w:hAnsi="Arial"/>
          <w:sz w:val="18"/>
          <w:szCs w:val="18"/>
          <w:color w:val="auto"/>
        </w:rPr>
        <w:t>$0.5 million in clinical trials; and</w:t>
      </w:r>
    </w:p>
    <w:p>
      <w:pPr>
        <w:spacing w:after="0" w:line="9" w:lineRule="exact"/>
        <w:rPr>
          <w:rFonts w:ascii="Arial" w:cs="Arial" w:eastAsia="Arial" w:hAnsi="Arial"/>
          <w:sz w:val="18"/>
          <w:szCs w:val="18"/>
          <w:color w:val="auto"/>
        </w:rPr>
      </w:pPr>
    </w:p>
    <w:p>
      <w:pPr>
        <w:ind w:left="700" w:hanging="328"/>
        <w:spacing w:after="0"/>
        <w:tabs>
          <w:tab w:leader="none" w:pos="700" w:val="left"/>
        </w:tabs>
        <w:numPr>
          <w:ilvl w:val="0"/>
          <w:numId w:val="5"/>
        </w:numPr>
        <w:rPr>
          <w:rFonts w:ascii="Arial" w:cs="Arial" w:eastAsia="Arial" w:hAnsi="Arial"/>
          <w:sz w:val="18"/>
          <w:szCs w:val="18"/>
          <w:color w:val="auto"/>
        </w:rPr>
      </w:pPr>
      <w:r>
        <w:rPr>
          <w:rFonts w:ascii="Arial" w:cs="Arial" w:eastAsia="Arial" w:hAnsi="Arial"/>
          <w:sz w:val="18"/>
          <w:szCs w:val="18"/>
          <w:color w:val="auto"/>
        </w:rPr>
        <w:t>$1.0 million in premises expenses.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434340</wp:posOffset>
            </wp:positionV>
            <wp:extent cx="713232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sectPr>
      </w:pPr>
    </w:p>
    <w:bookmarkStart w:id="5" w:name="page6"/>
    <w:bookmarkEnd w:id="5"/>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4554220</wp:posOffset>
            </wp:positionH>
            <wp:positionV relativeFrom="page">
              <wp:posOffset>586105</wp:posOffset>
            </wp:positionV>
            <wp:extent cx="2760345" cy="7797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clrChange>
                        <a:clrFrom>
                          <a:srgbClr val="FFFFFF"/>
                        </a:clrFrom>
                        <a:clrTo>
                          <a:srgbClr val="FFFFFF">
                            <a:alpha val="0"/>
                          </a:srgbClr>
                        </a:clrTo>
                      </a:clrChange>
                      <a:extLst>
                        <a:ext uri="{28A0092B-C50C-407E-A947-70E740481C1C}"/>
                      </a:extLst>
                    </a:blip>
                    <a:srcRect/>
                    <a:stretch>
                      <a:fillRect/>
                    </a:stretch>
                  </pic:blipFill>
                  <pic:spPr bwMode="auto">
                    <a:xfrm>
                      <a:off x="0" y="0"/>
                      <a:ext cx="2760345" cy="7797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Selling, General, and Administration</w:t>
      </w:r>
    </w:p>
    <w:p>
      <w:pPr>
        <w:spacing w:after="0" w:line="225" w:lineRule="exact"/>
        <w:rPr>
          <w:sz w:val="20"/>
          <w:szCs w:val="20"/>
          <w:color w:val="auto"/>
        </w:rPr>
      </w:pPr>
    </w:p>
    <w:p>
      <w:pPr>
        <w:jc w:val="both"/>
        <w:ind w:left="660" w:right="340" w:hanging="328"/>
        <w:spacing w:after="0" w:line="263" w:lineRule="auto"/>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Selling, general, and administrative expenses were $13.5 million for the three months ended June 30, 2021, compared to $10.4 million for the three months ended June 30, 2020, an increase of $3.1 million. The increase in selling general and administrative expenses primarily reflects a $3.1 million increase in personnel costs due to the continued hiring of our commercialization team.</w:t>
      </w:r>
    </w:p>
    <w:p>
      <w:pPr>
        <w:spacing w:after="0" w:line="183" w:lineRule="exact"/>
        <w:rPr>
          <w:rFonts w:ascii="Arial" w:cs="Arial" w:eastAsia="Arial" w:hAnsi="Arial"/>
          <w:sz w:val="18"/>
          <w:szCs w:val="18"/>
          <w:color w:val="auto"/>
        </w:rPr>
      </w:pPr>
    </w:p>
    <w:p>
      <w:pPr>
        <w:ind w:left="660" w:right="280" w:hanging="328"/>
        <w:spacing w:after="0" w:line="263" w:lineRule="auto"/>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Selling, general, and administrative expenses were $25.4 million for the six months ended June 30, 2021, compared to $18.5 million for the six months ended June 30, 2020, an increase of $6.9 million. The increase in selling general and administrative expenses primarily reflects a$6.4 million increase in personnel costs due to the continued hiring of our commercialization team.</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and Cash Equivalents</w:t>
      </w:r>
    </w:p>
    <w:p>
      <w:pPr>
        <w:spacing w:after="0" w:line="229"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The Company had $233.6 million in cash and cash equivalents as of June 30, 2021, compared to $114.6 million as of December 31, 2020. The increase of $119.0 million was primarily attributable to the following:</w:t>
      </w:r>
    </w:p>
    <w:p>
      <w:pPr>
        <w:spacing w:after="0" w:line="170" w:lineRule="exact"/>
        <w:rPr>
          <w:sz w:val="20"/>
          <w:szCs w:val="20"/>
          <w:color w:val="auto"/>
        </w:rPr>
      </w:pPr>
    </w:p>
    <w:p>
      <w:pPr>
        <w:ind w:left="660" w:right="20" w:hanging="328"/>
        <w:spacing w:after="0" w:line="258" w:lineRule="auto"/>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completion of the sale of our DANYELZA priority review voucher in January 2021. Y-mAbs netted $62.0 million after paying 40% of the net proceeds from the sale to MSK pursuant to the terms of the license agreement with MSK, and</w:t>
      </w:r>
    </w:p>
    <w:p>
      <w:pPr>
        <w:spacing w:after="0" w:line="1" w:lineRule="exact"/>
        <w:rPr>
          <w:rFonts w:ascii="Arial" w:cs="Arial" w:eastAsia="Arial" w:hAnsi="Arial"/>
          <w:sz w:val="18"/>
          <w:szCs w:val="18"/>
          <w:color w:val="auto"/>
        </w:rPr>
      </w:pPr>
    </w:p>
    <w:p>
      <w:pPr>
        <w:ind w:left="660" w:hanging="328"/>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$107.7 million in net proceeds raised in our public offering in February 2021.</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These increases were partially offset by the net cash used in operational activities of $50.6 million for the six months ended June 2021.</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Webcast and Conference Call</w:t>
      </w:r>
    </w:p>
    <w:p>
      <w:pPr>
        <w:spacing w:after="0" w:line="229"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The Company will host a conference call on Friday, August 6, 2021 at 9 a.m. Eastern Time. To participate in the call, please dial 855-327-6838 (domestic) or 604-235-2082 (international) and reference the conference ID 10015973. A webcast will be available at: http://public.viavid.com/index.php?id=146072</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Y-mAbs</w:t>
      </w:r>
    </w:p>
    <w:p>
      <w:pPr>
        <w:spacing w:after="0" w:line="229"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Y-mAbs is a commercial-stage biopharmaceutical company focused on the development and commercialization of novel, antibody-based therapeutic products for the treatment of cancer. The Company has a broad and advanced product pipeline, including one FDA approved product, DANYELZA® (naxitamab-gqgk), which targets tumors that express GD2, and one pivotal-stage product candidate, omburtamab, which targets tumors that express B7-H3.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394970</wp:posOffset>
            </wp:positionV>
            <wp:extent cx="71323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sectPr>
      </w:pPr>
    </w:p>
    <w:bookmarkStart w:id="6" w:name="page7"/>
    <w:bookmarkEnd w:id="6"/>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4554220</wp:posOffset>
            </wp:positionH>
            <wp:positionV relativeFrom="page">
              <wp:posOffset>586105</wp:posOffset>
            </wp:positionV>
            <wp:extent cx="2760345" cy="7797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clrChange>
                        <a:clrFrom>
                          <a:srgbClr val="FFFFFF"/>
                        </a:clrFrom>
                        <a:clrTo>
                          <a:srgbClr val="FFFFFF">
                            <a:alpha val="0"/>
                          </a:srgbClr>
                        </a:clrTo>
                      </a:clrChange>
                      <a:extLst>
                        <a:ext uri="{28A0092B-C50C-407E-A947-70E740481C1C}"/>
                      </a:extLst>
                    </a:blip>
                    <a:srcRect/>
                    <a:stretch>
                      <a:fillRect/>
                    </a:stretch>
                  </pic:blipFill>
                  <pic:spPr bwMode="auto">
                    <a:xfrm>
                      <a:off x="0" y="0"/>
                      <a:ext cx="2760345" cy="7797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29" w:lineRule="exact"/>
        <w:rPr>
          <w:sz w:val="20"/>
          <w:szCs w:val="20"/>
          <w:color w:val="auto"/>
        </w:rPr>
      </w:pPr>
    </w:p>
    <w:p>
      <w:pPr>
        <w:jc w:val="both"/>
        <w:spacing w:after="0" w:line="284" w:lineRule="auto"/>
        <w:rPr>
          <w:sz w:val="20"/>
          <w:szCs w:val="20"/>
          <w:color w:val="auto"/>
        </w:rPr>
      </w:pPr>
      <w:r>
        <w:rPr>
          <w:rFonts w:ascii="Arial" w:cs="Arial" w:eastAsia="Arial" w:hAnsi="Arial"/>
          <w:sz w:val="16"/>
          <w:szCs w:val="16"/>
          <w:color w:val="auto"/>
        </w:rPr>
        <w:t>Statements in this press release about future expectations, plans and prospects, as well as any other statements regarding matters that are not historical facts, may constitute “forward-looking statements” within the meaning of The Private Securities Litigation Reform Act of 1995. Such statements include, but are not limited to, statements about our business model and development, commercialization and product distribution plans; current and future clinical and pre-clinical studies and our research and development programs; expectations related to the timing of the initiation and completion of regulatory submissions; regulatory, marketing and reimbursement approvals; rate and degree of market acceptance and clinical utility as well as pricing and reimbursement levels; retaining and hiring key employees; our commercialization, marketing and manufacturing capabilities and strategy; our intellectual property position and strategy; additional product candidates and technologies; collaborations or strategic partnerships and the potential benefits thereof; expectations related to the use of our cash and cash equivalents, and the need for, timing and amount of any future financing transaction; our financial performance, including our estimates regarding revenues, expenses, capital expenditure requirements; developments relating to our competitors and our industry; and other statements that are not historical facts. Words such as ‘‘anticipate,’’ ‘‘believe,’’ “contemplate,” ‘‘continue,’’ ‘‘could,’’ ‘‘estimate,’’ ‘‘expect,’’ “hope,” ‘‘intend,’’ ‘‘may,’’ ‘‘might,’’ ‘‘plan,’’ ‘‘potential,’’ ‘‘predict,’’ ‘‘project,’’ ‘‘should,’’ ‘‘target,’’ “will”, ‘‘would’’ and similar expressions are intended to identify forward-looking statements, although not all forward-looking statements contain these identifying words. Our product candidates and related technologies are novel approaches to cancer treatment that present significant challenges. Actual results may differ materially from those indicated by such forward-looking statements as a result of various factors, including but not limited to: risks associated with our financial condition and need for additional capital; risks associated with our development work; cost and success of our product development activities and clinical trials; the risks of delay in the timing of our regulatory submissions or failure to receive approval of our drug candidates; the risks related to commercializing any approved pharmaceutical product including the rate and degree of market acceptance of our product candidates; development of our sales and marketing capabilities and risks associated with failure to obtain sufficient reimbursement for our products; the risks related to our dependence on third parties including for conduct of clinical testing and product manufacture; our inability to enter into partnerships; the risks related to government regulation; risks related to market approval, risks associated with protection of our intellectual property rights; risks related to employee matters and managing growth; risks related to our common stock, risks associated with the pandemic caused by the coronavirus known as COVID-19 and other risks and uncertainties affecting the Company including those described in the "Risk Factors" section included in our Annual Report on Form 10-K and in our other SEC filings. Any forward-looking statements contained in this press release speak only as of the date hereof, and the Company undertakes no obligation to update any forward-looking statement, whether as a result of new information, future events or otherwise.</w:t>
      </w:r>
    </w:p>
    <w:p>
      <w:pPr>
        <w:spacing w:after="0" w:line="393" w:lineRule="exact"/>
        <w:rPr>
          <w:sz w:val="20"/>
          <w:szCs w:val="20"/>
          <w:color w:val="auto"/>
        </w:rPr>
      </w:pPr>
    </w:p>
    <w:p>
      <w:pPr>
        <w:spacing w:after="0"/>
        <w:rPr>
          <w:sz w:val="20"/>
          <w:szCs w:val="20"/>
          <w:color w:val="auto"/>
        </w:rPr>
      </w:pPr>
      <w:r>
        <w:rPr>
          <w:rFonts w:ascii="Arial" w:cs="Arial" w:eastAsia="Arial" w:hAnsi="Arial"/>
          <w:sz w:val="18"/>
          <w:szCs w:val="18"/>
          <w:color w:val="auto"/>
        </w:rPr>
        <w:t>“DANYELZA” and “Y-mAbs” are registered trademarks of Y-mAbs Therapeutics, Inc.</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Contact: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Y-mAbs Therapeutics,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230 Park Avenue, Suite 3350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NY 10169</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USA</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+1 646 885 8505</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E-mail: info@ymabs.com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713232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sectPr>
      </w:pPr>
    </w:p>
    <w:bookmarkStart w:id="7" w:name="page8"/>
    <w:bookmarkEnd w:id="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color w:val="auto"/>
        </w:rPr>
        <w:t>ASSETS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CURRENT ASSETS</w:t>
      </w:r>
    </w:p>
    <w:p>
      <w:pPr>
        <w:spacing w:after="0" w:line="9" w:lineRule="exact"/>
        <w:rPr>
          <w:sz w:val="20"/>
          <w:szCs w:val="20"/>
          <w:color w:val="auto"/>
        </w:rPr>
      </w:pPr>
    </w:p>
    <w:p>
      <w:pPr>
        <w:ind w:left="260"/>
        <w:spacing w:after="0"/>
        <w:rPr>
          <w:sz w:val="20"/>
          <w:szCs w:val="20"/>
          <w:color w:val="auto"/>
        </w:rPr>
      </w:pPr>
      <w:r>
        <w:rPr>
          <w:rFonts w:ascii="Arial" w:cs="Arial" w:eastAsia="Arial" w:hAnsi="Arial"/>
          <w:sz w:val="18"/>
          <w:szCs w:val="18"/>
          <w:color w:val="auto"/>
        </w:rPr>
        <w:t>Cash and cash equivalents</w:t>
      </w:r>
    </w:p>
    <w:p>
      <w:pPr>
        <w:spacing w:after="0" w:line="9" w:lineRule="exact"/>
        <w:rPr>
          <w:sz w:val="20"/>
          <w:szCs w:val="20"/>
          <w:color w:val="auto"/>
        </w:rPr>
      </w:pPr>
    </w:p>
    <w:p>
      <w:pPr>
        <w:ind w:left="260"/>
        <w:spacing w:after="0"/>
        <w:rPr>
          <w:sz w:val="20"/>
          <w:szCs w:val="20"/>
          <w:color w:val="auto"/>
        </w:rPr>
      </w:pPr>
      <w:r>
        <w:rPr>
          <w:rFonts w:ascii="Arial" w:cs="Arial" w:eastAsia="Arial" w:hAnsi="Arial"/>
          <w:sz w:val="18"/>
          <w:szCs w:val="18"/>
          <w:color w:val="auto"/>
        </w:rPr>
        <w:t>Accounts receivable, net</w:t>
      </w:r>
    </w:p>
    <w:p>
      <w:pPr>
        <w:spacing w:after="0" w:line="9" w:lineRule="exact"/>
        <w:rPr>
          <w:sz w:val="20"/>
          <w:szCs w:val="20"/>
          <w:color w:val="auto"/>
        </w:rPr>
      </w:pPr>
    </w:p>
    <w:p>
      <w:pPr>
        <w:ind w:left="260"/>
        <w:spacing w:after="0"/>
        <w:rPr>
          <w:sz w:val="20"/>
          <w:szCs w:val="20"/>
          <w:color w:val="auto"/>
        </w:rPr>
      </w:pPr>
      <w:r>
        <w:rPr>
          <w:rFonts w:ascii="Arial" w:cs="Arial" w:eastAsia="Arial" w:hAnsi="Arial"/>
          <w:sz w:val="18"/>
          <w:szCs w:val="18"/>
          <w:color w:val="auto"/>
        </w:rPr>
        <w:t>Inventories</w:t>
      </w:r>
    </w:p>
    <w:p>
      <w:pPr>
        <w:spacing w:after="0" w:line="9" w:lineRule="exact"/>
        <w:rPr>
          <w:sz w:val="20"/>
          <w:szCs w:val="20"/>
          <w:color w:val="auto"/>
        </w:rPr>
      </w:pPr>
    </w:p>
    <w:p>
      <w:pPr>
        <w:ind w:left="260"/>
        <w:spacing w:after="0"/>
        <w:rPr>
          <w:sz w:val="20"/>
          <w:szCs w:val="20"/>
          <w:color w:val="auto"/>
        </w:rPr>
      </w:pPr>
      <w:r>
        <w:rPr>
          <w:rFonts w:ascii="Arial" w:cs="Arial" w:eastAsia="Arial" w:hAnsi="Arial"/>
          <w:sz w:val="18"/>
          <w:szCs w:val="18"/>
          <w:color w:val="auto"/>
        </w:rPr>
        <w:t>Other current assets</w:t>
      </w:r>
    </w:p>
    <w:p>
      <w:pPr>
        <w:spacing w:after="0" w:line="22" w:lineRule="exact"/>
        <w:rPr>
          <w:sz w:val="20"/>
          <w:szCs w:val="20"/>
          <w:color w:val="auto"/>
        </w:rPr>
      </w:pPr>
    </w:p>
    <w:p>
      <w:pPr>
        <w:ind w:left="260"/>
        <w:spacing w:after="0"/>
        <w:rPr>
          <w:sz w:val="20"/>
          <w:szCs w:val="20"/>
          <w:color w:val="auto"/>
        </w:rPr>
      </w:pPr>
      <w:r>
        <w:rPr>
          <w:rFonts w:ascii="Arial" w:cs="Arial" w:eastAsia="Arial" w:hAnsi="Arial"/>
          <w:sz w:val="18"/>
          <w:szCs w:val="18"/>
          <w:color w:val="auto"/>
        </w:rPr>
        <w:t>Total current assets</w:t>
      </w:r>
    </w:p>
    <w:p>
      <w:pPr>
        <w:spacing w:after="0" w:line="23" w:lineRule="exact"/>
        <w:rPr>
          <w:sz w:val="20"/>
          <w:szCs w:val="20"/>
          <w:color w:val="auto"/>
        </w:rPr>
      </w:pPr>
    </w:p>
    <w:p>
      <w:pPr>
        <w:ind w:left="260"/>
        <w:spacing w:after="0"/>
        <w:rPr>
          <w:sz w:val="20"/>
          <w:szCs w:val="20"/>
          <w:color w:val="auto"/>
        </w:rPr>
      </w:pPr>
      <w:r>
        <w:rPr>
          <w:rFonts w:ascii="Arial" w:cs="Arial" w:eastAsia="Arial" w:hAnsi="Arial"/>
          <w:sz w:val="18"/>
          <w:szCs w:val="18"/>
          <w:color w:val="auto"/>
        </w:rPr>
        <w:t>Property and equipment, net</w:t>
      </w:r>
    </w:p>
    <w:p>
      <w:pPr>
        <w:spacing w:after="0" w:line="9" w:lineRule="exact"/>
        <w:rPr>
          <w:sz w:val="20"/>
          <w:szCs w:val="20"/>
          <w:color w:val="auto"/>
        </w:rPr>
      </w:pPr>
    </w:p>
    <w:p>
      <w:pPr>
        <w:ind w:left="260"/>
        <w:spacing w:after="0"/>
        <w:rPr>
          <w:sz w:val="20"/>
          <w:szCs w:val="20"/>
          <w:color w:val="auto"/>
        </w:rPr>
      </w:pPr>
      <w:r>
        <w:rPr>
          <w:rFonts w:ascii="Arial" w:cs="Arial" w:eastAsia="Arial" w:hAnsi="Arial"/>
          <w:sz w:val="18"/>
          <w:szCs w:val="18"/>
          <w:color w:val="auto"/>
        </w:rPr>
        <w:t>Operating lease right-of-use assets</w:t>
      </w:r>
    </w:p>
    <w:p>
      <w:pPr>
        <w:spacing w:after="0" w:line="9" w:lineRule="exact"/>
        <w:rPr>
          <w:sz w:val="20"/>
          <w:szCs w:val="20"/>
          <w:color w:val="auto"/>
        </w:rPr>
      </w:pPr>
    </w:p>
    <w:p>
      <w:pPr>
        <w:ind w:left="260"/>
        <w:spacing w:after="0"/>
        <w:rPr>
          <w:sz w:val="20"/>
          <w:szCs w:val="20"/>
          <w:color w:val="auto"/>
        </w:rPr>
      </w:pPr>
      <w:r>
        <w:rPr>
          <w:rFonts w:ascii="Arial" w:cs="Arial" w:eastAsia="Arial" w:hAnsi="Arial"/>
          <w:sz w:val="18"/>
          <w:szCs w:val="18"/>
          <w:color w:val="auto"/>
        </w:rPr>
        <w:t>Other assets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TOTAL ASSETS</w:t>
      </w:r>
    </w:p>
    <w:p>
      <w:pPr>
        <w:spacing w:after="0" w:line="292" w:lineRule="exact"/>
        <w:rPr>
          <w:sz w:val="20"/>
          <w:szCs w:val="20"/>
          <w:color w:val="auto"/>
        </w:rPr>
      </w:pPr>
    </w:p>
    <w:p>
      <w:pPr>
        <w:spacing w:after="0"/>
        <w:rPr>
          <w:sz w:val="20"/>
          <w:szCs w:val="20"/>
          <w:color w:val="auto"/>
        </w:rPr>
      </w:pPr>
      <w:r>
        <w:rPr>
          <w:rFonts w:ascii="Arial" w:cs="Arial" w:eastAsia="Arial" w:hAnsi="Arial"/>
          <w:sz w:val="17"/>
          <w:szCs w:val="17"/>
          <w:color w:val="auto"/>
        </w:rPr>
        <w:t>LIABILITIES AND STOCKHOLDERS’ EQUITY</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ind w:right="4300"/>
        <w:spacing w:after="0"/>
        <w:rPr>
          <w:sz w:val="20"/>
          <w:szCs w:val="20"/>
          <w:color w:val="auto"/>
        </w:rPr>
      </w:pPr>
      <w:r>
        <w:rPr>
          <w:rFonts w:ascii="Arial" w:cs="Arial" w:eastAsia="Arial" w:hAnsi="Arial"/>
          <w:sz w:val="17"/>
          <w:szCs w:val="17"/>
          <w:b w:val="1"/>
          <w:bCs w:val="1"/>
          <w:color w:val="auto"/>
        </w:rPr>
        <w:t>Y-MABS THERAPEUTICS,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1607820</wp:posOffset>
            </wp:positionH>
            <wp:positionV relativeFrom="paragraph">
              <wp:posOffset>-1063625</wp:posOffset>
            </wp:positionV>
            <wp:extent cx="2760345" cy="7797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2760345" cy="779780"/>
                    </a:xfrm>
                    <a:prstGeom prst="rect">
                      <a:avLst/>
                    </a:prstGeom>
                    <a:noFill/>
                  </pic:spPr>
                </pic:pic>
              </a:graphicData>
            </a:graphic>
          </wp:anchor>
        </w:drawing>
      </w:r>
    </w:p>
    <w:p>
      <w:pPr>
        <w:spacing w:after="0" w:line="19" w:lineRule="exact"/>
        <w:rPr>
          <w:sz w:val="20"/>
          <w:szCs w:val="20"/>
          <w:color w:val="auto"/>
        </w:rPr>
      </w:pPr>
    </w:p>
    <w:p>
      <w:pPr>
        <w:jc w:val="center"/>
        <w:ind w:right="4300"/>
        <w:spacing w:after="0"/>
        <w:rPr>
          <w:sz w:val="20"/>
          <w:szCs w:val="20"/>
          <w:color w:val="auto"/>
        </w:rPr>
      </w:pPr>
      <w:r>
        <w:rPr>
          <w:rFonts w:ascii="Arial" w:cs="Arial" w:eastAsia="Arial" w:hAnsi="Arial"/>
          <w:sz w:val="18"/>
          <w:szCs w:val="18"/>
          <w:b w:val="1"/>
          <w:bCs w:val="1"/>
          <w:color w:val="auto"/>
        </w:rPr>
        <w:t>Consolidated Balance Sheets</w:t>
      </w:r>
    </w:p>
    <w:p>
      <w:pPr>
        <w:spacing w:after="0" w:line="9" w:lineRule="exact"/>
        <w:rPr>
          <w:sz w:val="20"/>
          <w:szCs w:val="20"/>
          <w:color w:val="auto"/>
        </w:rPr>
      </w:pPr>
    </w:p>
    <w:p>
      <w:pPr>
        <w:jc w:val="center"/>
        <w:ind w:right="4300"/>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ind w:right="4260"/>
        <w:spacing w:after="0"/>
        <w:rPr>
          <w:sz w:val="20"/>
          <w:szCs w:val="20"/>
          <w:color w:val="auto"/>
        </w:rPr>
      </w:pPr>
      <w:r>
        <w:rPr>
          <w:rFonts w:ascii="Arial" w:cs="Arial" w:eastAsia="Arial" w:hAnsi="Arial"/>
          <w:sz w:val="17"/>
          <w:szCs w:val="17"/>
          <w:color w:val="auto"/>
        </w:rPr>
        <w:t>(in thousands, except share data)</w:t>
      </w:r>
    </w:p>
    <w:p>
      <w:pPr>
        <w:spacing w:after="0" w:line="222" w:lineRule="exact"/>
        <w:rPr>
          <w:sz w:val="20"/>
          <w:szCs w:val="20"/>
          <w:color w:val="auto"/>
        </w:rPr>
      </w:pPr>
    </w:p>
    <w:tbl>
      <w:tblPr>
        <w:tblLayout w:type="fixed"/>
        <w:tblInd w:w="4120" w:type="dxa"/>
        <w:tblCellMar>
          <w:top w:w="0" w:type="dxa"/>
          <w:left w:w="0" w:type="dxa"/>
          <w:bottom w:w="0" w:type="dxa"/>
          <w:right w:w="0" w:type="dxa"/>
        </w:tblCellMar>
      </w:tblPr>
      <w:tr>
        <w:trPr>
          <w:trHeight w:val="229"/>
        </w:trPr>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40" w:type="dxa"/>
            <w:vAlign w:val="bottom"/>
            <w:gridSpan w:val="2"/>
          </w:tcPr>
          <w:p>
            <w:pPr>
              <w:jc w:val="right"/>
              <w:ind w:right="540"/>
              <w:spacing w:after="0"/>
              <w:rPr>
                <w:sz w:val="20"/>
                <w:szCs w:val="20"/>
                <w:color w:val="auto"/>
              </w:rPr>
            </w:pPr>
            <w:r>
              <w:rPr>
                <w:rFonts w:ascii="Arial" w:cs="Arial" w:eastAsia="Arial" w:hAnsi="Arial"/>
                <w:sz w:val="18"/>
                <w:szCs w:val="18"/>
                <w:color w:val="auto"/>
                <w:w w:val="98"/>
              </w:rPr>
              <w:t>June 30,</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40" w:type="dxa"/>
            <w:vAlign w:val="bottom"/>
          </w:tcPr>
          <w:p>
            <w:pPr>
              <w:jc w:val="right"/>
              <w:ind w:right="30"/>
              <w:spacing w:after="0"/>
              <w:rPr>
                <w:sz w:val="20"/>
                <w:szCs w:val="20"/>
                <w:color w:val="auto"/>
              </w:rPr>
            </w:pPr>
            <w:r>
              <w:rPr>
                <w:rFonts w:ascii="Arial" w:cs="Arial" w:eastAsia="Arial" w:hAnsi="Arial"/>
                <w:sz w:val="18"/>
                <w:szCs w:val="18"/>
                <w:color w:val="auto"/>
                <w:w w:val="88"/>
              </w:rPr>
              <w:t>December 31,</w:t>
            </w:r>
          </w:p>
        </w:tc>
      </w:tr>
      <w:tr>
        <w:trPr>
          <w:trHeight w:val="230"/>
        </w:trPr>
        <w:tc>
          <w:tcPr>
            <w:tcW w:w="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02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color w:val="auto"/>
              </w:rPr>
              <w:t>2021</w:t>
            </w: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14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color w:val="auto"/>
              </w:rPr>
              <w:t>2020</w:t>
            </w:r>
          </w:p>
        </w:tc>
      </w:tr>
      <w:tr>
        <w:trPr>
          <w:trHeight w:val="627"/>
        </w:trPr>
        <w:tc>
          <w:tcPr>
            <w:tcW w:w="220" w:type="dxa"/>
            <w:vAlign w:val="bottom"/>
            <w:gridSpan w:val="2"/>
          </w:tcPr>
          <w:p>
            <w:pPr>
              <w:jc w:val="right"/>
              <w:ind w:right="47"/>
              <w:spacing w:after="0"/>
              <w:rPr>
                <w:sz w:val="20"/>
                <w:szCs w:val="20"/>
                <w:color w:val="auto"/>
              </w:rPr>
            </w:pPr>
            <w:r>
              <w:rPr>
                <w:rFonts w:ascii="Arial" w:cs="Arial" w:eastAsia="Arial" w:hAnsi="Arial"/>
                <w:sz w:val="18"/>
                <w:szCs w:val="18"/>
                <w:color w:val="auto"/>
                <w:w w:val="79"/>
              </w:rPr>
              <w:t>$</w:t>
            </w: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233,587</w:t>
            </w:r>
          </w:p>
        </w:tc>
        <w:tc>
          <w:tcPr>
            <w:tcW w:w="10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114,634</w:t>
            </w:r>
          </w:p>
        </w:tc>
      </w:tr>
      <w:tr>
        <w:trPr>
          <w:trHeight w:val="216"/>
        </w:trPr>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8,517</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3,820</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3,445</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7,729</w:t>
            </w:r>
          </w:p>
        </w:tc>
      </w:tr>
      <w:tr>
        <w:trPr>
          <w:trHeight w:val="195"/>
        </w:trPr>
        <w:tc>
          <w:tcPr>
            <w:tcW w:w="20" w:type="dxa"/>
            <w:vAlign w:val="bottom"/>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1020" w:type="dxa"/>
            <w:vAlign w:val="bottom"/>
            <w:tcBorders>
              <w:top w:val="single" w:sz="8" w:color="auto"/>
            </w:tcBorders>
          </w:tcPr>
          <w:p>
            <w:pPr>
              <w:jc w:val="right"/>
              <w:spacing w:after="0" w:line="195" w:lineRule="exact"/>
              <w:rPr>
                <w:sz w:val="20"/>
                <w:szCs w:val="20"/>
                <w:color w:val="auto"/>
              </w:rPr>
            </w:pPr>
            <w:r>
              <w:rPr>
                <w:rFonts w:ascii="Arial" w:cs="Arial" w:eastAsia="Arial" w:hAnsi="Arial"/>
                <w:sz w:val="18"/>
                <w:szCs w:val="18"/>
                <w:color w:val="auto"/>
              </w:rPr>
              <w:t>249,369</w:t>
            </w:r>
          </w:p>
        </w:tc>
        <w:tc>
          <w:tcPr>
            <w:tcW w:w="2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Borders>
              <w:top w:val="single" w:sz="8" w:color="auto"/>
            </w:tcBorders>
          </w:tcPr>
          <w:p>
            <w:pPr>
              <w:spacing w:after="0"/>
              <w:rPr>
                <w:sz w:val="16"/>
                <w:szCs w:val="16"/>
                <w:color w:val="auto"/>
              </w:rPr>
            </w:pPr>
          </w:p>
        </w:tc>
        <w:tc>
          <w:tcPr>
            <w:tcW w:w="1140" w:type="dxa"/>
            <w:vAlign w:val="bottom"/>
            <w:tcBorders>
              <w:top w:val="single" w:sz="8" w:color="auto"/>
            </w:tcBorders>
          </w:tcPr>
          <w:p>
            <w:pPr>
              <w:jc w:val="right"/>
              <w:spacing w:after="0" w:line="195" w:lineRule="exact"/>
              <w:rPr>
                <w:sz w:val="20"/>
                <w:szCs w:val="20"/>
                <w:color w:val="auto"/>
              </w:rPr>
            </w:pPr>
            <w:r>
              <w:rPr>
                <w:rFonts w:ascii="Arial" w:cs="Arial" w:eastAsia="Arial" w:hAnsi="Arial"/>
                <w:sz w:val="18"/>
                <w:szCs w:val="18"/>
                <w:color w:val="auto"/>
              </w:rPr>
              <w:t>122,363</w:t>
            </w:r>
          </w:p>
        </w:tc>
      </w:tr>
      <w:tr>
        <w:trPr>
          <w:trHeight w:val="216"/>
        </w:trPr>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1,919</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1,825</w:t>
            </w:r>
          </w:p>
        </w:tc>
      </w:tr>
      <w:tr>
        <w:trPr>
          <w:trHeight w:val="229"/>
        </w:trPr>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3,398</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4,569</w:t>
            </w:r>
          </w:p>
        </w:tc>
      </w:tr>
      <w:tr>
        <w:trPr>
          <w:trHeight w:val="230"/>
        </w:trPr>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4,793</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3,290</w:t>
            </w:r>
          </w:p>
        </w:tc>
      </w:tr>
      <w:tr>
        <w:trPr>
          <w:trHeight w:val="223"/>
        </w:trPr>
        <w:tc>
          <w:tcPr>
            <w:tcW w:w="2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47"/>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259,479</w:t>
            </w:r>
          </w:p>
        </w:tc>
        <w:tc>
          <w:tcPr>
            <w:tcW w:w="22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132,047</w:t>
            </w:r>
          </w:p>
        </w:tc>
      </w:tr>
      <w:tr>
        <w:trPr>
          <w:trHeight w:val="20"/>
        </w:trPr>
        <w:tc>
          <w:tcPr>
            <w:tcW w:w="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-2737485</wp:posOffset>
            </wp:positionH>
            <wp:positionV relativeFrom="paragraph">
              <wp:posOffset>-1584960</wp:posOffset>
            </wp:positionV>
            <wp:extent cx="7132320" cy="1454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45415"/>
                    </a:xfrm>
                    <a:prstGeom prst="rect">
                      <a:avLst/>
                    </a:prstGeom>
                    <a:noFill/>
                  </pic:spPr>
                </pic:pic>
              </a:graphicData>
            </a:graphic>
          </wp:anchor>
        </w:drawing>
        <w:drawing>
          <wp:anchor simplePos="0" relativeHeight="251657728" behindDoc="1" locked="0" layoutInCell="0" allowOverlap="1">
            <wp:simplePos x="0" y="0"/>
            <wp:positionH relativeFrom="column">
              <wp:posOffset>-2737485</wp:posOffset>
            </wp:positionH>
            <wp:positionV relativeFrom="paragraph">
              <wp:posOffset>-1302385</wp:posOffset>
            </wp:positionV>
            <wp:extent cx="7132320" cy="13716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-2737485</wp:posOffset>
            </wp:positionH>
            <wp:positionV relativeFrom="paragraph">
              <wp:posOffset>-1028065</wp:posOffset>
            </wp:positionV>
            <wp:extent cx="7132320" cy="1371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-2737485</wp:posOffset>
            </wp:positionH>
            <wp:positionV relativeFrom="paragraph">
              <wp:posOffset>-744855</wp:posOffset>
            </wp:positionV>
            <wp:extent cx="7132320" cy="1454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45415"/>
                    </a:xfrm>
                    <a:prstGeom prst="rect">
                      <a:avLst/>
                    </a:prstGeom>
                    <a:noFill/>
                  </pic:spPr>
                </pic:pic>
              </a:graphicData>
            </a:graphic>
          </wp:anchor>
        </w:drawing>
        <w:drawing>
          <wp:anchor simplePos="0" relativeHeight="251657728" behindDoc="1" locked="0" layoutInCell="0" allowOverlap="1">
            <wp:simplePos x="0" y="0"/>
            <wp:positionH relativeFrom="column">
              <wp:posOffset>-2737485</wp:posOffset>
            </wp:positionH>
            <wp:positionV relativeFrom="paragraph">
              <wp:posOffset>-462280</wp:posOffset>
            </wp:positionV>
            <wp:extent cx="7132320" cy="13716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-2737485</wp:posOffset>
            </wp:positionH>
            <wp:positionV relativeFrom="paragraph">
              <wp:posOffset>-179070</wp:posOffset>
            </wp:positionV>
            <wp:extent cx="7132320" cy="16319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163195"/>
                    </a:xfrm>
                    <a:prstGeom prst="rect">
                      <a:avLst/>
                    </a:prstGeom>
                    <a:noFill/>
                  </pic:spPr>
                </pic:pic>
              </a:graphicData>
            </a:graphic>
          </wp:anchor>
        </w:drawing>
        <w:drawing>
          <wp:anchor simplePos="0" relativeHeight="251657728" behindDoc="1" locked="0" layoutInCell="0" allowOverlap="1">
            <wp:simplePos x="0" y="0"/>
            <wp:positionH relativeFrom="column">
              <wp:posOffset>-2737485</wp:posOffset>
            </wp:positionH>
            <wp:positionV relativeFrom="paragraph">
              <wp:posOffset>137160</wp:posOffset>
            </wp:positionV>
            <wp:extent cx="7132320" cy="13716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597" w:lineRule="exact"/>
        <w:rPr>
          <w:sz w:val="20"/>
          <w:szCs w:val="20"/>
          <w:color w:val="auto"/>
        </w:rPr>
      </w:pPr>
    </w:p>
    <w:p>
      <w:pPr>
        <w:sectPr>
          <w:pgSz w:w="11900" w:h="16838" w:orient="portrait"/>
          <w:cols w:equalWidth="0" w:num="2">
            <w:col w:w="3700" w:space="620"/>
            <w:col w:w="6920"/>
          </w:cols>
          <w:pgMar w:left="320" w:top="1440" w:right="339" w:bottom="1440" w:gutter="0" w:footer="0" w:header="0"/>
        </w:sectPr>
      </w:pPr>
    </w:p>
    <w:p>
      <w:pPr>
        <w:spacing w:after="0" w:line="5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8320" w:type="dxa"/>
            <w:vAlign w:val="bottom"/>
            <w:shd w:val="clear" w:color="auto" w:fill="CCEEFF"/>
          </w:tcPr>
          <w:p>
            <w:pPr>
              <w:spacing w:after="0"/>
              <w:rPr>
                <w:sz w:val="20"/>
                <w:szCs w:val="20"/>
                <w:color w:val="auto"/>
              </w:rPr>
            </w:pPr>
            <w:r>
              <w:rPr>
                <w:rFonts w:ascii="Arial" w:cs="Arial" w:eastAsia="Arial" w:hAnsi="Arial"/>
                <w:sz w:val="18"/>
                <w:szCs w:val="18"/>
                <w:color w:val="auto"/>
              </w:rPr>
              <w:t>LIABILITIES</w:t>
            </w:r>
          </w:p>
        </w:tc>
        <w:tc>
          <w:tcPr>
            <w:tcW w:w="1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320" w:type="dxa"/>
            <w:vAlign w:val="bottom"/>
          </w:tcPr>
          <w:p>
            <w:pPr>
              <w:ind w:left="260"/>
              <w:spacing w:after="0"/>
              <w:rPr>
                <w:sz w:val="20"/>
                <w:szCs w:val="20"/>
                <w:color w:val="auto"/>
              </w:rPr>
            </w:pPr>
            <w:r>
              <w:rPr>
                <w:rFonts w:ascii="Arial" w:cs="Arial" w:eastAsia="Arial" w:hAnsi="Arial"/>
                <w:sz w:val="18"/>
                <w:szCs w:val="18"/>
                <w:color w:val="auto"/>
              </w:rPr>
              <w:t>Accounts payable</w:t>
            </w:r>
          </w:p>
        </w:tc>
        <w:tc>
          <w:tcPr>
            <w:tcW w:w="4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6,803</w:t>
            </w:r>
          </w:p>
        </w:tc>
        <w:tc>
          <w:tcPr>
            <w:tcW w:w="42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9,372</w:t>
            </w:r>
          </w:p>
        </w:tc>
      </w:tr>
      <w:tr>
        <w:trPr>
          <w:trHeight w:val="216"/>
        </w:trPr>
        <w:tc>
          <w:tcPr>
            <w:tcW w:w="8320" w:type="dxa"/>
            <w:vAlign w:val="bottom"/>
            <w:shd w:val="clear" w:color="auto" w:fill="CCEEFF"/>
          </w:tcPr>
          <w:p>
            <w:pPr>
              <w:ind w:left="260"/>
              <w:spacing w:after="0"/>
              <w:rPr>
                <w:sz w:val="20"/>
                <w:szCs w:val="20"/>
                <w:color w:val="auto"/>
              </w:rPr>
            </w:pPr>
            <w:r>
              <w:rPr>
                <w:rFonts w:ascii="Arial" w:cs="Arial" w:eastAsia="Arial" w:hAnsi="Arial"/>
                <w:sz w:val="18"/>
                <w:szCs w:val="18"/>
                <w:color w:val="auto"/>
              </w:rPr>
              <w:t>Accrued liabilities</w:t>
            </w:r>
          </w:p>
        </w:tc>
        <w:tc>
          <w:tcPr>
            <w:tcW w:w="1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12,169</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8,197</w:t>
            </w:r>
          </w:p>
        </w:tc>
      </w:tr>
      <w:tr>
        <w:trPr>
          <w:trHeight w:val="230"/>
        </w:trPr>
        <w:tc>
          <w:tcPr>
            <w:tcW w:w="8320" w:type="dxa"/>
            <w:vAlign w:val="bottom"/>
          </w:tcPr>
          <w:p>
            <w:pPr>
              <w:ind w:left="260"/>
              <w:spacing w:after="0"/>
              <w:rPr>
                <w:sz w:val="20"/>
                <w:szCs w:val="20"/>
                <w:color w:val="auto"/>
              </w:rPr>
            </w:pPr>
            <w:r>
              <w:rPr>
                <w:rFonts w:ascii="Arial" w:cs="Arial" w:eastAsia="Arial" w:hAnsi="Arial"/>
                <w:sz w:val="18"/>
                <w:szCs w:val="18"/>
                <w:color w:val="auto"/>
              </w:rPr>
              <w:t>Operating lease liabilities, current portion</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2,014</w:t>
            </w:r>
          </w:p>
        </w:tc>
        <w:tc>
          <w:tcPr>
            <w:tcW w:w="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1,966</w:t>
            </w:r>
          </w:p>
        </w:tc>
      </w:tr>
      <w:tr>
        <w:trPr>
          <w:trHeight w:val="209"/>
        </w:trPr>
        <w:tc>
          <w:tcPr>
            <w:tcW w:w="8320" w:type="dxa"/>
            <w:vAlign w:val="bottom"/>
            <w:tcBorders>
              <w:top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Total current liabilities</w:t>
            </w:r>
          </w:p>
        </w:tc>
        <w:tc>
          <w:tcPr>
            <w:tcW w:w="120" w:type="dxa"/>
            <w:vAlign w:val="bottom"/>
            <w:tcBorders>
              <w:top w:val="single" w:sz="8" w:color="CCEEFF"/>
            </w:tcBorders>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20,986</w:t>
            </w:r>
          </w:p>
        </w:tc>
        <w:tc>
          <w:tcPr>
            <w:tcW w:w="1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34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19,535</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8320" w:type="dxa"/>
            <w:vAlign w:val="bottom"/>
          </w:tcPr>
          <w:p>
            <w:pPr>
              <w:ind w:left="260"/>
              <w:spacing w:after="0"/>
              <w:rPr>
                <w:sz w:val="20"/>
                <w:szCs w:val="20"/>
                <w:color w:val="auto"/>
              </w:rPr>
            </w:pPr>
            <w:r>
              <w:rPr>
                <w:rFonts w:ascii="Arial" w:cs="Arial" w:eastAsia="Arial" w:hAnsi="Arial"/>
                <w:sz w:val="18"/>
                <w:szCs w:val="18"/>
                <w:color w:val="auto"/>
              </w:rPr>
              <w:t>Accrued milestone and royalty payments</w:t>
            </w: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2,250</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2,695</w:t>
            </w:r>
          </w:p>
        </w:tc>
      </w:tr>
      <w:tr>
        <w:trPr>
          <w:trHeight w:val="216"/>
        </w:trPr>
        <w:tc>
          <w:tcPr>
            <w:tcW w:w="8320" w:type="dxa"/>
            <w:vAlign w:val="bottom"/>
            <w:shd w:val="clear" w:color="auto" w:fill="CCEEFF"/>
          </w:tcPr>
          <w:p>
            <w:pPr>
              <w:ind w:left="260"/>
              <w:spacing w:after="0"/>
              <w:rPr>
                <w:sz w:val="20"/>
                <w:szCs w:val="20"/>
                <w:color w:val="auto"/>
              </w:rPr>
            </w:pPr>
            <w:r>
              <w:rPr>
                <w:rFonts w:ascii="Arial" w:cs="Arial" w:eastAsia="Arial" w:hAnsi="Arial"/>
                <w:sz w:val="18"/>
                <w:szCs w:val="18"/>
                <w:color w:val="auto"/>
              </w:rPr>
              <w:t>Operating lease liabilities, long-term portion</w:t>
            </w:r>
          </w:p>
        </w:tc>
        <w:tc>
          <w:tcPr>
            <w:tcW w:w="1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988</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2,013</w:t>
            </w:r>
          </w:p>
        </w:tc>
      </w:tr>
      <w:tr>
        <w:trPr>
          <w:trHeight w:val="230"/>
        </w:trPr>
        <w:tc>
          <w:tcPr>
            <w:tcW w:w="8320" w:type="dxa"/>
            <w:vAlign w:val="bottom"/>
          </w:tcPr>
          <w:p>
            <w:pPr>
              <w:ind w:left="260"/>
              <w:spacing w:after="0"/>
              <w:rPr>
                <w:sz w:val="20"/>
                <w:szCs w:val="20"/>
                <w:color w:val="auto"/>
              </w:rPr>
            </w:pPr>
            <w:r>
              <w:rPr>
                <w:rFonts w:ascii="Arial" w:cs="Arial" w:eastAsia="Arial" w:hAnsi="Arial"/>
                <w:sz w:val="18"/>
                <w:szCs w:val="18"/>
                <w:color w:val="auto"/>
              </w:rPr>
              <w:t>Other liabilities</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939</w:t>
            </w:r>
          </w:p>
        </w:tc>
        <w:tc>
          <w:tcPr>
            <w:tcW w:w="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1,968</w:t>
            </w:r>
          </w:p>
        </w:tc>
      </w:tr>
      <w:tr>
        <w:trPr>
          <w:trHeight w:val="210"/>
        </w:trPr>
        <w:tc>
          <w:tcPr>
            <w:tcW w:w="83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LIABILITIES</w:t>
            </w:r>
          </w:p>
        </w:tc>
        <w:tc>
          <w:tcPr>
            <w:tcW w:w="120" w:type="dxa"/>
            <w:vAlign w:val="bottom"/>
            <w:tcBorders>
              <w:top w:val="single" w:sz="8" w:color="CCEEFF"/>
            </w:tcBorders>
            <w:shd w:val="clear" w:color="auto" w:fill="CCEEFF"/>
          </w:tcPr>
          <w:p>
            <w:pPr>
              <w:spacing w:after="0"/>
              <w:rPr>
                <w:sz w:val="18"/>
                <w:szCs w:val="18"/>
                <w:color w:val="auto"/>
              </w:rPr>
            </w:pPr>
          </w:p>
        </w:tc>
        <w:tc>
          <w:tcPr>
            <w:tcW w:w="340" w:type="dxa"/>
            <w:vAlign w:val="bottom"/>
            <w:tcBorders>
              <w:top w:val="single" w:sz="8" w:color="auto"/>
              <w:bottom w:val="single" w:sz="8" w:color="auto"/>
            </w:tcBorders>
            <w:shd w:val="clear" w:color="auto" w:fill="CCEEFF"/>
          </w:tcPr>
          <w:p>
            <w:pPr>
              <w:spacing w:after="0"/>
              <w:rPr>
                <w:sz w:val="18"/>
                <w:szCs w:val="18"/>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25,163</w:t>
            </w:r>
          </w:p>
        </w:tc>
        <w:tc>
          <w:tcPr>
            <w:tcW w:w="1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340" w:type="dxa"/>
            <w:vAlign w:val="bottom"/>
            <w:tcBorders>
              <w:top w:val="single" w:sz="8" w:color="auto"/>
              <w:bottom w:val="single" w:sz="8" w:color="auto"/>
            </w:tcBorders>
            <w:shd w:val="clear" w:color="auto" w:fill="CCEEFF"/>
          </w:tcPr>
          <w:p>
            <w:pPr>
              <w:spacing w:after="0"/>
              <w:rPr>
                <w:sz w:val="18"/>
                <w:szCs w:val="18"/>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26,211</w:t>
            </w:r>
          </w:p>
        </w:tc>
        <w:tc>
          <w:tcPr>
            <w:tcW w:w="100" w:type="dxa"/>
            <w:vAlign w:val="bottom"/>
            <w:tcBorders>
              <w:top w:val="single" w:sz="8" w:color="CCEEFF"/>
            </w:tcBorders>
            <w:shd w:val="clear" w:color="auto" w:fill="CCEEFF"/>
          </w:tcPr>
          <w:p>
            <w:pPr>
              <w:spacing w:after="0"/>
              <w:rPr>
                <w:sz w:val="18"/>
                <w:szCs w:val="18"/>
                <w:color w:val="auto"/>
              </w:rPr>
            </w:pPr>
          </w:p>
        </w:tc>
      </w:tr>
      <w:tr>
        <w:trPr>
          <w:trHeight w:val="209"/>
        </w:trPr>
        <w:tc>
          <w:tcPr>
            <w:tcW w:w="8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8320" w:type="dxa"/>
            <w:vAlign w:val="bottom"/>
            <w:shd w:val="clear" w:color="auto" w:fill="CCEEFF"/>
          </w:tcPr>
          <w:p>
            <w:pPr>
              <w:spacing w:after="0"/>
              <w:rPr>
                <w:sz w:val="20"/>
                <w:szCs w:val="20"/>
                <w:color w:val="auto"/>
              </w:rPr>
            </w:pPr>
            <w:r>
              <w:rPr>
                <w:rFonts w:ascii="Arial" w:cs="Arial" w:eastAsia="Arial" w:hAnsi="Arial"/>
                <w:sz w:val="18"/>
                <w:szCs w:val="18"/>
                <w:color w:val="auto"/>
              </w:rPr>
              <w:t>STOCKHOLDERS’ EQUITY</w:t>
            </w:r>
          </w:p>
        </w:tc>
        <w:tc>
          <w:tcPr>
            <w:tcW w:w="1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02"/>
        </w:trPr>
        <w:tc>
          <w:tcPr>
            <w:tcW w:w="8320" w:type="dxa"/>
            <w:vAlign w:val="bottom"/>
          </w:tcPr>
          <w:p>
            <w:pPr>
              <w:ind w:left="180"/>
              <w:spacing w:after="0" w:line="201" w:lineRule="exact"/>
              <w:rPr>
                <w:sz w:val="20"/>
                <w:szCs w:val="20"/>
                <w:color w:val="auto"/>
              </w:rPr>
            </w:pPr>
            <w:r>
              <w:rPr>
                <w:rFonts w:ascii="Arial" w:cs="Arial" w:eastAsia="Arial" w:hAnsi="Arial"/>
                <w:sz w:val="18"/>
                <w:szCs w:val="18"/>
                <w:color w:val="auto"/>
                <w:w w:val="90"/>
              </w:rPr>
              <w:t>Preferred stock, $0.0001 par value, 5,500,000 shares authorized at June 30, 2021 and December 31, 2020; none</w:t>
            </w: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8320" w:type="dxa"/>
            <w:vAlign w:val="bottom"/>
          </w:tcPr>
          <w:p>
            <w:pPr>
              <w:ind w:left="340"/>
              <w:spacing w:after="0"/>
              <w:rPr>
                <w:sz w:val="20"/>
                <w:szCs w:val="20"/>
                <w:color w:val="auto"/>
              </w:rPr>
            </w:pPr>
            <w:r>
              <w:rPr>
                <w:rFonts w:ascii="Arial" w:cs="Arial" w:eastAsia="Arial" w:hAnsi="Arial"/>
                <w:sz w:val="18"/>
                <w:szCs w:val="18"/>
                <w:color w:val="auto"/>
              </w:rPr>
              <w:t>issued at June 30, 2021 and December 31, 2020</w:t>
            </w:r>
          </w:p>
        </w:tc>
        <w:tc>
          <w:tcPr>
            <w:tcW w:w="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02"/>
        </w:trPr>
        <w:tc>
          <w:tcPr>
            <w:tcW w:w="8320" w:type="dxa"/>
            <w:vAlign w:val="bottom"/>
            <w:shd w:val="clear" w:color="auto" w:fill="CCEEFF"/>
          </w:tcPr>
          <w:p>
            <w:pPr>
              <w:ind w:left="180"/>
              <w:spacing w:after="0" w:line="201" w:lineRule="exact"/>
              <w:rPr>
                <w:sz w:val="20"/>
                <w:szCs w:val="20"/>
                <w:color w:val="auto"/>
              </w:rPr>
            </w:pPr>
            <w:r>
              <w:rPr>
                <w:rFonts w:ascii="Arial" w:cs="Arial" w:eastAsia="Arial" w:hAnsi="Arial"/>
                <w:sz w:val="18"/>
                <w:szCs w:val="18"/>
                <w:color w:val="auto"/>
                <w:w w:val="92"/>
              </w:rPr>
              <w:t>Common stock, $0.0001 par value, 100,000,000 shares authorized at June 30, 2021 and December 31, 2020;</w:t>
            </w:r>
          </w:p>
        </w:tc>
        <w:tc>
          <w:tcPr>
            <w:tcW w:w="1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0"/>
        </w:trPr>
        <w:tc>
          <w:tcPr>
            <w:tcW w:w="8320" w:type="dxa"/>
            <w:vAlign w:val="bottom"/>
            <w:shd w:val="clear" w:color="auto" w:fill="CCEEFF"/>
          </w:tcPr>
          <w:p>
            <w:pPr>
              <w:ind w:left="340"/>
              <w:spacing w:after="0"/>
              <w:rPr>
                <w:sz w:val="20"/>
                <w:szCs w:val="20"/>
                <w:color w:val="auto"/>
              </w:rPr>
            </w:pPr>
            <w:r>
              <w:rPr>
                <w:rFonts w:ascii="Arial" w:cs="Arial" w:eastAsia="Arial" w:hAnsi="Arial"/>
                <w:sz w:val="18"/>
                <w:szCs w:val="18"/>
                <w:color w:val="auto"/>
              </w:rPr>
              <w:t>43,576,950 and 40,688,447 shares issued at June 30, 2021 and December 31, 2020, respectively</w:t>
            </w:r>
          </w:p>
        </w:tc>
        <w:tc>
          <w:tcPr>
            <w:tcW w:w="12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w:t>
            </w:r>
          </w:p>
        </w:tc>
        <w:tc>
          <w:tcPr>
            <w:tcW w:w="8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w:t>
            </w:r>
          </w:p>
        </w:tc>
      </w:tr>
      <w:tr>
        <w:trPr>
          <w:trHeight w:val="216"/>
        </w:trPr>
        <w:tc>
          <w:tcPr>
            <w:tcW w:w="8320" w:type="dxa"/>
            <w:vAlign w:val="bottom"/>
          </w:tcPr>
          <w:p>
            <w:pPr>
              <w:ind w:left="80"/>
              <w:spacing w:after="0"/>
              <w:rPr>
                <w:sz w:val="20"/>
                <w:szCs w:val="20"/>
                <w:color w:val="auto"/>
              </w:rPr>
            </w:pPr>
            <w:r>
              <w:rPr>
                <w:rFonts w:ascii="Arial" w:cs="Arial" w:eastAsia="Arial" w:hAnsi="Arial"/>
                <w:sz w:val="18"/>
                <w:szCs w:val="18"/>
                <w:color w:val="auto"/>
              </w:rPr>
              <w:t>Additional paid in capital</w:t>
            </w: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40" w:type="dxa"/>
            <w:vAlign w:val="bottom"/>
            <w:gridSpan w:val="2"/>
          </w:tcPr>
          <w:p>
            <w:pPr>
              <w:jc w:val="right"/>
              <w:ind w:right="140"/>
              <w:spacing w:after="0"/>
              <w:rPr>
                <w:sz w:val="20"/>
                <w:szCs w:val="20"/>
                <w:color w:val="auto"/>
              </w:rPr>
            </w:pPr>
            <w:r>
              <w:rPr>
                <w:rFonts w:ascii="Arial" w:cs="Arial" w:eastAsia="Arial" w:hAnsi="Arial"/>
                <w:sz w:val="18"/>
                <w:szCs w:val="18"/>
                <w:color w:val="auto"/>
              </w:rPr>
              <w:t>509,049</w:t>
            </w: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8"/>
                <w:szCs w:val="18"/>
                <w:color w:val="auto"/>
              </w:rPr>
              <w:t>391,558</w:t>
            </w:r>
          </w:p>
        </w:tc>
      </w:tr>
      <w:tr>
        <w:trPr>
          <w:trHeight w:val="216"/>
        </w:trPr>
        <w:tc>
          <w:tcPr>
            <w:tcW w:w="8320" w:type="dxa"/>
            <w:vAlign w:val="bottom"/>
            <w:shd w:val="clear" w:color="auto" w:fill="CCEEFF"/>
          </w:tcPr>
          <w:p>
            <w:pPr>
              <w:ind w:left="80"/>
              <w:spacing w:after="0"/>
              <w:rPr>
                <w:sz w:val="20"/>
                <w:szCs w:val="20"/>
                <w:color w:val="auto"/>
              </w:rPr>
            </w:pPr>
            <w:r>
              <w:rPr>
                <w:rFonts w:ascii="Arial" w:cs="Arial" w:eastAsia="Arial" w:hAnsi="Arial"/>
                <w:sz w:val="18"/>
                <w:szCs w:val="18"/>
                <w:color w:val="auto"/>
              </w:rPr>
              <w:t>Accumulated other comprehensive income / (loss)</w:t>
            </w:r>
          </w:p>
        </w:tc>
        <w:tc>
          <w:tcPr>
            <w:tcW w:w="1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(13)</w:t>
            </w:r>
          </w:p>
        </w:tc>
        <w:tc>
          <w:tcPr>
            <w:tcW w:w="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(526)</w:t>
            </w:r>
          </w:p>
        </w:tc>
      </w:tr>
      <w:tr>
        <w:trPr>
          <w:trHeight w:val="230"/>
        </w:trPr>
        <w:tc>
          <w:tcPr>
            <w:tcW w:w="8320" w:type="dxa"/>
            <w:vAlign w:val="bottom"/>
          </w:tcPr>
          <w:p>
            <w:pPr>
              <w:ind w:left="80"/>
              <w:spacing w:after="0"/>
              <w:rPr>
                <w:sz w:val="20"/>
                <w:szCs w:val="20"/>
                <w:color w:val="auto"/>
              </w:rPr>
            </w:pPr>
            <w:r>
              <w:rPr>
                <w:rFonts w:ascii="Arial" w:cs="Arial" w:eastAsia="Arial" w:hAnsi="Arial"/>
                <w:sz w:val="18"/>
                <w:szCs w:val="18"/>
                <w:color w:val="auto"/>
              </w:rPr>
              <w:t>Accumulated deficit</w:t>
            </w: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40" w:type="dxa"/>
            <w:vAlign w:val="bottom"/>
            <w:gridSpan w:val="2"/>
          </w:tcPr>
          <w:p>
            <w:pPr>
              <w:jc w:val="right"/>
              <w:ind w:right="80"/>
              <w:spacing w:after="0"/>
              <w:rPr>
                <w:sz w:val="20"/>
                <w:szCs w:val="20"/>
                <w:color w:val="auto"/>
              </w:rPr>
            </w:pPr>
            <w:r>
              <w:rPr>
                <w:rFonts w:ascii="Arial" w:cs="Arial" w:eastAsia="Arial" w:hAnsi="Arial"/>
                <w:sz w:val="18"/>
                <w:szCs w:val="18"/>
                <w:color w:val="auto"/>
              </w:rPr>
              <w:t>(274,724)</w:t>
            </w:r>
          </w:p>
        </w:tc>
        <w:tc>
          <w:tcPr>
            <w:tcW w:w="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00" w:type="dxa"/>
            <w:vAlign w:val="bottom"/>
            <w:gridSpan w:val="2"/>
          </w:tcPr>
          <w:p>
            <w:pPr>
              <w:jc w:val="right"/>
              <w:ind w:right="40"/>
              <w:spacing w:after="0"/>
              <w:rPr>
                <w:sz w:val="20"/>
                <w:szCs w:val="20"/>
                <w:color w:val="auto"/>
              </w:rPr>
            </w:pPr>
            <w:r>
              <w:rPr>
                <w:rFonts w:ascii="Arial" w:cs="Arial" w:eastAsia="Arial" w:hAnsi="Arial"/>
                <w:sz w:val="18"/>
                <w:szCs w:val="18"/>
                <w:color w:val="auto"/>
              </w:rPr>
              <w:t>(285,200)</w:t>
            </w:r>
          </w:p>
        </w:tc>
      </w:tr>
      <w:tr>
        <w:trPr>
          <w:trHeight w:val="209"/>
        </w:trPr>
        <w:tc>
          <w:tcPr>
            <w:tcW w:w="83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TOTAL STOCKHOLDERS’ EQUITY</w:t>
            </w:r>
          </w:p>
        </w:tc>
        <w:tc>
          <w:tcPr>
            <w:tcW w:w="120" w:type="dxa"/>
            <w:vAlign w:val="bottom"/>
            <w:tcBorders>
              <w:top w:val="single" w:sz="8" w:color="CCEEFF"/>
            </w:tcBorders>
            <w:shd w:val="clear" w:color="auto" w:fill="CCEEFF"/>
          </w:tcPr>
          <w:p>
            <w:pPr>
              <w:spacing w:after="0"/>
              <w:rPr>
                <w:sz w:val="18"/>
                <w:szCs w:val="18"/>
                <w:color w:val="auto"/>
              </w:rPr>
            </w:pPr>
          </w:p>
        </w:tc>
        <w:tc>
          <w:tcPr>
            <w:tcW w:w="340" w:type="dxa"/>
            <w:vAlign w:val="bottom"/>
            <w:tcBorders>
              <w:top w:val="single" w:sz="8" w:color="auto"/>
              <w:bottom w:val="single" w:sz="8" w:color="auto"/>
            </w:tcBorders>
            <w:shd w:val="clear" w:color="auto" w:fill="CCEEFF"/>
          </w:tcPr>
          <w:p>
            <w:pPr>
              <w:spacing w:after="0"/>
              <w:rPr>
                <w:sz w:val="18"/>
                <w:szCs w:val="18"/>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234,316</w:t>
            </w:r>
          </w:p>
        </w:tc>
        <w:tc>
          <w:tcPr>
            <w:tcW w:w="1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340" w:type="dxa"/>
            <w:vAlign w:val="bottom"/>
            <w:tcBorders>
              <w:top w:val="single" w:sz="8" w:color="auto"/>
              <w:bottom w:val="single" w:sz="8" w:color="auto"/>
            </w:tcBorders>
            <w:shd w:val="clear" w:color="auto" w:fill="CCEEFF"/>
          </w:tcPr>
          <w:p>
            <w:pPr>
              <w:spacing w:after="0"/>
              <w:rPr>
                <w:sz w:val="18"/>
                <w:szCs w:val="18"/>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105,836</w:t>
            </w:r>
          </w:p>
        </w:tc>
        <w:tc>
          <w:tcPr>
            <w:tcW w:w="100" w:type="dxa"/>
            <w:vAlign w:val="bottom"/>
            <w:tcBorders>
              <w:top w:val="single" w:sz="8" w:color="CCEEFF"/>
            </w:tcBorders>
            <w:shd w:val="clear" w:color="auto" w:fill="CCEEFF"/>
          </w:tcPr>
          <w:p>
            <w:pPr>
              <w:spacing w:after="0"/>
              <w:rPr>
                <w:sz w:val="18"/>
                <w:szCs w:val="18"/>
                <w:color w:val="auto"/>
              </w:rPr>
            </w:pPr>
          </w:p>
        </w:tc>
      </w:tr>
      <w:tr>
        <w:trPr>
          <w:trHeight w:val="210"/>
        </w:trPr>
        <w:tc>
          <w:tcPr>
            <w:tcW w:w="8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43"/>
        </w:trPr>
        <w:tc>
          <w:tcPr>
            <w:tcW w:w="8320" w:type="dxa"/>
            <w:vAlign w:val="bottom"/>
            <w:shd w:val="clear" w:color="auto" w:fill="CCEEFF"/>
          </w:tcPr>
          <w:p>
            <w:pPr>
              <w:spacing w:after="0"/>
              <w:rPr>
                <w:sz w:val="20"/>
                <w:szCs w:val="20"/>
                <w:color w:val="auto"/>
              </w:rPr>
            </w:pPr>
            <w:r>
              <w:rPr>
                <w:rFonts w:ascii="Arial" w:cs="Arial" w:eastAsia="Arial" w:hAnsi="Arial"/>
                <w:sz w:val="18"/>
                <w:szCs w:val="18"/>
                <w:color w:val="auto"/>
              </w:rPr>
              <w:t>TOTAL LIABILITIES AND STOCKHOLDERS’ EQUITY</w:t>
            </w:r>
          </w:p>
        </w:tc>
        <w:tc>
          <w:tcPr>
            <w:tcW w:w="4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259,479</w:t>
            </w:r>
          </w:p>
        </w:tc>
        <w:tc>
          <w:tcPr>
            <w:tcW w:w="42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132,047</w:t>
            </w:r>
          </w:p>
        </w:tc>
      </w:tr>
      <w:tr>
        <w:trPr>
          <w:trHeight w:val="20"/>
        </w:trPr>
        <w:tc>
          <w:tcPr>
            <w:tcW w:w="83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r>
      <w:tr>
        <w:trPr>
          <w:trHeight w:val="655"/>
        </w:trPr>
        <w:tc>
          <w:tcPr>
            <w:tcW w:w="8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1440" w:right="339" w:bottom="1440" w:gutter="0" w:footer="0" w:header="0"/>
          <w:type w:val="continuous"/>
        </w:sectPr>
      </w:pPr>
    </w:p>
    <w:bookmarkStart w:id="8" w:name="page9"/>
    <w:bookmarkEnd w:id="8"/>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4554220</wp:posOffset>
            </wp:positionH>
            <wp:positionV relativeFrom="page">
              <wp:posOffset>586105</wp:posOffset>
            </wp:positionV>
            <wp:extent cx="2760345" cy="7797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clrChange>
                        <a:clrFrom>
                          <a:srgbClr val="FFFFFF"/>
                        </a:clrFrom>
                        <a:clrTo>
                          <a:srgbClr val="FFFFFF">
                            <a:alpha val="0"/>
                          </a:srgbClr>
                        </a:clrTo>
                      </a:clrChange>
                      <a:extLst>
                        <a:ext uri="{28A0092B-C50C-407E-A947-70E740481C1C}"/>
                      </a:extLst>
                    </a:blip>
                    <a:srcRect/>
                    <a:stretch>
                      <a:fillRect/>
                    </a:stretch>
                  </pic:blipFill>
                  <pic:spPr bwMode="auto">
                    <a:xfrm>
                      <a:off x="0" y="0"/>
                      <a:ext cx="2760345" cy="7797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Y-MABS THERAPEUTICS,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Net Income/(Loss) and Comprehensive Income/(Loss)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(In thousands, except share and per share data)</w:t>
      </w: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4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740" w:type="dxa"/>
            <w:vAlign w:val="bottom"/>
            <w:gridSpan w:val="6"/>
          </w:tcPr>
          <w:p>
            <w:pPr>
              <w:jc w:val="right"/>
              <w:ind w:right="441"/>
              <w:spacing w:after="0"/>
              <w:rPr>
                <w:sz w:val="20"/>
                <w:szCs w:val="20"/>
                <w:color w:val="auto"/>
              </w:rPr>
            </w:pPr>
            <w:r>
              <w:rPr>
                <w:rFonts w:ascii="Arial" w:cs="Arial" w:eastAsia="Arial" w:hAnsi="Arial"/>
                <w:sz w:val="18"/>
                <w:szCs w:val="18"/>
                <w:color w:val="auto"/>
                <w:w w:val="91"/>
              </w:rPr>
              <w:t>Three months ended June 30,</w:t>
            </w:r>
          </w:p>
        </w:tc>
        <w:tc>
          <w:tcPr>
            <w:tcW w:w="220" w:type="dxa"/>
            <w:vAlign w:val="bottom"/>
          </w:tcPr>
          <w:p>
            <w:pPr>
              <w:spacing w:after="0"/>
              <w:rPr>
                <w:sz w:val="20"/>
                <w:szCs w:val="20"/>
                <w:color w:val="auto"/>
              </w:rPr>
            </w:pPr>
          </w:p>
        </w:tc>
        <w:tc>
          <w:tcPr>
            <w:tcW w:w="2560" w:type="dxa"/>
            <w:vAlign w:val="bottom"/>
            <w:gridSpan w:val="6"/>
          </w:tcPr>
          <w:p>
            <w:pPr>
              <w:jc w:val="right"/>
              <w:ind w:right="401"/>
              <w:spacing w:after="0"/>
              <w:rPr>
                <w:sz w:val="20"/>
                <w:szCs w:val="20"/>
                <w:color w:val="auto"/>
              </w:rPr>
            </w:pPr>
            <w:r>
              <w:rPr>
                <w:rFonts w:ascii="Arial" w:cs="Arial" w:eastAsia="Arial" w:hAnsi="Arial"/>
                <w:sz w:val="18"/>
                <w:szCs w:val="18"/>
                <w:color w:val="auto"/>
                <w:w w:val="94"/>
              </w:rPr>
              <w:t>Six months ended June 30,</w:t>
            </w:r>
          </w:p>
        </w:tc>
        <w:tc>
          <w:tcPr>
            <w:tcW w:w="0" w:type="dxa"/>
            <w:vAlign w:val="bottom"/>
          </w:tcPr>
          <w:p>
            <w:pPr>
              <w:spacing w:after="0"/>
              <w:rPr>
                <w:sz w:val="1"/>
                <w:szCs w:val="1"/>
                <w:color w:val="auto"/>
              </w:rPr>
            </w:pPr>
          </w:p>
        </w:tc>
      </w:tr>
      <w:tr>
        <w:trPr>
          <w:trHeight w:val="223"/>
        </w:trPr>
        <w:tc>
          <w:tcPr>
            <w:tcW w:w="54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1060" w:type="dxa"/>
            <w:vAlign w:val="bottom"/>
            <w:tcBorders>
              <w:top w:val="single" w:sz="8" w:color="auto"/>
              <w:bottom w:val="single" w:sz="8" w:color="auto"/>
            </w:tcBorders>
          </w:tcPr>
          <w:p>
            <w:pPr>
              <w:jc w:val="right"/>
              <w:ind w:right="350"/>
              <w:spacing w:after="0"/>
              <w:rPr>
                <w:sz w:val="20"/>
                <w:szCs w:val="20"/>
                <w:color w:val="auto"/>
              </w:rPr>
            </w:pPr>
            <w:r>
              <w:rPr>
                <w:rFonts w:ascii="Arial" w:cs="Arial" w:eastAsia="Arial" w:hAnsi="Arial"/>
                <w:sz w:val="18"/>
                <w:szCs w:val="18"/>
                <w:color w:val="auto"/>
              </w:rPr>
              <w:t>2021</w:t>
            </w:r>
          </w:p>
        </w:tc>
        <w:tc>
          <w:tcPr>
            <w:tcW w:w="140" w:type="dxa"/>
            <w:vAlign w:val="bottom"/>
            <w:tcBorders>
              <w:top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240" w:type="dxa"/>
            <w:vAlign w:val="bottom"/>
            <w:tcBorders>
              <w:top w:val="single" w:sz="8" w:color="auto"/>
              <w:bottom w:val="single" w:sz="8" w:color="auto"/>
            </w:tcBorders>
          </w:tcPr>
          <w:p>
            <w:pPr>
              <w:spacing w:after="0"/>
              <w:rPr>
                <w:sz w:val="19"/>
                <w:szCs w:val="19"/>
                <w:color w:val="auto"/>
              </w:rPr>
            </w:pPr>
          </w:p>
        </w:tc>
        <w:tc>
          <w:tcPr>
            <w:tcW w:w="980" w:type="dxa"/>
            <w:vAlign w:val="bottom"/>
            <w:tcBorders>
              <w:top w:val="single" w:sz="8" w:color="auto"/>
              <w:bottom w:val="single" w:sz="8" w:color="auto"/>
            </w:tcBorders>
          </w:tcPr>
          <w:p>
            <w:pPr>
              <w:jc w:val="right"/>
              <w:ind w:right="350"/>
              <w:spacing w:after="0"/>
              <w:rPr>
                <w:sz w:val="20"/>
                <w:szCs w:val="20"/>
                <w:color w:val="auto"/>
              </w:rPr>
            </w:pPr>
            <w:r>
              <w:rPr>
                <w:rFonts w:ascii="Arial" w:cs="Arial" w:eastAsia="Arial" w:hAnsi="Arial"/>
                <w:sz w:val="18"/>
                <w:szCs w:val="18"/>
                <w:color w:val="auto"/>
              </w:rPr>
              <w:t>2020</w:t>
            </w:r>
          </w:p>
        </w:tc>
        <w:tc>
          <w:tcPr>
            <w:tcW w:w="220" w:type="dxa"/>
            <w:vAlign w:val="bottom"/>
          </w:tcPr>
          <w:p>
            <w:pPr>
              <w:spacing w:after="0"/>
              <w:rPr>
                <w:sz w:val="19"/>
                <w:szCs w:val="19"/>
                <w:color w:val="auto"/>
              </w:rPr>
            </w:pPr>
          </w:p>
        </w:tc>
        <w:tc>
          <w:tcPr>
            <w:tcW w:w="220" w:type="dxa"/>
            <w:vAlign w:val="bottom"/>
            <w:tcBorders>
              <w:top w:val="single" w:sz="8" w:color="auto"/>
              <w:bottom w:val="single" w:sz="8" w:color="auto"/>
            </w:tcBorders>
          </w:tcPr>
          <w:p>
            <w:pPr>
              <w:spacing w:after="0"/>
              <w:rPr>
                <w:sz w:val="19"/>
                <w:szCs w:val="19"/>
                <w:color w:val="auto"/>
              </w:rPr>
            </w:pPr>
          </w:p>
        </w:tc>
        <w:tc>
          <w:tcPr>
            <w:tcW w:w="1000" w:type="dxa"/>
            <w:vAlign w:val="bottom"/>
            <w:tcBorders>
              <w:top w:val="single" w:sz="8" w:color="auto"/>
              <w:bottom w:val="single" w:sz="8" w:color="auto"/>
            </w:tcBorders>
          </w:tcPr>
          <w:p>
            <w:pPr>
              <w:jc w:val="right"/>
              <w:ind w:right="330"/>
              <w:spacing w:after="0"/>
              <w:rPr>
                <w:sz w:val="20"/>
                <w:szCs w:val="20"/>
                <w:color w:val="auto"/>
              </w:rPr>
            </w:pPr>
            <w:r>
              <w:rPr>
                <w:rFonts w:ascii="Arial" w:cs="Arial" w:eastAsia="Arial" w:hAnsi="Arial"/>
                <w:sz w:val="18"/>
                <w:szCs w:val="18"/>
                <w:color w:val="auto"/>
              </w:rPr>
              <w:t>2021</w:t>
            </w:r>
          </w:p>
        </w:tc>
        <w:tc>
          <w:tcPr>
            <w:tcW w:w="140" w:type="dxa"/>
            <w:vAlign w:val="bottom"/>
            <w:tcBorders>
              <w:top w:val="single" w:sz="8" w:color="auto"/>
            </w:tcBorders>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260" w:type="dxa"/>
            <w:vAlign w:val="bottom"/>
            <w:tcBorders>
              <w:top w:val="single" w:sz="8" w:color="auto"/>
              <w:bottom w:val="single" w:sz="8" w:color="auto"/>
            </w:tcBorders>
          </w:tcPr>
          <w:p>
            <w:pPr>
              <w:spacing w:after="0"/>
              <w:rPr>
                <w:sz w:val="19"/>
                <w:szCs w:val="19"/>
                <w:color w:val="auto"/>
              </w:rPr>
            </w:pPr>
          </w:p>
        </w:tc>
        <w:tc>
          <w:tcPr>
            <w:tcW w:w="980" w:type="dxa"/>
            <w:vAlign w:val="bottom"/>
            <w:tcBorders>
              <w:top w:val="single" w:sz="8" w:color="auto"/>
              <w:bottom w:val="single" w:sz="8" w:color="auto"/>
            </w:tcBorders>
          </w:tcPr>
          <w:p>
            <w:pPr>
              <w:jc w:val="right"/>
              <w:ind w:right="350"/>
              <w:spacing w:after="0"/>
              <w:rPr>
                <w:sz w:val="20"/>
                <w:szCs w:val="20"/>
                <w:color w:val="auto"/>
              </w:rPr>
            </w:pPr>
            <w:r>
              <w:rPr>
                <w:rFonts w:ascii="Arial" w:cs="Arial" w:eastAsia="Arial" w:hAnsi="Arial"/>
                <w:sz w:val="18"/>
                <w:szCs w:val="18"/>
                <w:color w:val="auto"/>
              </w:rPr>
              <w:t>2020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54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00" w:type="dxa"/>
            <w:vAlign w:val="bottom"/>
            <w:shd w:val="clear" w:color="auto" w:fill="CCEEFF"/>
          </w:tcPr>
          <w:p>
            <w:pPr>
              <w:spacing w:after="0"/>
              <w:rPr>
                <w:sz w:val="20"/>
                <w:szCs w:val="20"/>
                <w:color w:val="auto"/>
              </w:rPr>
            </w:pPr>
            <w:r>
              <w:rPr>
                <w:rFonts w:ascii="Arial" w:cs="Arial" w:eastAsia="Arial" w:hAnsi="Arial"/>
                <w:sz w:val="18"/>
                <w:szCs w:val="18"/>
                <w:color w:val="auto"/>
              </w:rPr>
              <w:t>REVENUE</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00" w:type="dxa"/>
            <w:vAlign w:val="bottom"/>
          </w:tcPr>
          <w:p>
            <w:pPr>
              <w:ind w:left="260"/>
              <w:spacing w:after="0"/>
              <w:rPr>
                <w:sz w:val="20"/>
                <w:szCs w:val="20"/>
                <w:color w:val="auto"/>
              </w:rPr>
            </w:pPr>
            <w:r>
              <w:rPr>
                <w:rFonts w:ascii="Arial" w:cs="Arial" w:eastAsia="Arial" w:hAnsi="Arial"/>
                <w:sz w:val="18"/>
                <w:szCs w:val="18"/>
                <w:color w:val="auto"/>
              </w:rPr>
              <w:t>Product revenue, net</w:t>
            </w:r>
          </w:p>
        </w:tc>
        <w:tc>
          <w:tcPr>
            <w:tcW w:w="32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1200" w:type="dxa"/>
            <w:vAlign w:val="bottom"/>
            <w:gridSpan w:val="2"/>
          </w:tcPr>
          <w:p>
            <w:pPr>
              <w:jc w:val="right"/>
              <w:ind w:right="61"/>
              <w:spacing w:after="0"/>
              <w:rPr>
                <w:sz w:val="20"/>
                <w:szCs w:val="20"/>
                <w:color w:val="auto"/>
              </w:rPr>
            </w:pPr>
            <w:r>
              <w:rPr>
                <w:rFonts w:ascii="Arial" w:cs="Arial" w:eastAsia="Arial" w:hAnsi="Arial"/>
                <w:sz w:val="18"/>
                <w:szCs w:val="18"/>
                <w:color w:val="auto"/>
              </w:rPr>
              <w:t>8,951</w:t>
            </w:r>
          </w:p>
        </w:tc>
        <w:tc>
          <w:tcPr>
            <w:tcW w:w="340" w:type="dxa"/>
            <w:vAlign w:val="bottom"/>
            <w:gridSpan w:val="2"/>
          </w:tcPr>
          <w:p>
            <w:pPr>
              <w:jc w:val="right"/>
              <w:ind w:right="87"/>
              <w:spacing w:after="0"/>
              <w:rPr>
                <w:sz w:val="20"/>
                <w:szCs w:val="20"/>
                <w:color w:val="auto"/>
              </w:rPr>
            </w:pPr>
            <w:r>
              <w:rPr>
                <w:rFonts w:ascii="Arial" w:cs="Arial" w:eastAsia="Arial" w:hAnsi="Arial"/>
                <w:sz w:val="18"/>
                <w:szCs w:val="18"/>
                <w:color w:val="auto"/>
              </w:rPr>
              <w:t>$</w:t>
            </w:r>
          </w:p>
        </w:tc>
        <w:tc>
          <w:tcPr>
            <w:tcW w:w="120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220" w:type="dxa"/>
            <w:vAlign w:val="bottom"/>
          </w:tcPr>
          <w:p>
            <w:pPr>
              <w:jc w:val="right"/>
              <w:ind w:right="67"/>
              <w:spacing w:after="0"/>
              <w:rPr>
                <w:sz w:val="20"/>
                <w:szCs w:val="20"/>
                <w:color w:val="auto"/>
              </w:rPr>
            </w:pPr>
            <w:r>
              <w:rPr>
                <w:rFonts w:ascii="Arial" w:cs="Arial" w:eastAsia="Arial" w:hAnsi="Arial"/>
                <w:sz w:val="15"/>
                <w:szCs w:val="15"/>
                <w:color w:val="auto"/>
                <w:w w:val="71"/>
              </w:rPr>
              <w:t>$</w:t>
            </w:r>
          </w:p>
        </w:tc>
        <w:tc>
          <w:tcPr>
            <w:tcW w:w="1140" w:type="dxa"/>
            <w:vAlign w:val="bottom"/>
            <w:gridSpan w:val="2"/>
          </w:tcPr>
          <w:p>
            <w:pPr>
              <w:jc w:val="right"/>
              <w:ind w:right="61"/>
              <w:spacing w:after="0"/>
              <w:rPr>
                <w:sz w:val="20"/>
                <w:szCs w:val="20"/>
                <w:color w:val="auto"/>
              </w:rPr>
            </w:pPr>
            <w:r>
              <w:rPr>
                <w:rFonts w:ascii="Arial" w:cs="Arial" w:eastAsia="Arial" w:hAnsi="Arial"/>
                <w:sz w:val="18"/>
                <w:szCs w:val="18"/>
                <w:color w:val="auto"/>
              </w:rPr>
              <w:t>14,334</w:t>
            </w:r>
          </w:p>
        </w:tc>
        <w:tc>
          <w:tcPr>
            <w:tcW w:w="34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5400" w:type="dxa"/>
            <w:vAlign w:val="bottom"/>
            <w:shd w:val="clear" w:color="auto" w:fill="CCEEFF"/>
          </w:tcPr>
          <w:p>
            <w:pPr>
              <w:ind w:left="260"/>
              <w:spacing w:after="0"/>
              <w:rPr>
                <w:sz w:val="20"/>
                <w:szCs w:val="20"/>
                <w:color w:val="auto"/>
              </w:rPr>
            </w:pPr>
            <w:r>
              <w:rPr>
                <w:rFonts w:ascii="Arial" w:cs="Arial" w:eastAsia="Arial" w:hAnsi="Arial"/>
                <w:sz w:val="18"/>
                <w:szCs w:val="18"/>
                <w:color w:val="auto"/>
              </w:rPr>
              <w:t>License revenue</w:t>
            </w: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61"/>
              <w:spacing w:after="0"/>
              <w:rPr>
                <w:sz w:val="20"/>
                <w:szCs w:val="20"/>
                <w:color w:val="auto"/>
              </w:rPr>
            </w:pPr>
            <w:r>
              <w:rPr>
                <w:rFonts w:ascii="Arial" w:cs="Arial" w:eastAsia="Arial" w:hAnsi="Arial"/>
                <w:sz w:val="18"/>
                <w:szCs w:val="18"/>
                <w:color w:val="auto"/>
              </w:rPr>
              <w:t>2,000</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9"/>
                <w:szCs w:val="19"/>
                <w:color w:val="auto"/>
              </w:rPr>
            </w:pPr>
          </w:p>
        </w:tc>
        <w:tc>
          <w:tcPr>
            <w:tcW w:w="1140" w:type="dxa"/>
            <w:vAlign w:val="bottom"/>
            <w:gridSpan w:val="2"/>
            <w:shd w:val="clear" w:color="auto" w:fill="CCEEFF"/>
          </w:tcPr>
          <w:p>
            <w:pPr>
              <w:jc w:val="right"/>
              <w:ind w:right="61"/>
              <w:spacing w:after="0"/>
              <w:rPr>
                <w:sz w:val="20"/>
                <w:szCs w:val="20"/>
                <w:color w:val="auto"/>
              </w:rPr>
            </w:pPr>
            <w:r>
              <w:rPr>
                <w:rFonts w:ascii="Arial" w:cs="Arial" w:eastAsia="Arial" w:hAnsi="Arial"/>
                <w:sz w:val="18"/>
                <w:szCs w:val="18"/>
                <w:color w:val="auto"/>
              </w:rPr>
              <w:t>2,000</w:t>
            </w:r>
          </w:p>
        </w:tc>
        <w:tc>
          <w:tcPr>
            <w:tcW w:w="8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jc w:val="right"/>
              <w:ind w:right="2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54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Total revenue</w:t>
            </w:r>
          </w:p>
        </w:tc>
        <w:tc>
          <w:tcPr>
            <w:tcW w:w="120" w:type="dxa"/>
            <w:vAlign w:val="bottom"/>
            <w:tcBorders>
              <w:bottom w:val="single" w:sz="8" w:color="CCEEFF"/>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10,951</w:t>
            </w:r>
          </w:p>
        </w:tc>
        <w:tc>
          <w:tcPr>
            <w:tcW w:w="14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16,334</w:t>
            </w:r>
          </w:p>
        </w:tc>
        <w:tc>
          <w:tcPr>
            <w:tcW w:w="14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5400" w:type="dxa"/>
            <w:vAlign w:val="bottom"/>
            <w:shd w:val="clear" w:color="auto" w:fill="CCEEFF"/>
          </w:tcPr>
          <w:p>
            <w:pPr>
              <w:spacing w:after="0"/>
              <w:rPr>
                <w:sz w:val="20"/>
                <w:szCs w:val="20"/>
                <w:color w:val="auto"/>
              </w:rPr>
            </w:pPr>
            <w:r>
              <w:rPr>
                <w:rFonts w:ascii="Arial" w:cs="Arial" w:eastAsia="Arial" w:hAnsi="Arial"/>
                <w:sz w:val="18"/>
                <w:szCs w:val="18"/>
                <w:color w:val="auto"/>
              </w:rPr>
              <w:t>OPERATING COSTS AND EXPENSES</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00" w:type="dxa"/>
            <w:vAlign w:val="bottom"/>
          </w:tcPr>
          <w:p>
            <w:pPr>
              <w:ind w:left="260"/>
              <w:spacing w:after="0"/>
              <w:rPr>
                <w:sz w:val="20"/>
                <w:szCs w:val="20"/>
                <w:color w:val="auto"/>
              </w:rPr>
            </w:pPr>
            <w:r>
              <w:rPr>
                <w:rFonts w:ascii="Arial" w:cs="Arial" w:eastAsia="Arial" w:hAnsi="Arial"/>
                <w:sz w:val="18"/>
                <w:szCs w:val="18"/>
                <w:color w:val="auto"/>
              </w:rPr>
              <w:t>Cost of goods sold</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0" w:type="dxa"/>
            <w:vAlign w:val="bottom"/>
            <w:gridSpan w:val="2"/>
          </w:tcPr>
          <w:p>
            <w:pPr>
              <w:jc w:val="right"/>
              <w:ind w:right="61"/>
              <w:spacing w:after="0"/>
              <w:rPr>
                <w:sz w:val="20"/>
                <w:szCs w:val="20"/>
                <w:color w:val="auto"/>
              </w:rPr>
            </w:pPr>
            <w:r>
              <w:rPr>
                <w:rFonts w:ascii="Arial" w:cs="Arial" w:eastAsia="Arial" w:hAnsi="Arial"/>
                <w:sz w:val="18"/>
                <w:szCs w:val="18"/>
                <w:color w:val="auto"/>
              </w:rPr>
              <w:t>200</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140" w:type="dxa"/>
            <w:vAlign w:val="bottom"/>
            <w:gridSpan w:val="2"/>
          </w:tcPr>
          <w:p>
            <w:pPr>
              <w:jc w:val="right"/>
              <w:ind w:right="61"/>
              <w:spacing w:after="0"/>
              <w:rPr>
                <w:sz w:val="20"/>
                <w:szCs w:val="20"/>
                <w:color w:val="auto"/>
              </w:rPr>
            </w:pPr>
            <w:r>
              <w:rPr>
                <w:rFonts w:ascii="Arial" w:cs="Arial" w:eastAsia="Arial" w:hAnsi="Arial"/>
                <w:sz w:val="18"/>
                <w:szCs w:val="18"/>
                <w:color w:val="auto"/>
              </w:rPr>
              <w:t>293</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8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5400" w:type="dxa"/>
            <w:vAlign w:val="bottom"/>
            <w:shd w:val="clear" w:color="auto" w:fill="CCEEFF"/>
          </w:tcPr>
          <w:p>
            <w:pPr>
              <w:ind w:left="260"/>
              <w:spacing w:after="0"/>
              <w:rPr>
                <w:sz w:val="20"/>
                <w:szCs w:val="20"/>
                <w:color w:val="auto"/>
              </w:rPr>
            </w:pPr>
            <w:r>
              <w:rPr>
                <w:rFonts w:ascii="Arial" w:cs="Arial" w:eastAsia="Arial" w:hAnsi="Arial"/>
                <w:sz w:val="18"/>
                <w:szCs w:val="18"/>
                <w:color w:val="auto"/>
              </w:rPr>
              <w:t>Royalties</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61"/>
              <w:spacing w:after="0"/>
              <w:rPr>
                <w:sz w:val="20"/>
                <w:szCs w:val="20"/>
                <w:color w:val="auto"/>
              </w:rPr>
            </w:pPr>
            <w:r>
              <w:rPr>
                <w:rFonts w:ascii="Arial" w:cs="Arial" w:eastAsia="Arial" w:hAnsi="Arial"/>
                <w:sz w:val="18"/>
                <w:szCs w:val="18"/>
                <w:color w:val="auto"/>
              </w:rPr>
              <w:t>210</w:t>
            </w: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61"/>
              <w:spacing w:after="0"/>
              <w:rPr>
                <w:sz w:val="20"/>
                <w:szCs w:val="20"/>
                <w:color w:val="auto"/>
              </w:rPr>
            </w:pPr>
            <w:r>
              <w:rPr>
                <w:rFonts w:ascii="Arial" w:cs="Arial" w:eastAsia="Arial" w:hAnsi="Arial"/>
                <w:sz w:val="18"/>
                <w:szCs w:val="18"/>
                <w:color w:val="auto"/>
              </w:rPr>
              <w:t>210</w:t>
            </w: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2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5400" w:type="dxa"/>
            <w:vAlign w:val="bottom"/>
          </w:tcPr>
          <w:p>
            <w:pPr>
              <w:ind w:left="260"/>
              <w:spacing w:after="0"/>
              <w:rPr>
                <w:sz w:val="20"/>
                <w:szCs w:val="20"/>
                <w:color w:val="auto"/>
              </w:rPr>
            </w:pPr>
            <w:r>
              <w:rPr>
                <w:rFonts w:ascii="Arial" w:cs="Arial" w:eastAsia="Arial" w:hAnsi="Arial"/>
                <w:sz w:val="18"/>
                <w:szCs w:val="18"/>
                <w:color w:val="auto"/>
              </w:rPr>
              <w:t>Research and development</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0" w:type="dxa"/>
            <w:vAlign w:val="bottom"/>
            <w:gridSpan w:val="2"/>
          </w:tcPr>
          <w:p>
            <w:pPr>
              <w:jc w:val="right"/>
              <w:ind w:right="61"/>
              <w:spacing w:after="0"/>
              <w:rPr>
                <w:sz w:val="20"/>
                <w:szCs w:val="20"/>
                <w:color w:val="auto"/>
              </w:rPr>
            </w:pPr>
            <w:r>
              <w:rPr>
                <w:rFonts w:ascii="Arial" w:cs="Arial" w:eastAsia="Arial" w:hAnsi="Arial"/>
                <w:sz w:val="18"/>
                <w:szCs w:val="18"/>
                <w:color w:val="auto"/>
              </w:rPr>
              <w:t>19,778</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0" w:type="dxa"/>
            <w:vAlign w:val="bottom"/>
            <w:gridSpan w:val="2"/>
          </w:tcPr>
          <w:p>
            <w:pPr>
              <w:jc w:val="right"/>
              <w:ind w:right="141"/>
              <w:spacing w:after="0"/>
              <w:rPr>
                <w:sz w:val="20"/>
                <w:szCs w:val="20"/>
                <w:color w:val="auto"/>
              </w:rPr>
            </w:pPr>
            <w:r>
              <w:rPr>
                <w:rFonts w:ascii="Arial" w:cs="Arial" w:eastAsia="Arial" w:hAnsi="Arial"/>
                <w:sz w:val="18"/>
                <w:szCs w:val="18"/>
                <w:color w:val="auto"/>
              </w:rPr>
              <w:t>30,059</w:t>
            </w:r>
          </w:p>
        </w:tc>
        <w:tc>
          <w:tcPr>
            <w:tcW w:w="220" w:type="dxa"/>
            <w:vAlign w:val="bottom"/>
          </w:tcPr>
          <w:p>
            <w:pPr>
              <w:spacing w:after="0"/>
              <w:rPr>
                <w:sz w:val="18"/>
                <w:szCs w:val="18"/>
                <w:color w:val="auto"/>
              </w:rPr>
            </w:pPr>
          </w:p>
        </w:tc>
        <w:tc>
          <w:tcPr>
            <w:tcW w:w="1140" w:type="dxa"/>
            <w:vAlign w:val="bottom"/>
            <w:gridSpan w:val="2"/>
          </w:tcPr>
          <w:p>
            <w:pPr>
              <w:jc w:val="right"/>
              <w:ind w:right="61"/>
              <w:spacing w:after="0"/>
              <w:rPr>
                <w:sz w:val="20"/>
                <w:szCs w:val="20"/>
                <w:color w:val="auto"/>
              </w:rPr>
            </w:pPr>
            <w:r>
              <w:rPr>
                <w:rFonts w:ascii="Arial" w:cs="Arial" w:eastAsia="Arial" w:hAnsi="Arial"/>
                <w:sz w:val="18"/>
                <w:szCs w:val="18"/>
                <w:color w:val="auto"/>
              </w:rPr>
              <w:t>41,357</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80" w:type="dxa"/>
            <w:vAlign w:val="bottom"/>
            <w:gridSpan w:val="2"/>
          </w:tcPr>
          <w:p>
            <w:pPr>
              <w:jc w:val="right"/>
              <w:ind w:right="21"/>
              <w:spacing w:after="0"/>
              <w:rPr>
                <w:sz w:val="20"/>
                <w:szCs w:val="20"/>
                <w:color w:val="auto"/>
              </w:rPr>
            </w:pPr>
            <w:r>
              <w:rPr>
                <w:rFonts w:ascii="Arial" w:cs="Arial" w:eastAsia="Arial" w:hAnsi="Arial"/>
                <w:sz w:val="18"/>
                <w:szCs w:val="18"/>
                <w:color w:val="auto"/>
              </w:rPr>
              <w:t>48,681</w:t>
            </w:r>
          </w:p>
        </w:tc>
        <w:tc>
          <w:tcPr>
            <w:tcW w:w="0" w:type="dxa"/>
            <w:vAlign w:val="bottom"/>
          </w:tcPr>
          <w:p>
            <w:pPr>
              <w:spacing w:after="0"/>
              <w:rPr>
                <w:sz w:val="1"/>
                <w:szCs w:val="1"/>
                <w:color w:val="auto"/>
              </w:rPr>
            </w:pPr>
          </w:p>
        </w:tc>
      </w:tr>
      <w:tr>
        <w:trPr>
          <w:trHeight w:val="230"/>
        </w:trPr>
        <w:tc>
          <w:tcPr>
            <w:tcW w:w="5400" w:type="dxa"/>
            <w:vAlign w:val="bottom"/>
            <w:shd w:val="clear" w:color="auto" w:fill="CCEEFF"/>
          </w:tcPr>
          <w:p>
            <w:pPr>
              <w:ind w:left="260"/>
              <w:spacing w:after="0"/>
              <w:rPr>
                <w:sz w:val="20"/>
                <w:szCs w:val="20"/>
                <w:color w:val="auto"/>
              </w:rPr>
            </w:pPr>
            <w:r>
              <w:rPr>
                <w:rFonts w:ascii="Arial" w:cs="Arial" w:eastAsia="Arial" w:hAnsi="Arial"/>
                <w:sz w:val="18"/>
                <w:szCs w:val="18"/>
                <w:color w:val="auto"/>
              </w:rPr>
              <w:t>Selling, general, and administrative</w:t>
            </w: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61"/>
              <w:spacing w:after="0"/>
              <w:rPr>
                <w:sz w:val="20"/>
                <w:szCs w:val="20"/>
                <w:color w:val="auto"/>
              </w:rPr>
            </w:pPr>
            <w:r>
              <w:rPr>
                <w:rFonts w:ascii="Arial" w:cs="Arial" w:eastAsia="Arial" w:hAnsi="Arial"/>
                <w:sz w:val="18"/>
                <w:szCs w:val="18"/>
                <w:color w:val="auto"/>
              </w:rPr>
              <w:t>13,475</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10,393</w:t>
            </w:r>
          </w:p>
        </w:tc>
        <w:tc>
          <w:tcPr>
            <w:tcW w:w="220" w:type="dxa"/>
            <w:vAlign w:val="bottom"/>
            <w:shd w:val="clear" w:color="auto" w:fill="CCEEFF"/>
          </w:tcPr>
          <w:p>
            <w:pPr>
              <w:spacing w:after="0"/>
              <w:rPr>
                <w:sz w:val="19"/>
                <w:szCs w:val="19"/>
                <w:color w:val="auto"/>
              </w:rPr>
            </w:pPr>
          </w:p>
        </w:tc>
        <w:tc>
          <w:tcPr>
            <w:tcW w:w="1140" w:type="dxa"/>
            <w:vAlign w:val="bottom"/>
            <w:gridSpan w:val="2"/>
            <w:shd w:val="clear" w:color="auto" w:fill="CCEEFF"/>
          </w:tcPr>
          <w:p>
            <w:pPr>
              <w:jc w:val="right"/>
              <w:ind w:right="61"/>
              <w:spacing w:after="0"/>
              <w:rPr>
                <w:sz w:val="20"/>
                <w:szCs w:val="20"/>
                <w:color w:val="auto"/>
              </w:rPr>
            </w:pPr>
            <w:r>
              <w:rPr>
                <w:rFonts w:ascii="Arial" w:cs="Arial" w:eastAsia="Arial" w:hAnsi="Arial"/>
                <w:sz w:val="18"/>
                <w:szCs w:val="18"/>
                <w:color w:val="auto"/>
              </w:rPr>
              <w:t>25,445</w:t>
            </w:r>
          </w:p>
        </w:tc>
        <w:tc>
          <w:tcPr>
            <w:tcW w:w="8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jc w:val="right"/>
              <w:ind w:right="21"/>
              <w:spacing w:after="0"/>
              <w:rPr>
                <w:sz w:val="20"/>
                <w:szCs w:val="20"/>
                <w:color w:val="auto"/>
              </w:rPr>
            </w:pPr>
            <w:r>
              <w:rPr>
                <w:rFonts w:ascii="Arial" w:cs="Arial" w:eastAsia="Arial" w:hAnsi="Arial"/>
                <w:sz w:val="18"/>
                <w:szCs w:val="18"/>
                <w:color w:val="auto"/>
              </w:rPr>
              <w:t>18,519</w:t>
            </w:r>
          </w:p>
        </w:tc>
        <w:tc>
          <w:tcPr>
            <w:tcW w:w="0" w:type="dxa"/>
            <w:vAlign w:val="bottom"/>
          </w:tcPr>
          <w:p>
            <w:pPr>
              <w:spacing w:after="0"/>
              <w:rPr>
                <w:sz w:val="1"/>
                <w:szCs w:val="1"/>
                <w:color w:val="auto"/>
              </w:rPr>
            </w:pPr>
          </w:p>
        </w:tc>
      </w:tr>
      <w:tr>
        <w:trPr>
          <w:trHeight w:val="209"/>
        </w:trPr>
        <w:tc>
          <w:tcPr>
            <w:tcW w:w="54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Total operating costs and expenses</w:t>
            </w:r>
          </w:p>
        </w:tc>
        <w:tc>
          <w:tcPr>
            <w:tcW w:w="120" w:type="dxa"/>
            <w:vAlign w:val="bottom"/>
            <w:tcBorders>
              <w:bottom w:val="single" w:sz="8" w:color="CCEEFF"/>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33,663</w:t>
            </w:r>
          </w:p>
        </w:tc>
        <w:tc>
          <w:tcPr>
            <w:tcW w:w="14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40,452</w:t>
            </w:r>
          </w:p>
        </w:tc>
        <w:tc>
          <w:tcPr>
            <w:tcW w:w="220" w:type="dxa"/>
            <w:vAlign w:val="bottom"/>
            <w:tcBorders>
              <w:bottom w:val="single" w:sz="8" w:color="CCEEFF"/>
            </w:tcBorders>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67,305</w:t>
            </w:r>
          </w:p>
        </w:tc>
        <w:tc>
          <w:tcPr>
            <w:tcW w:w="14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67,200</w:t>
            </w:r>
          </w:p>
        </w:tc>
        <w:tc>
          <w:tcPr>
            <w:tcW w:w="10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400" w:type="dxa"/>
            <w:vAlign w:val="bottom"/>
            <w:shd w:val="clear" w:color="auto" w:fill="CCEEFF"/>
          </w:tcPr>
          <w:p>
            <w:pPr>
              <w:spacing w:after="0"/>
              <w:rPr>
                <w:sz w:val="20"/>
                <w:szCs w:val="20"/>
                <w:color w:val="auto"/>
              </w:rPr>
            </w:pPr>
            <w:r>
              <w:rPr>
                <w:rFonts w:ascii="Arial" w:cs="Arial" w:eastAsia="Arial" w:hAnsi="Arial"/>
                <w:sz w:val="18"/>
                <w:szCs w:val="18"/>
                <w:color w:val="auto"/>
              </w:rPr>
              <w:t>Loss from operations</w:t>
            </w:r>
          </w:p>
        </w:tc>
        <w:tc>
          <w:tcPr>
            <w:tcW w:w="12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(22,712</w:t>
            </w:r>
          </w:p>
        </w:tc>
        <w:tc>
          <w:tcPr>
            <w:tcW w:w="14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w w:val="74"/>
              </w:rPr>
              <w:t>)</w:t>
            </w:r>
          </w:p>
        </w:tc>
        <w:tc>
          <w:tcPr>
            <w:tcW w:w="1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(40,452</w:t>
            </w:r>
          </w:p>
        </w:tc>
        <w:tc>
          <w:tcPr>
            <w:tcW w:w="220" w:type="dxa"/>
            <w:vAlign w:val="bottom"/>
            <w:shd w:val="clear" w:color="auto" w:fill="CCEEFF"/>
          </w:tcPr>
          <w:p>
            <w:pPr>
              <w:jc w:val="right"/>
              <w:ind w:right="81"/>
              <w:spacing w:after="0"/>
              <w:rPr>
                <w:sz w:val="20"/>
                <w:szCs w:val="20"/>
                <w:color w:val="auto"/>
              </w:rPr>
            </w:pPr>
            <w:r>
              <w:rPr>
                <w:rFonts w:ascii="Arial" w:cs="Arial" w:eastAsia="Arial" w:hAnsi="Arial"/>
                <w:sz w:val="16"/>
                <w:szCs w:val="16"/>
                <w:color w:val="auto"/>
                <w:w w:val="74"/>
              </w:rPr>
              <w:t>)</w:t>
            </w:r>
          </w:p>
        </w:tc>
        <w:tc>
          <w:tcPr>
            <w:tcW w:w="22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(50,971</w:t>
            </w:r>
          </w:p>
        </w:tc>
        <w:tc>
          <w:tcPr>
            <w:tcW w:w="140" w:type="dxa"/>
            <w:vAlign w:val="bottom"/>
            <w:shd w:val="clear" w:color="auto" w:fill="CCEEFF"/>
          </w:tcPr>
          <w:p>
            <w:pPr>
              <w:jc w:val="right"/>
              <w:ind w:right="1"/>
              <w:spacing w:after="0"/>
              <w:rPr>
                <w:sz w:val="20"/>
                <w:szCs w:val="20"/>
                <w:color w:val="auto"/>
              </w:rPr>
            </w:pPr>
            <w:r>
              <w:rPr>
                <w:rFonts w:ascii="Arial" w:cs="Arial" w:eastAsia="Arial" w:hAnsi="Arial"/>
                <w:sz w:val="16"/>
                <w:szCs w:val="16"/>
                <w:color w:val="auto"/>
                <w:w w:val="74"/>
              </w:rPr>
              <w:t>)</w:t>
            </w:r>
          </w:p>
        </w:tc>
        <w:tc>
          <w:tcPr>
            <w:tcW w:w="8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(67,200</w:t>
            </w:r>
          </w:p>
        </w:tc>
        <w:tc>
          <w:tcPr>
            <w:tcW w:w="100" w:type="dxa"/>
            <w:vAlign w:val="bottom"/>
            <w:shd w:val="clear" w:color="auto" w:fill="CCEEFF"/>
          </w:tcPr>
          <w:p>
            <w:pPr>
              <w:jc w:val="right"/>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10"/>
        </w:trPr>
        <w:tc>
          <w:tcPr>
            <w:tcW w:w="54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00" w:type="dxa"/>
            <w:vAlign w:val="bottom"/>
            <w:shd w:val="clear" w:color="auto" w:fill="CCEEFF"/>
          </w:tcPr>
          <w:p>
            <w:pPr>
              <w:spacing w:after="0"/>
              <w:rPr>
                <w:sz w:val="20"/>
                <w:szCs w:val="20"/>
                <w:color w:val="auto"/>
              </w:rPr>
            </w:pPr>
            <w:r>
              <w:rPr>
                <w:rFonts w:ascii="Arial" w:cs="Arial" w:eastAsia="Arial" w:hAnsi="Arial"/>
                <w:sz w:val="18"/>
                <w:szCs w:val="18"/>
                <w:color w:val="auto"/>
              </w:rPr>
              <w:t>OTHER INCOME</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400" w:type="dxa"/>
            <w:vAlign w:val="bottom"/>
          </w:tcPr>
          <w:p>
            <w:pPr>
              <w:ind w:left="260"/>
              <w:spacing w:after="0"/>
              <w:rPr>
                <w:sz w:val="20"/>
                <w:szCs w:val="20"/>
                <w:color w:val="auto"/>
              </w:rPr>
            </w:pPr>
            <w:r>
              <w:rPr>
                <w:rFonts w:ascii="Arial" w:cs="Arial" w:eastAsia="Arial" w:hAnsi="Arial"/>
                <w:sz w:val="18"/>
                <w:szCs w:val="18"/>
                <w:color w:val="auto"/>
              </w:rPr>
              <w:t>Gain from sale of priority review voucher</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0" w:type="dxa"/>
            <w:vAlign w:val="bottom"/>
            <w:gridSpan w:val="2"/>
          </w:tcPr>
          <w:p>
            <w:pPr>
              <w:jc w:val="right"/>
              <w:ind w:right="6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140" w:type="dxa"/>
            <w:vAlign w:val="bottom"/>
            <w:gridSpan w:val="2"/>
          </w:tcPr>
          <w:p>
            <w:pPr>
              <w:jc w:val="right"/>
              <w:ind w:right="61"/>
              <w:spacing w:after="0"/>
              <w:rPr>
                <w:sz w:val="20"/>
                <w:szCs w:val="20"/>
                <w:color w:val="auto"/>
              </w:rPr>
            </w:pPr>
            <w:r>
              <w:rPr>
                <w:rFonts w:ascii="Arial" w:cs="Arial" w:eastAsia="Arial" w:hAnsi="Arial"/>
                <w:sz w:val="18"/>
                <w:szCs w:val="18"/>
                <w:color w:val="auto"/>
              </w:rPr>
              <w:t>62,010</w:t>
            </w: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8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5400" w:type="dxa"/>
            <w:vAlign w:val="bottom"/>
            <w:shd w:val="clear" w:color="auto" w:fill="CCEEFF"/>
          </w:tcPr>
          <w:p>
            <w:pPr>
              <w:ind w:left="260"/>
              <w:spacing w:after="0"/>
              <w:rPr>
                <w:sz w:val="20"/>
                <w:szCs w:val="20"/>
                <w:color w:val="auto"/>
              </w:rPr>
            </w:pPr>
            <w:r>
              <w:rPr>
                <w:rFonts w:ascii="Arial" w:cs="Arial" w:eastAsia="Arial" w:hAnsi="Arial"/>
                <w:sz w:val="18"/>
                <w:szCs w:val="18"/>
                <w:color w:val="auto"/>
              </w:rPr>
              <w:t>Interest and other income, net</w:t>
            </w: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1"/>
              <w:spacing w:after="0"/>
              <w:rPr>
                <w:sz w:val="20"/>
                <w:szCs w:val="20"/>
                <w:color w:val="auto"/>
              </w:rPr>
            </w:pPr>
            <w:r>
              <w:rPr>
                <w:rFonts w:ascii="Arial" w:cs="Arial" w:eastAsia="Arial" w:hAnsi="Arial"/>
                <w:sz w:val="18"/>
                <w:szCs w:val="18"/>
                <w:color w:val="auto"/>
              </w:rPr>
              <w:t>(225)</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141"/>
              <w:spacing w:after="0"/>
              <w:rPr>
                <w:sz w:val="20"/>
                <w:szCs w:val="20"/>
                <w:color w:val="auto"/>
              </w:rPr>
            </w:pPr>
            <w:r>
              <w:rPr>
                <w:rFonts w:ascii="Arial" w:cs="Arial" w:eastAsia="Arial" w:hAnsi="Arial"/>
                <w:sz w:val="18"/>
                <w:szCs w:val="18"/>
                <w:color w:val="auto"/>
              </w:rPr>
              <w:t>59</w:t>
            </w:r>
          </w:p>
        </w:tc>
        <w:tc>
          <w:tcPr>
            <w:tcW w:w="220" w:type="dxa"/>
            <w:vAlign w:val="bottom"/>
            <w:shd w:val="clear" w:color="auto" w:fill="CCEEFF"/>
          </w:tcPr>
          <w:p>
            <w:pPr>
              <w:spacing w:after="0"/>
              <w:rPr>
                <w:sz w:val="19"/>
                <w:szCs w:val="19"/>
                <w:color w:val="auto"/>
              </w:rPr>
            </w:pPr>
          </w:p>
        </w:tc>
        <w:tc>
          <w:tcPr>
            <w:tcW w:w="1140" w:type="dxa"/>
            <w:vAlign w:val="bottom"/>
            <w:gridSpan w:val="2"/>
            <w:shd w:val="clear" w:color="auto" w:fill="CCEEFF"/>
          </w:tcPr>
          <w:p>
            <w:pPr>
              <w:jc w:val="right"/>
              <w:ind w:right="1"/>
              <w:spacing w:after="0"/>
              <w:rPr>
                <w:sz w:val="20"/>
                <w:szCs w:val="20"/>
                <w:color w:val="auto"/>
              </w:rPr>
            </w:pPr>
            <w:r>
              <w:rPr>
                <w:rFonts w:ascii="Arial" w:cs="Arial" w:eastAsia="Arial" w:hAnsi="Arial"/>
                <w:sz w:val="18"/>
                <w:szCs w:val="18"/>
                <w:color w:val="auto"/>
              </w:rPr>
              <w:t>(563)</w:t>
            </w:r>
          </w:p>
        </w:tc>
        <w:tc>
          <w:tcPr>
            <w:tcW w:w="8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jc w:val="right"/>
              <w:ind w:right="21"/>
              <w:spacing w:after="0"/>
              <w:rPr>
                <w:sz w:val="20"/>
                <w:szCs w:val="20"/>
                <w:color w:val="auto"/>
              </w:rPr>
            </w:pPr>
            <w:r>
              <w:rPr>
                <w:rFonts w:ascii="Arial" w:cs="Arial" w:eastAsia="Arial" w:hAnsi="Arial"/>
                <w:sz w:val="18"/>
                <w:szCs w:val="18"/>
                <w:color w:val="auto"/>
              </w:rPr>
              <w:t>628</w:t>
            </w:r>
          </w:p>
        </w:tc>
        <w:tc>
          <w:tcPr>
            <w:tcW w:w="0" w:type="dxa"/>
            <w:vAlign w:val="bottom"/>
          </w:tcPr>
          <w:p>
            <w:pPr>
              <w:spacing w:after="0"/>
              <w:rPr>
                <w:sz w:val="1"/>
                <w:szCs w:val="1"/>
                <w:color w:val="auto"/>
              </w:rPr>
            </w:pPr>
          </w:p>
        </w:tc>
      </w:tr>
      <w:tr>
        <w:trPr>
          <w:trHeight w:val="263"/>
        </w:trPr>
        <w:tc>
          <w:tcPr>
            <w:tcW w:w="54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NET INCOME / (LOSS)</w:t>
            </w:r>
          </w:p>
        </w:tc>
        <w:tc>
          <w:tcPr>
            <w:tcW w:w="120" w:type="dxa"/>
            <w:vAlign w:val="bottom"/>
            <w:tcBorders>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(22,937</w:t>
            </w:r>
          </w:p>
        </w:tc>
        <w:tc>
          <w:tcPr>
            <w:tcW w:w="140" w:type="dxa"/>
            <w:vAlign w:val="bottom"/>
            <w:tcBorders>
              <w:bottom w:val="single" w:sz="8" w:color="CCEEFF"/>
            </w:tcBorders>
          </w:tcPr>
          <w:p>
            <w:pPr>
              <w:jc w:val="right"/>
              <w:ind w:right="1"/>
              <w:spacing w:after="0"/>
              <w:rPr>
                <w:sz w:val="20"/>
                <w:szCs w:val="20"/>
                <w:color w:val="auto"/>
              </w:rPr>
            </w:pPr>
            <w:r>
              <w:rPr>
                <w:rFonts w:ascii="Arial" w:cs="Arial" w:eastAsia="Arial" w:hAnsi="Arial"/>
                <w:sz w:val="16"/>
                <w:szCs w:val="16"/>
                <w:color w:val="auto"/>
                <w:w w:val="74"/>
              </w:rPr>
              <w:t>)</w:t>
            </w:r>
          </w:p>
        </w:tc>
        <w:tc>
          <w:tcPr>
            <w:tcW w:w="100" w:type="dxa"/>
            <w:vAlign w:val="bottom"/>
            <w:tcBorders>
              <w:bottom w:val="single" w:sz="8" w:color="CCEEFF"/>
            </w:tcBorders>
          </w:tcPr>
          <w:p>
            <w:pPr>
              <w:spacing w:after="0"/>
              <w:rPr>
                <w:sz w:val="22"/>
                <w:szCs w:val="22"/>
                <w:color w:val="auto"/>
              </w:rPr>
            </w:pPr>
          </w:p>
        </w:tc>
        <w:tc>
          <w:tcPr>
            <w:tcW w:w="240" w:type="dxa"/>
            <w:vAlign w:val="bottom"/>
            <w:tcBorders>
              <w:top w:val="single" w:sz="8" w:color="auto"/>
              <w:bottom w:val="single" w:sz="8" w:color="auto"/>
            </w:tcBorders>
          </w:tcPr>
          <w:p>
            <w:pPr>
              <w:jc w:val="right"/>
              <w:ind w:right="87"/>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(40,393</w:t>
            </w:r>
          </w:p>
        </w:tc>
        <w:tc>
          <w:tcPr>
            <w:tcW w:w="220" w:type="dxa"/>
            <w:vAlign w:val="bottom"/>
            <w:tcBorders>
              <w:bottom w:val="single" w:sz="8" w:color="CCEEFF"/>
            </w:tcBorders>
          </w:tcPr>
          <w:p>
            <w:pPr>
              <w:jc w:val="right"/>
              <w:ind w:right="81"/>
              <w:spacing w:after="0"/>
              <w:rPr>
                <w:sz w:val="20"/>
                <w:szCs w:val="20"/>
                <w:color w:val="auto"/>
              </w:rPr>
            </w:pPr>
            <w:r>
              <w:rPr>
                <w:rFonts w:ascii="Arial" w:cs="Arial" w:eastAsia="Arial" w:hAnsi="Arial"/>
                <w:sz w:val="16"/>
                <w:szCs w:val="16"/>
                <w:color w:val="auto"/>
                <w:w w:val="74"/>
              </w:rPr>
              <w:t>)</w:t>
            </w:r>
          </w:p>
        </w:tc>
        <w:tc>
          <w:tcPr>
            <w:tcW w:w="220" w:type="dxa"/>
            <w:vAlign w:val="bottom"/>
            <w:tcBorders>
              <w:top w:val="single" w:sz="8" w:color="auto"/>
              <w:bottom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10,476</w:t>
            </w:r>
          </w:p>
        </w:tc>
        <w:tc>
          <w:tcPr>
            <w:tcW w:w="140" w:type="dxa"/>
            <w:vAlign w:val="bottom"/>
            <w:tcBorders>
              <w:bottom w:val="single" w:sz="8" w:color="CCEEFF"/>
            </w:tcBorders>
          </w:tcPr>
          <w:p>
            <w:pPr>
              <w:spacing w:after="0"/>
              <w:rPr>
                <w:sz w:val="22"/>
                <w:szCs w:val="22"/>
                <w:color w:val="auto"/>
              </w:rPr>
            </w:pPr>
          </w:p>
        </w:tc>
        <w:tc>
          <w:tcPr>
            <w:tcW w:w="80" w:type="dxa"/>
            <w:vAlign w:val="bottom"/>
            <w:tcBorders>
              <w:bottom w:val="single" w:sz="8" w:color="CCEEFF"/>
            </w:tcBorders>
          </w:tcPr>
          <w:p>
            <w:pPr>
              <w:spacing w:after="0"/>
              <w:rPr>
                <w:sz w:val="22"/>
                <w:szCs w:val="22"/>
                <w:color w:val="auto"/>
              </w:rPr>
            </w:pPr>
          </w:p>
        </w:tc>
        <w:tc>
          <w:tcPr>
            <w:tcW w:w="26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(66,572</w:t>
            </w:r>
          </w:p>
        </w:tc>
        <w:tc>
          <w:tcPr>
            <w:tcW w:w="10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196"/>
        </w:trPr>
        <w:tc>
          <w:tcPr>
            <w:tcW w:w="54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5400" w:type="dxa"/>
            <w:vAlign w:val="bottom"/>
          </w:tcPr>
          <w:p>
            <w:pPr>
              <w:spacing w:after="0"/>
              <w:rPr>
                <w:sz w:val="20"/>
                <w:szCs w:val="20"/>
                <w:color w:val="auto"/>
              </w:rPr>
            </w:pPr>
            <w:r>
              <w:rPr>
                <w:rFonts w:ascii="Arial" w:cs="Arial" w:eastAsia="Arial" w:hAnsi="Arial"/>
                <w:sz w:val="18"/>
                <w:szCs w:val="18"/>
                <w:color w:val="auto"/>
              </w:rPr>
              <w:t>Other comprehensive income</w:t>
            </w: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400" w:type="dxa"/>
            <w:vAlign w:val="bottom"/>
            <w:shd w:val="clear" w:color="auto" w:fill="CCEEFF"/>
          </w:tcPr>
          <w:p>
            <w:pPr>
              <w:ind w:left="260"/>
              <w:spacing w:after="0"/>
              <w:rPr>
                <w:sz w:val="20"/>
                <w:szCs w:val="20"/>
                <w:color w:val="auto"/>
              </w:rPr>
            </w:pPr>
            <w:r>
              <w:rPr>
                <w:rFonts w:ascii="Arial" w:cs="Arial" w:eastAsia="Arial" w:hAnsi="Arial"/>
                <w:sz w:val="18"/>
                <w:szCs w:val="18"/>
                <w:color w:val="auto"/>
              </w:rPr>
              <w:t>Foreign currency translation</w:t>
            </w:r>
          </w:p>
        </w:tc>
        <w:tc>
          <w:tcPr>
            <w:tcW w:w="12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61"/>
              <w:spacing w:after="0"/>
              <w:rPr>
                <w:sz w:val="20"/>
                <w:szCs w:val="20"/>
                <w:color w:val="auto"/>
              </w:rPr>
            </w:pPr>
            <w:r>
              <w:rPr>
                <w:rFonts w:ascii="Arial" w:cs="Arial" w:eastAsia="Arial" w:hAnsi="Arial"/>
                <w:sz w:val="18"/>
                <w:szCs w:val="18"/>
                <w:color w:val="auto"/>
              </w:rPr>
              <w:t>78</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ind w:right="81"/>
              <w:spacing w:after="0"/>
              <w:rPr>
                <w:sz w:val="20"/>
                <w:szCs w:val="20"/>
                <w:color w:val="auto"/>
              </w:rPr>
            </w:pPr>
            <w:r>
              <w:rPr>
                <w:rFonts w:ascii="Arial" w:cs="Arial" w:eastAsia="Arial" w:hAnsi="Arial"/>
                <w:sz w:val="18"/>
                <w:szCs w:val="18"/>
                <w:color w:val="auto"/>
              </w:rPr>
              <w:t>(91)</w:t>
            </w:r>
          </w:p>
        </w:tc>
        <w:tc>
          <w:tcPr>
            <w:tcW w:w="220" w:type="dxa"/>
            <w:vAlign w:val="bottom"/>
            <w:shd w:val="clear" w:color="auto" w:fill="CCEEFF"/>
          </w:tcPr>
          <w:p>
            <w:pPr>
              <w:spacing w:after="0"/>
              <w:rPr>
                <w:sz w:val="19"/>
                <w:szCs w:val="19"/>
                <w:color w:val="auto"/>
              </w:rPr>
            </w:pPr>
          </w:p>
        </w:tc>
        <w:tc>
          <w:tcPr>
            <w:tcW w:w="1140" w:type="dxa"/>
            <w:vAlign w:val="bottom"/>
            <w:gridSpan w:val="2"/>
            <w:shd w:val="clear" w:color="auto" w:fill="CCEEFF"/>
          </w:tcPr>
          <w:p>
            <w:pPr>
              <w:jc w:val="right"/>
              <w:ind w:right="61"/>
              <w:spacing w:after="0"/>
              <w:rPr>
                <w:sz w:val="20"/>
                <w:szCs w:val="20"/>
                <w:color w:val="auto"/>
              </w:rPr>
            </w:pPr>
            <w:r>
              <w:rPr>
                <w:rFonts w:ascii="Arial" w:cs="Arial" w:eastAsia="Arial" w:hAnsi="Arial"/>
                <w:sz w:val="18"/>
                <w:szCs w:val="18"/>
                <w:color w:val="auto"/>
              </w:rPr>
              <w:t>513</w:t>
            </w:r>
          </w:p>
        </w:tc>
        <w:tc>
          <w:tcPr>
            <w:tcW w:w="8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(66)</w:t>
            </w:r>
          </w:p>
        </w:tc>
        <w:tc>
          <w:tcPr>
            <w:tcW w:w="0" w:type="dxa"/>
            <w:vAlign w:val="bottom"/>
          </w:tcPr>
          <w:p>
            <w:pPr>
              <w:spacing w:after="0"/>
              <w:rPr>
                <w:sz w:val="1"/>
                <w:szCs w:val="1"/>
                <w:color w:val="auto"/>
              </w:rPr>
            </w:pPr>
          </w:p>
        </w:tc>
      </w:tr>
      <w:tr>
        <w:trPr>
          <w:trHeight w:val="263"/>
        </w:trPr>
        <w:tc>
          <w:tcPr>
            <w:tcW w:w="54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COMPREHENSIVE INCOME / (LOSS)</w:t>
            </w:r>
          </w:p>
        </w:tc>
        <w:tc>
          <w:tcPr>
            <w:tcW w:w="120" w:type="dxa"/>
            <w:vAlign w:val="bottom"/>
            <w:tcBorders>
              <w:bottom w:val="single" w:sz="8" w:color="CCEEFF"/>
            </w:tcBorders>
          </w:tcPr>
          <w:p>
            <w:pPr>
              <w:spacing w:after="0"/>
              <w:rPr>
                <w:sz w:val="22"/>
                <w:szCs w:val="22"/>
                <w:color w:val="auto"/>
              </w:rPr>
            </w:pPr>
          </w:p>
        </w:tc>
        <w:tc>
          <w:tcPr>
            <w:tcW w:w="20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(22,859</w:t>
            </w:r>
          </w:p>
        </w:tc>
        <w:tc>
          <w:tcPr>
            <w:tcW w:w="140" w:type="dxa"/>
            <w:vAlign w:val="bottom"/>
            <w:tcBorders>
              <w:bottom w:val="single" w:sz="8" w:color="CCEEFF"/>
            </w:tcBorders>
          </w:tcPr>
          <w:p>
            <w:pPr>
              <w:jc w:val="right"/>
              <w:ind w:right="1"/>
              <w:spacing w:after="0"/>
              <w:rPr>
                <w:sz w:val="20"/>
                <w:szCs w:val="20"/>
                <w:color w:val="auto"/>
              </w:rPr>
            </w:pPr>
            <w:r>
              <w:rPr>
                <w:rFonts w:ascii="Arial" w:cs="Arial" w:eastAsia="Arial" w:hAnsi="Arial"/>
                <w:sz w:val="16"/>
                <w:szCs w:val="16"/>
                <w:color w:val="auto"/>
                <w:w w:val="74"/>
              </w:rPr>
              <w:t>)</w:t>
            </w:r>
          </w:p>
        </w:tc>
        <w:tc>
          <w:tcPr>
            <w:tcW w:w="100" w:type="dxa"/>
            <w:vAlign w:val="bottom"/>
            <w:tcBorders>
              <w:bottom w:val="single" w:sz="8" w:color="CCEEFF"/>
            </w:tcBorders>
          </w:tcPr>
          <w:p>
            <w:pPr>
              <w:spacing w:after="0"/>
              <w:rPr>
                <w:sz w:val="22"/>
                <w:szCs w:val="22"/>
                <w:color w:val="auto"/>
              </w:rPr>
            </w:pPr>
          </w:p>
        </w:tc>
        <w:tc>
          <w:tcPr>
            <w:tcW w:w="240" w:type="dxa"/>
            <w:vAlign w:val="bottom"/>
            <w:tcBorders>
              <w:top w:val="single" w:sz="8" w:color="auto"/>
              <w:bottom w:val="single" w:sz="8" w:color="auto"/>
            </w:tcBorders>
          </w:tcPr>
          <w:p>
            <w:pPr>
              <w:jc w:val="right"/>
              <w:ind w:right="87"/>
              <w:spacing w:after="0"/>
              <w:rPr>
                <w:sz w:val="20"/>
                <w:szCs w:val="20"/>
                <w:color w:val="auto"/>
              </w:rPr>
            </w:pPr>
            <w:r>
              <w:rPr>
                <w:rFonts w:ascii="Arial" w:cs="Arial" w:eastAsia="Arial" w:hAnsi="Arial"/>
                <w:sz w:val="15"/>
                <w:szCs w:val="15"/>
                <w:color w:val="auto"/>
                <w:w w:val="71"/>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(40,484</w:t>
            </w:r>
          </w:p>
        </w:tc>
        <w:tc>
          <w:tcPr>
            <w:tcW w:w="220" w:type="dxa"/>
            <w:vAlign w:val="bottom"/>
            <w:tcBorders>
              <w:bottom w:val="single" w:sz="8" w:color="CCEEFF"/>
            </w:tcBorders>
          </w:tcPr>
          <w:p>
            <w:pPr>
              <w:jc w:val="right"/>
              <w:ind w:right="81"/>
              <w:spacing w:after="0"/>
              <w:rPr>
                <w:sz w:val="20"/>
                <w:szCs w:val="20"/>
                <w:color w:val="auto"/>
              </w:rPr>
            </w:pPr>
            <w:r>
              <w:rPr>
                <w:rFonts w:ascii="Arial" w:cs="Arial" w:eastAsia="Arial" w:hAnsi="Arial"/>
                <w:sz w:val="16"/>
                <w:szCs w:val="16"/>
                <w:color w:val="auto"/>
                <w:w w:val="74"/>
              </w:rPr>
              <w:t>)</w:t>
            </w:r>
          </w:p>
        </w:tc>
        <w:tc>
          <w:tcPr>
            <w:tcW w:w="220" w:type="dxa"/>
            <w:vAlign w:val="bottom"/>
            <w:tcBorders>
              <w:top w:val="single" w:sz="8" w:color="auto"/>
              <w:bottom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10,989</w:t>
            </w:r>
          </w:p>
        </w:tc>
        <w:tc>
          <w:tcPr>
            <w:tcW w:w="140" w:type="dxa"/>
            <w:vAlign w:val="bottom"/>
            <w:tcBorders>
              <w:bottom w:val="single" w:sz="8" w:color="CCEEFF"/>
            </w:tcBorders>
          </w:tcPr>
          <w:p>
            <w:pPr>
              <w:spacing w:after="0"/>
              <w:rPr>
                <w:sz w:val="22"/>
                <w:szCs w:val="22"/>
                <w:color w:val="auto"/>
              </w:rPr>
            </w:pPr>
          </w:p>
        </w:tc>
        <w:tc>
          <w:tcPr>
            <w:tcW w:w="80" w:type="dxa"/>
            <w:vAlign w:val="bottom"/>
            <w:tcBorders>
              <w:bottom w:val="single" w:sz="8" w:color="CCEEFF"/>
            </w:tcBorders>
          </w:tcPr>
          <w:p>
            <w:pPr>
              <w:spacing w:after="0"/>
              <w:rPr>
                <w:sz w:val="22"/>
                <w:szCs w:val="22"/>
                <w:color w:val="auto"/>
              </w:rPr>
            </w:pPr>
          </w:p>
        </w:tc>
        <w:tc>
          <w:tcPr>
            <w:tcW w:w="26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(66,638</w:t>
            </w:r>
          </w:p>
        </w:tc>
        <w:tc>
          <w:tcPr>
            <w:tcW w:w="10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197"/>
        </w:trPr>
        <w:tc>
          <w:tcPr>
            <w:tcW w:w="54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83"/>
        </w:trPr>
        <w:tc>
          <w:tcPr>
            <w:tcW w:w="5400" w:type="dxa"/>
            <w:vAlign w:val="bottom"/>
          </w:tcPr>
          <w:p>
            <w:pPr>
              <w:spacing w:after="0"/>
              <w:rPr>
                <w:sz w:val="20"/>
                <w:szCs w:val="20"/>
                <w:color w:val="auto"/>
              </w:rPr>
            </w:pPr>
            <w:r>
              <w:rPr>
                <w:rFonts w:ascii="Arial" w:cs="Arial" w:eastAsia="Arial" w:hAnsi="Arial"/>
                <w:sz w:val="18"/>
                <w:szCs w:val="18"/>
                <w:color w:val="auto"/>
                <w:w w:val="94"/>
              </w:rPr>
              <w:t>Net income/(loss) per share attributable to common stockholders, basic</w:t>
            </w:r>
          </w:p>
        </w:tc>
        <w:tc>
          <w:tcPr>
            <w:tcW w:w="32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1200" w:type="dxa"/>
            <w:vAlign w:val="bottom"/>
            <w:gridSpan w:val="2"/>
          </w:tcPr>
          <w:p>
            <w:pPr>
              <w:jc w:val="right"/>
              <w:ind w:right="1"/>
              <w:spacing w:after="0"/>
              <w:rPr>
                <w:sz w:val="20"/>
                <w:szCs w:val="20"/>
                <w:color w:val="auto"/>
              </w:rPr>
            </w:pPr>
            <w:r>
              <w:rPr>
                <w:rFonts w:ascii="Arial" w:cs="Arial" w:eastAsia="Arial" w:hAnsi="Arial"/>
                <w:sz w:val="18"/>
                <w:szCs w:val="18"/>
                <w:color w:val="auto"/>
              </w:rPr>
              <w:t>(0.53)</w:t>
            </w:r>
          </w:p>
        </w:tc>
        <w:tc>
          <w:tcPr>
            <w:tcW w:w="340" w:type="dxa"/>
            <w:vAlign w:val="bottom"/>
            <w:gridSpan w:val="2"/>
          </w:tcPr>
          <w:p>
            <w:pPr>
              <w:jc w:val="right"/>
              <w:ind w:right="87"/>
              <w:spacing w:after="0"/>
              <w:rPr>
                <w:sz w:val="20"/>
                <w:szCs w:val="20"/>
                <w:color w:val="auto"/>
              </w:rPr>
            </w:pPr>
            <w:r>
              <w:rPr>
                <w:rFonts w:ascii="Arial" w:cs="Arial" w:eastAsia="Arial" w:hAnsi="Arial"/>
                <w:sz w:val="18"/>
                <w:szCs w:val="18"/>
                <w:color w:val="auto"/>
              </w:rPr>
              <w:t>$</w:t>
            </w:r>
          </w:p>
        </w:tc>
        <w:tc>
          <w:tcPr>
            <w:tcW w:w="1200" w:type="dxa"/>
            <w:vAlign w:val="bottom"/>
            <w:gridSpan w:val="2"/>
          </w:tcPr>
          <w:p>
            <w:pPr>
              <w:jc w:val="right"/>
              <w:ind w:right="81"/>
              <w:spacing w:after="0"/>
              <w:rPr>
                <w:sz w:val="20"/>
                <w:szCs w:val="20"/>
                <w:color w:val="auto"/>
              </w:rPr>
            </w:pPr>
            <w:r>
              <w:rPr>
                <w:rFonts w:ascii="Arial" w:cs="Arial" w:eastAsia="Arial" w:hAnsi="Arial"/>
                <w:sz w:val="18"/>
                <w:szCs w:val="18"/>
                <w:color w:val="auto"/>
              </w:rPr>
              <w:t>(1.01)</w:t>
            </w:r>
          </w:p>
        </w:tc>
        <w:tc>
          <w:tcPr>
            <w:tcW w:w="220" w:type="dxa"/>
            <w:vAlign w:val="bottom"/>
          </w:tcPr>
          <w:p>
            <w:pPr>
              <w:jc w:val="right"/>
              <w:ind w:right="67"/>
              <w:spacing w:after="0"/>
              <w:rPr>
                <w:sz w:val="20"/>
                <w:szCs w:val="20"/>
                <w:color w:val="auto"/>
              </w:rPr>
            </w:pPr>
            <w:r>
              <w:rPr>
                <w:rFonts w:ascii="Arial" w:cs="Arial" w:eastAsia="Arial" w:hAnsi="Arial"/>
                <w:sz w:val="15"/>
                <w:szCs w:val="15"/>
                <w:color w:val="auto"/>
                <w:w w:val="71"/>
              </w:rPr>
              <w:t>$</w:t>
            </w:r>
          </w:p>
        </w:tc>
        <w:tc>
          <w:tcPr>
            <w:tcW w:w="1140" w:type="dxa"/>
            <w:vAlign w:val="bottom"/>
            <w:gridSpan w:val="2"/>
          </w:tcPr>
          <w:p>
            <w:pPr>
              <w:jc w:val="right"/>
              <w:ind w:right="61"/>
              <w:spacing w:after="0"/>
              <w:rPr>
                <w:sz w:val="20"/>
                <w:szCs w:val="20"/>
                <w:color w:val="auto"/>
              </w:rPr>
            </w:pPr>
            <w:r>
              <w:rPr>
                <w:rFonts w:ascii="Arial" w:cs="Arial" w:eastAsia="Arial" w:hAnsi="Arial"/>
                <w:sz w:val="18"/>
                <w:szCs w:val="18"/>
                <w:color w:val="auto"/>
              </w:rPr>
              <w:t>0.25</w:t>
            </w:r>
          </w:p>
        </w:tc>
        <w:tc>
          <w:tcPr>
            <w:tcW w:w="34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(1.67)</w:t>
            </w:r>
          </w:p>
        </w:tc>
        <w:tc>
          <w:tcPr>
            <w:tcW w:w="0" w:type="dxa"/>
            <w:vAlign w:val="bottom"/>
          </w:tcPr>
          <w:p>
            <w:pPr>
              <w:spacing w:after="0"/>
              <w:rPr>
                <w:sz w:val="1"/>
                <w:szCs w:val="1"/>
                <w:color w:val="auto"/>
              </w:rPr>
            </w:pPr>
          </w:p>
        </w:tc>
      </w:tr>
      <w:tr>
        <w:trPr>
          <w:trHeight w:val="197"/>
        </w:trPr>
        <w:tc>
          <w:tcPr>
            <w:tcW w:w="5400" w:type="dxa"/>
            <w:vAlign w:val="bottom"/>
            <w:tcBorders>
              <w:top w:val="single" w:sz="8" w:color="CCEEFF"/>
              <w:bottom w:val="single" w:sz="8" w:color="CCEEFF"/>
            </w:tcBorders>
            <w:shd w:val="clear" w:color="auto" w:fill="CCEEFF"/>
          </w:tcPr>
          <w:p>
            <w:pPr>
              <w:spacing w:after="0" w:line="190" w:lineRule="exact"/>
              <w:rPr>
                <w:sz w:val="20"/>
                <w:szCs w:val="20"/>
                <w:color w:val="auto"/>
              </w:rPr>
            </w:pPr>
            <w:r>
              <w:rPr>
                <w:rFonts w:ascii="Arial" w:cs="Arial" w:eastAsia="Arial" w:hAnsi="Arial"/>
                <w:sz w:val="18"/>
                <w:szCs w:val="18"/>
                <w:color w:val="auto"/>
              </w:rPr>
              <w:t>Weighted average common shares outstanding, basic</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200" w:type="dxa"/>
            <w:vAlign w:val="bottom"/>
            <w:tcBorders>
              <w:top w:val="single" w:sz="8" w:color="auto"/>
              <w:bottom w:val="single" w:sz="8" w:color="auto"/>
            </w:tcBorders>
            <w:shd w:val="clear" w:color="auto" w:fill="CCEEFF"/>
          </w:tcPr>
          <w:p>
            <w:pPr>
              <w:spacing w:after="0"/>
              <w:rPr>
                <w:sz w:val="17"/>
                <w:szCs w:val="17"/>
                <w:color w:val="auto"/>
              </w:rPr>
            </w:pPr>
          </w:p>
        </w:tc>
        <w:tc>
          <w:tcPr>
            <w:tcW w:w="106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43,569,482</w:t>
            </w:r>
          </w:p>
        </w:tc>
        <w:tc>
          <w:tcPr>
            <w:tcW w:w="140" w:type="dxa"/>
            <w:vAlign w:val="bottom"/>
            <w:tcBorders>
              <w:top w:val="single" w:sz="8" w:color="CCEEFF"/>
              <w:bottom w:val="single" w:sz="8" w:color="CCEEFF"/>
            </w:tcBorders>
            <w:shd w:val="clear" w:color="auto" w:fill="CCEEFF"/>
          </w:tcPr>
          <w:p>
            <w:pPr>
              <w:spacing w:after="0"/>
              <w:rPr>
                <w:sz w:val="17"/>
                <w:szCs w:val="17"/>
                <w:color w:val="auto"/>
              </w:rPr>
            </w:pP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240" w:type="dxa"/>
            <w:vAlign w:val="bottom"/>
            <w:tcBorders>
              <w:top w:val="single" w:sz="8" w:color="auto"/>
              <w:bottom w:val="single" w:sz="8" w:color="auto"/>
            </w:tcBorders>
            <w:shd w:val="clear" w:color="auto" w:fill="CCEEFF"/>
          </w:tcPr>
          <w:p>
            <w:pPr>
              <w:spacing w:after="0"/>
              <w:rPr>
                <w:sz w:val="17"/>
                <w:szCs w:val="17"/>
                <w:color w:val="auto"/>
              </w:rPr>
            </w:pPr>
          </w:p>
        </w:tc>
        <w:tc>
          <w:tcPr>
            <w:tcW w:w="98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39,972,174</w:t>
            </w:r>
          </w:p>
        </w:tc>
        <w:tc>
          <w:tcPr>
            <w:tcW w:w="220" w:type="dxa"/>
            <w:vAlign w:val="bottom"/>
            <w:tcBorders>
              <w:top w:val="single" w:sz="8" w:color="CCEEFF"/>
              <w:bottom w:val="single" w:sz="8" w:color="CCEEFF"/>
            </w:tcBorders>
            <w:shd w:val="clear" w:color="auto" w:fill="CCEEFF"/>
          </w:tcPr>
          <w:p>
            <w:pPr>
              <w:spacing w:after="0"/>
              <w:rPr>
                <w:sz w:val="17"/>
                <w:szCs w:val="17"/>
                <w:color w:val="auto"/>
              </w:rPr>
            </w:pPr>
          </w:p>
        </w:tc>
        <w:tc>
          <w:tcPr>
            <w:tcW w:w="220" w:type="dxa"/>
            <w:vAlign w:val="bottom"/>
            <w:tcBorders>
              <w:top w:val="single" w:sz="8" w:color="auto"/>
              <w:bottom w:val="single" w:sz="8" w:color="auto"/>
            </w:tcBorders>
            <w:shd w:val="clear" w:color="auto" w:fill="CCEEFF"/>
          </w:tcPr>
          <w:p>
            <w:pPr>
              <w:spacing w:after="0"/>
              <w:rPr>
                <w:sz w:val="17"/>
                <w:szCs w:val="17"/>
                <w:color w:val="auto"/>
              </w:rPr>
            </w:pPr>
          </w:p>
        </w:tc>
        <w:tc>
          <w:tcPr>
            <w:tcW w:w="100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42,724,813</w:t>
            </w:r>
          </w:p>
        </w:tc>
        <w:tc>
          <w:tcPr>
            <w:tcW w:w="140" w:type="dxa"/>
            <w:vAlign w:val="bottom"/>
            <w:tcBorders>
              <w:top w:val="single" w:sz="8" w:color="CCEEFF"/>
              <w:bottom w:val="single" w:sz="8" w:color="CCEEFF"/>
            </w:tcBorders>
            <w:shd w:val="clear" w:color="auto" w:fill="CCEEFF"/>
          </w:tcPr>
          <w:p>
            <w:pPr>
              <w:spacing w:after="0"/>
              <w:rPr>
                <w:sz w:val="17"/>
                <w:szCs w:val="17"/>
                <w:color w:val="auto"/>
              </w:rPr>
            </w:pP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260" w:type="dxa"/>
            <w:vAlign w:val="bottom"/>
            <w:tcBorders>
              <w:top w:val="single" w:sz="8" w:color="auto"/>
              <w:bottom w:val="single" w:sz="8" w:color="auto"/>
            </w:tcBorders>
            <w:shd w:val="clear" w:color="auto" w:fill="CCEEFF"/>
          </w:tcPr>
          <w:p>
            <w:pPr>
              <w:spacing w:after="0"/>
              <w:rPr>
                <w:sz w:val="17"/>
                <w:szCs w:val="17"/>
                <w:color w:val="auto"/>
              </w:rPr>
            </w:pPr>
          </w:p>
        </w:tc>
        <w:tc>
          <w:tcPr>
            <w:tcW w:w="980" w:type="dxa"/>
            <w:vAlign w:val="bottom"/>
            <w:tcBorders>
              <w:top w:val="single" w:sz="8" w:color="auto"/>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39,862,878</w:t>
            </w:r>
          </w:p>
        </w:tc>
        <w:tc>
          <w:tcPr>
            <w:tcW w:w="100" w:type="dxa"/>
            <w:vAlign w:val="bottom"/>
            <w:tcBorders>
              <w:top w:val="single" w:sz="8" w:color="CCEEFF"/>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5400" w:type="dxa"/>
            <w:vAlign w:val="bottom"/>
            <w:vMerge w:val="restart"/>
          </w:tcPr>
          <w:p>
            <w:pPr>
              <w:spacing w:after="0"/>
              <w:rPr>
                <w:sz w:val="20"/>
                <w:szCs w:val="20"/>
                <w:color w:val="auto"/>
              </w:rPr>
            </w:pPr>
            <w:r>
              <w:rPr>
                <w:rFonts w:ascii="Arial" w:cs="Arial" w:eastAsia="Arial" w:hAnsi="Arial"/>
                <w:sz w:val="18"/>
                <w:szCs w:val="18"/>
                <w:color w:val="auto"/>
                <w:w w:val="93"/>
              </w:rPr>
              <w:t>Net income/(loss) per share attributable to common stockholders, diluted</w:t>
            </w:r>
          </w:p>
        </w:tc>
        <w:tc>
          <w:tcPr>
            <w:tcW w:w="120" w:type="dxa"/>
            <w:vAlign w:val="bottom"/>
            <w:vMerge w:val="restart"/>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40" w:type="dxa"/>
            <w:vAlign w:val="bottom"/>
            <w:vMerge w:val="restart"/>
          </w:tcPr>
          <w:p>
            <w:pPr>
              <w:jc w:val="right"/>
              <w:ind w:right="1"/>
              <w:spacing w:after="0"/>
              <w:rPr>
                <w:sz w:val="20"/>
                <w:szCs w:val="20"/>
                <w:color w:val="auto"/>
              </w:rPr>
            </w:pPr>
            <w:r>
              <w:rPr>
                <w:rFonts w:ascii="Arial" w:cs="Arial" w:eastAsia="Arial" w:hAnsi="Arial"/>
                <w:sz w:val="16"/>
                <w:szCs w:val="16"/>
                <w:color w:val="auto"/>
                <w:w w:val="74"/>
              </w:rPr>
              <w:t>)</w:t>
            </w:r>
          </w:p>
        </w:tc>
        <w:tc>
          <w:tcPr>
            <w:tcW w:w="100" w:type="dxa"/>
            <w:vAlign w:val="bottom"/>
            <w:vMerge w:val="restart"/>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20" w:type="dxa"/>
            <w:vAlign w:val="bottom"/>
            <w:vMerge w:val="restart"/>
          </w:tcPr>
          <w:p>
            <w:pPr>
              <w:jc w:val="right"/>
              <w:ind w:right="81"/>
              <w:spacing w:after="0"/>
              <w:rPr>
                <w:sz w:val="20"/>
                <w:szCs w:val="20"/>
                <w:color w:val="auto"/>
              </w:rPr>
            </w:pPr>
            <w:r>
              <w:rPr>
                <w:rFonts w:ascii="Arial" w:cs="Arial" w:eastAsia="Arial" w:hAnsi="Arial"/>
                <w:sz w:val="16"/>
                <w:szCs w:val="16"/>
                <w:color w:val="auto"/>
                <w:w w:val="74"/>
              </w:rPr>
              <w:t>)</w:t>
            </w:r>
          </w:p>
        </w:tc>
        <w:tc>
          <w:tcPr>
            <w:tcW w:w="2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vMerge w:val="restart"/>
          </w:tcPr>
          <w:p>
            <w:pPr>
              <w:spacing w:after="0" w:line="20" w:lineRule="exact"/>
              <w:rPr>
                <w:sz w:val="1"/>
                <w:szCs w:val="1"/>
                <w:color w:val="auto"/>
              </w:rPr>
            </w:pPr>
          </w:p>
        </w:tc>
        <w:tc>
          <w:tcPr>
            <w:tcW w:w="80" w:type="dxa"/>
            <w:vAlign w:val="bottom"/>
            <w:vMerge w:val="restart"/>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vMerge w:val="restart"/>
          </w:tcPr>
          <w:p>
            <w:pPr>
              <w:jc w:val="right"/>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line="20" w:lineRule="exact"/>
              <w:rPr>
                <w:sz w:val="1"/>
                <w:szCs w:val="1"/>
                <w:color w:val="auto"/>
              </w:rPr>
            </w:pPr>
          </w:p>
        </w:tc>
      </w:tr>
      <w:tr>
        <w:trPr>
          <w:trHeight w:val="236"/>
        </w:trPr>
        <w:tc>
          <w:tcPr>
            <w:tcW w:w="5400" w:type="dxa"/>
            <w:vAlign w:val="bottom"/>
            <w:tcBorders>
              <w:bottom w:val="single" w:sz="8" w:color="CCEEFF"/>
            </w:tcBorders>
            <w:vMerge w:val="continue"/>
          </w:tcPr>
          <w:p>
            <w:pPr>
              <w:spacing w:after="0"/>
              <w:rPr>
                <w:sz w:val="20"/>
                <w:szCs w:val="20"/>
                <w:color w:val="auto"/>
              </w:rPr>
            </w:pPr>
          </w:p>
        </w:tc>
        <w:tc>
          <w:tcPr>
            <w:tcW w:w="120" w:type="dxa"/>
            <w:vAlign w:val="bottom"/>
            <w:tcBorders>
              <w:bottom w:val="single" w:sz="8" w:color="CCEEFF"/>
            </w:tcBorders>
            <w:vMerge w:val="continue"/>
          </w:tcPr>
          <w:p>
            <w:pPr>
              <w:spacing w:after="0"/>
              <w:rPr>
                <w:sz w:val="20"/>
                <w:szCs w:val="20"/>
                <w:color w:val="auto"/>
              </w:rPr>
            </w:pPr>
          </w:p>
        </w:tc>
        <w:tc>
          <w:tcPr>
            <w:tcW w:w="200" w:type="dxa"/>
            <w:vAlign w:val="bottom"/>
            <w:tcBorders>
              <w:bottom w:val="single" w:sz="8" w:color="auto"/>
            </w:tcBorders>
          </w:tcPr>
          <w:p>
            <w:pPr>
              <w:jc w:val="right"/>
              <w:ind w:right="10"/>
              <w:spacing w:after="0" w:line="196" w:lineRule="exact"/>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(0.53</w:t>
            </w:r>
          </w:p>
        </w:tc>
        <w:tc>
          <w:tcPr>
            <w:tcW w:w="140" w:type="dxa"/>
            <w:vAlign w:val="bottom"/>
            <w:tcBorders>
              <w:bottom w:val="single" w:sz="8" w:color="CCEEFF"/>
            </w:tcBorders>
            <w:vMerge w:val="continue"/>
          </w:tcPr>
          <w:p>
            <w:pPr>
              <w:spacing w:after="0"/>
              <w:rPr>
                <w:sz w:val="20"/>
                <w:szCs w:val="20"/>
                <w:color w:val="auto"/>
              </w:rPr>
            </w:pPr>
          </w:p>
        </w:tc>
        <w:tc>
          <w:tcPr>
            <w:tcW w:w="100" w:type="dxa"/>
            <w:vAlign w:val="bottom"/>
            <w:tcBorders>
              <w:bottom w:val="single" w:sz="8" w:color="CCEEFF"/>
            </w:tcBorders>
            <w:vMerge w:val="continue"/>
          </w:tcPr>
          <w:p>
            <w:pPr>
              <w:spacing w:after="0"/>
              <w:rPr>
                <w:sz w:val="20"/>
                <w:szCs w:val="20"/>
                <w:color w:val="auto"/>
              </w:rPr>
            </w:pPr>
          </w:p>
        </w:tc>
        <w:tc>
          <w:tcPr>
            <w:tcW w:w="240" w:type="dxa"/>
            <w:vAlign w:val="bottom"/>
            <w:tcBorders>
              <w:bottom w:val="single" w:sz="8" w:color="auto"/>
            </w:tcBorders>
          </w:tcPr>
          <w:p>
            <w:pPr>
              <w:jc w:val="right"/>
              <w:ind w:right="87"/>
              <w:spacing w:after="0"/>
              <w:rPr>
                <w:sz w:val="20"/>
                <w:szCs w:val="20"/>
                <w:color w:val="auto"/>
              </w:rPr>
            </w:pPr>
            <w:r>
              <w:rPr>
                <w:rFonts w:ascii="Arial" w:cs="Arial" w:eastAsia="Arial" w:hAnsi="Arial"/>
                <w:sz w:val="15"/>
                <w:szCs w:val="15"/>
                <w:color w:val="auto"/>
                <w:w w:val="71"/>
              </w:rPr>
              <w:t>$</w:t>
            </w:r>
          </w:p>
        </w:tc>
        <w:tc>
          <w:tcPr>
            <w:tcW w:w="9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(1.01</w:t>
            </w:r>
          </w:p>
        </w:tc>
        <w:tc>
          <w:tcPr>
            <w:tcW w:w="220" w:type="dxa"/>
            <w:vAlign w:val="bottom"/>
            <w:tcBorders>
              <w:bottom w:val="single" w:sz="8" w:color="CCEEFF"/>
            </w:tcBorders>
            <w:vMerge w:val="continue"/>
          </w:tcPr>
          <w:p>
            <w:pPr>
              <w:spacing w:after="0"/>
              <w:rPr>
                <w:sz w:val="20"/>
                <w:szCs w:val="20"/>
                <w:color w:val="auto"/>
              </w:rPr>
            </w:pPr>
          </w:p>
        </w:tc>
        <w:tc>
          <w:tcPr>
            <w:tcW w:w="220" w:type="dxa"/>
            <w:vAlign w:val="bottom"/>
            <w:tcBorders>
              <w:bottom w:val="single" w:sz="8" w:color="auto"/>
            </w:tcBorders>
          </w:tcPr>
          <w:p>
            <w:pPr>
              <w:jc w:val="right"/>
              <w:ind w:right="67"/>
              <w:spacing w:after="0"/>
              <w:rPr>
                <w:sz w:val="20"/>
                <w:szCs w:val="20"/>
                <w:color w:val="auto"/>
              </w:rPr>
            </w:pPr>
            <w:r>
              <w:rPr>
                <w:rFonts w:ascii="Arial" w:cs="Arial" w:eastAsia="Arial" w:hAnsi="Arial"/>
                <w:sz w:val="15"/>
                <w:szCs w:val="15"/>
                <w:color w:val="auto"/>
                <w:w w:val="71"/>
              </w:rPr>
              <w:t>$</w:t>
            </w:r>
          </w:p>
        </w:tc>
        <w:tc>
          <w:tcPr>
            <w:tcW w:w="10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0.23</w:t>
            </w:r>
          </w:p>
        </w:tc>
        <w:tc>
          <w:tcPr>
            <w:tcW w:w="140" w:type="dxa"/>
            <w:vAlign w:val="bottom"/>
            <w:tcBorders>
              <w:bottom w:val="single" w:sz="8" w:color="CCEEFF"/>
            </w:tcBorders>
            <w:vMerge w:val="continue"/>
          </w:tcPr>
          <w:p>
            <w:pPr>
              <w:spacing w:after="0"/>
              <w:rPr>
                <w:sz w:val="20"/>
                <w:szCs w:val="20"/>
                <w:color w:val="auto"/>
              </w:rPr>
            </w:pPr>
          </w:p>
        </w:tc>
        <w:tc>
          <w:tcPr>
            <w:tcW w:w="80" w:type="dxa"/>
            <w:vAlign w:val="bottom"/>
            <w:tcBorders>
              <w:bottom w:val="single" w:sz="8" w:color="CCEEFF"/>
            </w:tcBorders>
            <w:vMerge w:val="continue"/>
          </w:tcPr>
          <w:p>
            <w:pPr>
              <w:spacing w:after="0"/>
              <w:rPr>
                <w:sz w:val="20"/>
                <w:szCs w:val="20"/>
                <w:color w:val="auto"/>
              </w:rPr>
            </w:pPr>
          </w:p>
        </w:tc>
        <w:tc>
          <w:tcPr>
            <w:tcW w:w="260" w:type="dxa"/>
            <w:vAlign w:val="bottom"/>
            <w:tcBorders>
              <w:bottom w:val="single" w:sz="8" w:color="auto"/>
            </w:tcBorders>
          </w:tcPr>
          <w:p>
            <w:pPr>
              <w:jc w:val="right"/>
              <w:ind w:right="70"/>
              <w:spacing w:after="0" w:line="196" w:lineRule="exact"/>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(1.67</w:t>
            </w:r>
          </w:p>
        </w:tc>
        <w:tc>
          <w:tcPr>
            <w:tcW w:w="100" w:type="dxa"/>
            <w:vAlign w:val="bottom"/>
            <w:tcBorders>
              <w:bottom w:val="single" w:sz="8" w:color="CCEEFF"/>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97"/>
        </w:trPr>
        <w:tc>
          <w:tcPr>
            <w:tcW w:w="5400" w:type="dxa"/>
            <w:vAlign w:val="bottom"/>
            <w:tcBorders>
              <w:bottom w:val="single" w:sz="8" w:color="CCEEFF"/>
            </w:tcBorders>
            <w:shd w:val="clear" w:color="auto" w:fill="CCEEFF"/>
          </w:tcPr>
          <w:p>
            <w:pPr>
              <w:spacing w:after="0" w:line="190" w:lineRule="exact"/>
              <w:rPr>
                <w:sz w:val="20"/>
                <w:szCs w:val="20"/>
                <w:color w:val="auto"/>
              </w:rPr>
            </w:pPr>
            <w:r>
              <w:rPr>
                <w:rFonts w:ascii="Arial" w:cs="Arial" w:eastAsia="Arial" w:hAnsi="Arial"/>
                <w:sz w:val="18"/>
                <w:szCs w:val="18"/>
                <w:color w:val="auto"/>
              </w:rPr>
              <w:t>Weighted average common shares outstanding, diluted</w:t>
            </w:r>
          </w:p>
        </w:tc>
        <w:tc>
          <w:tcPr>
            <w:tcW w:w="12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auto"/>
            </w:tcBorders>
            <w:shd w:val="clear" w:color="auto" w:fill="CCEEFF"/>
          </w:tcPr>
          <w:p>
            <w:pPr>
              <w:spacing w:after="0"/>
              <w:rPr>
                <w:sz w:val="17"/>
                <w:szCs w:val="17"/>
                <w:color w:val="auto"/>
              </w:rPr>
            </w:pPr>
          </w:p>
        </w:tc>
        <w:tc>
          <w:tcPr>
            <w:tcW w:w="106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43,569,482</w:t>
            </w:r>
          </w:p>
        </w:tc>
        <w:tc>
          <w:tcPr>
            <w:tcW w:w="14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39,972,174</w:t>
            </w:r>
          </w:p>
        </w:tc>
        <w:tc>
          <w:tcPr>
            <w:tcW w:w="22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100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45,080,419</w:t>
            </w:r>
          </w:p>
        </w:tc>
        <w:tc>
          <w:tcPr>
            <w:tcW w:w="14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auto"/>
            </w:tcBorders>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39,862,878</w:t>
            </w:r>
          </w:p>
        </w:tc>
        <w:tc>
          <w:tcPr>
            <w:tcW w:w="10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54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Contact: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Y-mAbs Therapeutics,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230 Park Avenue, Suite 3350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NY 10169</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USA</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+1 646 885 8505</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E-mail: info@ymabs.com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713232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sectPr>
      <w:pgSz w:w="11900" w:h="16838" w:orient="portrait"/>
      <w:cols w:equalWidth="0" w:num="1">
        <w:col w:w="11240"/>
      </w:cols>
      <w:pgMar w:left="320" w:top="1440"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25558EC"/>
    <w:multiLevelType w:val="hybridMultilevel"/>
    <w:lvl w:ilvl="0">
      <w:lvlJc w:val="left"/>
      <w:lvlText w:val="☐"/>
      <w:numFmt w:val="bullet"/>
      <w:start w:val="1"/>
    </w:lvl>
  </w:abstractNum>
  <w:abstractNum w:abstractNumId="1">
    <w:nsid w:val="238E1F29"/>
    <w:multiLevelType w:val="hybridMultilevel"/>
    <w:lvl w:ilvl="0">
      <w:lvlJc w:val="left"/>
      <w:lvlText w:val="·"/>
      <w:numFmt w:val="bullet"/>
      <w:start w:val="1"/>
    </w:lvl>
  </w:abstractNum>
  <w:abstractNum w:abstractNumId="2">
    <w:nsid w:val="46E87CCD"/>
    <w:multiLevelType w:val="hybridMultilevel"/>
    <w:lvl w:ilvl="0">
      <w:lvlJc w:val="left"/>
      <w:lvlText w:val="·"/>
      <w:numFmt w:val="bullet"/>
      <w:start w:val="1"/>
    </w:lvl>
  </w:abstractNum>
  <w:abstractNum w:abstractNumId="3">
    <w:nsid w:val="3D1B58BA"/>
    <w:multiLevelType w:val="hybridMultilevel"/>
    <w:lvl w:ilvl="0">
      <w:lvlJc w:val="left"/>
      <w:lvlText w:val="·"/>
      <w:numFmt w:val="bullet"/>
      <w:start w:val="1"/>
    </w:lvl>
  </w:abstractNum>
  <w:abstractNum w:abstractNumId="4">
    <w:nsid w:val="507ED7AB"/>
    <w:multiLevelType w:val="hybridMultilevel"/>
    <w:lvl w:ilvl="0">
      <w:lvlJc w:val="left"/>
      <w:lvlText w:val="·"/>
      <w:numFmt w:val="bullet"/>
      <w:start w:val="1"/>
    </w:lvl>
  </w:abstractNum>
  <w:abstractNum w:abstractNumId="5">
    <w:nsid w:val="2EB141F2"/>
    <w:multiLevelType w:val="hybridMultilevel"/>
    <w:lvl w:ilvl="0">
      <w:lvlJc w:val="left"/>
      <w:lvlText w:val="·"/>
      <w:numFmt w:val="bullet"/>
      <w:start w:val="1"/>
    </w:lvl>
  </w:abstractNum>
  <w:abstractNum w:abstractNumId="6">
    <w:nsid w:val="41B71EFB"/>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image" Target="media/image15.jpe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jpeg"/><Relationship Id="rId31" Type="http://schemas.openxmlformats.org/officeDocument/2006/relationships/image" Target="media/image2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2021-08-05T16:05:50Z</dcterms:created>
  <dcterms:modified xsi:type="dcterms:W3CDTF">2021-08-05T16:05:50Z</dcterms:modified>
</cp:coreProperties>
</file>