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4)*</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&amp; January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080" w:hanging="647"/>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sz w:val="24"/>
          <w:szCs w:val="24"/>
          <w:color w:val="auto"/>
        </w:rPr>
      </w:pPr>
    </w:p>
    <w:p>
      <w:pPr>
        <w:ind w:left="1080" w:hanging="647"/>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1080" w:hanging="647"/>
        <w:spacing w:after="0"/>
        <w:tabs>
          <w:tab w:leader="none" w:pos="108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rFonts w:ascii="MS PGothic" w:cs="MS PGothic" w:eastAsia="MS PGothic" w:hAnsi="MS PGothic"/>
          <w:sz w:val="18"/>
          <w:szCs w:val="18"/>
          <w:color w:val="auto"/>
        </w:rPr>
      </w:pPr>
    </w:p>
    <w:p>
      <w:pPr>
        <w:ind w:right="10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 w:name="page2"/>
    <w:bookmarkEnd w:id="1"/>
    <w:p>
      <w:pPr>
        <w:ind w:left="340"/>
        <w:spacing w:after="0"/>
        <w:rPr>
          <w:sz w:val="20"/>
          <w:szCs w:val="20"/>
          <w:color w:val="auto"/>
        </w:rPr>
      </w:pPr>
      <w:r>
        <w:rPr>
          <w:rFonts w:ascii="Arial" w:cs="Arial" w:eastAsia="Arial" w:hAnsi="Arial"/>
          <w:sz w:val="18"/>
          <w:szCs w:val="18"/>
          <w:color w:val="auto"/>
        </w:rPr>
        <w:t>1.</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Person With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of Reporting Persons: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HBM Healthcare Investments (Cayman)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489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Check the Appropriate Box if a Member of a Group</w:t>
      </w:r>
    </w:p>
    <w:p>
      <w:pPr>
        <w:spacing w:after="0" w:line="53" w:lineRule="exact"/>
        <w:rPr>
          <w:sz w:val="20"/>
          <w:szCs w:val="20"/>
          <w:color w:val="auto"/>
        </w:rPr>
      </w:pPr>
    </w:p>
    <w:p>
      <w:pPr>
        <w:ind w:left="340" w:hanging="340"/>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340" w:hanging="340"/>
        <w:spacing w:after="0" w:line="207"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52705</wp:posOffset>
            </wp:positionV>
            <wp:extent cx="6275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214630</wp:posOffset>
            </wp:positionH>
            <wp:positionV relativeFrom="paragraph">
              <wp:posOffset>-126365</wp:posOffset>
            </wp:positionV>
            <wp:extent cx="6275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489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Cayman Islands, British West Indies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489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42" w:lineRule="exact"/>
        <w:rPr>
          <w:sz w:val="20"/>
          <w:szCs w:val="20"/>
          <w:color w:val="auto"/>
        </w:rPr>
      </w:pPr>
    </w:p>
    <w:p>
      <w:pPr>
        <w:ind w:left="1020" w:right="7800" w:hanging="682"/>
        <w:spacing w:after="0" w:line="34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Sole Voting Power: 3,090,954 (1)</w:t>
      </w:r>
    </w:p>
    <w:p>
      <w:pPr>
        <w:spacing w:after="0" w:line="177" w:lineRule="exact"/>
        <w:rPr>
          <w:rFonts w:ascii="Arial" w:cs="Arial" w:eastAsia="Arial" w:hAnsi="Arial"/>
          <w:sz w:val="16"/>
          <w:szCs w:val="16"/>
          <w:color w:val="auto"/>
        </w:rPr>
      </w:pPr>
    </w:p>
    <w:p>
      <w:pPr>
        <w:ind w:left="1020" w:right="7620" w:hanging="68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0</w:t>
      </w:r>
    </w:p>
    <w:p>
      <w:pPr>
        <w:spacing w:after="0" w:line="224" w:lineRule="exact"/>
        <w:rPr>
          <w:rFonts w:ascii="Arial" w:cs="Arial" w:eastAsia="Arial" w:hAnsi="Arial"/>
          <w:sz w:val="18"/>
          <w:szCs w:val="18"/>
          <w:color w:val="auto"/>
        </w:rPr>
      </w:pPr>
    </w:p>
    <w:p>
      <w:pPr>
        <w:ind w:left="1020" w:right="7440" w:hanging="682"/>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3,090,954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-1905</wp:posOffset>
            </wp:positionV>
            <wp:extent cx="5846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-447675</wp:posOffset>
            </wp:positionV>
            <wp:extent cx="5846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-893445</wp:posOffset>
            </wp:positionV>
            <wp:extent cx="58464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900" w:space="120"/>
            <w:col w:w="10200"/>
          </w:cols>
          <w:pgMar w:left="320" w:top="935" w:right="359" w:bottom="1440" w:gutter="0" w:footer="0" w:header="0"/>
        </w:sectPr>
      </w:pPr>
    </w:p>
    <w:p>
      <w:pPr>
        <w:ind w:left="2040" w:right="7260" w:hanging="682"/>
        <w:spacing w:after="0" w:line="277" w:lineRule="auto"/>
        <w:tabs>
          <w:tab w:leader="none" w:pos="20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1" w:lineRule="exact"/>
        <w:rPr>
          <w:rFonts w:ascii="Arial" w:cs="Arial" w:eastAsia="Arial" w:hAnsi="Arial"/>
          <w:sz w:val="18"/>
          <w:szCs w:val="18"/>
          <w:color w:val="auto"/>
        </w:rPr>
      </w:pPr>
    </w:p>
    <w:p>
      <w:pPr>
        <w:ind w:left="1020" w:hanging="67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3,090,954 (1)</w:t>
      </w:r>
    </w:p>
    <w:p>
      <w:pPr>
        <w:spacing w:after="0" w:line="232" w:lineRule="exact"/>
        <w:rPr>
          <w:rFonts w:ascii="Arial" w:cs="Arial" w:eastAsia="Arial" w:hAnsi="Arial"/>
          <w:sz w:val="18"/>
          <w:szCs w:val="18"/>
          <w:color w:val="auto"/>
        </w:rPr>
      </w:pPr>
    </w:p>
    <w:p>
      <w:pPr>
        <w:ind w:left="1020" w:hanging="675"/>
        <w:spacing w:after="0" w:line="207" w:lineRule="exact"/>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1020" w:hanging="67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7.1% (2)</w:t>
      </w:r>
    </w:p>
    <w:p>
      <w:pPr>
        <w:spacing w:after="0" w:line="264" w:lineRule="exact"/>
        <w:rPr>
          <w:rFonts w:ascii="Arial" w:cs="Arial" w:eastAsia="Arial" w:hAnsi="Arial"/>
          <w:sz w:val="18"/>
          <w:szCs w:val="18"/>
          <w:color w:val="auto"/>
        </w:rPr>
      </w:pPr>
    </w:p>
    <w:p>
      <w:pPr>
        <w:ind w:left="1020" w:hanging="67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51" w:lineRule="exact"/>
        <w:rPr>
          <w:rFonts w:ascii="Arial" w:cs="Arial" w:eastAsia="Arial" w:hAnsi="Arial"/>
          <w:sz w:val="18"/>
          <w:szCs w:val="18"/>
          <w:color w:val="auto"/>
        </w:rPr>
      </w:pPr>
    </w:p>
    <w:p>
      <w:pPr>
        <w:ind w:left="880" w:right="980" w:hanging="319"/>
        <w:spacing w:after="0" w:line="277"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of December 31, 2021, the Reporting Person beneficially owned 1,877,494 shares of the Issuer’s Common Stock, representing approximately 4.3% of the shares of Issuer’s Common Stock outstanding.</w:t>
      </w:r>
    </w:p>
    <w:p>
      <w:pPr>
        <w:spacing w:after="0" w:line="170" w:lineRule="exact"/>
        <w:rPr>
          <w:rFonts w:ascii="Arial" w:cs="Arial" w:eastAsia="Arial" w:hAnsi="Arial"/>
          <w:sz w:val="18"/>
          <w:szCs w:val="18"/>
          <w:color w:val="auto"/>
        </w:rPr>
      </w:pPr>
    </w:p>
    <w:p>
      <w:pPr>
        <w:ind w:left="880" w:hanging="319"/>
        <w:spacing w:after="0" w:line="277" w:lineRule="auto"/>
        <w:tabs>
          <w:tab w:leader="none" w:pos="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43,643,916 shares of the Issuer’s Common Stock outstanding as of November 2, 2021, as reported in the Issuer’s Quarterly Report on Form 10-Q, filed with the SEC on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-2367915</wp:posOffset>
            </wp:positionV>
            <wp:extent cx="58464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-850900</wp:posOffset>
            </wp:positionV>
            <wp:extent cx="6489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-1296670</wp:posOffset>
            </wp:positionV>
            <wp:extent cx="6489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-1742440</wp:posOffset>
            </wp:positionV>
            <wp:extent cx="6489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-2051050</wp:posOffset>
            </wp:positionV>
            <wp:extent cx="64890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8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0" w:type="dxa"/>
            <w:vAlign w:val="bottom"/>
          </w:tcPr>
          <w:p>
            <w:pPr>
              <w:ind w:left="80"/>
              <w:spacing w:after="0"/>
              <w:rPr>
                <w:sz w:val="20"/>
                <w:szCs w:val="20"/>
                <w:color w:val="auto"/>
              </w:rPr>
            </w:pPr>
            <w:r>
              <w:rPr>
                <w:rFonts w:ascii="Arial" w:cs="Arial" w:eastAsia="Arial" w:hAnsi="Arial"/>
                <w:sz w:val="18"/>
                <w:szCs w:val="18"/>
                <w:color w:val="auto"/>
              </w:rPr>
              <w:t>(a).</w:t>
            </w:r>
          </w:p>
        </w:tc>
        <w:tc>
          <w:tcPr>
            <w:tcW w:w="9660" w:type="dxa"/>
            <w:vAlign w:val="bottom"/>
          </w:tcPr>
          <w:p>
            <w:pPr>
              <w:spacing w:after="0"/>
              <w:rPr>
                <w:sz w:val="20"/>
                <w:szCs w:val="20"/>
                <w:color w:val="auto"/>
              </w:rPr>
            </w:pPr>
            <w:r>
              <w:rPr>
                <w:rFonts w:ascii="Arial" w:cs="Arial" w:eastAsia="Arial" w:hAnsi="Arial"/>
                <w:sz w:val="18"/>
                <w:szCs w:val="18"/>
                <w:color w:val="auto"/>
              </w:rPr>
              <w:t>Name of Issuer:</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Y-mAbs Therapeutics, Inc.</w:t>
            </w:r>
          </w:p>
        </w:tc>
        <w:tc>
          <w:tcPr>
            <w:tcW w:w="0" w:type="dxa"/>
            <w:vAlign w:val="bottom"/>
          </w:tcPr>
          <w:p>
            <w:pPr>
              <w:spacing w:after="0"/>
              <w:rPr>
                <w:sz w:val="1"/>
                <w:szCs w:val="1"/>
                <w:color w:val="auto"/>
              </w:rPr>
            </w:pPr>
          </w:p>
        </w:tc>
      </w:tr>
      <w:tr>
        <w:trPr>
          <w:trHeight w:val="249"/>
        </w:trPr>
        <w:tc>
          <w:tcPr>
            <w:tcW w:w="840" w:type="dxa"/>
            <w:vAlign w:val="bottom"/>
          </w:tcPr>
          <w:p>
            <w:pPr>
              <w:spacing w:after="0"/>
              <w:rPr>
                <w:sz w:val="21"/>
                <w:szCs w:val="21"/>
                <w:color w:val="auto"/>
              </w:rPr>
            </w:pPr>
          </w:p>
        </w:tc>
        <w:tc>
          <w:tcPr>
            <w:tcW w:w="740" w:type="dxa"/>
            <w:vAlign w:val="bottom"/>
          </w:tcPr>
          <w:p>
            <w:pPr>
              <w:ind w:left="80"/>
              <w:spacing w:after="0"/>
              <w:rPr>
                <w:sz w:val="20"/>
                <w:szCs w:val="20"/>
                <w:color w:val="auto"/>
              </w:rPr>
            </w:pPr>
            <w:r>
              <w:rPr>
                <w:rFonts w:ascii="Arial" w:cs="Arial" w:eastAsia="Arial" w:hAnsi="Arial"/>
                <w:sz w:val="18"/>
                <w:szCs w:val="18"/>
                <w:color w:val="auto"/>
              </w:rPr>
              <w:t>(b).</w:t>
            </w:r>
          </w:p>
        </w:tc>
        <w:tc>
          <w:tcPr>
            <w:tcW w:w="966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230 Park Avenue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Suite 3350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New York, New York 10169</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2(a).</w:t>
            </w:r>
          </w:p>
        </w:tc>
        <w:tc>
          <w:tcPr>
            <w:tcW w:w="740" w:type="dxa"/>
            <w:vAlign w:val="bottom"/>
          </w:tcPr>
          <w:p>
            <w:pPr>
              <w:spacing w:after="0"/>
              <w:rPr>
                <w:sz w:val="4"/>
                <w:szCs w:val="4"/>
                <w:color w:val="auto"/>
              </w:rPr>
            </w:pPr>
          </w:p>
        </w:tc>
        <w:tc>
          <w:tcPr>
            <w:tcW w:w="9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84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Name of Person Filing:</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HBM Healthcare Investments (Cayman) Ltd.</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2(b).</w:t>
            </w:r>
          </w:p>
        </w:tc>
        <w:tc>
          <w:tcPr>
            <w:tcW w:w="740" w:type="dxa"/>
            <w:vAlign w:val="bottom"/>
          </w:tcPr>
          <w:p>
            <w:pPr>
              <w:spacing w:after="0"/>
              <w:rPr>
                <w:sz w:val="4"/>
                <w:szCs w:val="4"/>
                <w:color w:val="auto"/>
              </w:rPr>
            </w:pPr>
          </w:p>
        </w:tc>
        <w:tc>
          <w:tcPr>
            <w:tcW w:w="9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84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Address of Principal Business Office: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Governors Square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23 Lime Tree Bay Avenue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PO Box 30852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Grand Cayman, Cayman Islands</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2(c).</w:t>
            </w:r>
          </w:p>
        </w:tc>
        <w:tc>
          <w:tcPr>
            <w:tcW w:w="740" w:type="dxa"/>
            <w:vAlign w:val="bottom"/>
          </w:tcPr>
          <w:p>
            <w:pPr>
              <w:spacing w:after="0"/>
              <w:rPr>
                <w:sz w:val="4"/>
                <w:szCs w:val="4"/>
                <w:color w:val="auto"/>
              </w:rPr>
            </w:pPr>
          </w:p>
        </w:tc>
        <w:tc>
          <w:tcPr>
            <w:tcW w:w="9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840" w:type="dxa"/>
            <w:vAlign w:val="bottom"/>
            <w:vMerge w:val="continue"/>
          </w:tcPr>
          <w:p>
            <w:pPr>
              <w:spacing w:after="0"/>
              <w:rPr>
                <w:sz w:val="21"/>
                <w:szCs w:val="21"/>
                <w:color w:val="auto"/>
              </w:rPr>
            </w:pPr>
          </w:p>
        </w:tc>
        <w:tc>
          <w:tcPr>
            <w:tcW w:w="740" w:type="dxa"/>
            <w:vAlign w:val="bottom"/>
          </w:tcPr>
          <w:p>
            <w:pPr>
              <w:spacing w:after="0"/>
              <w:rPr>
                <w:sz w:val="21"/>
                <w:szCs w:val="21"/>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Citizenship:</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60" w:type="dxa"/>
            <w:vAlign w:val="bottom"/>
          </w:tcPr>
          <w:p>
            <w:pPr>
              <w:spacing w:after="0"/>
              <w:rPr>
                <w:sz w:val="20"/>
                <w:szCs w:val="20"/>
                <w:color w:val="auto"/>
              </w:rPr>
            </w:pPr>
            <w:r>
              <w:rPr>
                <w:rFonts w:ascii="Arial" w:cs="Arial" w:eastAsia="Arial" w:hAnsi="Arial"/>
                <w:sz w:val="18"/>
                <w:szCs w:val="18"/>
                <w:color w:val="auto"/>
              </w:rPr>
              <w:t>Cayman Islands, British West Indies</w:t>
            </w:r>
          </w:p>
        </w:tc>
        <w:tc>
          <w:tcPr>
            <w:tcW w:w="0" w:type="dxa"/>
            <w:vAlign w:val="bottom"/>
          </w:tcPr>
          <w:p>
            <w:pPr>
              <w:spacing w:after="0"/>
              <w:rPr>
                <w:sz w:val="1"/>
                <w:szCs w:val="1"/>
                <w:color w:val="auto"/>
              </w:rPr>
            </w:pPr>
          </w:p>
        </w:tc>
      </w:tr>
      <w:tr>
        <w:trPr>
          <w:trHeight w:val="54"/>
        </w:trPr>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
        <w:spacing w:after="0"/>
        <w:tabs>
          <w:tab w:leader="none" w:pos="11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color w:val="auto"/>
        </w:rPr>
        <w:t>Title of Class of Securities:</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Common Stock, $0.0001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40005</wp:posOffset>
            </wp:positionV>
            <wp:extent cx="6412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8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660" w:type="dxa"/>
            <w:vAlign w:val="bottom"/>
          </w:tcPr>
          <w:p>
            <w:pPr>
              <w:spacing w:after="0"/>
              <w:rPr>
                <w:sz w:val="20"/>
                <w:szCs w:val="20"/>
                <w:color w:val="auto"/>
              </w:rPr>
            </w:pPr>
            <w:r>
              <w:rPr>
                <w:rFonts w:ascii="Arial" w:cs="Arial" w:eastAsia="Arial" w:hAnsi="Arial"/>
                <w:sz w:val="18"/>
                <w:szCs w:val="18"/>
                <w:color w:val="auto"/>
              </w:rPr>
              <w:t>CUSIP Number:</w:t>
            </w:r>
          </w:p>
        </w:tc>
      </w:tr>
      <w:tr>
        <w:trPr>
          <w:trHeight w:val="230"/>
        </w:trPr>
        <w:tc>
          <w:tcPr>
            <w:tcW w:w="1580" w:type="dxa"/>
            <w:vAlign w:val="bottom"/>
          </w:tcPr>
          <w:p>
            <w:pPr>
              <w:spacing w:after="0"/>
              <w:rPr>
                <w:sz w:val="20"/>
                <w:szCs w:val="20"/>
                <w:color w:val="auto"/>
              </w:rPr>
            </w:pPr>
          </w:p>
        </w:tc>
        <w:tc>
          <w:tcPr>
            <w:tcW w:w="9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984241109</w:t>
            </w:r>
          </w:p>
        </w:tc>
      </w:tr>
    </w:tbl>
    <w:p>
      <w:pPr>
        <w:spacing w:after="0" w:line="29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94" w:lineRule="exact"/>
        <w:rPr>
          <w:sz w:val="20"/>
          <w:szCs w:val="20"/>
          <w:color w:val="auto"/>
        </w:rPr>
      </w:pPr>
    </w:p>
    <w:p>
      <w:pPr>
        <w:ind w:left="1580" w:hanging="43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34"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 xml:space="preserve">3,090,954 </w:t>
      </w:r>
      <w:r>
        <w:rPr>
          <w:rFonts w:ascii="Arial" w:cs="Arial" w:eastAsia="Arial" w:hAnsi="Arial"/>
          <w:sz w:val="29"/>
          <w:szCs w:val="29"/>
          <w:color w:val="auto"/>
          <w:vertAlign w:val="superscript"/>
        </w:rPr>
        <w:t>(1)</w:t>
      </w:r>
    </w:p>
    <w:p>
      <w:pPr>
        <w:spacing w:after="0" w:line="94" w:lineRule="exact"/>
        <w:rPr>
          <w:rFonts w:ascii="Arial" w:cs="Arial" w:eastAsia="Arial" w:hAnsi="Arial"/>
          <w:sz w:val="18"/>
          <w:szCs w:val="18"/>
          <w:color w:val="auto"/>
        </w:rPr>
      </w:pPr>
    </w:p>
    <w:p>
      <w:pPr>
        <w:ind w:left="1580" w:hanging="435"/>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07"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29"/>
          <w:szCs w:val="29"/>
          <w:color w:val="auto"/>
          <w:vertAlign w:val="superscript"/>
        </w:rPr>
        <w:t>(2)</w:t>
      </w:r>
    </w:p>
    <w:p>
      <w:pPr>
        <w:spacing w:after="0" w:line="67" w:lineRule="exact"/>
        <w:rPr>
          <w:rFonts w:ascii="Arial" w:cs="Arial" w:eastAsia="Arial" w:hAnsi="Arial"/>
          <w:sz w:val="18"/>
          <w:szCs w:val="18"/>
          <w:color w:val="auto"/>
        </w:rPr>
      </w:pPr>
    </w:p>
    <w:p>
      <w:pPr>
        <w:ind w:left="1580" w:hanging="430"/>
        <w:spacing w:after="0"/>
        <w:tabs>
          <w:tab w:leader="none" w:pos="1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Reporting Person has:</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920" w:hanging="249"/>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-164465</wp:posOffset>
            </wp:positionV>
            <wp:extent cx="61290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-619125</wp:posOffset>
            </wp:positionV>
            <wp:extent cx="6129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-1090295</wp:posOffset>
            </wp:positionV>
            <wp:extent cx="6129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11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3,090,954</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-6985</wp:posOffset>
            </wp:positionV>
            <wp:extent cx="5915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23" w:lineRule="exact"/>
        <w:rPr>
          <w:sz w:val="20"/>
          <w:szCs w:val="20"/>
          <w:color w:val="auto"/>
        </w:rPr>
      </w:pPr>
    </w:p>
    <w:p>
      <w:pPr>
        <w:ind w:left="1920" w:right="6280" w:hanging="274"/>
        <w:spacing w:after="0" w:line="382" w:lineRule="auto"/>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-24765</wp:posOffset>
            </wp:positionV>
            <wp:extent cx="5915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ind w:left="1920" w:right="5560" w:hanging="299"/>
        <w:spacing w:after="0" w:line="324" w:lineRule="auto"/>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3,090,954</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920" w:right="5380" w:hanging="294"/>
        <w:spacing w:after="0" w:line="400" w:lineRule="auto"/>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-52705</wp:posOffset>
            </wp:positionV>
            <wp:extent cx="5915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-481330</wp:posOffset>
            </wp:positionV>
            <wp:extent cx="5915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15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1240"/>
        <w:spacing w:after="0" w:line="263" w:lineRule="auto"/>
        <w:rPr>
          <w:sz w:val="20"/>
          <w:szCs w:val="20"/>
          <w:color w:val="auto"/>
        </w:rPr>
      </w:pPr>
      <w:r>
        <w:rPr>
          <w:rFonts w:ascii="Arial" w:cs="Arial" w:eastAsia="Arial" w:hAnsi="Arial"/>
          <w:sz w:val="18"/>
          <w:szCs w:val="18"/>
          <w:color w:val="auto"/>
        </w:rPr>
        <w:t>As of December 31, 2021, the Reporting Person ceased to be the beneficial owner of more than five percentage of the shares of Issuer’s Common Stock. Subsequently, on January 28, 2022, the Reporting Person again surpassed five percent beneficial ownership of the shares of Issuer’s Common Stock.</w:t>
      </w:r>
    </w:p>
    <w:p>
      <w:pPr>
        <w:spacing w:after="0" w:line="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left="1220" w:right="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68" w:lineRule="exact"/>
        <w:rPr>
          <w:sz w:val="20"/>
          <w:szCs w:val="20"/>
          <w:color w:val="auto"/>
        </w:rPr>
      </w:pPr>
    </w:p>
    <w:p>
      <w:pPr>
        <w:ind w:left="1260" w:right="140" w:hanging="348"/>
        <w:spacing w:after="0" w:line="259"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and investment power over the shares held by HBM Healthcare Investments (Cayman) Ltd. is exercised by the board of directors of HBM Healthcare Investments (Cayman) Ltd. (the “Board”). The Board consists of Jean-Marc LeSieur, Richard H. Coles, Sophia Harris, Dr. Andreas Wicki, Mark Kronenfeld, M.D. and Richard Paul Woodhouse, none of whom has individual voting or investment power with respect to the shares.</w:t>
      </w:r>
    </w:p>
    <w:p>
      <w:pPr>
        <w:spacing w:after="0" w:line="186" w:lineRule="exact"/>
        <w:rPr>
          <w:rFonts w:ascii="Arial" w:cs="Arial" w:eastAsia="Arial" w:hAnsi="Arial"/>
          <w:sz w:val="18"/>
          <w:szCs w:val="18"/>
          <w:color w:val="auto"/>
        </w:rPr>
      </w:pPr>
    </w:p>
    <w:p>
      <w:pPr>
        <w:ind w:left="1260" w:right="380" w:hanging="348"/>
        <w:spacing w:after="0" w:line="277" w:lineRule="auto"/>
        <w:tabs>
          <w:tab w:leader="none" w:pos="1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43,643,916 shares of the Issuer’s Common Stock outstanding as of November 2, 2021, as reported in the Issuer’s Quarterly Report on Form 10-Q, filed with the SEC on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7,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HBM HEALTHCARE INVESTMENTS (CAYMAN) LTD.</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Jean-Marc LeSieur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Jean-Marc LeSieur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 TO SCHEDULE 13G AMENDMENT NO. 4 (Y-MABS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90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6">
    <w:nsid w:val="5BD062C2"/>
    <w:multiLevelType w:val="hybridMultilevel"/>
    <w:lvl w:ilvl="0">
      <w:lvlJc w:val="left"/>
      <w:lvlText w:val="%1."/>
      <w:numFmt w:val="decimal"/>
      <w:start w:val="9"/>
    </w:lvl>
    <w:lvl w:ilvl="1">
      <w:lvlJc w:val="left"/>
      <w:lvlText w:val="(%2)"/>
      <w:numFmt w:val="decimal"/>
      <w:start w:val="1"/>
    </w:lvl>
    <w:lvl w:ilvl="2">
      <w:lvlJc w:val="left"/>
      <w:lvlText w:val="%3"/>
      <w:numFmt w:val="decimal"/>
      <w:start w:val="1"/>
    </w:lvl>
  </w:abstractNum>
  <w:abstractNum w:abstractNumId="7">
    <w:nsid w:val="12200854"/>
    <w:multiLevelType w:val="hybridMultilevel"/>
    <w:lvl w:ilvl="0">
      <w:lvlJc w:val="left"/>
      <w:lvlText w:val="(%1)"/>
      <w:numFmt w:val="lowerLetter"/>
      <w:start w:val="1"/>
    </w:lvl>
    <w:lvl w:ilvl="1">
      <w:lvlJc w:val="left"/>
      <w:lvlText w:val="(%2)"/>
      <w:numFmt w:val="lowerLetter"/>
      <w:start w:val="9"/>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2022-02-07T17:44:02Z</dcterms:created>
  <dcterms:modified xsi:type="dcterms:W3CDTF">2022-02-07T17:44:02Z</dcterms:modified>
</cp:coreProperties>
</file>