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82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822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Gad Thomas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Y-MABS THERAPEUTICS,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230 PARK AVENUE, SUITE 3350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Y-mAbs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YMAB</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10/07/2019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3"/>
        <w:spacing w:after="0"/>
        <w:rPr>
          <w:sz w:val="20"/>
          <w:szCs w:val="20"/>
          <w:color w:val="auto"/>
        </w:rPr>
      </w:pPr>
      <w:r>
        <w:rPr>
          <w:rFonts w:ascii="Arial" w:cs="Arial" w:eastAsia="Arial" w:hAnsi="Arial"/>
          <w:sz w:val="18"/>
          <w:szCs w:val="18"/>
          <w:color w:val="0000FF"/>
        </w:rPr>
        <w:t>President and Chairman</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10169</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80" w:type="dxa"/>
            <w:vAlign w:val="bottom"/>
            <w:gridSpan w:val="2"/>
          </w:tcPr>
          <w:p>
            <w:pPr>
              <w:spacing w:after="0"/>
              <w:rPr>
                <w:sz w:val="20"/>
                <w:szCs w:val="20"/>
                <w:color w:val="auto"/>
              </w:rPr>
            </w:pPr>
            <w:r>
              <w:rPr>
                <w:rFonts w:ascii="Arial" w:cs="Arial" w:eastAsia="Arial" w:hAnsi="Arial"/>
                <w:sz w:val="18"/>
                <w:szCs w:val="18"/>
                <w:color w:val="0000FF"/>
              </w:rPr>
              <w:t>By GAD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540" w:type="dxa"/>
            <w:vAlign w:val="bottom"/>
            <w:gridSpan w:val="2"/>
          </w:tcPr>
          <w:p>
            <w:pPr>
              <w:ind w:left="540"/>
              <w:spacing w:after="0"/>
              <w:rPr>
                <w:sz w:val="20"/>
                <w:szCs w:val="20"/>
                <w:color w:val="auto"/>
              </w:rPr>
            </w:pPr>
            <w:r>
              <w:rPr>
                <w:rFonts w:ascii="Arial" w:cs="Arial" w:eastAsia="Arial" w:hAnsi="Arial"/>
                <w:sz w:val="18"/>
                <w:szCs w:val="18"/>
                <w:color w:val="0000FF"/>
              </w:rPr>
              <w:t>10/07/2019</w:t>
            </w: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ind w:left="140"/>
              <w:spacing w:after="0"/>
              <w:rPr>
                <w:sz w:val="20"/>
                <w:szCs w:val="20"/>
                <w:color w:val="auto"/>
              </w:rPr>
            </w:pPr>
            <w:r>
              <w:rPr>
                <w:rFonts w:ascii="Arial" w:cs="Arial" w:eastAsia="Arial" w:hAnsi="Arial"/>
                <w:sz w:val="14"/>
                <w:szCs w:val="14"/>
                <w:color w:val="0000FF"/>
              </w:rPr>
              <w:t>S</w:t>
            </w:r>
          </w:p>
        </w:tc>
        <w:tc>
          <w:tcPr>
            <w:tcW w:w="800" w:type="dxa"/>
            <w:vAlign w:val="bottom"/>
          </w:tcPr>
          <w:p>
            <w:pPr>
              <w:ind w:left="100"/>
              <w:spacing w:after="0" w:line="217" w:lineRule="exact"/>
              <w:rPr>
                <w:sz w:val="20"/>
                <w:szCs w:val="20"/>
                <w:color w:val="auto"/>
              </w:rPr>
            </w:pPr>
            <w:r>
              <w:rPr>
                <w:rFonts w:ascii="Arial" w:cs="Arial" w:eastAsia="Arial" w:hAnsi="Arial"/>
                <w:sz w:val="18"/>
                <w:szCs w:val="18"/>
                <w:color w:val="0000FF"/>
              </w:rPr>
              <w:t>4,000</w:t>
            </w:r>
            <w:r>
              <w:rPr>
                <w:rFonts w:ascii="Arial" w:cs="Arial" w:eastAsia="Arial" w:hAnsi="Arial"/>
                <w:sz w:val="22"/>
                <w:szCs w:val="22"/>
                <w:color w:val="008000"/>
                <w:vertAlign w:val="superscript"/>
              </w:rPr>
              <w:t>(1)</w:t>
            </w:r>
          </w:p>
        </w:tc>
        <w:tc>
          <w:tcPr>
            <w:tcW w:w="500" w:type="dxa"/>
            <w:vAlign w:val="bottom"/>
          </w:tcPr>
          <w:p>
            <w:pPr>
              <w:ind w:left="160"/>
              <w:spacing w:after="0"/>
              <w:rPr>
                <w:sz w:val="20"/>
                <w:szCs w:val="20"/>
                <w:color w:val="auto"/>
              </w:rPr>
            </w:pPr>
            <w:r>
              <w:rPr>
                <w:rFonts w:ascii="Arial" w:cs="Arial" w:eastAsia="Arial" w:hAnsi="Arial"/>
                <w:sz w:val="18"/>
                <w:szCs w:val="18"/>
                <w:color w:val="0000FF"/>
              </w:rPr>
              <w:t>D</w:t>
            </w:r>
          </w:p>
        </w:tc>
        <w:tc>
          <w:tcPr>
            <w:tcW w:w="820" w:type="dxa"/>
            <w:vAlign w:val="bottom"/>
            <w:gridSpan w:val="3"/>
          </w:tcPr>
          <w:p>
            <w:pPr>
              <w:ind w:left="40"/>
              <w:spacing w:after="0" w:line="217" w:lineRule="exact"/>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25.212</w:t>
            </w:r>
            <w:r>
              <w:rPr>
                <w:rFonts w:ascii="Arial" w:cs="Arial" w:eastAsia="Arial" w:hAnsi="Arial"/>
                <w:sz w:val="22"/>
                <w:szCs w:val="22"/>
                <w:color w:val="008000"/>
                <w:w w:val="91"/>
                <w:vertAlign w:val="superscript"/>
              </w:rPr>
              <w:t>(2)</w:t>
            </w:r>
          </w:p>
        </w:tc>
        <w:tc>
          <w:tcPr>
            <w:tcW w:w="1200" w:type="dxa"/>
            <w:vAlign w:val="bottom"/>
            <w:gridSpan w:val="2"/>
          </w:tcPr>
          <w:p>
            <w:pPr>
              <w:jc w:val="right"/>
              <w:ind w:right="259"/>
              <w:spacing w:after="0"/>
              <w:rPr>
                <w:sz w:val="20"/>
                <w:szCs w:val="20"/>
                <w:color w:val="auto"/>
              </w:rPr>
            </w:pPr>
            <w:r>
              <w:rPr>
                <w:rFonts w:ascii="Arial" w:cs="Arial" w:eastAsia="Arial" w:hAnsi="Arial"/>
                <w:sz w:val="18"/>
                <w:szCs w:val="18"/>
                <w:color w:val="0000FF"/>
              </w:rPr>
              <w:t>888,000</w:t>
            </w:r>
          </w:p>
        </w:tc>
        <w:tc>
          <w:tcPr>
            <w:tcW w:w="300" w:type="dxa"/>
            <w:vAlign w:val="bottom"/>
          </w:tcPr>
          <w:p>
            <w:pPr>
              <w:spacing w:after="0"/>
              <w:rPr>
                <w:sz w:val="18"/>
                <w:szCs w:val="18"/>
                <w:color w:val="auto"/>
              </w:rPr>
            </w:pPr>
          </w:p>
        </w:tc>
        <w:tc>
          <w:tcPr>
            <w:tcW w:w="680" w:type="dxa"/>
            <w:vAlign w:val="bottom"/>
          </w:tcPr>
          <w:p>
            <w:pPr>
              <w:ind w:left="120"/>
              <w:spacing w:after="0"/>
              <w:rPr>
                <w:sz w:val="20"/>
                <w:szCs w:val="20"/>
                <w:color w:val="auto"/>
              </w:rPr>
            </w:pPr>
            <w:r>
              <w:rPr>
                <w:rFonts w:ascii="Arial" w:cs="Arial" w:eastAsia="Arial" w:hAnsi="Arial"/>
                <w:sz w:val="18"/>
                <w:szCs w:val="18"/>
                <w:color w:val="0000FF"/>
              </w:rPr>
              <w:t>I</w:t>
            </w:r>
          </w:p>
        </w:tc>
        <w:tc>
          <w:tcPr>
            <w:tcW w:w="880" w:type="dxa"/>
            <w:vAlign w:val="bottom"/>
            <w:gridSpan w:val="2"/>
          </w:tcPr>
          <w:p>
            <w:pPr>
              <w:spacing w:after="0"/>
              <w:rPr>
                <w:sz w:val="20"/>
                <w:szCs w:val="20"/>
                <w:color w:val="auto"/>
              </w:rPr>
            </w:pPr>
            <w:r>
              <w:rPr>
                <w:rFonts w:ascii="Arial" w:cs="Arial" w:eastAsia="Arial" w:hAnsi="Arial"/>
                <w:sz w:val="18"/>
                <w:szCs w:val="18"/>
                <w:color w:val="0000FF"/>
                <w:w w:val="94"/>
              </w:rPr>
              <w:t>Enterprises</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line="278" w:lineRule="exact"/>
              <w:rPr>
                <w:sz w:val="20"/>
                <w:szCs w:val="20"/>
                <w:color w:val="auto"/>
              </w:rPr>
            </w:pPr>
            <w:r>
              <w:rPr>
                <w:rFonts w:ascii="Arial" w:cs="Arial" w:eastAsia="Arial" w:hAnsi="Arial"/>
                <w:sz w:val="32"/>
                <w:szCs w:val="32"/>
                <w:color w:val="0000FF"/>
                <w:vertAlign w:val="subscript"/>
              </w:rPr>
              <w:t>LLC</w:t>
            </w:r>
            <w:r>
              <w:rPr>
                <w:rFonts w:ascii="Arial" w:cs="Arial" w:eastAsia="Arial" w:hAnsi="Arial"/>
                <w:sz w:val="11"/>
                <w:szCs w:val="11"/>
                <w:color w:val="008000"/>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80" w:type="dxa"/>
            <w:vAlign w:val="bottom"/>
            <w:gridSpan w:val="2"/>
          </w:tcPr>
          <w:p>
            <w:pPr>
              <w:spacing w:after="0"/>
              <w:rPr>
                <w:sz w:val="20"/>
                <w:szCs w:val="20"/>
                <w:color w:val="auto"/>
              </w:rPr>
            </w:pPr>
            <w:r>
              <w:rPr>
                <w:rFonts w:ascii="Arial" w:cs="Arial" w:eastAsia="Arial" w:hAnsi="Arial"/>
                <w:sz w:val="18"/>
                <w:szCs w:val="18"/>
                <w:color w:val="0000FF"/>
              </w:rPr>
              <w:t>By WG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99"/>
              <w:spacing w:after="0"/>
              <w:rPr>
                <w:sz w:val="20"/>
                <w:szCs w:val="20"/>
                <w:color w:val="auto"/>
              </w:rPr>
            </w:pPr>
            <w:r>
              <w:rPr>
                <w:rFonts w:ascii="Arial" w:cs="Arial" w:eastAsia="Arial" w:hAnsi="Arial"/>
                <w:sz w:val="18"/>
                <w:szCs w:val="18"/>
                <w:color w:val="0000FF"/>
              </w:rPr>
              <w:t>1,030,557</w:t>
            </w:r>
          </w:p>
        </w:tc>
        <w:tc>
          <w:tcPr>
            <w:tcW w:w="300" w:type="dxa"/>
            <w:vAlign w:val="bottom"/>
          </w:tcPr>
          <w:p>
            <w:pPr>
              <w:spacing w:after="0"/>
              <w:rPr>
                <w:sz w:val="18"/>
                <w:szCs w:val="18"/>
                <w:color w:val="auto"/>
              </w:rPr>
            </w:pPr>
          </w:p>
        </w:tc>
        <w:tc>
          <w:tcPr>
            <w:tcW w:w="680" w:type="dxa"/>
            <w:vAlign w:val="bottom"/>
          </w:tcPr>
          <w:p>
            <w:pPr>
              <w:ind w:left="120"/>
              <w:spacing w:after="0"/>
              <w:rPr>
                <w:sz w:val="20"/>
                <w:szCs w:val="20"/>
                <w:color w:val="auto"/>
              </w:rPr>
            </w:pPr>
            <w:r>
              <w:rPr>
                <w:rFonts w:ascii="Arial" w:cs="Arial" w:eastAsia="Arial" w:hAnsi="Arial"/>
                <w:sz w:val="18"/>
                <w:szCs w:val="18"/>
                <w:color w:val="0000FF"/>
              </w:rPr>
              <w:t>I</w:t>
            </w:r>
          </w:p>
        </w:tc>
        <w:tc>
          <w:tcPr>
            <w:tcW w:w="880" w:type="dxa"/>
            <w:vAlign w:val="bottom"/>
            <w:gridSpan w:val="2"/>
          </w:tcPr>
          <w:p>
            <w:pPr>
              <w:spacing w:after="0"/>
              <w:rPr>
                <w:sz w:val="20"/>
                <w:szCs w:val="20"/>
                <w:color w:val="auto"/>
              </w:rPr>
            </w:pPr>
            <w:r>
              <w:rPr>
                <w:rFonts w:ascii="Arial" w:cs="Arial" w:eastAsia="Arial" w:hAnsi="Arial"/>
                <w:sz w:val="18"/>
                <w:szCs w:val="18"/>
                <w:color w:val="0000FF"/>
              </w:rPr>
              <w:t>Biotech</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0000FF"/>
              </w:rPr>
              <w:t>ApS</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8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8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8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(I) (Instr. 4)</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sold pursuant to a Rule 10b5-1 trading plan adopted by the Reporting Person on April 11, 2019.</w:t>
      </w:r>
    </w:p>
    <w:p>
      <w:pPr>
        <w:spacing w:after="0" w:line="41" w:lineRule="exact"/>
        <w:rPr>
          <w:rFonts w:ascii="Arial" w:cs="Arial" w:eastAsia="Arial" w:hAnsi="Arial"/>
          <w:sz w:val="14"/>
          <w:szCs w:val="14"/>
          <w:color w:val="008000"/>
        </w:rPr>
      </w:pPr>
    </w:p>
    <w:p>
      <w:pPr>
        <w:ind w:left="40" w:right="24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$25.685 to $24.885. The price reported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ind w:left="40" w:right="3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Reporting Person is sole member of GAD Enterprises, LLC and the sole member and manager of GAD Management, LLC, the manager of GAD Enterprises, LLC, and as such Reporting Person has sole voting and dispositive power with respect to such shares.</w:t>
      </w:r>
    </w:p>
    <w:p>
      <w:pPr>
        <w:spacing w:after="0" w:line="30" w:lineRule="exact"/>
        <w:rPr>
          <w:rFonts w:ascii="Arial" w:cs="Arial" w:eastAsia="Arial" w:hAnsi="Arial"/>
          <w:sz w:val="14"/>
          <w:szCs w:val="14"/>
          <w:color w:val="008000"/>
        </w:rPr>
      </w:pPr>
    </w:p>
    <w:p>
      <w:pPr>
        <w:ind w:left="40" w:right="6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WG Biotech ApS owns 5,010,000 shares of the Issuer's common stock. GAD Enterprises, LLC (of which Reporting Person is sole member) owns 20.57% of WG Biotech ApS but has no voting or dispositive power over the shares of common stock held by WG Biotech ApS.</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Thomas Gad</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10/08/2019</w:t>
            </w:r>
          </w:p>
        </w:tc>
      </w:tr>
      <w:tr>
        <w:trPr>
          <w:trHeight w:val="20"/>
        </w:trPr>
        <w:tc>
          <w:tcPr>
            <w:tcW w:w="11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53224" TargetMode="External"/><Relationship Id="rId13" Type="http://schemas.openxmlformats.org/officeDocument/2006/relationships/hyperlink" Target="http://www.sec.gov/cgi-bin/browse-edgar?action=getcompany&amp;CIK=00017229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2019-12-23T20:40:52Z</dcterms:created>
  <dcterms:modified xsi:type="dcterms:W3CDTF">2019-12-23T20:40:52Z</dcterms:modified>
</cp:coreProperties>
</file>