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 Prospectus Supplement</w:t>
        </w:r>
      </w:hyperlink>
    </w:p>
    <w:p>
      <w:pPr>
        <w:spacing w:after="0"/>
        <w:rPr>
          <w:rFonts w:ascii="Arial" w:cs="Arial" w:eastAsia="Arial" w:hAnsi="Arial"/>
          <w:sz w:val="22"/>
          <w:szCs w:val="22"/>
          <w:u w:val="single" w:color="auto"/>
          <w:color w:val="0000EE"/>
        </w:rPr>
      </w:pPr>
      <w:hyperlink w:anchor="page36">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As 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333-234034</w:t>
      </w:r>
    </w:p>
    <w:p>
      <w:pPr>
        <w:spacing w:after="0" w:line="213" w:lineRule="exact"/>
        <w:rPr>
          <w:sz w:val="24"/>
          <w:szCs w:val="24"/>
          <w:color w:val="auto"/>
        </w:rPr>
      </w:pPr>
    </w:p>
    <w:p>
      <w:pPr>
        <w:jc w:val="both"/>
        <w:ind w:right="40"/>
        <w:spacing w:after="0" w:line="339" w:lineRule="auto"/>
        <w:rPr>
          <w:sz w:val="20"/>
          <w:szCs w:val="20"/>
          <w:color w:val="auto"/>
        </w:rPr>
      </w:pPr>
      <w:r>
        <w:rPr>
          <w:rFonts w:ascii="Arial" w:cs="Arial" w:eastAsia="Arial" w:hAnsi="Arial"/>
          <w:sz w:val="15"/>
          <w:szCs w:val="15"/>
          <w:b w:val="1"/>
          <w:bCs w:val="1"/>
          <w:color w:val="EF505F"/>
        </w:rPr>
        <w:t>The information in this preliminary prospectus supplement is not complete and may be changed. A registration statement relating to these securities has been filed with the Securities and Exchange Commission and is effective. This preliminary prospectus supplement and the accompanying prospectus are not an offer to sell these securities and they are not soliciting an offer to buy these securities in any jurisdiction where the offer or sale is not permitted.</w:t>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EF505F"/>
        </w:rPr>
        <w:t>Subject to completion, dated October 29, 2019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October 1, 2019)</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$125,000,000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160020</wp:posOffset>
            </wp:positionV>
            <wp:extent cx="2649855" cy="9347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49855" cy="9347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Common stock</w:t>
      </w:r>
    </w:p>
    <w:p>
      <w:pPr>
        <w:spacing w:after="0" w:line="244" w:lineRule="exact"/>
        <w:rPr>
          <w:sz w:val="24"/>
          <w:szCs w:val="24"/>
          <w:color w:val="auto"/>
        </w:rPr>
      </w:pPr>
    </w:p>
    <w:p>
      <w:pPr>
        <w:ind w:left="360"/>
        <w:spacing w:after="0"/>
        <w:rPr>
          <w:sz w:val="20"/>
          <w:szCs w:val="20"/>
          <w:color w:val="auto"/>
        </w:rPr>
      </w:pPr>
      <w:r>
        <w:rPr>
          <w:rFonts w:ascii="Arial" w:cs="Arial" w:eastAsia="Arial" w:hAnsi="Arial"/>
          <w:sz w:val="18"/>
          <w:szCs w:val="18"/>
          <w:color w:val="auto"/>
        </w:rPr>
        <w:t>We are offering $125,000,000 of shares of our common stock.</w:t>
      </w:r>
    </w:p>
    <w:p>
      <w:pPr>
        <w:spacing w:after="0" w:line="225" w:lineRule="exact"/>
        <w:rPr>
          <w:sz w:val="24"/>
          <w:szCs w:val="24"/>
          <w:color w:val="auto"/>
        </w:rPr>
      </w:pPr>
    </w:p>
    <w:p>
      <w:pPr>
        <w:ind w:right="540" w:firstLine="351"/>
        <w:spacing w:after="0" w:line="268" w:lineRule="auto"/>
        <w:rPr>
          <w:sz w:val="20"/>
          <w:szCs w:val="20"/>
          <w:color w:val="auto"/>
        </w:rPr>
      </w:pPr>
      <w:r>
        <w:rPr>
          <w:rFonts w:ascii="Arial" w:cs="Arial" w:eastAsia="Arial" w:hAnsi="Arial"/>
          <w:sz w:val="18"/>
          <w:szCs w:val="18"/>
          <w:color w:val="auto"/>
        </w:rPr>
        <w:t>Our common stock is listed on the Nasdaq Global Select Market under the symbol "YMAB." On October 28, 2019, the last reported sale price for our common stock on the Nasdaq Global Select Market, was $31.95 per share.</w:t>
      </w:r>
    </w:p>
    <w:p>
      <w:pPr>
        <w:spacing w:after="0" w:line="186" w:lineRule="exact"/>
        <w:rPr>
          <w:sz w:val="24"/>
          <w:szCs w:val="24"/>
          <w:color w:val="auto"/>
        </w:rPr>
      </w:pPr>
    </w:p>
    <w:p>
      <w:pPr>
        <w:ind w:right="100" w:firstLine="348"/>
        <w:spacing w:after="0" w:line="259" w:lineRule="auto"/>
        <w:rPr>
          <w:sz w:val="20"/>
          <w:szCs w:val="20"/>
          <w:color w:val="auto"/>
        </w:rPr>
      </w:pPr>
      <w:r>
        <w:rPr>
          <w:rFonts w:ascii="Arial" w:cs="Arial" w:eastAsia="Arial" w:hAnsi="Arial"/>
          <w:sz w:val="18"/>
          <w:szCs w:val="18"/>
          <w:color w:val="auto"/>
        </w:rPr>
        <w:t>We are an "emerging growth company" and a "smaller reporting company" under applicable federal securities laws and as such have elected to comply with certain reduced public company reporting requirements. See "Prospectus Supplement Summary—Implications of Being an Emerging Growth Company and Smaller Reporting Company."</w:t>
      </w:r>
    </w:p>
    <w:p>
      <w:pPr>
        <w:spacing w:after="0" w:line="188" w:lineRule="exact"/>
        <w:rPr>
          <w:sz w:val="24"/>
          <w:szCs w:val="24"/>
          <w:color w:val="auto"/>
        </w:rPr>
      </w:pPr>
    </w:p>
    <w:p>
      <w:pPr>
        <w:ind w:right="60" w:firstLine="351"/>
        <w:spacing w:after="0" w:line="378"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92" w:lineRule="exact"/>
        <w:rPr>
          <w:sz w:val="24"/>
          <w:szCs w:val="24"/>
          <w:color w:val="auto"/>
        </w:rPr>
      </w:pPr>
    </w:p>
    <w:p>
      <w:pPr>
        <w:ind w:right="820" w:firstLine="351"/>
        <w:spacing w:after="0" w:line="256" w:lineRule="auto"/>
        <w:rPr>
          <w:sz w:val="20"/>
          <w:szCs w:val="20"/>
          <w:color w:val="auto"/>
        </w:rPr>
      </w:pPr>
      <w:r>
        <w:rPr>
          <w:rFonts w:ascii="Arial" w:cs="Arial" w:eastAsia="Arial" w:hAnsi="Arial"/>
          <w:sz w:val="22"/>
          <w:szCs w:val="22"/>
          <w:b w:val="1"/>
          <w:bCs w:val="1"/>
          <w:color w:val="auto"/>
        </w:rPr>
        <w:t>Investing in our common stock involves a high degree of risk. See "</w:t>
      </w:r>
      <w:r>
        <w:rPr>
          <w:rFonts w:ascii="Arial" w:cs="Arial" w:eastAsia="Arial" w:hAnsi="Arial"/>
          <w:sz w:val="22"/>
          <w:szCs w:val="22"/>
          <w:b w:val="1"/>
          <w:bCs w:val="1"/>
          <w:i w:val="1"/>
          <w:iCs w:val="1"/>
          <w:color w:val="auto"/>
        </w:rPr>
        <w:t>Risk Factors</w:t>
      </w:r>
      <w:r>
        <w:rPr>
          <w:rFonts w:ascii="Arial" w:cs="Arial" w:eastAsia="Arial" w:hAnsi="Arial"/>
          <w:sz w:val="22"/>
          <w:szCs w:val="22"/>
          <w:b w:val="1"/>
          <w:bCs w:val="1"/>
          <w:color w:val="auto"/>
        </w:rPr>
        <w:t>" beginning on page S-10 of this prospectus supplement.</w:t>
      </w:r>
    </w:p>
    <w:p>
      <w:pPr>
        <w:spacing w:after="0" w:line="200" w:lineRule="exact"/>
        <w:rPr>
          <w:sz w:val="24"/>
          <w:szCs w:val="24"/>
          <w:color w:val="auto"/>
        </w:rPr>
      </w:pPr>
    </w:p>
    <w:p>
      <w:pPr>
        <w:spacing w:after="0" w:line="213" w:lineRule="exact"/>
        <w:rPr>
          <w:sz w:val="24"/>
          <w:szCs w:val="24"/>
          <w:color w:val="auto"/>
        </w:rPr>
      </w:pPr>
    </w:p>
    <w:tbl>
      <w:tblPr>
        <w:tblLayout w:type="fixed"/>
        <w:tblInd w:w="178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300" w:type="dxa"/>
            <w:vAlign w:val="bottom"/>
            <w:tcBorders>
              <w:top w:val="single" w:sz="8" w:color="auto"/>
              <w:bottom w:val="single" w:sz="8" w:color="auto"/>
            </w:tcBorders>
          </w:tcPr>
          <w:p>
            <w:pPr>
              <w:spacing w:after="0"/>
              <w:rPr>
                <w:sz w:val="3"/>
                <w:szCs w:val="3"/>
                <w:color w:val="auto"/>
              </w:rPr>
            </w:pPr>
          </w:p>
        </w:tc>
        <w:tc>
          <w:tcPr>
            <w:tcW w:w="2160" w:type="dxa"/>
            <w:vAlign w:val="bottom"/>
            <w:tcBorders>
              <w:top w:val="single" w:sz="8" w:color="auto"/>
              <w:bottom w:val="single" w:sz="8" w:color="auto"/>
            </w:tcBorders>
          </w:tcPr>
          <w:p>
            <w:pPr>
              <w:spacing w:after="0"/>
              <w:rPr>
                <w:sz w:val="3"/>
                <w:szCs w:val="3"/>
                <w:color w:val="auto"/>
              </w:rPr>
            </w:pPr>
          </w:p>
        </w:tc>
        <w:tc>
          <w:tcPr>
            <w:tcW w:w="1400" w:type="dxa"/>
            <w:vAlign w:val="bottom"/>
            <w:tcBorders>
              <w:top w:val="single" w:sz="8" w:color="auto"/>
              <w:bottom w:val="single" w:sz="8" w:color="auto"/>
            </w:tcBorders>
          </w:tcPr>
          <w:p>
            <w:pPr>
              <w:spacing w:after="0"/>
              <w:rPr>
                <w:sz w:val="3"/>
                <w:szCs w:val="3"/>
                <w:color w:val="auto"/>
              </w:rPr>
            </w:pPr>
          </w:p>
        </w:tc>
      </w:tr>
      <w:tr>
        <w:trPr>
          <w:trHeight w:val="155"/>
        </w:trPr>
        <w:tc>
          <w:tcPr>
            <w:tcW w:w="20" w:type="dxa"/>
            <w:vAlign w:val="bottom"/>
          </w:tcPr>
          <w:p>
            <w:pPr>
              <w:spacing w:after="0"/>
              <w:rPr>
                <w:sz w:val="13"/>
                <w:szCs w:val="13"/>
                <w:color w:val="auto"/>
              </w:rPr>
            </w:pPr>
          </w:p>
        </w:tc>
        <w:tc>
          <w:tcPr>
            <w:tcW w:w="430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Per share</w:t>
            </w:r>
          </w:p>
        </w:tc>
        <w:tc>
          <w:tcPr>
            <w:tcW w:w="1400" w:type="dxa"/>
            <w:vAlign w:val="bottom"/>
            <w:tcBorders>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Total</w:t>
            </w:r>
          </w:p>
        </w:tc>
      </w:tr>
      <w:tr>
        <w:trPr>
          <w:trHeight w:val="217"/>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Public Offering Price</w:t>
            </w:r>
          </w:p>
        </w:tc>
        <w:tc>
          <w:tcPr>
            <w:tcW w:w="2160" w:type="dxa"/>
            <w:vAlign w:val="bottom"/>
          </w:tcPr>
          <w:p>
            <w:pPr>
              <w:jc w:val="right"/>
              <w:ind w:right="857"/>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97"/>
              <w:spacing w:after="0"/>
              <w:rPr>
                <w:sz w:val="20"/>
                <w:szCs w:val="20"/>
                <w:color w:val="auto"/>
              </w:rPr>
            </w:pPr>
            <w:r>
              <w:rPr>
                <w:rFonts w:ascii="Arial" w:cs="Arial" w:eastAsia="Arial" w:hAnsi="Arial"/>
                <w:sz w:val="18"/>
                <w:szCs w:val="18"/>
                <w:color w:val="auto"/>
              </w:rPr>
              <w:t>$</w:t>
            </w:r>
          </w:p>
        </w:tc>
      </w:tr>
      <w:tr>
        <w:trPr>
          <w:trHeight w:val="21"/>
        </w:trPr>
        <w:tc>
          <w:tcPr>
            <w:tcW w:w="4320" w:type="dxa"/>
            <w:vAlign w:val="bottom"/>
            <w:tcBorders>
              <w:bottom w:val="single" w:sz="8" w:color="auto"/>
            </w:tcBorders>
            <w:gridSpan w:val="2"/>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Underwriting Discounts and Commissions(1)</w:t>
            </w:r>
          </w:p>
        </w:tc>
        <w:tc>
          <w:tcPr>
            <w:tcW w:w="2160" w:type="dxa"/>
            <w:vAlign w:val="bottom"/>
          </w:tcPr>
          <w:p>
            <w:pPr>
              <w:jc w:val="right"/>
              <w:ind w:right="857"/>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97"/>
              <w:spacing w:after="0"/>
              <w:rPr>
                <w:sz w:val="20"/>
                <w:szCs w:val="20"/>
                <w:color w:val="auto"/>
              </w:rPr>
            </w:pPr>
            <w:r>
              <w:rPr>
                <w:rFonts w:ascii="Arial" w:cs="Arial" w:eastAsia="Arial" w:hAnsi="Arial"/>
                <w:sz w:val="18"/>
                <w:szCs w:val="18"/>
                <w:color w:val="auto"/>
              </w:rPr>
              <w:t>$</w:t>
            </w:r>
          </w:p>
        </w:tc>
      </w:tr>
      <w:tr>
        <w:trPr>
          <w:trHeight w:val="21"/>
        </w:trPr>
        <w:tc>
          <w:tcPr>
            <w:tcW w:w="4320" w:type="dxa"/>
            <w:vAlign w:val="bottom"/>
            <w:tcBorders>
              <w:bottom w:val="single" w:sz="8" w:color="auto"/>
            </w:tcBorders>
            <w:gridSpan w:val="2"/>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Proceeds to us (before expenses)</w:t>
            </w:r>
          </w:p>
        </w:tc>
        <w:tc>
          <w:tcPr>
            <w:tcW w:w="2160" w:type="dxa"/>
            <w:vAlign w:val="bottom"/>
          </w:tcPr>
          <w:p>
            <w:pPr>
              <w:jc w:val="right"/>
              <w:ind w:right="857"/>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97"/>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21" w:lineRule="exact"/>
        <w:rPr>
          <w:sz w:val="24"/>
          <w:szCs w:val="24"/>
          <w:color w:val="auto"/>
        </w:rPr>
      </w:pPr>
    </w:p>
    <w:p>
      <w:pPr>
        <w:ind w:left="540" w:hanging="532"/>
        <w:spacing w:after="0" w:line="268"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also agreed to reimburse the underwriters for certain of their expenses. See "Underwriters" beginning on page S-22 of this prospectus supplement for more information about these arrangements.</w:t>
      </w:r>
    </w:p>
    <w:p>
      <w:pPr>
        <w:spacing w:after="0" w:line="186" w:lineRule="exact"/>
        <w:rPr>
          <w:sz w:val="24"/>
          <w:szCs w:val="24"/>
          <w:color w:val="auto"/>
        </w:rPr>
      </w:pPr>
    </w:p>
    <w:p>
      <w:pPr>
        <w:jc w:val="both"/>
        <w:ind w:right="200" w:firstLine="348"/>
        <w:spacing w:after="0" w:line="259" w:lineRule="auto"/>
        <w:rPr>
          <w:sz w:val="20"/>
          <w:szCs w:val="20"/>
          <w:color w:val="auto"/>
        </w:rPr>
      </w:pPr>
      <w:r>
        <w:rPr>
          <w:rFonts w:ascii="Arial" w:cs="Arial" w:eastAsia="Arial" w:hAnsi="Arial"/>
          <w:sz w:val="18"/>
          <w:szCs w:val="18"/>
          <w:color w:val="auto"/>
        </w:rPr>
        <w:t>We have granted the underwriters an option to purchase up to an aggregate of $18,750,000 of additional shares of our common stock from us at the public offering price, less underwriting discounts and commissions. The underwriters may exercise this right at any time, in whole or in part, within 30 days following the date of this prospectus supplement.</w:t>
      </w:r>
    </w:p>
    <w:p>
      <w:pPr>
        <w:spacing w:after="0" w:line="194" w:lineRule="exact"/>
        <w:rPr>
          <w:sz w:val="24"/>
          <w:szCs w:val="24"/>
          <w:color w:val="auto"/>
        </w:rPr>
      </w:pPr>
    </w:p>
    <w:p>
      <w:pPr>
        <w:ind w:left="360"/>
        <w:spacing w:after="0"/>
        <w:rPr>
          <w:sz w:val="20"/>
          <w:szCs w:val="20"/>
          <w:color w:val="auto"/>
        </w:rPr>
      </w:pPr>
      <w:r>
        <w:rPr>
          <w:rFonts w:ascii="Arial" w:cs="Arial" w:eastAsia="Arial" w:hAnsi="Arial"/>
          <w:sz w:val="16"/>
          <w:szCs w:val="16"/>
          <w:color w:val="auto"/>
        </w:rPr>
        <w:t>The underwriters expect to deliver the shares of common stock to investors in book-entry form through the facilities of The Depository Trust Company on or</w:t>
      </w:r>
    </w:p>
    <w:p>
      <w:pPr>
        <w:spacing w:after="0" w:line="38" w:lineRule="exact"/>
        <w:rPr>
          <w:sz w:val="24"/>
          <w:szCs w:val="24"/>
          <w:color w:val="auto"/>
        </w:rPr>
      </w:pPr>
    </w:p>
    <w:p>
      <w:pPr>
        <w:spacing w:after="0"/>
        <w:tabs>
          <w:tab w:leader="none" w:pos="1440" w:val="left"/>
        </w:tabs>
        <w:rPr>
          <w:sz w:val="20"/>
          <w:szCs w:val="20"/>
          <w:color w:val="auto"/>
        </w:rPr>
      </w:pPr>
      <w:r>
        <w:rPr>
          <w:rFonts w:ascii="Arial" w:cs="Arial" w:eastAsia="Arial" w:hAnsi="Arial"/>
          <w:sz w:val="18"/>
          <w:szCs w:val="18"/>
          <w:color w:val="auto"/>
        </w:rPr>
        <w:t>about</w:t>
      </w:r>
      <w:r>
        <w:rPr>
          <w:sz w:val="20"/>
          <w:szCs w:val="20"/>
          <w:color w:val="auto"/>
        </w:rPr>
        <w:tab/>
      </w:r>
      <w:r>
        <w:rPr>
          <w:rFonts w:ascii="Arial" w:cs="Arial" w:eastAsia="Arial" w:hAnsi="Arial"/>
          <w:sz w:val="18"/>
          <w:szCs w:val="18"/>
          <w:color w:val="auto"/>
        </w:rPr>
        <w:t>, 2019.</w:t>
      </w:r>
    </w:p>
    <w:p>
      <w:pPr>
        <w:spacing w:after="0" w:line="186" w:lineRule="exact"/>
        <w:rPr>
          <w:sz w:val="24"/>
          <w:szCs w:val="24"/>
          <w:color w:val="auto"/>
        </w:rPr>
      </w:pPr>
    </w:p>
    <w:p>
      <w:pPr>
        <w:ind w:left="1140"/>
        <w:spacing w:after="0"/>
        <w:tabs>
          <w:tab w:leader="none" w:pos="4860" w:val="left"/>
          <w:tab w:leader="none" w:pos="8080" w:val="left"/>
        </w:tabs>
        <w:rPr>
          <w:sz w:val="20"/>
          <w:szCs w:val="20"/>
          <w:color w:val="auto"/>
        </w:rPr>
      </w:pPr>
      <w:r>
        <w:rPr>
          <w:rFonts w:ascii="Arial" w:cs="Arial" w:eastAsia="Arial" w:hAnsi="Arial"/>
          <w:sz w:val="32"/>
          <w:szCs w:val="32"/>
          <w:b w:val="1"/>
          <w:bCs w:val="1"/>
          <w:color w:val="auto"/>
        </w:rPr>
        <w:t>Morgan Stanley</w:t>
      </w:r>
      <w:r>
        <w:rPr>
          <w:sz w:val="20"/>
          <w:szCs w:val="20"/>
          <w:color w:val="auto"/>
        </w:rPr>
        <w:tab/>
      </w:r>
      <w:r>
        <w:rPr>
          <w:rFonts w:ascii="Arial" w:cs="Arial" w:eastAsia="Arial" w:hAnsi="Arial"/>
          <w:sz w:val="32"/>
          <w:szCs w:val="32"/>
          <w:b w:val="1"/>
          <w:bCs w:val="1"/>
          <w:color w:val="auto"/>
        </w:rPr>
        <w:t>J.P. Morgan</w:t>
      </w:r>
      <w:r>
        <w:rPr>
          <w:sz w:val="20"/>
          <w:szCs w:val="20"/>
          <w:color w:val="auto"/>
        </w:rPr>
        <w:tab/>
      </w:r>
      <w:r>
        <w:rPr>
          <w:rFonts w:ascii="Arial" w:cs="Arial" w:eastAsia="Arial" w:hAnsi="Arial"/>
          <w:sz w:val="29"/>
          <w:szCs w:val="29"/>
          <w:b w:val="1"/>
          <w:bCs w:val="1"/>
          <w:color w:val="auto"/>
        </w:rPr>
        <w:t>BofA Securities</w:t>
      </w:r>
    </w:p>
    <w:p>
      <w:pPr>
        <w:sectPr>
          <w:pgSz w:w="11900" w:h="16838" w:orient="portrait"/>
          <w:cols w:equalWidth="0" w:num="1">
            <w:col w:w="11420"/>
          </w:cols>
          <w:pgMar w:left="240" w:top="685" w:right="239" w:bottom="896" w:gutter="0" w:footer="0" w:header="0"/>
        </w:sectPr>
      </w:pPr>
    </w:p>
    <w:p>
      <w:pPr>
        <w:spacing w:after="0" w:line="200" w:lineRule="exact"/>
        <w:rPr>
          <w:sz w:val="24"/>
          <w:szCs w:val="24"/>
          <w:color w:val="auto"/>
        </w:rPr>
      </w:pPr>
    </w:p>
    <w:p>
      <w:pPr>
        <w:spacing w:after="0" w:line="323" w:lineRule="exact"/>
        <w:rPr>
          <w:sz w:val="24"/>
          <w:szCs w:val="24"/>
          <w:color w:val="auto"/>
        </w:rPr>
      </w:pPr>
    </w:p>
    <w:p>
      <w:pPr>
        <w:ind w:left="3400"/>
        <w:spacing w:after="0"/>
        <w:tabs>
          <w:tab w:leader="none" w:pos="7520" w:val="left"/>
        </w:tabs>
        <w:rPr>
          <w:sz w:val="20"/>
          <w:szCs w:val="20"/>
          <w:color w:val="auto"/>
        </w:rPr>
      </w:pPr>
      <w:r>
        <w:rPr>
          <w:rFonts w:ascii="Arial" w:cs="Arial" w:eastAsia="Arial" w:hAnsi="Arial"/>
          <w:sz w:val="18"/>
          <w:szCs w:val="18"/>
          <w:b w:val="1"/>
          <w:bCs w:val="1"/>
          <w:color w:val="auto"/>
        </w:rPr>
        <w:t>The date of this prospectus supplement is</w:t>
      </w:r>
      <w:r>
        <w:rPr>
          <w:sz w:val="20"/>
          <w:szCs w:val="20"/>
          <w:color w:val="auto"/>
        </w:rPr>
        <w:tab/>
      </w:r>
      <w:r>
        <w:rPr>
          <w:rFonts w:ascii="Arial" w:cs="Arial" w:eastAsia="Arial" w:hAnsi="Arial"/>
          <w:sz w:val="15"/>
          <w:szCs w:val="15"/>
          <w:b w:val="1"/>
          <w:bCs w:val="1"/>
          <w:color w:val="auto"/>
        </w:rPr>
        <w:t>,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896"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Prospectus Supplement</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400" w:type="dxa"/>
            <w:vAlign w:val="bottom"/>
            <w:gridSpan w:val="16"/>
            <w:vMerge w:val="restart"/>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About this prospectus supplement</w:t>
              </w:r>
            </w:hyperlink>
          </w:p>
        </w:tc>
        <w:tc>
          <w:tcPr>
            <w:tcW w:w="6120" w:type="dxa"/>
            <w:vAlign w:val="bottom"/>
            <w:gridSpan w:val="7"/>
            <w:vMerge w:val="restart"/>
          </w:tcPr>
          <w:p>
            <w:pPr>
              <w:spacing w:after="0"/>
              <w:rPr>
                <w:sz w:val="14"/>
                <w:szCs w:val="14"/>
                <w:color w:val="auto"/>
              </w:rPr>
            </w:pPr>
          </w:p>
        </w:tc>
        <w:tc>
          <w:tcPr>
            <w:tcW w:w="1760" w:type="dxa"/>
            <w:vAlign w:val="bottom"/>
            <w:gridSpan w:val="7"/>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2400" w:type="dxa"/>
            <w:vAlign w:val="bottom"/>
            <w:tcBorders>
              <w:bottom w:val="single" w:sz="8" w:color="0000EE"/>
            </w:tcBorders>
            <w:gridSpan w:val="16"/>
            <w:vMerge w:val="continue"/>
          </w:tcPr>
          <w:p>
            <w:pPr>
              <w:spacing w:after="0"/>
              <w:rPr>
                <w:sz w:val="14"/>
                <w:szCs w:val="14"/>
                <w:color w:val="auto"/>
              </w:rPr>
            </w:pPr>
          </w:p>
        </w:tc>
        <w:tc>
          <w:tcPr>
            <w:tcW w:w="6120" w:type="dxa"/>
            <w:vAlign w:val="bottom"/>
            <w:gridSpan w:val="7"/>
            <w:vMerge w:val="continue"/>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0000EE"/>
            </w:tcBorders>
            <w:gridSpan w:val="3"/>
          </w:tcPr>
          <w:p>
            <w:pPr>
              <w:jc w:val="right"/>
              <w:spacing w:after="0" w:line="170" w:lineRule="exact"/>
              <w:rPr>
                <w:rFonts w:ascii="Arial" w:cs="Arial" w:eastAsia="Arial" w:hAnsi="Arial"/>
                <w:sz w:val="18"/>
                <w:szCs w:val="18"/>
                <w:color w:val="0000EE"/>
                <w:w w:val="92"/>
              </w:rPr>
            </w:pPr>
            <w:hyperlink w:anchor="page3">
              <w:r>
                <w:rPr>
                  <w:rFonts w:ascii="Arial" w:cs="Arial" w:eastAsia="Arial" w:hAnsi="Arial"/>
                  <w:sz w:val="18"/>
                  <w:szCs w:val="18"/>
                  <w:color w:val="0000EE"/>
                  <w:w w:val="92"/>
                </w:rPr>
                <w:t>S-ii</w:t>
              </w:r>
            </w:hyperlink>
          </w:p>
        </w:tc>
        <w:tc>
          <w:tcPr>
            <w:tcW w:w="20" w:type="dxa"/>
            <w:vAlign w:val="bottom"/>
            <w:tcBorders>
              <w:top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384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Cautionary note regarding forward-looking statements</w:t>
              </w:r>
            </w:hyperlink>
          </w:p>
        </w:tc>
        <w:tc>
          <w:tcPr>
            <w:tcW w:w="468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4"/>
                <w:szCs w:val="14"/>
                <w:color w:val="0000EE"/>
                <w:w w:val="73"/>
              </w:rPr>
            </w:pPr>
            <w:hyperlink w:anchor="page5">
              <w:r>
                <w:rPr>
                  <w:rFonts w:ascii="Arial" w:cs="Arial" w:eastAsia="Arial" w:hAnsi="Arial"/>
                  <w:sz w:val="14"/>
                  <w:szCs w:val="14"/>
                  <w:color w:val="0000EE"/>
                  <w:w w:val="73"/>
                </w:rPr>
                <w:t>S-1</w:t>
              </w:r>
            </w:hyperlink>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520" w:type="dxa"/>
            <w:vAlign w:val="bottom"/>
            <w:gridSpan w:val="2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Prospectus supplement summary</w:t>
              </w:r>
            </w:hyperlink>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4"/>
          </w:tcPr>
          <w:p>
            <w:pPr>
              <w:jc w:val="right"/>
              <w:ind w:right="1300"/>
              <w:spacing w:after="0"/>
              <w:rPr>
                <w:rFonts w:ascii="Arial" w:cs="Arial" w:eastAsia="Arial" w:hAnsi="Arial"/>
                <w:sz w:val="14"/>
                <w:szCs w:val="14"/>
                <w:color w:val="0000EE"/>
                <w:w w:val="73"/>
              </w:rPr>
            </w:pPr>
            <w:hyperlink w:anchor="page7">
              <w:r>
                <w:rPr>
                  <w:rFonts w:ascii="Arial" w:cs="Arial" w:eastAsia="Arial" w:hAnsi="Arial"/>
                  <w:sz w:val="14"/>
                  <w:szCs w:val="14"/>
                  <w:color w:val="0000EE"/>
                  <w:w w:val="73"/>
                </w:rPr>
                <w:t>S-3</w:t>
              </w:r>
            </w:hyperlink>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2320" w:type="dxa"/>
            <w:vAlign w:val="bottom"/>
            <w:tcBorders>
              <w:top w:val="single" w:sz="8" w:color="0000EE"/>
            </w:tcBorders>
            <w:gridSpan w:val="15"/>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The Offering</w:t>
              </w:r>
            </w:hyperlink>
          </w:p>
        </w:tc>
        <w:tc>
          <w:tcPr>
            <w:tcW w:w="6200" w:type="dxa"/>
            <w:vAlign w:val="bottom"/>
            <w:gridSpan w:val="8"/>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4"/>
                <w:szCs w:val="14"/>
                <w:color w:val="0000EE"/>
                <w:w w:val="73"/>
              </w:rPr>
            </w:pPr>
            <w:hyperlink w:anchor="page12">
              <w:r>
                <w:rPr>
                  <w:rFonts w:ascii="Arial" w:cs="Arial" w:eastAsia="Arial" w:hAnsi="Arial"/>
                  <w:sz w:val="14"/>
                  <w:szCs w:val="14"/>
                  <w:color w:val="0000EE"/>
                  <w:w w:val="73"/>
                </w:rPr>
                <w:t>S-8</w:t>
              </w:r>
            </w:hyperlink>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92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14">
              <w:r>
                <w:rPr>
                  <w:rFonts w:ascii="Arial" w:cs="Arial" w:eastAsia="Arial" w:hAnsi="Arial"/>
                  <w:sz w:val="18"/>
                  <w:szCs w:val="18"/>
                  <w:color w:val="0000EE"/>
                  <w:w w:val="93"/>
                </w:rPr>
                <w:t>Risk factors</w:t>
              </w:r>
            </w:hyperlink>
          </w:p>
        </w:tc>
        <w:tc>
          <w:tcPr>
            <w:tcW w:w="7600" w:type="dxa"/>
            <w:vAlign w:val="bottom"/>
            <w:gridSpan w:val="20"/>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0000EE"/>
            </w:tcBorders>
            <w:gridSpan w:val="4"/>
          </w:tcPr>
          <w:p>
            <w:pPr>
              <w:jc w:val="right"/>
              <w:spacing w:after="0"/>
              <w:rPr>
                <w:rFonts w:ascii="Arial" w:cs="Arial" w:eastAsia="Arial" w:hAnsi="Arial"/>
                <w:sz w:val="18"/>
                <w:szCs w:val="18"/>
                <w:color w:val="0000EE"/>
                <w:w w:val="84"/>
              </w:rPr>
            </w:pPr>
            <w:hyperlink w:anchor="page14">
              <w:r>
                <w:rPr>
                  <w:rFonts w:ascii="Arial" w:cs="Arial" w:eastAsia="Arial" w:hAnsi="Arial"/>
                  <w:sz w:val="18"/>
                  <w:szCs w:val="18"/>
                  <w:color w:val="0000EE"/>
                  <w:w w:val="84"/>
                </w:rPr>
                <w:t>S-10</w:t>
              </w:r>
            </w:hyperlink>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520" w:type="dxa"/>
            <w:vAlign w:val="bottom"/>
            <w:gridSpan w:val="2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Use of proceeds</w:t>
              </w:r>
            </w:hyperlink>
          </w:p>
        </w:tc>
        <w:tc>
          <w:tcPr>
            <w:tcW w:w="120" w:type="dxa"/>
            <w:vAlign w:val="bottom"/>
          </w:tcPr>
          <w:p>
            <w:pPr>
              <w:spacing w:after="0"/>
              <w:rPr>
                <w:sz w:val="24"/>
                <w:szCs w:val="24"/>
                <w:color w:val="auto"/>
              </w:rPr>
            </w:pPr>
          </w:p>
        </w:tc>
        <w:tc>
          <w:tcPr>
            <w:tcW w:w="1640" w:type="dxa"/>
            <w:vAlign w:val="bottom"/>
            <w:gridSpan w:val="6"/>
          </w:tcPr>
          <w:p>
            <w:pPr>
              <w:jc w:val="right"/>
              <w:ind w:right="1300"/>
              <w:spacing w:after="0"/>
              <w:rPr>
                <w:rFonts w:ascii="Arial" w:cs="Arial" w:eastAsia="Arial" w:hAnsi="Arial"/>
                <w:sz w:val="18"/>
                <w:szCs w:val="18"/>
                <w:color w:val="0000EE"/>
                <w:w w:val="84"/>
              </w:rPr>
            </w:pPr>
            <w:hyperlink w:anchor="page19">
              <w:r>
                <w:rPr>
                  <w:rFonts w:ascii="Arial" w:cs="Arial" w:eastAsia="Arial" w:hAnsi="Arial"/>
                  <w:sz w:val="18"/>
                  <w:szCs w:val="18"/>
                  <w:color w:val="0000EE"/>
                  <w:w w:val="84"/>
                </w:rPr>
                <w:t>S-15</w:t>
              </w:r>
            </w:hyperlink>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6"/>
              </w:rPr>
            </w:pPr>
            <w:hyperlink w:anchor="page20">
              <w:r>
                <w:rPr>
                  <w:rFonts w:ascii="Arial" w:cs="Arial" w:eastAsia="Arial" w:hAnsi="Arial"/>
                  <w:sz w:val="18"/>
                  <w:szCs w:val="18"/>
                  <w:color w:val="0000EE"/>
                  <w:w w:val="96"/>
                </w:rPr>
                <w:t>Dilution</w:t>
              </w:r>
            </w:hyperlink>
          </w:p>
        </w:tc>
        <w:tc>
          <w:tcPr>
            <w:tcW w:w="540" w:type="dxa"/>
            <w:vAlign w:val="bottom"/>
            <w:tcBorders>
              <w:top w:val="single" w:sz="8" w:color="0000EE"/>
            </w:tcBorders>
            <w:gridSpan w:val="5"/>
          </w:tcPr>
          <w:p>
            <w:pPr>
              <w:spacing w:after="0"/>
              <w:rPr>
                <w:sz w:val="24"/>
                <w:szCs w:val="24"/>
                <w:color w:val="auto"/>
              </w:rPr>
            </w:pPr>
          </w:p>
        </w:tc>
        <w:tc>
          <w:tcPr>
            <w:tcW w:w="7380" w:type="dxa"/>
            <w:vAlign w:val="bottom"/>
            <w:gridSpan w:val="16"/>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0000EE"/>
              <w:bottom w:val="single" w:sz="8" w:color="0000EE"/>
            </w:tcBorders>
            <w:gridSpan w:val="4"/>
          </w:tcPr>
          <w:p>
            <w:pPr>
              <w:jc w:val="right"/>
              <w:spacing w:after="0"/>
              <w:rPr>
                <w:rFonts w:ascii="Arial" w:cs="Arial" w:eastAsia="Arial" w:hAnsi="Arial"/>
                <w:sz w:val="18"/>
                <w:szCs w:val="18"/>
                <w:color w:val="0000EE"/>
                <w:w w:val="84"/>
              </w:rPr>
            </w:pPr>
            <w:hyperlink w:anchor="page20">
              <w:r>
                <w:rPr>
                  <w:rFonts w:ascii="Arial" w:cs="Arial" w:eastAsia="Arial" w:hAnsi="Arial"/>
                  <w:sz w:val="18"/>
                  <w:szCs w:val="18"/>
                  <w:color w:val="0000EE"/>
                  <w:w w:val="84"/>
                </w:rPr>
                <w:t>S-16</w:t>
              </w:r>
            </w:hyperlink>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160" w:type="dxa"/>
            <w:vAlign w:val="bottom"/>
            <w:tcBorders>
              <w:bottom w:val="single" w:sz="8" w:color="0000EE"/>
            </w:tcBorders>
            <w:gridSpan w:val="8"/>
          </w:tcPr>
          <w:p>
            <w:pPr>
              <w:spacing w:after="0"/>
              <w:rPr>
                <w:rFonts w:ascii="Arial" w:cs="Arial" w:eastAsia="Arial" w:hAnsi="Arial"/>
                <w:sz w:val="18"/>
                <w:szCs w:val="18"/>
                <w:color w:val="0000EE"/>
                <w:w w:val="94"/>
              </w:rPr>
            </w:pPr>
            <w:hyperlink w:anchor="page21">
              <w:r>
                <w:rPr>
                  <w:rFonts w:ascii="Arial" w:cs="Arial" w:eastAsia="Arial" w:hAnsi="Arial"/>
                  <w:sz w:val="18"/>
                  <w:szCs w:val="18"/>
                  <w:color w:val="0000EE"/>
                  <w:w w:val="94"/>
                </w:rPr>
                <w:t>Dividend policy</w:t>
              </w:r>
            </w:hyperlink>
          </w:p>
        </w:tc>
        <w:tc>
          <w:tcPr>
            <w:tcW w:w="7360" w:type="dxa"/>
            <w:vAlign w:val="bottom"/>
            <w:gridSpan w:val="15"/>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0000EE"/>
            </w:tcBorders>
            <w:gridSpan w:val="4"/>
          </w:tcPr>
          <w:p>
            <w:pPr>
              <w:jc w:val="right"/>
              <w:spacing w:after="0"/>
              <w:rPr>
                <w:rFonts w:ascii="Arial" w:cs="Arial" w:eastAsia="Arial" w:hAnsi="Arial"/>
                <w:sz w:val="18"/>
                <w:szCs w:val="18"/>
                <w:color w:val="0000EE"/>
                <w:w w:val="84"/>
              </w:rPr>
            </w:pPr>
            <w:hyperlink w:anchor="page21">
              <w:r>
                <w:rPr>
                  <w:rFonts w:ascii="Arial" w:cs="Arial" w:eastAsia="Arial" w:hAnsi="Arial"/>
                  <w:sz w:val="18"/>
                  <w:szCs w:val="18"/>
                  <w:color w:val="0000EE"/>
                  <w:w w:val="84"/>
                </w:rPr>
                <w:t>S-17</w:t>
              </w:r>
            </w:hyperlink>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430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Material U.S. federal tax considerations for non-U.S. holders</w:t>
              </w:r>
            </w:hyperlink>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0000EE"/>
            </w:tcBorders>
            <w:gridSpan w:val="4"/>
          </w:tcPr>
          <w:p>
            <w:pPr>
              <w:jc w:val="right"/>
              <w:spacing w:after="0"/>
              <w:rPr>
                <w:rFonts w:ascii="Arial" w:cs="Arial" w:eastAsia="Arial" w:hAnsi="Arial"/>
                <w:sz w:val="18"/>
                <w:szCs w:val="18"/>
                <w:color w:val="0000EE"/>
                <w:w w:val="84"/>
              </w:rPr>
            </w:pPr>
            <w:hyperlink w:anchor="page21">
              <w:r>
                <w:rPr>
                  <w:rFonts w:ascii="Arial" w:cs="Arial" w:eastAsia="Arial" w:hAnsi="Arial"/>
                  <w:sz w:val="18"/>
                  <w:szCs w:val="18"/>
                  <w:color w:val="0000EE"/>
                  <w:w w:val="84"/>
                </w:rPr>
                <w:t>S-17</w:t>
              </w:r>
            </w:hyperlink>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9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Underwriters</w:t>
              </w:r>
            </w:hyperlink>
          </w:p>
        </w:tc>
        <w:tc>
          <w:tcPr>
            <w:tcW w:w="7580" w:type="dxa"/>
            <w:vAlign w:val="bottom"/>
            <w:gridSpan w:val="19"/>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0000EE"/>
            </w:tcBorders>
            <w:gridSpan w:val="4"/>
          </w:tcPr>
          <w:p>
            <w:pPr>
              <w:jc w:val="right"/>
              <w:spacing w:after="0"/>
              <w:rPr>
                <w:rFonts w:ascii="Arial" w:cs="Arial" w:eastAsia="Arial" w:hAnsi="Arial"/>
                <w:sz w:val="18"/>
                <w:szCs w:val="18"/>
                <w:color w:val="0000EE"/>
                <w:w w:val="84"/>
              </w:rPr>
            </w:pPr>
            <w:hyperlink w:anchor="page26">
              <w:r>
                <w:rPr>
                  <w:rFonts w:ascii="Arial" w:cs="Arial" w:eastAsia="Arial" w:hAnsi="Arial"/>
                  <w:sz w:val="18"/>
                  <w:szCs w:val="18"/>
                  <w:color w:val="0000EE"/>
                  <w:w w:val="84"/>
                </w:rPr>
                <w:t>S-22</w:t>
              </w:r>
            </w:hyperlink>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520" w:type="dxa"/>
            <w:vAlign w:val="bottom"/>
            <w:gridSpan w:val="2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Legal matters</w:t>
              </w:r>
            </w:hyperlink>
          </w:p>
        </w:tc>
        <w:tc>
          <w:tcPr>
            <w:tcW w:w="120" w:type="dxa"/>
            <w:vAlign w:val="bottom"/>
          </w:tcPr>
          <w:p>
            <w:pPr>
              <w:spacing w:after="0"/>
              <w:rPr>
                <w:sz w:val="24"/>
                <w:szCs w:val="24"/>
                <w:color w:val="auto"/>
              </w:rPr>
            </w:pPr>
          </w:p>
        </w:tc>
        <w:tc>
          <w:tcPr>
            <w:tcW w:w="1640" w:type="dxa"/>
            <w:vAlign w:val="bottom"/>
            <w:gridSpan w:val="6"/>
          </w:tcPr>
          <w:p>
            <w:pPr>
              <w:jc w:val="right"/>
              <w:ind w:right="1300"/>
              <w:spacing w:after="0"/>
              <w:rPr>
                <w:rFonts w:ascii="Arial" w:cs="Arial" w:eastAsia="Arial" w:hAnsi="Arial"/>
                <w:sz w:val="18"/>
                <w:szCs w:val="18"/>
                <w:color w:val="0000EE"/>
                <w:w w:val="84"/>
              </w:rPr>
            </w:pPr>
            <w:hyperlink w:anchor="page33">
              <w:r>
                <w:rPr>
                  <w:rFonts w:ascii="Arial" w:cs="Arial" w:eastAsia="Arial" w:hAnsi="Arial"/>
                  <w:sz w:val="18"/>
                  <w:szCs w:val="18"/>
                  <w:color w:val="0000EE"/>
                  <w:w w:val="84"/>
                </w:rPr>
                <w:t>S-29</w:t>
              </w:r>
            </w:hyperlink>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960" w:type="dxa"/>
            <w:vAlign w:val="bottom"/>
            <w:tcBorders>
              <w:top w:val="single" w:sz="8" w:color="0000EE"/>
            </w:tcBorders>
            <w:gridSpan w:val="5"/>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Experts</w:t>
              </w:r>
            </w:hyperlink>
          </w:p>
        </w:tc>
        <w:tc>
          <w:tcPr>
            <w:tcW w:w="7560" w:type="dxa"/>
            <w:vAlign w:val="bottom"/>
            <w:gridSpan w:val="18"/>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0000EE"/>
            </w:tcBorders>
            <w:gridSpan w:val="4"/>
          </w:tcPr>
          <w:p>
            <w:pPr>
              <w:jc w:val="right"/>
              <w:spacing w:after="0"/>
              <w:rPr>
                <w:rFonts w:ascii="Arial" w:cs="Arial" w:eastAsia="Arial" w:hAnsi="Arial"/>
                <w:sz w:val="18"/>
                <w:szCs w:val="18"/>
                <w:color w:val="0000EE"/>
                <w:w w:val="84"/>
              </w:rPr>
            </w:pPr>
            <w:hyperlink w:anchor="page33">
              <w:r>
                <w:rPr>
                  <w:rFonts w:ascii="Arial" w:cs="Arial" w:eastAsia="Arial" w:hAnsi="Arial"/>
                  <w:sz w:val="18"/>
                  <w:szCs w:val="18"/>
                  <w:color w:val="0000EE"/>
                  <w:w w:val="84"/>
                </w:rPr>
                <w:t>S-29</w:t>
              </w:r>
            </w:hyperlink>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270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Where you can find more information</w:t>
              </w:r>
            </w:hyperlink>
          </w:p>
        </w:tc>
        <w:tc>
          <w:tcPr>
            <w:tcW w:w="582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0000EE"/>
            </w:tcBorders>
            <w:gridSpan w:val="4"/>
          </w:tcPr>
          <w:p>
            <w:pPr>
              <w:jc w:val="right"/>
              <w:spacing w:after="0"/>
              <w:rPr>
                <w:rFonts w:ascii="Arial" w:cs="Arial" w:eastAsia="Arial" w:hAnsi="Arial"/>
                <w:sz w:val="18"/>
                <w:szCs w:val="18"/>
                <w:color w:val="0000EE"/>
                <w:w w:val="84"/>
              </w:rPr>
            </w:pPr>
            <w:hyperlink w:anchor="page33">
              <w:r>
                <w:rPr>
                  <w:rFonts w:ascii="Arial" w:cs="Arial" w:eastAsia="Arial" w:hAnsi="Arial"/>
                  <w:sz w:val="18"/>
                  <w:szCs w:val="18"/>
                  <w:color w:val="0000EE"/>
                  <w:w w:val="84"/>
                </w:rPr>
                <w:t>S-29</w:t>
              </w:r>
            </w:hyperlink>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520" w:type="dxa"/>
            <w:vAlign w:val="bottom"/>
            <w:gridSpan w:val="2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Incorporation of certain information by reference</w:t>
              </w:r>
            </w:hyperlink>
          </w:p>
        </w:tc>
        <w:tc>
          <w:tcPr>
            <w:tcW w:w="120" w:type="dxa"/>
            <w:vAlign w:val="bottom"/>
          </w:tcPr>
          <w:p>
            <w:pPr>
              <w:spacing w:after="0"/>
              <w:rPr>
                <w:sz w:val="24"/>
                <w:szCs w:val="24"/>
                <w:color w:val="auto"/>
              </w:rPr>
            </w:pPr>
          </w:p>
        </w:tc>
        <w:tc>
          <w:tcPr>
            <w:tcW w:w="1640" w:type="dxa"/>
            <w:vAlign w:val="bottom"/>
            <w:gridSpan w:val="6"/>
          </w:tcPr>
          <w:p>
            <w:pPr>
              <w:jc w:val="right"/>
              <w:ind w:right="1300"/>
              <w:spacing w:after="0"/>
              <w:rPr>
                <w:rFonts w:ascii="Arial" w:cs="Arial" w:eastAsia="Arial" w:hAnsi="Arial"/>
                <w:sz w:val="18"/>
                <w:szCs w:val="18"/>
                <w:color w:val="0000EE"/>
                <w:w w:val="84"/>
              </w:rPr>
            </w:pPr>
            <w:hyperlink w:anchor="page33">
              <w:r>
                <w:rPr>
                  <w:rFonts w:ascii="Arial" w:cs="Arial" w:eastAsia="Arial" w:hAnsi="Arial"/>
                  <w:sz w:val="18"/>
                  <w:szCs w:val="18"/>
                  <w:color w:val="0000EE"/>
                  <w:w w:val="84"/>
                </w:rPr>
                <w:t>S-29</w:t>
              </w:r>
            </w:hyperlink>
          </w:p>
        </w:tc>
        <w:tc>
          <w:tcPr>
            <w:tcW w:w="0" w:type="dxa"/>
            <w:vAlign w:val="bottom"/>
          </w:tcPr>
          <w:p>
            <w:pPr>
              <w:spacing w:after="0"/>
              <w:rPr>
                <w:sz w:val="1"/>
                <w:szCs w:val="1"/>
                <w:color w:val="auto"/>
              </w:rPr>
            </w:pPr>
          </w:p>
        </w:tc>
      </w:tr>
      <w:tr>
        <w:trPr>
          <w:trHeight w:val="667"/>
        </w:trPr>
        <w:tc>
          <w:tcPr>
            <w:tcW w:w="11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680" w:type="dxa"/>
            <w:vAlign w:val="bottom"/>
            <w:gridSpan w:val="3"/>
          </w:tcPr>
          <w:p>
            <w:pPr>
              <w:ind w:left="300"/>
              <w:spacing w:after="0"/>
              <w:rPr>
                <w:sz w:val="20"/>
                <w:szCs w:val="20"/>
                <w:color w:val="auto"/>
              </w:rPr>
            </w:pPr>
            <w:r>
              <w:rPr>
                <w:rFonts w:ascii="Arial" w:cs="Arial" w:eastAsia="Arial" w:hAnsi="Arial"/>
                <w:sz w:val="18"/>
                <w:szCs w:val="18"/>
                <w:b w:val="1"/>
                <w:bCs w:val="1"/>
                <w:color w:val="auto"/>
              </w:rPr>
              <w:t>Prospectus</w:t>
            </w:r>
          </w:p>
        </w:tc>
        <w:tc>
          <w:tcPr>
            <w:tcW w:w="1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140" w:type="dxa"/>
            <w:vAlign w:val="bottom"/>
          </w:tcPr>
          <w:p>
            <w:pPr>
              <w:spacing w:after="0"/>
              <w:rPr>
                <w:sz w:val="24"/>
                <w:szCs w:val="24"/>
                <w:color w:val="auto"/>
              </w:rPr>
            </w:pPr>
          </w:p>
        </w:tc>
        <w:tc>
          <w:tcPr>
            <w:tcW w:w="8520" w:type="dxa"/>
            <w:vAlign w:val="bottom"/>
            <w:gridSpan w:val="2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About this prospectus</w:t>
              </w:r>
            </w:hyperlink>
          </w:p>
        </w:tc>
        <w:tc>
          <w:tcPr>
            <w:tcW w:w="480" w:type="dxa"/>
            <w:vAlign w:val="bottom"/>
            <w:gridSpan w:val="6"/>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1</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3"/>
              </w:rPr>
            </w:pPr>
            <w:hyperlink w:anchor="page38">
              <w:r>
                <w:rPr>
                  <w:rFonts w:ascii="Arial" w:cs="Arial" w:eastAsia="Arial" w:hAnsi="Arial"/>
                  <w:sz w:val="18"/>
                  <w:szCs w:val="18"/>
                  <w:color w:val="0000EE"/>
                  <w:w w:val="93"/>
                </w:rPr>
                <w:t>Risk factors</w:t>
              </w:r>
            </w:hyperlink>
          </w:p>
        </w:tc>
        <w:tc>
          <w:tcPr>
            <w:tcW w:w="620" w:type="dxa"/>
            <w:vAlign w:val="bottom"/>
            <w:tcBorders>
              <w:top w:val="single" w:sz="8" w:color="0000EE"/>
            </w:tcBorders>
            <w:gridSpan w:val="7"/>
          </w:tcPr>
          <w:p>
            <w:pPr>
              <w:spacing w:after="0"/>
              <w:rPr>
                <w:sz w:val="24"/>
                <w:szCs w:val="24"/>
                <w:color w:val="auto"/>
              </w:rPr>
            </w:pPr>
          </w:p>
        </w:tc>
        <w:tc>
          <w:tcPr>
            <w:tcW w:w="6980" w:type="dxa"/>
            <w:vAlign w:val="bottom"/>
            <w:gridSpan w:val="13"/>
          </w:tcPr>
          <w:p>
            <w:pPr>
              <w:spacing w:after="0"/>
              <w:rPr>
                <w:sz w:val="24"/>
                <w:szCs w:val="24"/>
                <w:color w:val="auto"/>
              </w:rPr>
            </w:pPr>
          </w:p>
        </w:tc>
        <w:tc>
          <w:tcPr>
            <w:tcW w:w="360" w:type="dxa"/>
            <w:vAlign w:val="bottom"/>
            <w:gridSpan w:val="4"/>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2</w:t>
              </w:r>
            </w:hyperlink>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520" w:type="dxa"/>
            <w:vAlign w:val="bottom"/>
            <w:gridSpan w:val="2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Cautionary statement regarding forward-looking statements</w:t>
              </w:r>
            </w:hyperlink>
          </w:p>
        </w:tc>
        <w:tc>
          <w:tcPr>
            <w:tcW w:w="480" w:type="dxa"/>
            <w:vAlign w:val="bottom"/>
            <w:gridSpan w:val="6"/>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4200" w:type="dxa"/>
            <w:vAlign w:val="bottom"/>
            <w:tcBorders>
              <w:top w:val="single" w:sz="8" w:color="0000EE"/>
            </w:tcBorders>
            <w:gridSpan w:val="21"/>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The Company</w:t>
              </w:r>
            </w:hyperlink>
          </w:p>
        </w:tc>
        <w:tc>
          <w:tcPr>
            <w:tcW w:w="4320" w:type="dxa"/>
            <w:vAlign w:val="bottom"/>
            <w:gridSpan w:val="2"/>
          </w:tcPr>
          <w:p>
            <w:pPr>
              <w:spacing w:after="0"/>
              <w:rPr>
                <w:sz w:val="24"/>
                <w:szCs w:val="24"/>
                <w:color w:val="auto"/>
              </w:rPr>
            </w:pPr>
          </w:p>
        </w:tc>
        <w:tc>
          <w:tcPr>
            <w:tcW w:w="360" w:type="dxa"/>
            <w:vAlign w:val="bottom"/>
            <w:gridSpan w:val="4"/>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84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520" w:type="dxa"/>
            <w:vAlign w:val="bottom"/>
            <w:gridSpan w:val="2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Use of proceeds</w:t>
              </w:r>
            </w:hyperlink>
          </w:p>
        </w:tc>
        <w:tc>
          <w:tcPr>
            <w:tcW w:w="480" w:type="dxa"/>
            <w:vAlign w:val="bottom"/>
            <w:gridSpan w:val="6"/>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6</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40" w:type="dxa"/>
            <w:vAlign w:val="bottom"/>
            <w:gridSpan w:val="7"/>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84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68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Securities we may offer</w:t>
              </w:r>
            </w:hyperlink>
          </w:p>
        </w:tc>
        <w:tc>
          <w:tcPr>
            <w:tcW w:w="6840" w:type="dxa"/>
            <w:vAlign w:val="bottom"/>
            <w:gridSpan w:val="11"/>
          </w:tcPr>
          <w:p>
            <w:pPr>
              <w:spacing w:after="0"/>
              <w:rPr>
                <w:sz w:val="24"/>
                <w:szCs w:val="24"/>
                <w:color w:val="auto"/>
              </w:rPr>
            </w:pPr>
          </w:p>
        </w:tc>
        <w:tc>
          <w:tcPr>
            <w:tcW w:w="360" w:type="dxa"/>
            <w:vAlign w:val="bottom"/>
            <w:gridSpan w:val="4"/>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7</w:t>
              </w:r>
            </w:hyperlink>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520" w:type="dxa"/>
            <w:vAlign w:val="bottom"/>
            <w:gridSpan w:val="2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Description of capital stock</w:t>
              </w:r>
            </w:hyperlink>
          </w:p>
        </w:tc>
        <w:tc>
          <w:tcPr>
            <w:tcW w:w="480" w:type="dxa"/>
            <w:vAlign w:val="bottom"/>
            <w:gridSpan w:val="6"/>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8</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0" w:type="dxa"/>
            <w:vAlign w:val="bottom"/>
            <w:tcBorders>
              <w:right w:val="single" w:sz="8" w:color="0000EE"/>
            </w:tcBorders>
            <w:gridSpan w:val="9"/>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84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20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Description of debt securities</w:t>
              </w:r>
            </w:hyperlink>
          </w:p>
        </w:tc>
        <w:tc>
          <w:tcPr>
            <w:tcW w:w="6440" w:type="dxa"/>
            <w:vAlign w:val="bottom"/>
            <w:gridSpan w:val="9"/>
          </w:tcPr>
          <w:p>
            <w:pPr>
              <w:spacing w:after="0"/>
              <w:rPr>
                <w:sz w:val="24"/>
                <w:szCs w:val="24"/>
                <w:color w:val="auto"/>
              </w:rPr>
            </w:pPr>
          </w:p>
        </w:tc>
        <w:tc>
          <w:tcPr>
            <w:tcW w:w="280" w:type="dxa"/>
            <w:vAlign w:val="bottom"/>
            <w:gridSpan w:val="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13</w:t>
              </w:r>
            </w:hyperlink>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520" w:type="dxa"/>
            <w:vAlign w:val="bottom"/>
            <w:gridSpan w:val="23"/>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Description of warrants</w:t>
              </w:r>
            </w:hyperlink>
          </w:p>
        </w:tc>
        <w:tc>
          <w:tcPr>
            <w:tcW w:w="480" w:type="dxa"/>
            <w:vAlign w:val="bottom"/>
            <w:gridSpan w:val="6"/>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21</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660" w:type="dxa"/>
            <w:vAlign w:val="bottom"/>
            <w:tcBorders>
              <w:top w:val="single" w:sz="8" w:color="0000EE"/>
            </w:tcBorders>
            <w:gridSpan w:val="11"/>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Description of units</w:t>
              </w:r>
            </w:hyperlink>
          </w:p>
        </w:tc>
        <w:tc>
          <w:tcPr>
            <w:tcW w:w="6860" w:type="dxa"/>
            <w:vAlign w:val="bottom"/>
            <w:gridSpan w:val="12"/>
          </w:tcPr>
          <w:p>
            <w:pPr>
              <w:spacing w:after="0"/>
              <w:rPr>
                <w:sz w:val="24"/>
                <w:szCs w:val="24"/>
                <w:color w:val="auto"/>
              </w:rPr>
            </w:pPr>
          </w:p>
        </w:tc>
        <w:tc>
          <w:tcPr>
            <w:tcW w:w="280" w:type="dxa"/>
            <w:vAlign w:val="bottom"/>
            <w:gridSpan w:val="3"/>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59">
              <w:r>
                <w:rPr>
                  <w:rFonts w:ascii="Arial" w:cs="Arial" w:eastAsia="Arial" w:hAnsi="Arial"/>
                  <w:sz w:val="18"/>
                  <w:szCs w:val="18"/>
                  <w:color w:val="0000EE"/>
                  <w:w w:val="79"/>
                </w:rPr>
                <w:t>23</w:t>
              </w:r>
            </w:hyperlink>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0" w:type="dxa"/>
            <w:vAlign w:val="bottom"/>
            <w:tcBorders>
              <w:right w:val="single" w:sz="8" w:color="0000EE"/>
            </w:tcBorders>
            <w:gridSpan w:val="9"/>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84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520" w:type="dxa"/>
            <w:vAlign w:val="bottom"/>
            <w:gridSpan w:val="23"/>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Legal ownership of securities</w:t>
              </w:r>
            </w:hyperlink>
          </w:p>
        </w:tc>
        <w:tc>
          <w:tcPr>
            <w:tcW w:w="480" w:type="dxa"/>
            <w:vAlign w:val="bottom"/>
            <w:gridSpan w:val="6"/>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24</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2080" w:type="dxa"/>
            <w:vAlign w:val="bottom"/>
            <w:tcBorders>
              <w:top w:val="single" w:sz="8" w:color="0000EE"/>
            </w:tcBorders>
            <w:gridSpan w:val="14"/>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Plan of distribution</w:t>
              </w:r>
            </w:hyperlink>
          </w:p>
        </w:tc>
        <w:tc>
          <w:tcPr>
            <w:tcW w:w="6440" w:type="dxa"/>
            <w:vAlign w:val="bottom"/>
            <w:gridSpan w:val="9"/>
          </w:tcPr>
          <w:p>
            <w:pPr>
              <w:spacing w:after="0"/>
              <w:rPr>
                <w:sz w:val="24"/>
                <w:szCs w:val="24"/>
                <w:color w:val="auto"/>
              </w:rPr>
            </w:pPr>
          </w:p>
        </w:tc>
        <w:tc>
          <w:tcPr>
            <w:tcW w:w="280" w:type="dxa"/>
            <w:vAlign w:val="bottom"/>
            <w:gridSpan w:val="3"/>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4">
              <w:r>
                <w:rPr>
                  <w:rFonts w:ascii="Arial" w:cs="Arial" w:eastAsia="Arial" w:hAnsi="Arial"/>
                  <w:sz w:val="18"/>
                  <w:szCs w:val="18"/>
                  <w:color w:val="0000EE"/>
                  <w:w w:val="79"/>
                </w:rPr>
                <w:t>28</w:t>
              </w:r>
            </w:hyperlink>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0" w:type="dxa"/>
            <w:vAlign w:val="bottom"/>
            <w:tcBorders>
              <w:top w:val="single" w:sz="8" w:color="0000EE"/>
            </w:tcBorders>
            <w:gridSpan w:val="9"/>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Legal matters</w:t>
              </w:r>
            </w:hyperlink>
          </w:p>
        </w:tc>
        <w:tc>
          <w:tcPr>
            <w:tcW w:w="7120" w:type="dxa"/>
            <w:vAlign w:val="bottom"/>
            <w:gridSpan w:val="14"/>
          </w:tcPr>
          <w:p>
            <w:pPr>
              <w:spacing w:after="0"/>
              <w:rPr>
                <w:sz w:val="24"/>
                <w:szCs w:val="24"/>
                <w:color w:val="auto"/>
              </w:rPr>
            </w:pPr>
          </w:p>
        </w:tc>
        <w:tc>
          <w:tcPr>
            <w:tcW w:w="280" w:type="dxa"/>
            <w:vAlign w:val="bottom"/>
            <w:gridSpan w:val="3"/>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7">
              <w:r>
                <w:rPr>
                  <w:rFonts w:ascii="Arial" w:cs="Arial" w:eastAsia="Arial" w:hAnsi="Arial"/>
                  <w:sz w:val="18"/>
                  <w:szCs w:val="18"/>
                  <w:color w:val="0000EE"/>
                  <w:w w:val="79"/>
                </w:rPr>
                <w:t>31</w:t>
              </w:r>
            </w:hyperlink>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960" w:type="dxa"/>
            <w:vAlign w:val="bottom"/>
            <w:tcBorders>
              <w:top w:val="single" w:sz="8" w:color="0000EE"/>
            </w:tcBorders>
            <w:gridSpan w:val="5"/>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Experts</w:t>
              </w:r>
            </w:hyperlink>
          </w:p>
        </w:tc>
        <w:tc>
          <w:tcPr>
            <w:tcW w:w="7560" w:type="dxa"/>
            <w:vAlign w:val="bottom"/>
            <w:gridSpan w:val="18"/>
          </w:tcPr>
          <w:p>
            <w:pPr>
              <w:spacing w:after="0"/>
              <w:rPr>
                <w:sz w:val="24"/>
                <w:szCs w:val="24"/>
                <w:color w:val="auto"/>
              </w:rPr>
            </w:pPr>
          </w:p>
        </w:tc>
        <w:tc>
          <w:tcPr>
            <w:tcW w:w="280" w:type="dxa"/>
            <w:vAlign w:val="bottom"/>
            <w:gridSpan w:val="3"/>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7">
              <w:r>
                <w:rPr>
                  <w:rFonts w:ascii="Arial" w:cs="Arial" w:eastAsia="Arial" w:hAnsi="Arial"/>
                  <w:sz w:val="18"/>
                  <w:szCs w:val="18"/>
                  <w:color w:val="0000EE"/>
                  <w:w w:val="79"/>
                </w:rPr>
                <w:t>31</w:t>
              </w:r>
            </w:hyperlink>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0" w:type="dxa"/>
            <w:vAlign w:val="bottom"/>
            <w:gridSpan w:val="1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584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268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67">
              <w:r>
                <w:rPr>
                  <w:rFonts w:ascii="Arial" w:cs="Arial" w:eastAsia="Arial" w:hAnsi="Arial"/>
                  <w:sz w:val="18"/>
                  <w:szCs w:val="18"/>
                  <w:color w:val="0000EE"/>
                  <w:w w:val="90"/>
                </w:rPr>
                <w:t>Where you can find more information</w:t>
              </w:r>
            </w:hyperlink>
          </w:p>
        </w:tc>
        <w:tc>
          <w:tcPr>
            <w:tcW w:w="5840" w:type="dxa"/>
            <w:vAlign w:val="bottom"/>
            <w:gridSpan w:val="6"/>
          </w:tcPr>
          <w:p>
            <w:pPr>
              <w:spacing w:after="0"/>
              <w:rPr>
                <w:sz w:val="24"/>
                <w:szCs w:val="24"/>
                <w:color w:val="auto"/>
              </w:rPr>
            </w:pPr>
          </w:p>
        </w:tc>
        <w:tc>
          <w:tcPr>
            <w:tcW w:w="280" w:type="dxa"/>
            <w:vAlign w:val="bottom"/>
            <w:gridSpan w:val="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7">
              <w:r>
                <w:rPr>
                  <w:rFonts w:ascii="Arial" w:cs="Arial" w:eastAsia="Arial" w:hAnsi="Arial"/>
                  <w:sz w:val="18"/>
                  <w:szCs w:val="18"/>
                  <w:color w:val="0000EE"/>
                  <w:w w:val="79"/>
                </w:rPr>
                <w:t>31</w:t>
              </w:r>
            </w:hyperlink>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520" w:type="dxa"/>
            <w:vAlign w:val="bottom"/>
            <w:gridSpan w:val="23"/>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Incorporation by reference</w:t>
              </w:r>
            </w:hyperlink>
          </w:p>
        </w:tc>
        <w:tc>
          <w:tcPr>
            <w:tcW w:w="480" w:type="dxa"/>
            <w:vAlign w:val="bottom"/>
            <w:gridSpan w:val="6"/>
          </w:tcPr>
          <w:p>
            <w:pPr>
              <w:jc w:val="right"/>
              <w:ind w:right="20"/>
              <w:spacing w:after="0"/>
              <w:rPr>
                <w:rFonts w:ascii="Arial" w:cs="Arial" w:eastAsia="Arial" w:hAnsi="Arial"/>
                <w:sz w:val="18"/>
                <w:szCs w:val="18"/>
                <w:color w:val="0000EE"/>
              </w:rPr>
            </w:pPr>
            <w:hyperlink w:anchor="page68">
              <w:r>
                <w:rPr>
                  <w:rFonts w:ascii="Arial" w:cs="Arial" w:eastAsia="Arial" w:hAnsi="Arial"/>
                  <w:sz w:val="18"/>
                  <w:szCs w:val="18"/>
                  <w:color w:val="0000EE"/>
                </w:rPr>
                <w:t>32</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20" w:type="dxa"/>
            <w:vAlign w:val="bottom"/>
          </w:tcPr>
          <w:p>
            <w:pPr>
              <w:ind w:left="180"/>
              <w:spacing w:after="0"/>
              <w:rPr>
                <w:sz w:val="20"/>
                <w:szCs w:val="20"/>
                <w:color w:val="auto"/>
              </w:rPr>
            </w:pPr>
            <w:r>
              <w:rPr>
                <w:rFonts w:ascii="Arial" w:cs="Arial" w:eastAsia="Arial" w:hAnsi="Arial"/>
                <w:sz w:val="18"/>
                <w:szCs w:val="18"/>
                <w:color w:val="auto"/>
              </w:rPr>
              <w:t>S-i</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33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31"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On October 1, 2019, we filed with the Securities and Exchange Commission, or the SEC, a registration statement on Form S-3 (File No. 333-234034) utilizing a shelf registration process relating to the securities described in this prospectus supplement which registration statement was declared effective on October 15, 2019. Under this shelf registration process, we may, from time to time, sell up to $300 million in the aggregate of common stock, preferred stock, debt securities, warrants and/or units in any combination.</w:t>
      </w:r>
    </w:p>
    <w:p>
      <w:pPr>
        <w:spacing w:after="0" w:line="19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This document is in two parts. The first part is this prospectus supplement, which describes the specific terms of this common stock offering and also adds to and updates information contained in the accompanying prospectus and the documents incorporated by reference herein and therein. The second part, the accompanying prospectus,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w:t>
      </w:r>
    </w:p>
    <w:p>
      <w:pPr>
        <w:spacing w:after="0" w:line="172"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Neither we nor the underwriters have authorized anyone to provide any information other than that contained or incorporated by reference in this prospectus supplement, the accompanying prospectus or in any free writing prospectus prepared by or on behalf of us or to which we have referred you. We take no responsibility for, and can provide no assurance as to the reliability of, any other information that others may give you. The information contained in this prospectus supplement or the accompanying prospectus, or incorporated by reference herein or therein is accurate only as of the respective dates thereof, regardless of the time of delivery of this prospectus supplement and the accompanying prospectus or of any sale of our common stock. It is important for you to read and consider all information contained in this prospectus supplement and the accompanying prospectus, including the documents incorporated by reference herein and therein, in making your investment decision. You should also read and consider the information in the documents to which we have referred you in the sections entitled "Where You Can Find More Information" and "Incorporation of Certain Information by Reference" in this prospectus supplement and in the accompanying prospectus.</w:t>
      </w:r>
    </w:p>
    <w:p>
      <w:pPr>
        <w:spacing w:after="0" w:line="17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This prospectus supplement and the accompanying prospectus do not constitute an offer to sell, or a solicitation of an offer to purchase, the securities offered by this prospectus supplement and the accompanying prospectus in any jurisdiction to or from any person to whom or from whom it is unlawful to make such offer or solicitation of an offer in such jurisdiction. We are offering to sell, and seeking offers to buy, shares of our common stock only in jurisdictions where offers and sales are permitted. 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common stock and the distribution of this prospectus supplement and the accompanying prospectus outside the United States.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industry and market data contained or incorporated by reference into this prospectus supplement and the accompanying prospectus are based on independent industry publications, reports by market research firms or other published independent sources. Although we believe these sources are reliable, we have not independently verified the information and cannot guarantee its accuracy and completeness, as industry and market data are subject to change and cannot always be verified with complete certainty due to limits on the availability and reliability of raw data, the voluntary nature of the data gathering process and other limitations and uncertainties inherent in any statistical survey of market shares. Although we are not aware of any misstatements regarding the market and industry data presented or incorporated by reference into this prospectus supplement, these estimates involve risks and uncertainties and are subject to change based on various factors including those discussed in the section titled "Risk Factors." Accordingly, investors should not place undue reliance on this information.</w:t>
      </w:r>
    </w:p>
    <w:p>
      <w:pPr>
        <w:spacing w:after="0" w:line="172"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Except as otherwise indicated herein or as the context otherwise requires, references in this prospectus supplement and the accompanying prospectus to "Y-mAbs," the "Company," "we," "us" and "our" and similar words refer to Y-mAbs Therapeutics, Inc. and our wholly owned Danish subsidiary, Y-mAbs Therapeutics A/S.</w:t>
      </w:r>
    </w:p>
    <w:p>
      <w:pPr>
        <w:spacing w:after="0" w:line="19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"Y-mAbs®" is our registered trademark. Any other trademarks or service marks of our company appearing in this prospectus supplement are the property of Y-mAbs Therapeutics, Inc. This prospectus supplement and the accompanying prospectus also contain references to trademarks belonging to other entities. Third-party product and company names mentioned herein may be the trademarks of their respective owners. Solely for convenience, the trademarks and trade names in this prospectus supplement and the accompanying prospectus may be referred to without the ® and ™ symbols, but such references should not be construed as any indicator that their respective owners will not assert, to the fullest extent under applicable law, their rights thereto.</w:t>
      </w:r>
    </w:p>
    <w:p>
      <w:pPr>
        <w:spacing w:after="0" w:line="164" w:lineRule="exact"/>
        <w:rPr>
          <w:sz w:val="20"/>
          <w:szCs w:val="20"/>
          <w:color w:val="auto"/>
        </w:rPr>
      </w:pPr>
    </w:p>
    <w:p>
      <w:pPr>
        <w:ind w:right="40" w:firstLine="351"/>
        <w:spacing w:after="0" w:line="301" w:lineRule="auto"/>
        <w:rPr>
          <w:sz w:val="20"/>
          <w:szCs w:val="20"/>
          <w:color w:val="auto"/>
        </w:rPr>
      </w:pPr>
      <w:r>
        <w:rPr>
          <w:rFonts w:ascii="Arial" w:cs="Arial" w:eastAsia="Arial" w:hAnsi="Arial"/>
          <w:sz w:val="16"/>
          <w:szCs w:val="16"/>
          <w:b w:val="1"/>
          <w:bCs w:val="1"/>
          <w:color w:val="auto"/>
        </w:rPr>
        <w:t>No action is being taken in any jurisdiction outside the United States to permit a public offering of the securities or possession or distribution of this prospectus supplement or the accompanying prospectus in that jurisdiction. Persons who come into possession of this prospectus supplement or the accompanying prospectus in jurisdictions outside the United States are required to inform themselves about and to observe any restrictions as to this offering and the distribution of this prospectus supplement or the accompanying prospectus applicable to that jurisdiction.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1"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This prospectus supplement, the accompanying prospectus and the information incorporated by reference herein and therein include "forward-looking statements" within the meaning of Section 27A of the Securities Act of 1933, as amended, or the Securities Act, and Section 21E of the Securities Exchange Act of 1934, as amended, or the Exchange Act. All statements, other than statements of historical facts, contained in this prospectus supplement and the accompanying prospectus, including the documents that we incorporate by reference herein and therein, including statements regarding our business strategy, future operations and results thereof, future financial position, future revenue, projected costs, prospects, current and prospective products, product approvals, research and development costs, current and prospective collaborations, timing and likelihood of success, plans and objectives of management, expected market growth and future results of current and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The words "anticipate," "believe," "continue," "could," "estimate," "expect," "contemplate," "intend," "may," "might," "plan," "potential," "predict," "project," "should," "target," "will," "would" and similar expressions are intended to identify forward-looking statements, although not all forward-looking statements contain these identifying words.</w:t>
      </w:r>
    </w:p>
    <w:p>
      <w:pPr>
        <w:spacing w:after="0" w:line="18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This prospectus supplement and the accompanying prospectus contain forward-looking statements that are based on our management's belief and assumptions and on information currently available to our management.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These forward-looking statements include, among other things, statements about:</w:t>
      </w:r>
    </w:p>
    <w:p>
      <w:pPr>
        <w:spacing w:after="0" w:line="210" w:lineRule="exact"/>
        <w:rPr>
          <w:sz w:val="20"/>
          <w:szCs w:val="20"/>
          <w:color w:val="auto"/>
        </w:rPr>
      </w:pPr>
    </w:p>
    <w:p>
      <w:pPr>
        <w:ind w:left="1080" w:right="58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implementation of our business model and our plans to develop and commercialize our two lead product candidates and other product candidates, including the potential clinical efficacy and other benefits thereof;</w:t>
      </w:r>
    </w:p>
    <w:p>
      <w:pPr>
        <w:spacing w:after="0" w:line="212" w:lineRule="exact"/>
        <w:rPr>
          <w:rFonts w:ascii="Arial" w:cs="Arial" w:eastAsia="Arial" w:hAnsi="Arial"/>
          <w:sz w:val="18"/>
          <w:szCs w:val="18"/>
          <w:color w:val="auto"/>
        </w:rPr>
      </w:pPr>
    </w:p>
    <w:p>
      <w:pPr>
        <w:ind w:left="1080" w:hanging="532"/>
        <w:spacing w:after="0" w:line="298"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ongoing and future clinical trials for our two lead product candidates and other product candidates, whether conducted by us or by any of our collaborators, including the timing of initiation of these trials, the pace of enrollment, the completion of enrollment, the availability of data from these trials, the expected dates of Biologics License Application, or BLA, submission and approval by the U.S. Food and Drug Administration, or FDA, and equivalent foreign regulatory authorities and of the anticipated results;</w:t>
      </w:r>
    </w:p>
    <w:p>
      <w:pPr>
        <w:spacing w:after="0" w:line="180" w:lineRule="exact"/>
        <w:rPr>
          <w:rFonts w:ascii="Arial" w:cs="Arial" w:eastAsia="Arial" w:hAnsi="Arial"/>
          <w:sz w:val="16"/>
          <w:szCs w:val="16"/>
          <w:color w:val="auto"/>
        </w:rPr>
      </w:pPr>
    </w:p>
    <w:p>
      <w:pPr>
        <w:jc w:val="both"/>
        <w:ind w:left="1080" w:right="60" w:hanging="532"/>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pre-clinical studies and future clinical trials for our other product candidates and our research and development programs, whether conducted by us or by any of our collaborators, including the timing of initiation of these trials, the pace of enrollment, the expected date of completion and of the anticipated results;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timing of and our ability to obtain and maintain regulatory, marketing and reimbursement approvals for our product candidates;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products for which we receive marketing approval;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pricing and reimbursement levels of our product candidates, if approved;</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employees and to identify, hire and retain additional qualified employees, including a direct sales force;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plans for remediation of material weaknesses in our internal control over financial reporting;</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and strategy and the scope of protection we are able to establish and maintain for the intellectual property rights covering our product candidates and technology;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 and technologies with significant commercial potential;</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ability to enter into collaborations or strategic partnerships for the development and commercialization of our product candidates and future operations;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any future collaboration or strategic partnerships;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the use of our cash and cash equivalents, how long that cash is expected to last;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need for, timing and amount of any future financing transaction;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 including our estimates regarding revenues, expenses, capital expenditure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252"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Jumpstart Our Business Startups Act of 2012, or the JOBS Act;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our prior initial public offering, or IPO, and this offering; and</w:t>
      </w:r>
    </w:p>
    <w:p>
      <w:pPr>
        <w:spacing w:after="0" w:line="238" w:lineRule="exact"/>
        <w:rPr>
          <w:rFonts w:ascii="Arial" w:cs="Arial" w:eastAsia="Arial" w:hAnsi="Arial"/>
          <w:sz w:val="18"/>
          <w:szCs w:val="18"/>
          <w:color w:val="auto"/>
        </w:rPr>
      </w:pPr>
    </w:p>
    <w:p>
      <w:pPr>
        <w:ind w:left="1080" w:right="8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described or incorporated by reference under the caption "Risk Factors" in this prospectus supplement.</w:t>
      </w:r>
    </w:p>
    <w:p>
      <w:pPr>
        <w:spacing w:after="0" w:line="186" w:lineRule="exact"/>
        <w:rPr>
          <w:sz w:val="20"/>
          <w:szCs w:val="20"/>
          <w:color w:val="auto"/>
        </w:rPr>
      </w:pPr>
    </w:p>
    <w:p>
      <w:pPr>
        <w:ind w:firstLine="348"/>
        <w:spacing w:after="0" w:line="288" w:lineRule="auto"/>
        <w:rPr>
          <w:rFonts w:ascii="Arial" w:cs="Arial" w:eastAsia="Arial" w:hAnsi="Arial"/>
          <w:sz w:val="16"/>
          <w:szCs w:val="16"/>
          <w:color w:val="0000EE"/>
        </w:rPr>
      </w:pPr>
      <w:r>
        <w:rPr>
          <w:rFonts w:ascii="Arial" w:cs="Arial" w:eastAsia="Arial" w:hAnsi="Arial"/>
          <w:sz w:val="16"/>
          <w:szCs w:val="16"/>
          <w:color w:val="auto"/>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supplement, the accompanying prospectus, and </w:t>
      </w:r>
      <w:hyperlink r:id="rId15">
        <w:r>
          <w:rPr>
            <w:rFonts w:ascii="Arial" w:cs="Arial" w:eastAsia="Arial" w:hAnsi="Arial"/>
            <w:sz w:val="16"/>
            <w:szCs w:val="16"/>
            <w:color w:val="auto"/>
          </w:rPr>
          <w:t xml:space="preserve">the information incorporated by reference herein and therein, particularly in the "Risk Factors" section of this prospectus supplement and of our </w:t>
        </w:r>
        <w:r>
          <w:rPr>
            <w:rFonts w:ascii="Arial" w:cs="Arial" w:eastAsia="Arial" w:hAnsi="Arial"/>
            <w:sz w:val="16"/>
            <w:szCs w:val="16"/>
            <w:u w:val="single" w:color="auto"/>
            <w:color w:val="0000EE"/>
          </w:rPr>
          <w:t>Annual Report on</w:t>
        </w:r>
      </w:hyperlink>
      <w:r>
        <w:rPr>
          <w:rFonts w:ascii="Arial" w:cs="Arial" w:eastAsia="Arial" w:hAnsi="Arial"/>
          <w:sz w:val="16"/>
          <w:szCs w:val="16"/>
          <w:color w:val="auto"/>
        </w:rPr>
        <w:t xml:space="preserve"> </w:t>
      </w:r>
      <w:hyperlink r:id="rId15">
        <w:r>
          <w:rPr>
            <w:rFonts w:ascii="Arial" w:cs="Arial" w:eastAsia="Arial" w:hAnsi="Arial"/>
            <w:sz w:val="16"/>
            <w:szCs w:val="16"/>
            <w:u w:val="single" w:color="auto"/>
            <w:color w:val="0000EE"/>
          </w:rPr>
          <w:t>Form 10-K for the year ended December 31, 2018</w:t>
        </w:r>
        <w:r>
          <w:rPr>
            <w:rFonts w:ascii="Arial" w:cs="Arial" w:eastAsia="Arial" w:hAnsi="Arial"/>
            <w:sz w:val="16"/>
            <w:szCs w:val="16"/>
            <w:color w:val="0000EE"/>
          </w:rPr>
          <w:t xml:space="preserve"> </w:t>
        </w:r>
        <w:r>
          <w:rPr>
            <w:rFonts w:ascii="Arial" w:cs="Arial" w:eastAsia="Arial" w:hAnsi="Arial"/>
            <w:sz w:val="16"/>
            <w:szCs w:val="16"/>
            <w:color w:val="000000"/>
          </w:rPr>
          <w:t>and our</w:t>
        </w:r>
        <w:r>
          <w:rPr>
            <w:rFonts w:ascii="Arial" w:cs="Arial" w:eastAsia="Arial" w:hAnsi="Arial"/>
            <w:sz w:val="16"/>
            <w:szCs w:val="16"/>
            <w:color w:val="0000EE"/>
          </w:rPr>
          <w:t xml:space="preserve"> </w:t>
        </w:r>
      </w:hyperlink>
      <w:hyperlink r:id="rId16">
        <w:r>
          <w:rPr>
            <w:rFonts w:ascii="Arial" w:cs="Arial" w:eastAsia="Arial" w:hAnsi="Arial"/>
            <w:sz w:val="16"/>
            <w:szCs w:val="16"/>
            <w:u w:val="single" w:color="auto"/>
            <w:color w:val="0000EE"/>
          </w:rPr>
          <w:t>Quarterly Report on Form 10-Q for the quarterly period ended June 30, 2019</w:t>
        </w:r>
      </w:hyperlink>
      <w:hyperlink r:id="rId15">
        <w:r>
          <w:rPr>
            <w:rFonts w:ascii="Arial" w:cs="Arial" w:eastAsia="Arial" w:hAnsi="Arial"/>
            <w:sz w:val="16"/>
            <w:szCs w:val="16"/>
            <w:color w:val="000000"/>
          </w:rPr>
          <w:t>, each of which is</w:t>
        </w:r>
      </w:hyperlink>
      <w:r>
        <w:rPr>
          <w:rFonts w:ascii="Arial" w:cs="Arial" w:eastAsia="Arial" w:hAnsi="Arial"/>
          <w:sz w:val="16"/>
          <w:szCs w:val="16"/>
          <w:color w:val="0000EE"/>
        </w:rPr>
        <w:t xml:space="preserve"> </w:t>
      </w:r>
      <w:r>
        <w:rPr>
          <w:rFonts w:ascii="Arial" w:cs="Arial" w:eastAsia="Arial" w:hAnsi="Arial"/>
          <w:sz w:val="16"/>
          <w:szCs w:val="16"/>
          <w:color w:val="000000"/>
        </w:rPr>
        <w:t>incorporated by reference herein, as revised or supplemented by our subsequent quarterly reports on Form 10-Q or our current reports on Form 8-K, as well as any amendments thereto, as filed with the SEC and which are incorporated herein by reference, that could cause actual results or events to differ materially from the forward-looking statements that we make. Our forward-looking statements do not reflect the potential impact of any future acquisitions, mergers, dispositions, joint ventures or investments that we may make.</w:t>
      </w:r>
    </w:p>
    <w:p>
      <w:pPr>
        <w:spacing w:after="0" w:line="174" w:lineRule="exact"/>
        <w:rPr>
          <w:rFonts w:ascii="Arial" w:cs="Arial" w:eastAsia="Arial" w:hAnsi="Arial"/>
          <w:sz w:val="16"/>
          <w:szCs w:val="16"/>
          <w:color w:val="0000EE"/>
        </w:rPr>
      </w:pPr>
    </w:p>
    <w:p>
      <w:pPr>
        <w:jc w:val="both"/>
        <w:ind w:right="80" w:firstLine="345"/>
        <w:spacing w:after="0" w:line="256" w:lineRule="auto"/>
        <w:rPr>
          <w:sz w:val="20"/>
          <w:szCs w:val="20"/>
          <w:color w:val="auto"/>
        </w:rPr>
      </w:pPr>
      <w:r>
        <w:rPr>
          <w:rFonts w:ascii="Arial" w:cs="Arial" w:eastAsia="Arial" w:hAnsi="Arial"/>
          <w:sz w:val="18"/>
          <w:szCs w:val="18"/>
          <w:color w:val="auto"/>
        </w:rPr>
        <w:t>You should read this prospectus supplement, the accompanying prospectus and the information incorporated by reference herein and therein completely and with the understanding that our actual future results may be materially different from what we expect. Any forward-looking statement speaks only as of the date of this prospectus supplement. We do not assume any obligation to update any forward-looking statements, whether as a result of new information, future events or otherwise, except as required by law.</w:t>
      </w:r>
    </w:p>
    <w:p>
      <w:pPr>
        <w:spacing w:after="0" w:line="197" w:lineRule="exact"/>
        <w:rPr>
          <w:rFonts w:ascii="Arial" w:cs="Arial" w:eastAsia="Arial" w:hAnsi="Arial"/>
          <w:sz w:val="16"/>
          <w:szCs w:val="16"/>
          <w:color w:val="0000EE"/>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rFonts w:ascii="Arial" w:cs="Arial" w:eastAsia="Arial" w:hAnsi="Arial"/>
          <w:sz w:val="16"/>
          <w:szCs w:val="16"/>
          <w:color w:val="0000EE"/>
        </w:rPr>
      </w:pPr>
      <w:r>
        <w:rPr>
          <w:rFonts w:ascii="Arial" w:cs="Arial" w:eastAsia="Arial" w:hAnsi="Arial"/>
          <w:sz w:val="16"/>
          <w:szCs w:val="16"/>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0674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250430" cy="606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231" w:lineRule="exact"/>
        <w:rPr>
          <w:sz w:val="20"/>
          <w:szCs w:val="20"/>
          <w:color w:val="auto"/>
        </w:rPr>
      </w:pPr>
    </w:p>
    <w:p>
      <w:pPr>
        <w:ind w:left="240" w:firstLine="351"/>
        <w:spacing w:after="0" w:line="291" w:lineRule="auto"/>
        <w:rPr>
          <w:sz w:val="20"/>
          <w:szCs w:val="20"/>
          <w:color w:val="auto"/>
        </w:rPr>
      </w:pPr>
      <w:r>
        <w:rPr>
          <w:rFonts w:ascii="Arial" w:cs="Arial" w:eastAsia="Arial" w:hAnsi="Arial"/>
          <w:sz w:val="16"/>
          <w:szCs w:val="16"/>
          <w:i w:val="1"/>
          <w:iCs w:val="1"/>
          <w:color w:val="auto"/>
        </w:rPr>
        <w:t>This summary highlights selected information contained elsewhere in this prospectus supplement and the accompanying prospectus and in the documents we incorporate by reference. This summary does not contain all of the information you should consider before investing in our common stock. You should read this entire prospectus supplement and the accompanying prospectus, including the documents incorporated by reference herein and therein, carefully, especially the risks of investing in our common stock discussed under "Risk Factors" beginning on page S-10 of this prospectus supplement and under similar sections of the accompanying prospectus and other periodic reports incorporated herein and therein by reference, along with our consolidated financial statements and notes to those consolidated financial statements, before making an investment decision.</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Company</w:t>
      </w:r>
    </w:p>
    <w:p>
      <w:pPr>
        <w:spacing w:after="0" w:line="2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240" w:right="140" w:firstLine="348"/>
        <w:spacing w:after="0" w:line="286" w:lineRule="auto"/>
        <w:rPr>
          <w:sz w:val="20"/>
          <w:szCs w:val="20"/>
          <w:color w:val="auto"/>
        </w:rPr>
      </w:pPr>
      <w:r>
        <w:rPr>
          <w:rFonts w:ascii="Arial" w:cs="Arial" w:eastAsia="Arial" w:hAnsi="Arial"/>
          <w:sz w:val="16"/>
          <w:szCs w:val="16"/>
          <w:color w:val="auto"/>
        </w:rPr>
        <w:t>We are a late stage clinical biopharmaceutical company focused on the development and commercialization of novel, antibody based therapeutic products for the treatment of cancer. We have a broad and advanced product pipeline, including two pivotal stage product candidates—naxitamab and omburtamab—which target tumors that express GD2 and B7H3, respectively. We are developing naxitamab for the treatment of pediatric patients with relapsed or refractory, or R/R, high-risk neuroblastoma, or NB, and radiolabeled omburtamab for the treatment of pediatric patients with central nervous system, or CNS, leptomeningeal metastases, or LM, from NB. NB is a rare and almost exclusively pediatric cancer that develops in the sympathetic nervous system and CNS/LM is a rare and usually fatal complication of NB in which the disease spreads to the membranes, or meninges, surrounding the brain and spinal cord in the CNS. We expect to initiate submission of a rolling Biologics License Application, or BLA, for each of our two lead product candidates in 2019, with a goal of receiving approval by the U.S. Food and Drug Administration, or FDA, in 2020. We plan to commercialize both of our lead product candidates in the United States as soon as possible after obtaining FDA approval, if such approval occurs. Additionally, we have an omburtamab follow-on product candidate in pre-clinical development, omburtamab-DTPA (diethylenetriamine pentaacetate), which is targeting both pediatric oncology and larger indications within adult patient populations.</w:t>
      </w:r>
    </w:p>
    <w:p>
      <w:pPr>
        <w:spacing w:after="0" w:line="181" w:lineRule="exact"/>
        <w:rPr>
          <w:sz w:val="20"/>
          <w:szCs w:val="20"/>
          <w:color w:val="auto"/>
        </w:rPr>
      </w:pPr>
    </w:p>
    <w:p>
      <w:pPr>
        <w:ind w:left="240" w:right="20" w:firstLine="348"/>
        <w:spacing w:after="0" w:line="259" w:lineRule="auto"/>
        <w:rPr>
          <w:sz w:val="20"/>
          <w:szCs w:val="20"/>
          <w:color w:val="auto"/>
        </w:rPr>
      </w:pPr>
      <w:r>
        <w:rPr>
          <w:rFonts w:ascii="Arial" w:cs="Arial" w:eastAsia="Arial" w:hAnsi="Arial"/>
          <w:sz w:val="18"/>
          <w:szCs w:val="18"/>
          <w:color w:val="auto"/>
        </w:rPr>
        <w:t>We have received breakthrough therapy designation, or BTD, from the FDA for naxitamab in combination with GM-CSF for the treatment of R/R high-risk NB. We have also received orphan drug designation, or ODD, and a rare pediatric disease designation, or RPDD, from the FDA for naxitamab, in each case for the treatment of relapsed/refractory high-risk NB.</w:t>
      </w:r>
    </w:p>
    <w:p>
      <w:pPr>
        <w:spacing w:after="0" w:line="194" w:lineRule="exact"/>
        <w:rPr>
          <w:sz w:val="20"/>
          <w:szCs w:val="20"/>
          <w:color w:val="auto"/>
        </w:rPr>
      </w:pPr>
    </w:p>
    <w:p>
      <w:pPr>
        <w:ind w:left="240" w:right="260" w:firstLine="348"/>
        <w:spacing w:after="0" w:line="268" w:lineRule="auto"/>
        <w:rPr>
          <w:sz w:val="20"/>
          <w:szCs w:val="20"/>
          <w:color w:val="auto"/>
        </w:rPr>
      </w:pPr>
      <w:r>
        <w:rPr>
          <w:rFonts w:ascii="Arial" w:cs="Arial" w:eastAsia="Arial" w:hAnsi="Arial"/>
          <w:sz w:val="18"/>
          <w:szCs w:val="18"/>
          <w:color w:val="auto"/>
        </w:rPr>
        <w:t>We have also received BTD from the FDA for omburtamab for the treatment of pediatric CNS/LM from NB. We have similarly received ODD and RPDD for omburtamab from the FDA, in each case for the treatment of CNS/LM from NB.</w:t>
      </w:r>
    </w:p>
    <w:p>
      <w:pPr>
        <w:spacing w:after="0" w:line="186" w:lineRule="exact"/>
        <w:rPr>
          <w:sz w:val="20"/>
          <w:szCs w:val="20"/>
          <w:color w:val="auto"/>
        </w:rPr>
      </w:pPr>
    </w:p>
    <w:p>
      <w:pPr>
        <w:ind w:left="240" w:right="20" w:firstLine="348"/>
        <w:spacing w:after="0" w:line="290" w:lineRule="auto"/>
        <w:rPr>
          <w:sz w:val="20"/>
          <w:szCs w:val="20"/>
          <w:color w:val="auto"/>
        </w:rPr>
      </w:pPr>
      <w:r>
        <w:rPr>
          <w:rFonts w:ascii="Arial" w:cs="Arial" w:eastAsia="Arial" w:hAnsi="Arial"/>
          <w:sz w:val="16"/>
          <w:szCs w:val="16"/>
          <w:color w:val="auto"/>
        </w:rPr>
        <w:t>We have initiated a Phase 1 trial with our huGD2 bispecific antibody, or BsAb, for the treatment of refractory GD2 positive adult and pediatric solid tumors, thereby addressing large non-orphan patient populations. We are also advancing a pipeline of novel BsAbs through late pre-clinical development, including our huCD33-BsAb product candidate for the treatment of hematological cancers expressing CD33, a transmembrane receptor expressed on cells of myeloid lineage. We believe our BsAbs have the potential to result in improved tumor binding, longer serum half-life and significantly greater T-cell mediated killing of tumor cells without the need for continuous infusion. In addition, we have an ongoing Phase 2 trial at Memorial Sloan Kettering Cancer Center, or MSK, with our GD2-GD3 Vaccine for the treatment of Stage 4 high-risk NB. We believe the GD2-GD3 Vaccine can potentially serve as an add-on treatment to naxitamab.</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3417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50430" cy="6341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240" w:right="80" w:firstLine="351"/>
        <w:spacing w:after="0" w:line="259" w:lineRule="auto"/>
        <w:rPr>
          <w:sz w:val="20"/>
          <w:szCs w:val="20"/>
          <w:color w:val="auto"/>
        </w:rPr>
      </w:pPr>
      <w:r>
        <w:rPr>
          <w:rFonts w:ascii="Arial" w:cs="Arial" w:eastAsia="Arial" w:hAnsi="Arial"/>
          <w:sz w:val="18"/>
          <w:szCs w:val="18"/>
          <w:color w:val="auto"/>
        </w:rPr>
        <w:t>Our mission is to become the world leader in developing better and safer antibody-based pediatric oncology products addressing clear unmet medical needs and, as such, have a transformational impact on the lives of patients. We intend to advance and expand our product pipeline into certain adult cancer indications either independently or in collaboration with potential partners.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Naxitamab</w:t>
      </w:r>
    </w:p>
    <w:p>
      <w:pPr>
        <w:spacing w:after="0" w:line="225" w:lineRule="exact"/>
        <w:rPr>
          <w:sz w:val="20"/>
          <w:szCs w:val="20"/>
          <w:color w:val="auto"/>
        </w:rPr>
      </w:pPr>
    </w:p>
    <w:p>
      <w:pPr>
        <w:ind w:left="240" w:right="120" w:firstLine="351"/>
        <w:spacing w:after="0" w:line="268" w:lineRule="auto"/>
        <w:rPr>
          <w:sz w:val="20"/>
          <w:szCs w:val="20"/>
          <w:color w:val="auto"/>
        </w:rPr>
      </w:pPr>
      <w:r>
        <w:rPr>
          <w:rFonts w:ascii="Arial" w:cs="Arial" w:eastAsia="Arial" w:hAnsi="Arial"/>
          <w:sz w:val="18"/>
          <w:szCs w:val="18"/>
          <w:color w:val="auto"/>
        </w:rPr>
        <w:t>On July 1, 2019, we announced the status of patient recruitment for our pivotal Phase 2 trial for naxitamab for the treatment of R/R high-risk NB. As of the end of June 2019, more than 30 patients of a planned total of 37 patients in our Study 201 had been enrolled.</w:t>
      </w:r>
    </w:p>
    <w:p>
      <w:pPr>
        <w:spacing w:after="0" w:line="186" w:lineRule="exact"/>
        <w:rPr>
          <w:sz w:val="20"/>
          <w:szCs w:val="20"/>
          <w:color w:val="auto"/>
        </w:rPr>
      </w:pPr>
    </w:p>
    <w:p>
      <w:pPr>
        <w:ind w:left="240" w:firstLine="351"/>
        <w:spacing w:after="0" w:line="289" w:lineRule="auto"/>
        <w:rPr>
          <w:sz w:val="20"/>
          <w:szCs w:val="20"/>
          <w:color w:val="auto"/>
        </w:rPr>
      </w:pPr>
      <w:r>
        <w:rPr>
          <w:rFonts w:ascii="Arial" w:cs="Arial" w:eastAsia="Arial" w:hAnsi="Arial"/>
          <w:sz w:val="16"/>
          <w:szCs w:val="16"/>
          <w:color w:val="auto"/>
        </w:rPr>
        <w:t>On July 8, 2019, we announced that in a pre-BLA meeting we reached alignment with the FDA on an accelerated approval pathway for naxitamab and our intention to begin submission of a rolling BLA in November 2019. We expect to submit the non-Clinical portion and the Clinical/Safety portion of the BLA starting in November 2019. For the Chemistry, Manufacturing and Controls, or CMC, portion, we believe that we will have sufficient data from the process performance qualification, or PPQ, batches to complete the CMC portion in early 2020. Based on the previously announced efficacy data from Study 12 230 in R/R high-risk NB patients at MSK, the FDA determined that efficacy data from all 37 patients of our multicenter Study 201 would not be required for the BLA submission. We have been advised by the FDA that the available data for the first group of patients treated outside MSK in Study 201 would be sufficient for the BLA submission. The first group consists of 24 patients, of which 11 patients were evaluable prior to the pre-BLA meeting and showed an overall response rate, or ORR, of 73%, including 55% complete responses, or CR, as assessed by the investigators.</w:t>
      </w:r>
    </w:p>
    <w:p>
      <w:pPr>
        <w:spacing w:after="0" w:line="172" w:lineRule="exact"/>
        <w:rPr>
          <w:sz w:val="20"/>
          <w:szCs w:val="20"/>
          <w:color w:val="auto"/>
        </w:rPr>
      </w:pPr>
    </w:p>
    <w:p>
      <w:pPr>
        <w:ind w:left="240" w:right="100" w:firstLine="351"/>
        <w:spacing w:after="0" w:line="268" w:lineRule="auto"/>
        <w:rPr>
          <w:sz w:val="20"/>
          <w:szCs w:val="20"/>
          <w:color w:val="auto"/>
        </w:rPr>
      </w:pPr>
      <w:r>
        <w:rPr>
          <w:rFonts w:ascii="Arial" w:cs="Arial" w:eastAsia="Arial" w:hAnsi="Arial"/>
          <w:sz w:val="18"/>
          <w:szCs w:val="18"/>
          <w:color w:val="auto"/>
        </w:rPr>
        <w:t>On October 25, 2019, we announced that a clinical update for naxitamab was made at the International Society of Pediatric Oncology (SIOP) Annual Congress held in Lyon, France, in presentations made by clinical investigators from MSK.</w:t>
      </w:r>
    </w:p>
    <w:p>
      <w:pPr>
        <w:spacing w:after="0" w:line="186" w:lineRule="exact"/>
        <w:rPr>
          <w:sz w:val="20"/>
          <w:szCs w:val="20"/>
          <w:color w:val="auto"/>
        </w:rPr>
      </w:pPr>
    </w:p>
    <w:p>
      <w:pPr>
        <w:ind w:left="240" w:right="60" w:firstLine="351"/>
        <w:spacing w:after="0" w:line="255" w:lineRule="auto"/>
        <w:rPr>
          <w:sz w:val="20"/>
          <w:szCs w:val="20"/>
          <w:color w:val="auto"/>
        </w:rPr>
      </w:pPr>
      <w:r>
        <w:rPr>
          <w:rFonts w:ascii="Arial" w:cs="Arial" w:eastAsia="Arial" w:hAnsi="Arial"/>
          <w:sz w:val="18"/>
          <w:szCs w:val="18"/>
          <w:color w:val="auto"/>
        </w:rPr>
        <w:t>Data from 23 evaluable patients with primary R/R high-risk NB in Study 12-230 was presented. This comprised patients refractory to intensive induction therapy, and more than half of such patients also refractory to second line chemotherapy. Essentially, this data related to a subset of patients from Study 12-230 that demonstrated better than expected outcomes, including a 78% overall response rate. The patients received at least five cycles of therapy post major response and a subset subsequently went on to receive our GD2-GD3 Vaccine at MSK. Overall, in this population a 50% two-year progression free survival was observed.</w:t>
      </w:r>
    </w:p>
    <w:p>
      <w:pPr>
        <w:spacing w:after="0" w:line="197" w:lineRule="exact"/>
        <w:rPr>
          <w:sz w:val="20"/>
          <w:szCs w:val="20"/>
          <w:color w:val="auto"/>
        </w:rPr>
      </w:pPr>
    </w:p>
    <w:p>
      <w:pPr>
        <w:ind w:left="240" w:firstLine="342"/>
        <w:spacing w:after="0" w:line="306" w:lineRule="auto"/>
        <w:rPr>
          <w:sz w:val="20"/>
          <w:szCs w:val="20"/>
          <w:color w:val="auto"/>
        </w:rPr>
      </w:pPr>
      <w:r>
        <w:rPr>
          <w:rFonts w:ascii="Arial" w:cs="Arial" w:eastAsia="Arial" w:hAnsi="Arial"/>
          <w:sz w:val="16"/>
          <w:szCs w:val="16"/>
          <w:color w:val="auto"/>
        </w:rPr>
        <w:t>Another subset consisted of 35 patients with R/R NB resistant to salvage therapy, of which 30 patients were evaluable for response in Study 12-230. One-third of the patients had two or more relapses prior to enrollment and 89% of patients had previously received anti-GD2 therapy. Patients in this subset had a 36% rate of two-year progression-free survival and an ORR of 37%, which indicated clinical benefit in this difficult to treat population.</w:t>
      </w:r>
    </w:p>
    <w:p>
      <w:pPr>
        <w:spacing w:after="0" w:line="161" w:lineRule="exact"/>
        <w:rPr>
          <w:sz w:val="20"/>
          <w:szCs w:val="20"/>
          <w:color w:val="auto"/>
        </w:rPr>
      </w:pPr>
    </w:p>
    <w:p>
      <w:pPr>
        <w:ind w:left="240" w:right="140" w:firstLine="351"/>
        <w:spacing w:after="0" w:line="254" w:lineRule="auto"/>
        <w:rPr>
          <w:sz w:val="20"/>
          <w:szCs w:val="20"/>
          <w:color w:val="auto"/>
        </w:rPr>
      </w:pPr>
      <w:r>
        <w:rPr>
          <w:rFonts w:ascii="Arial" w:cs="Arial" w:eastAsia="Arial" w:hAnsi="Arial"/>
          <w:sz w:val="18"/>
          <w:szCs w:val="18"/>
          <w:color w:val="auto"/>
        </w:rPr>
        <w:t>Data was also presented for patients with high-risk NB in second or later complete remission. 44 patients with no evidence of disease were treated with naxitamab and GM-CSF at MSK as maintenance therapy. In this population, where 88% had previously received an anti-GD2 therapy and 30% had previously received two or more lines of anti-GD2 therapy, a two-year progression-free survival of 52% was observed. Some of these patients went on to receive our GD2-GD3 Vaccine at MSK. Due to the absence of macroscopic evaluable disease, these patients were not evaluable for a formal tumor response grading. Therefore, these patients will not form a part of our efficacy data set for our rolling BLA submission currently planned to be initiated in November 2019.</w:t>
      </w:r>
    </w:p>
    <w:p>
      <w:pPr>
        <w:spacing w:after="0" w:line="198" w:lineRule="exact"/>
        <w:rPr>
          <w:sz w:val="20"/>
          <w:szCs w:val="20"/>
          <w:color w:val="auto"/>
        </w:rPr>
      </w:pPr>
    </w:p>
    <w:p>
      <w:pPr>
        <w:ind w:left="240" w:right="580" w:firstLine="351"/>
        <w:spacing w:after="0" w:line="268" w:lineRule="auto"/>
        <w:rPr>
          <w:sz w:val="20"/>
          <w:szCs w:val="20"/>
          <w:color w:val="auto"/>
        </w:rPr>
      </w:pPr>
      <w:r>
        <w:rPr>
          <w:rFonts w:ascii="Arial" w:cs="Arial" w:eastAsia="Arial" w:hAnsi="Arial"/>
          <w:sz w:val="18"/>
          <w:szCs w:val="18"/>
          <w:color w:val="auto"/>
        </w:rPr>
        <w:t>Finally, safety data from the Phase 2 osteosarcoma clinical trial, Study 15-096, for the 25 patients enrolled in the study at MSK was presented. Patients who had recurrent disease and two or more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2045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250430" cy="6204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color w:val="auto"/>
        </w:rPr>
        <w:t>complete remissions were treated with naxitamab and GM-CSF, administered to the patients in an outpatient setting. Grade 3/4 toxicities were observed in 80% of patients but were all clinically manageable. We plan to initiate a Phase 2 multi-center trial in 2020.</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Omburtamab</w:t>
      </w:r>
    </w:p>
    <w:p>
      <w:pPr>
        <w:spacing w:after="0" w:line="225" w:lineRule="exact"/>
        <w:rPr>
          <w:sz w:val="20"/>
          <w:szCs w:val="20"/>
          <w:color w:val="auto"/>
        </w:rPr>
      </w:pPr>
    </w:p>
    <w:p>
      <w:pPr>
        <w:ind w:left="240" w:right="140" w:firstLine="351"/>
        <w:spacing w:after="0" w:line="259" w:lineRule="auto"/>
        <w:rPr>
          <w:sz w:val="20"/>
          <w:szCs w:val="20"/>
          <w:color w:val="auto"/>
        </w:rPr>
      </w:pPr>
      <w:r>
        <w:rPr>
          <w:rFonts w:ascii="Arial" w:cs="Arial" w:eastAsia="Arial" w:hAnsi="Arial"/>
          <w:sz w:val="18"/>
          <w:szCs w:val="18"/>
          <w:color w:val="auto"/>
        </w:rPr>
        <w:t>On July 1, 2019, we announced the status of patient recruitment for our pivotal Phase 2 trial for omburtamab for the treatment of CNS/LM from NB. As of the end of June 2019, all of the 18 planned patients had been enrolled. We expect the study to remain open and continue enrolling patients until issuance of a Marketing Authorization for omburtamab.</w:t>
      </w:r>
    </w:p>
    <w:p>
      <w:pPr>
        <w:spacing w:after="0" w:line="19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have not yet had a pre-BLA meeting with the FDA for omburtamab. That meeting is currently scheduled to take place in November 2019.</w:t>
      </w:r>
    </w:p>
    <w:p>
      <w:pPr>
        <w:spacing w:after="0" w:line="248" w:lineRule="exact"/>
        <w:rPr>
          <w:sz w:val="20"/>
          <w:szCs w:val="20"/>
          <w:color w:val="auto"/>
        </w:rPr>
      </w:pPr>
    </w:p>
    <w:p>
      <w:pPr>
        <w:ind w:left="240" w:right="440" w:firstLine="351"/>
        <w:spacing w:after="0" w:line="268" w:lineRule="auto"/>
        <w:rPr>
          <w:sz w:val="20"/>
          <w:szCs w:val="20"/>
          <w:color w:val="auto"/>
        </w:rPr>
      </w:pPr>
      <w:r>
        <w:rPr>
          <w:rFonts w:ascii="Arial" w:cs="Arial" w:eastAsia="Arial" w:hAnsi="Arial"/>
          <w:sz w:val="18"/>
          <w:szCs w:val="18"/>
          <w:color w:val="auto"/>
        </w:rPr>
        <w:t>On October 28, 2019, we announced a clinical update on omburtamab for the treatment of CNS/LM from NB and a number of additional cancer indications at SIOP. Data was presented on October 26, 2019, by a clinical investigator from MSK.</w:t>
      </w:r>
    </w:p>
    <w:p>
      <w:pPr>
        <w:spacing w:after="0" w:line="186" w:lineRule="exact"/>
        <w:rPr>
          <w:sz w:val="20"/>
          <w:szCs w:val="20"/>
          <w:color w:val="auto"/>
        </w:rPr>
      </w:pPr>
    </w:p>
    <w:p>
      <w:pPr>
        <w:jc w:val="both"/>
        <w:ind w:left="240" w:firstLine="342"/>
        <w:spacing w:after="0" w:line="256" w:lineRule="auto"/>
        <w:rPr>
          <w:sz w:val="20"/>
          <w:szCs w:val="20"/>
          <w:color w:val="auto"/>
        </w:rPr>
      </w:pPr>
      <w:r>
        <w:rPr>
          <w:rFonts w:ascii="Arial" w:cs="Arial" w:eastAsia="Arial" w:hAnsi="Arial"/>
          <w:sz w:val="18"/>
          <w:szCs w:val="18"/>
          <w:color w:val="auto"/>
        </w:rPr>
        <w:t>An updated data readout as of June 30, 2019 from a single-center study at MSK, Study 03-133, where patients with CNS/LM from NB received up to two doses of radiolabeled omburtamab, showed that for the 107 evaluable patients, the median survival had increased to 50.8 months, with the final median not yet being reached. We believe that this compared well to a median survival of 47.1 months at the prior data readout based on the first 93 patients in the study.</w:t>
      </w:r>
    </w:p>
    <w:p>
      <w:pPr>
        <w:spacing w:after="0" w:line="197" w:lineRule="exact"/>
        <w:rPr>
          <w:sz w:val="20"/>
          <w:szCs w:val="20"/>
          <w:color w:val="auto"/>
        </w:rPr>
      </w:pPr>
    </w:p>
    <w:p>
      <w:pPr>
        <w:ind w:left="240" w:right="200" w:firstLine="351"/>
        <w:spacing w:after="0" w:line="290" w:lineRule="auto"/>
        <w:rPr>
          <w:sz w:val="20"/>
          <w:szCs w:val="20"/>
          <w:color w:val="auto"/>
        </w:rPr>
      </w:pPr>
      <w:r>
        <w:rPr>
          <w:rFonts w:ascii="Arial" w:cs="Arial" w:eastAsia="Arial" w:hAnsi="Arial"/>
          <w:sz w:val="16"/>
          <w:szCs w:val="16"/>
          <w:color w:val="auto"/>
        </w:rPr>
        <w:t>In addition, 68 patients diagnosed with other CNS cancers, including metastatic tumors had received a total of 201 injections of omburtamab. Injections were routinely administered in an outpatient setting. Rare self-limited adverse events included grade 1 or 2 fever, headache, vomiting; three injections were associated with grade 3 toxicities requiring discontinuation of therapy including chemical meningitis and increasing communicating hydrocephalus. Although not a dose limiting toxicity, myelosuppression occurred in patients who had received craniospinal radiation and at dose levels exceeding 60mCi. The primary CNS diagnoses included medulloblastoma (n=27), ependymoma (n=9), and embryonal tumors with multilayered rosettes (n=4), while metastatic tumors included sarcoma (n=9), melanoma (n=5), and other tumors (n=14). As of today, 26 of the 68 patients with these highly lethal diagnoses remain alive.</w:t>
      </w:r>
    </w:p>
    <w:p>
      <w:pPr>
        <w:spacing w:after="0" w:line="172" w:lineRule="exact"/>
        <w:rPr>
          <w:sz w:val="20"/>
          <w:szCs w:val="20"/>
          <w:color w:val="auto"/>
        </w:rPr>
      </w:pPr>
    </w:p>
    <w:p>
      <w:pPr>
        <w:ind w:left="240" w:right="600" w:firstLine="351"/>
        <w:spacing w:after="0" w:line="268" w:lineRule="auto"/>
        <w:rPr>
          <w:sz w:val="20"/>
          <w:szCs w:val="20"/>
          <w:color w:val="auto"/>
        </w:rPr>
      </w:pPr>
      <w:r>
        <w:rPr>
          <w:rFonts w:ascii="Arial" w:cs="Arial" w:eastAsia="Arial" w:hAnsi="Arial"/>
          <w:sz w:val="18"/>
          <w:szCs w:val="18"/>
          <w:color w:val="auto"/>
        </w:rPr>
        <w:t>Researchers at MSK developed the therapeutic products referenced above, which are exclusively licensed by us from MSK. As a result of this licensing arrangement, MSK has institutional financial interests in the products and in our company.</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Update</w:t>
      </w:r>
    </w:p>
    <w:p>
      <w:pPr>
        <w:spacing w:after="0" w:line="225" w:lineRule="exact"/>
        <w:rPr>
          <w:sz w:val="20"/>
          <w:szCs w:val="20"/>
          <w:color w:val="auto"/>
        </w:rPr>
      </w:pPr>
    </w:p>
    <w:p>
      <w:pPr>
        <w:ind w:left="240" w:right="40" w:firstLine="351"/>
        <w:spacing w:after="0" w:line="288" w:lineRule="auto"/>
        <w:rPr>
          <w:sz w:val="20"/>
          <w:szCs w:val="20"/>
          <w:color w:val="auto"/>
        </w:rPr>
      </w:pPr>
      <w:r>
        <w:rPr>
          <w:rFonts w:ascii="Arial" w:cs="Arial" w:eastAsia="Arial" w:hAnsi="Arial"/>
          <w:sz w:val="16"/>
          <w:szCs w:val="16"/>
          <w:color w:val="auto"/>
        </w:rPr>
        <w:t>Our financial statements for the quarter and nine months ended September 30, 2019 will not be available until after this offering is completed and consequently will not be available to you prior to investing in this offering. Based upon preliminary estimates and information available to us as of the date of this prospectus supplement, we expect to report that we had approximately $98.2 million of cash, cash equivalents and short-term investments as of September 30, 2019. We have not yet completed our quarter-end financial close process for the quarter ended September 30, 2019. This estimate of our cash, cash equivalents and short-term investments as of September 30, 2019 is preliminary and is subject to change upon completion of our financial statement closing procedures. There can be no assurance that our final cash position as of September 30, 2019 will not differ from these estimates, including as a result of review adjustments and any such changes could be material. The preliminary financial data included in this prospectus supplement has been prepared by, and is the responsibility of, Y-mAbs Therapeutics, Inc.'s management. PricewaterhouseCoopers LLP has not audited, reviewed, compiled, or applied agreed-upon procedures with respect to the preliminary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238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250430" cy="6238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200"/>
        <w:spacing w:after="0" w:line="259" w:lineRule="auto"/>
        <w:rPr>
          <w:sz w:val="20"/>
          <w:szCs w:val="20"/>
          <w:color w:val="auto"/>
        </w:rPr>
      </w:pPr>
      <w:r>
        <w:rPr>
          <w:rFonts w:ascii="Arial" w:cs="Arial" w:eastAsia="Arial" w:hAnsi="Arial"/>
          <w:sz w:val="18"/>
          <w:szCs w:val="18"/>
          <w:color w:val="auto"/>
        </w:rPr>
        <w:t>financial data. Accordingly, PricewaterhouseCoopers LLP does not express an opinion or any other form of assurance with respect thereto. These results could change as a result of further review. Complete quarterly results will be included in our Quarterly Report on Form 10-Q for the quarter ended September 30, 2019.</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Company information</w:t>
      </w:r>
    </w:p>
    <w:p>
      <w:pPr>
        <w:spacing w:after="0" w:line="225" w:lineRule="exact"/>
        <w:rPr>
          <w:sz w:val="20"/>
          <w:szCs w:val="20"/>
          <w:color w:val="auto"/>
        </w:rPr>
      </w:pPr>
    </w:p>
    <w:p>
      <w:pPr>
        <w:ind w:left="240" w:right="380" w:firstLine="348"/>
        <w:spacing w:after="0" w:line="268" w:lineRule="auto"/>
        <w:rPr>
          <w:sz w:val="20"/>
          <w:szCs w:val="20"/>
          <w:color w:val="auto"/>
        </w:rPr>
      </w:pPr>
      <w:r>
        <w:rPr>
          <w:rFonts w:ascii="Arial" w:cs="Arial" w:eastAsia="Arial" w:hAnsi="Arial"/>
          <w:sz w:val="18"/>
          <w:szCs w:val="18"/>
          <w:color w:val="auto"/>
        </w:rPr>
        <w:t>We were incorporated under the laws of the State of Delaware on April 30, 2015. On September 25, 2018, we completed the IPO of our common stock.</w:t>
      </w:r>
    </w:p>
    <w:p>
      <w:pPr>
        <w:spacing w:after="0" w:line="186" w:lineRule="exact"/>
        <w:rPr>
          <w:sz w:val="20"/>
          <w:szCs w:val="20"/>
          <w:color w:val="auto"/>
        </w:rPr>
      </w:pPr>
    </w:p>
    <w:p>
      <w:pPr>
        <w:ind w:left="240" w:firstLine="351"/>
        <w:spacing w:after="0" w:line="298" w:lineRule="auto"/>
        <w:rPr>
          <w:sz w:val="20"/>
          <w:szCs w:val="20"/>
          <w:color w:val="auto"/>
        </w:rPr>
      </w:pPr>
      <w:r>
        <w:rPr>
          <w:rFonts w:ascii="Arial" w:cs="Arial" w:eastAsia="Arial" w:hAnsi="Arial"/>
          <w:sz w:val="16"/>
          <w:szCs w:val="16"/>
          <w:color w:val="auto"/>
        </w:rPr>
        <w:t xml:space="preserve">Our principal executive offices are located at 230 Park Avenue, Suite 3350, New York, New York 10169 and our telephone number is (646) 885-8505. Our corporate website address is </w:t>
      </w:r>
      <w:r>
        <w:rPr>
          <w:rFonts w:ascii="Arial" w:cs="Arial" w:eastAsia="Arial" w:hAnsi="Arial"/>
          <w:sz w:val="16"/>
          <w:szCs w:val="16"/>
          <w:i w:val="1"/>
          <w:iCs w:val="1"/>
          <w:color w:val="auto"/>
        </w:rPr>
        <w:t>www.ymabs.com</w:t>
      </w:r>
      <w:r>
        <w:rPr>
          <w:rFonts w:ascii="Arial" w:cs="Arial" w:eastAsia="Arial" w:hAnsi="Arial"/>
          <w:sz w:val="16"/>
          <w:szCs w:val="16"/>
          <w:color w:val="auto"/>
        </w:rPr>
        <w:t>. Our website and the information contained on, or that can be accessed through, the website will not be deemed to be incorporated by reference in, and are not considered part of, this prospectus. The inclusion of our website address in this prospectus supplement is an inactive textual reference only. You should not rely on any such information in making your decision whether to purchase our securities.</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Implications of being an Emerging Growth Company and Smaller Reporting Company</w:t>
      </w:r>
    </w:p>
    <w:p>
      <w:pPr>
        <w:spacing w:after="0" w:line="225" w:lineRule="exact"/>
        <w:rPr>
          <w:sz w:val="20"/>
          <w:szCs w:val="20"/>
          <w:color w:val="auto"/>
        </w:rPr>
      </w:pPr>
    </w:p>
    <w:p>
      <w:pPr>
        <w:ind w:left="240" w:right="240" w:firstLine="348"/>
        <w:spacing w:after="0" w:line="268" w:lineRule="auto"/>
        <w:rPr>
          <w:sz w:val="20"/>
          <w:szCs w:val="20"/>
          <w:color w:val="auto"/>
        </w:rPr>
      </w:pPr>
      <w:r>
        <w:rPr>
          <w:rFonts w:ascii="Arial" w:cs="Arial" w:eastAsia="Arial" w:hAnsi="Arial"/>
          <w:sz w:val="18"/>
          <w:szCs w:val="18"/>
          <w:color w:val="auto"/>
        </w:rPr>
        <w:t>We are an "emerging growth company" as defined in the JOBS Act. As an emerging growth company, we may take advantage of specified reduced disclosure and other requirements that are otherwise applicable generally to public companies, including</w:t>
      </w:r>
    </w:p>
    <w:p>
      <w:pPr>
        <w:spacing w:after="0" w:line="213" w:lineRule="exact"/>
        <w:rPr>
          <w:sz w:val="20"/>
          <w:szCs w:val="20"/>
          <w:color w:val="auto"/>
        </w:rPr>
      </w:pPr>
    </w:p>
    <w:p>
      <w:pPr>
        <w:ind w:left="1320" w:hanging="538"/>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exemption from the requirements to hold non-binding advisory votes on executive compensation and golden parachute payments; and</w:t>
      </w:r>
    </w:p>
    <w:p>
      <w:pPr>
        <w:spacing w:after="0" w:line="261" w:lineRule="exact"/>
        <w:rPr>
          <w:rFonts w:ascii="Arial" w:cs="Arial" w:eastAsia="Arial" w:hAnsi="Arial"/>
          <w:sz w:val="16"/>
          <w:szCs w:val="16"/>
          <w:color w:val="auto"/>
        </w:rPr>
      </w:pPr>
    </w:p>
    <w:p>
      <w:pPr>
        <w:ind w:left="1320" w:hanging="538"/>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of our internal control over financial reporting.</w:t>
      </w:r>
    </w:p>
    <w:p>
      <w:pPr>
        <w:spacing w:after="0" w:line="225" w:lineRule="exact"/>
        <w:rPr>
          <w:sz w:val="20"/>
          <w:szCs w:val="20"/>
          <w:color w:val="auto"/>
        </w:rPr>
      </w:pPr>
    </w:p>
    <w:p>
      <w:pPr>
        <w:ind w:left="240" w:right="80" w:firstLine="348"/>
        <w:spacing w:after="0" w:line="312" w:lineRule="auto"/>
        <w:rPr>
          <w:sz w:val="20"/>
          <w:szCs w:val="20"/>
          <w:color w:val="auto"/>
        </w:rPr>
      </w:pPr>
      <w:r>
        <w:rPr>
          <w:rFonts w:ascii="Arial" w:cs="Arial" w:eastAsia="Arial" w:hAnsi="Arial"/>
          <w:sz w:val="15"/>
          <w:szCs w:val="15"/>
          <w:color w:val="auto"/>
        </w:rPr>
        <w:t>We may take advantage of these exemptions until the last day of the fiscal year following the fifth anniversary of our IPO or such earlier time that we are no longer an emerging growth company. We would cease to be an emerging growth company earlier if we have (a) at least $1.07 billion in total annual gross revenue, or (b) we are deemed to be a large accelerated filer, as defined in Rule 12b-2 under the Exchange Act, which would occur if (i) we have more than $700 million in market value of our stock held by non-affiliates (and we have been a public company for at least 12 months and have filed one annual report on Form 10-K with the SEC) or (ii) we issue more than $1 billion of non-convertible debt securities over a three-year period. For so long as we remain an emerging growth company, we are permitted, and intend, to rely on exemptions from certain disclosure requirements that are applicable to other public companies that are not emerging growth companies. We may choose to take advantage of some, but not all, of the available exemptions.</w:t>
      </w:r>
    </w:p>
    <w:p>
      <w:pPr>
        <w:spacing w:after="0" w:line="159" w:lineRule="exact"/>
        <w:rPr>
          <w:sz w:val="20"/>
          <w:szCs w:val="20"/>
          <w:color w:val="auto"/>
        </w:rPr>
      </w:pPr>
    </w:p>
    <w:p>
      <w:pPr>
        <w:jc w:val="both"/>
        <w:ind w:left="240" w:right="60" w:firstLine="351"/>
        <w:spacing w:after="0" w:line="323" w:lineRule="auto"/>
        <w:rPr>
          <w:sz w:val="20"/>
          <w:szCs w:val="20"/>
          <w:color w:val="auto"/>
        </w:rPr>
      </w:pPr>
      <w:r>
        <w:rPr>
          <w:rFonts w:ascii="Arial" w:cs="Arial" w:eastAsia="Arial" w:hAnsi="Arial"/>
          <w:sz w:val="15"/>
          <w:szCs w:val="15"/>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are subject to the same new or revised accounting standards as other public companies that are not emerging growth companies.</w:t>
      </w:r>
    </w:p>
    <w:p>
      <w:pPr>
        <w:spacing w:after="0" w:line="152" w:lineRule="exact"/>
        <w:rPr>
          <w:sz w:val="20"/>
          <w:szCs w:val="20"/>
          <w:color w:val="auto"/>
        </w:rPr>
      </w:pPr>
    </w:p>
    <w:p>
      <w:pPr>
        <w:ind w:left="240" w:right="60" w:firstLine="348"/>
        <w:spacing w:after="0" w:line="259" w:lineRule="auto"/>
        <w:rPr>
          <w:sz w:val="20"/>
          <w:szCs w:val="20"/>
          <w:color w:val="auto"/>
        </w:rPr>
      </w:pPr>
      <w:r>
        <w:rPr>
          <w:rFonts w:ascii="Arial" w:cs="Arial" w:eastAsia="Arial" w:hAnsi="Arial"/>
          <w:sz w:val="18"/>
          <w:szCs w:val="18"/>
          <w:color w:val="auto"/>
        </w:rPr>
        <w:t>We are also a "smaller reporting company," as such term is defined in Rule 12b-2 under the Exchange Act. We may continue to be a smaller reporting company after this offering if either (i) the market value of our stock held by non-affiliates is less than $250 million or (ii) our annual revenue is less than $100 million during the most recently completed fiscal year and the market value of our stock</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1539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250430" cy="1539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line="259" w:lineRule="auto"/>
        <w:rPr>
          <w:sz w:val="20"/>
          <w:szCs w:val="20"/>
          <w:color w:val="auto"/>
        </w:rPr>
      </w:pPr>
      <w:r>
        <w:rPr>
          <w:rFonts w:ascii="Arial" w:cs="Arial" w:eastAsia="Arial" w:hAnsi="Arial"/>
          <w:sz w:val="18"/>
          <w:szCs w:val="18"/>
          <w:color w:val="auto"/>
        </w:rPr>
        <w:t>held by non-affiliates is less than $700 million measured as of the end of the second fiscal quarter. If we are a smaller reporting company at the time we cease to be an emerging growth company, we may continue to rely on exemptions from certain disclosure requirements that are available to smaller reporting companies.</w:t>
      </w:r>
    </w:p>
    <w:p>
      <w:pPr>
        <w:spacing w:after="0" w:line="194" w:lineRule="exact"/>
        <w:rPr>
          <w:sz w:val="20"/>
          <w:szCs w:val="20"/>
          <w:color w:val="auto"/>
        </w:rPr>
      </w:pPr>
    </w:p>
    <w:p>
      <w:pPr>
        <w:jc w:val="both"/>
        <w:ind w:left="240" w:right="60" w:firstLine="351"/>
        <w:spacing w:after="0" w:line="259" w:lineRule="auto"/>
        <w:rPr>
          <w:sz w:val="20"/>
          <w:szCs w:val="20"/>
          <w:color w:val="auto"/>
        </w:rPr>
      </w:pPr>
      <w:r>
        <w:rPr>
          <w:rFonts w:ascii="Arial" w:cs="Arial" w:eastAsia="Arial" w:hAnsi="Arial"/>
          <w:sz w:val="18"/>
          <w:szCs w:val="18"/>
          <w:color w:val="auto"/>
        </w:rPr>
        <w:t>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131" w:right="7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0928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250430" cy="6092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1340" w:type="dxa"/>
        <w:tblCellMar>
          <w:top w:w="0" w:type="dxa"/>
          <w:left w:w="0" w:type="dxa"/>
          <w:bottom w:w="0" w:type="dxa"/>
          <w:right w:w="0" w:type="dxa"/>
        </w:tblCellMar>
      </w:tblPr>
      <w:tr>
        <w:trPr>
          <w:trHeight w:val="228"/>
        </w:trPr>
        <w:tc>
          <w:tcPr>
            <w:tcW w:w="2820" w:type="dxa"/>
            <w:vAlign w:val="bottom"/>
          </w:tcPr>
          <w:p>
            <w:pPr>
              <w:spacing w:after="0"/>
              <w:rPr>
                <w:sz w:val="19"/>
                <w:szCs w:val="19"/>
                <w:color w:val="auto"/>
              </w:rPr>
            </w:pPr>
          </w:p>
        </w:tc>
        <w:tc>
          <w:tcPr>
            <w:tcW w:w="3600" w:type="dxa"/>
            <w:vAlign w:val="bottom"/>
            <w:gridSpan w:val="2"/>
          </w:tcPr>
          <w:p>
            <w:pPr>
              <w:ind w:left="860"/>
              <w:spacing w:after="0"/>
              <w:rPr>
                <w:sz w:val="20"/>
                <w:szCs w:val="20"/>
                <w:color w:val="auto"/>
              </w:rPr>
            </w:pPr>
            <w:r>
              <w:rPr>
                <w:rFonts w:ascii="Arial" w:cs="Arial" w:eastAsia="Arial" w:hAnsi="Arial"/>
                <w:sz w:val="18"/>
                <w:szCs w:val="18"/>
                <w:b w:val="1"/>
                <w:bCs w:val="1"/>
                <w:color w:val="auto"/>
              </w:rPr>
              <w:t>THE OFFERING</w:t>
            </w:r>
          </w:p>
        </w:tc>
        <w:tc>
          <w:tcPr>
            <w:tcW w:w="10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2"/>
        </w:trPr>
        <w:tc>
          <w:tcPr>
            <w:tcW w:w="2820" w:type="dxa"/>
            <w:vAlign w:val="bottom"/>
          </w:tcPr>
          <w:p>
            <w:pPr>
              <w:spacing w:after="0"/>
              <w:rPr>
                <w:sz w:val="20"/>
                <w:szCs w:val="20"/>
                <w:color w:val="auto"/>
              </w:rPr>
            </w:pPr>
            <w:r>
              <w:rPr>
                <w:rFonts w:ascii="Arial" w:cs="Arial" w:eastAsia="Arial" w:hAnsi="Arial"/>
                <w:sz w:val="18"/>
                <w:szCs w:val="18"/>
                <w:b w:val="1"/>
                <w:bCs w:val="1"/>
                <w:color w:val="auto"/>
              </w:rPr>
              <w:t>Common stock offered by us</w:t>
            </w:r>
          </w:p>
        </w:tc>
        <w:tc>
          <w:tcPr>
            <w:tcW w:w="3600" w:type="dxa"/>
            <w:vAlign w:val="bottom"/>
            <w:gridSpan w:val="2"/>
          </w:tcPr>
          <w:p>
            <w:pPr>
              <w:ind w:left="340"/>
              <w:spacing w:after="0"/>
              <w:rPr>
                <w:sz w:val="20"/>
                <w:szCs w:val="20"/>
                <w:color w:val="auto"/>
              </w:rPr>
            </w:pPr>
            <w:r>
              <w:rPr>
                <w:rFonts w:ascii="Arial" w:cs="Arial" w:eastAsia="Arial" w:hAnsi="Arial"/>
                <w:sz w:val="18"/>
                <w:szCs w:val="18"/>
                <w:color w:val="auto"/>
                <w:w w:val="88"/>
              </w:rPr>
              <w:t>$125,000,000 of shares of our common stock.</w:t>
            </w: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20"/>
        </w:trPr>
        <w:tc>
          <w:tcPr>
            <w:tcW w:w="2820" w:type="dxa"/>
            <w:vAlign w:val="bottom"/>
          </w:tcPr>
          <w:p>
            <w:pPr>
              <w:spacing w:after="0"/>
              <w:rPr>
                <w:sz w:val="20"/>
                <w:szCs w:val="20"/>
                <w:color w:val="auto"/>
              </w:rPr>
            </w:pPr>
            <w:r>
              <w:rPr>
                <w:rFonts w:ascii="Arial" w:cs="Arial" w:eastAsia="Arial" w:hAnsi="Arial"/>
                <w:sz w:val="18"/>
                <w:szCs w:val="18"/>
                <w:b w:val="1"/>
                <w:bCs w:val="1"/>
                <w:color w:val="auto"/>
                <w:w w:val="97"/>
              </w:rPr>
              <w:t>Common stock to be outstanding</w:t>
            </w:r>
          </w:p>
        </w:tc>
        <w:tc>
          <w:tcPr>
            <w:tcW w:w="3600" w:type="dxa"/>
            <w:vAlign w:val="bottom"/>
            <w:gridSpan w:val="2"/>
          </w:tcPr>
          <w:p>
            <w:pPr>
              <w:ind w:left="860"/>
              <w:spacing w:after="0"/>
              <w:rPr>
                <w:sz w:val="20"/>
                <w:szCs w:val="20"/>
                <w:color w:val="auto"/>
              </w:rPr>
            </w:pPr>
            <w:r>
              <w:rPr>
                <w:rFonts w:ascii="Arial" w:cs="Arial" w:eastAsia="Arial" w:hAnsi="Arial"/>
                <w:sz w:val="18"/>
                <w:szCs w:val="18"/>
                <w:color w:val="auto"/>
              </w:rPr>
              <w:t>shares of our common stock (or</w:t>
            </w: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shares if the underwriters</w:t>
            </w:r>
          </w:p>
        </w:tc>
      </w:tr>
      <w:tr>
        <w:trPr>
          <w:trHeight w:val="228"/>
        </w:trPr>
        <w:tc>
          <w:tcPr>
            <w:tcW w:w="2820" w:type="dxa"/>
            <w:vAlign w:val="bottom"/>
          </w:tcPr>
          <w:p>
            <w:pPr>
              <w:ind w:left="180"/>
              <w:spacing w:after="0"/>
              <w:rPr>
                <w:sz w:val="20"/>
                <w:szCs w:val="20"/>
                <w:color w:val="auto"/>
              </w:rPr>
            </w:pPr>
            <w:r>
              <w:rPr>
                <w:rFonts w:ascii="Arial" w:cs="Arial" w:eastAsia="Arial" w:hAnsi="Arial"/>
                <w:sz w:val="18"/>
                <w:szCs w:val="18"/>
                <w:b w:val="1"/>
                <w:bCs w:val="1"/>
                <w:color w:val="auto"/>
              </w:rPr>
              <w:t>after this offering</w:t>
            </w:r>
          </w:p>
        </w:tc>
        <w:tc>
          <w:tcPr>
            <w:tcW w:w="4620" w:type="dxa"/>
            <w:vAlign w:val="bottom"/>
            <w:gridSpan w:val="3"/>
          </w:tcPr>
          <w:p>
            <w:pPr>
              <w:ind w:left="340"/>
              <w:spacing w:after="0"/>
              <w:rPr>
                <w:sz w:val="20"/>
                <w:szCs w:val="20"/>
                <w:color w:val="auto"/>
              </w:rPr>
            </w:pPr>
            <w:r>
              <w:rPr>
                <w:rFonts w:ascii="Arial" w:cs="Arial" w:eastAsia="Arial" w:hAnsi="Arial"/>
                <w:sz w:val="18"/>
                <w:szCs w:val="18"/>
                <w:color w:val="auto"/>
                <w:w w:val="92"/>
              </w:rPr>
              <w:t>exercise their option to purchase additional shares in full).</w:t>
            </w:r>
          </w:p>
        </w:tc>
        <w:tc>
          <w:tcPr>
            <w:tcW w:w="1140" w:type="dxa"/>
            <w:vAlign w:val="bottom"/>
          </w:tcPr>
          <w:p>
            <w:pPr>
              <w:spacing w:after="0"/>
              <w:rPr>
                <w:sz w:val="19"/>
                <w:szCs w:val="19"/>
                <w:color w:val="auto"/>
              </w:rPr>
            </w:pPr>
          </w:p>
        </w:tc>
      </w:tr>
      <w:tr>
        <w:trPr>
          <w:trHeight w:val="420"/>
        </w:trPr>
        <w:tc>
          <w:tcPr>
            <w:tcW w:w="2820" w:type="dxa"/>
            <w:vAlign w:val="bottom"/>
          </w:tcPr>
          <w:p>
            <w:pPr>
              <w:spacing w:after="0"/>
              <w:rPr>
                <w:sz w:val="20"/>
                <w:szCs w:val="20"/>
                <w:color w:val="auto"/>
              </w:rPr>
            </w:pPr>
            <w:r>
              <w:rPr>
                <w:rFonts w:ascii="Arial" w:cs="Arial" w:eastAsia="Arial" w:hAnsi="Arial"/>
                <w:sz w:val="18"/>
                <w:szCs w:val="18"/>
                <w:b w:val="1"/>
                <w:bCs w:val="1"/>
                <w:color w:val="auto"/>
              </w:rPr>
              <w:t>Option to purchase additional</w:t>
            </w:r>
          </w:p>
        </w:tc>
        <w:tc>
          <w:tcPr>
            <w:tcW w:w="5760" w:type="dxa"/>
            <w:vAlign w:val="bottom"/>
            <w:gridSpan w:val="4"/>
          </w:tcPr>
          <w:p>
            <w:pPr>
              <w:ind w:left="340"/>
              <w:spacing w:after="0"/>
              <w:rPr>
                <w:sz w:val="20"/>
                <w:szCs w:val="20"/>
                <w:color w:val="auto"/>
              </w:rPr>
            </w:pPr>
            <w:r>
              <w:rPr>
                <w:rFonts w:ascii="Arial" w:cs="Arial" w:eastAsia="Arial" w:hAnsi="Arial"/>
                <w:sz w:val="18"/>
                <w:szCs w:val="18"/>
                <w:color w:val="auto"/>
                <w:w w:val="89"/>
              </w:rPr>
              <w:t>We have granted the underwriters an option for a period of 30 days after the</w:t>
            </w:r>
          </w:p>
        </w:tc>
      </w:tr>
      <w:tr>
        <w:trPr>
          <w:trHeight w:val="222"/>
        </w:trPr>
        <w:tc>
          <w:tcPr>
            <w:tcW w:w="2820" w:type="dxa"/>
            <w:vAlign w:val="bottom"/>
          </w:tcPr>
          <w:p>
            <w:pPr>
              <w:ind w:left="180"/>
              <w:spacing w:after="0"/>
              <w:rPr>
                <w:sz w:val="20"/>
                <w:szCs w:val="20"/>
                <w:color w:val="auto"/>
              </w:rPr>
            </w:pPr>
            <w:r>
              <w:rPr>
                <w:rFonts w:ascii="Arial" w:cs="Arial" w:eastAsia="Arial" w:hAnsi="Arial"/>
                <w:sz w:val="18"/>
                <w:szCs w:val="18"/>
                <w:b w:val="1"/>
                <w:bCs w:val="1"/>
                <w:color w:val="auto"/>
              </w:rPr>
              <w:t>common stock offered by us</w:t>
            </w:r>
          </w:p>
        </w:tc>
        <w:tc>
          <w:tcPr>
            <w:tcW w:w="5760" w:type="dxa"/>
            <w:vAlign w:val="bottom"/>
            <w:gridSpan w:val="4"/>
          </w:tcPr>
          <w:p>
            <w:pPr>
              <w:ind w:left="340"/>
              <w:spacing w:after="0"/>
              <w:rPr>
                <w:sz w:val="20"/>
                <w:szCs w:val="20"/>
                <w:color w:val="auto"/>
              </w:rPr>
            </w:pPr>
            <w:r>
              <w:rPr>
                <w:rFonts w:ascii="Arial" w:cs="Arial" w:eastAsia="Arial" w:hAnsi="Arial"/>
                <w:sz w:val="18"/>
                <w:szCs w:val="18"/>
                <w:color w:val="auto"/>
                <w:w w:val="94"/>
              </w:rPr>
              <w:t>date of this prospectus supplement to purchase additional shares of our</w:t>
            </w:r>
          </w:p>
        </w:tc>
      </w:tr>
      <w:tr>
        <w:trPr>
          <w:trHeight w:val="222"/>
        </w:trPr>
        <w:tc>
          <w:tcPr>
            <w:tcW w:w="2820" w:type="dxa"/>
            <w:vAlign w:val="bottom"/>
          </w:tcPr>
          <w:p>
            <w:pPr>
              <w:spacing w:after="0"/>
              <w:rPr>
                <w:sz w:val="19"/>
                <w:szCs w:val="19"/>
                <w:color w:val="auto"/>
              </w:rPr>
            </w:pPr>
          </w:p>
        </w:tc>
        <w:tc>
          <w:tcPr>
            <w:tcW w:w="5760" w:type="dxa"/>
            <w:vAlign w:val="bottom"/>
            <w:gridSpan w:val="4"/>
          </w:tcPr>
          <w:p>
            <w:pPr>
              <w:ind w:left="340"/>
              <w:spacing w:after="0"/>
              <w:rPr>
                <w:sz w:val="20"/>
                <w:szCs w:val="20"/>
                <w:color w:val="auto"/>
              </w:rPr>
            </w:pPr>
            <w:r>
              <w:rPr>
                <w:rFonts w:ascii="Arial" w:cs="Arial" w:eastAsia="Arial" w:hAnsi="Arial"/>
                <w:sz w:val="18"/>
                <w:szCs w:val="18"/>
                <w:color w:val="auto"/>
                <w:w w:val="98"/>
              </w:rPr>
              <w:t>common stock with an aggregate offering price of up to $18,750,000.</w:t>
            </w:r>
          </w:p>
        </w:tc>
      </w:tr>
      <w:tr>
        <w:trPr>
          <w:trHeight w:val="426"/>
        </w:trPr>
        <w:tc>
          <w:tcPr>
            <w:tcW w:w="2820" w:type="dxa"/>
            <w:vAlign w:val="bottom"/>
          </w:tcPr>
          <w:p>
            <w:pPr>
              <w:spacing w:after="0"/>
              <w:rPr>
                <w:sz w:val="20"/>
                <w:szCs w:val="20"/>
                <w:color w:val="auto"/>
              </w:rPr>
            </w:pPr>
            <w:r>
              <w:rPr>
                <w:rFonts w:ascii="Arial" w:cs="Arial" w:eastAsia="Arial" w:hAnsi="Arial"/>
                <w:sz w:val="18"/>
                <w:szCs w:val="18"/>
                <w:b w:val="1"/>
                <w:bCs w:val="1"/>
                <w:color w:val="auto"/>
              </w:rPr>
              <w:t>Use of Proceeds</w:t>
            </w:r>
          </w:p>
        </w:tc>
        <w:tc>
          <w:tcPr>
            <w:tcW w:w="5760" w:type="dxa"/>
            <w:vAlign w:val="bottom"/>
            <w:gridSpan w:val="4"/>
          </w:tcPr>
          <w:p>
            <w:pPr>
              <w:ind w:left="340"/>
              <w:spacing w:after="0"/>
              <w:rPr>
                <w:sz w:val="20"/>
                <w:szCs w:val="20"/>
                <w:color w:val="auto"/>
              </w:rPr>
            </w:pPr>
            <w:r>
              <w:rPr>
                <w:rFonts w:ascii="Arial" w:cs="Arial" w:eastAsia="Arial" w:hAnsi="Arial"/>
                <w:sz w:val="18"/>
                <w:szCs w:val="18"/>
                <w:color w:val="auto"/>
                <w:w w:val="86"/>
              </w:rPr>
              <w:t>We estimate that the net proceeds from the sale of shares of common stock to</w:t>
            </w:r>
          </w:p>
        </w:tc>
      </w:tr>
      <w:tr>
        <w:trPr>
          <w:trHeight w:val="216"/>
        </w:trPr>
        <w:tc>
          <w:tcPr>
            <w:tcW w:w="2820" w:type="dxa"/>
            <w:vAlign w:val="bottom"/>
          </w:tcPr>
          <w:p>
            <w:pPr>
              <w:spacing w:after="0"/>
              <w:rPr>
                <w:sz w:val="18"/>
                <w:szCs w:val="18"/>
                <w:color w:val="auto"/>
              </w:rPr>
            </w:pPr>
          </w:p>
        </w:tc>
        <w:tc>
          <w:tcPr>
            <w:tcW w:w="4620" w:type="dxa"/>
            <w:vAlign w:val="bottom"/>
            <w:gridSpan w:val="3"/>
          </w:tcPr>
          <w:p>
            <w:pPr>
              <w:ind w:left="340"/>
              <w:spacing w:after="0"/>
              <w:rPr>
                <w:sz w:val="20"/>
                <w:szCs w:val="20"/>
                <w:color w:val="auto"/>
              </w:rPr>
            </w:pPr>
            <w:r>
              <w:rPr>
                <w:rFonts w:ascii="Arial" w:cs="Arial" w:eastAsia="Arial" w:hAnsi="Arial"/>
                <w:sz w:val="18"/>
                <w:szCs w:val="18"/>
                <w:color w:val="auto"/>
                <w:w w:val="98"/>
              </w:rPr>
              <w:t>the underwriters in this offering will be approximately $</w:t>
            </w:r>
          </w:p>
        </w:tc>
        <w:tc>
          <w:tcPr>
            <w:tcW w:w="1140" w:type="dxa"/>
            <w:vAlign w:val="bottom"/>
          </w:tcPr>
          <w:p>
            <w:pPr>
              <w:ind w:left="200"/>
              <w:spacing w:after="0"/>
              <w:rPr>
                <w:sz w:val="20"/>
                <w:szCs w:val="20"/>
                <w:color w:val="auto"/>
              </w:rPr>
            </w:pPr>
            <w:r>
              <w:rPr>
                <w:rFonts w:ascii="Arial" w:cs="Arial" w:eastAsia="Arial" w:hAnsi="Arial"/>
                <w:sz w:val="18"/>
                <w:szCs w:val="18"/>
                <w:color w:val="auto"/>
              </w:rPr>
              <w:t>million</w:t>
            </w:r>
          </w:p>
        </w:tc>
      </w:tr>
      <w:tr>
        <w:trPr>
          <w:trHeight w:val="222"/>
        </w:trPr>
        <w:tc>
          <w:tcPr>
            <w:tcW w:w="2820" w:type="dxa"/>
            <w:vAlign w:val="bottom"/>
          </w:tcPr>
          <w:p>
            <w:pPr>
              <w:spacing w:after="0"/>
              <w:rPr>
                <w:sz w:val="19"/>
                <w:szCs w:val="19"/>
                <w:color w:val="auto"/>
              </w:rPr>
            </w:pPr>
          </w:p>
        </w:tc>
        <w:tc>
          <w:tcPr>
            <w:tcW w:w="1800" w:type="dxa"/>
            <w:vAlign w:val="bottom"/>
          </w:tcPr>
          <w:p>
            <w:pPr>
              <w:ind w:left="340"/>
              <w:spacing w:after="0"/>
              <w:rPr>
                <w:sz w:val="20"/>
                <w:szCs w:val="20"/>
                <w:color w:val="auto"/>
              </w:rPr>
            </w:pPr>
            <w:r>
              <w:rPr>
                <w:rFonts w:ascii="Arial" w:cs="Arial" w:eastAsia="Arial" w:hAnsi="Arial"/>
                <w:sz w:val="18"/>
                <w:szCs w:val="18"/>
                <w:color w:val="auto"/>
              </w:rPr>
              <w:t>(approximately $</w:t>
            </w:r>
          </w:p>
        </w:tc>
        <w:tc>
          <w:tcPr>
            <w:tcW w:w="3960" w:type="dxa"/>
            <w:vAlign w:val="bottom"/>
            <w:gridSpan w:val="3"/>
          </w:tcPr>
          <w:p>
            <w:pPr>
              <w:ind w:left="260"/>
              <w:spacing w:after="0"/>
              <w:rPr>
                <w:sz w:val="20"/>
                <w:szCs w:val="20"/>
                <w:color w:val="auto"/>
              </w:rPr>
            </w:pPr>
            <w:r>
              <w:rPr>
                <w:rFonts w:ascii="Arial" w:cs="Arial" w:eastAsia="Arial" w:hAnsi="Arial"/>
                <w:sz w:val="18"/>
                <w:szCs w:val="18"/>
                <w:color w:val="auto"/>
              </w:rPr>
              <w:t>million if the underwriters' option to purchase</w:t>
            </w:r>
          </w:p>
        </w:tc>
      </w:tr>
    </w:tbl>
    <w:p>
      <w:pPr>
        <w:ind w:left="4500" w:right="319"/>
        <w:spacing w:after="0" w:line="323" w:lineRule="auto"/>
        <w:rPr>
          <w:sz w:val="20"/>
          <w:szCs w:val="20"/>
          <w:color w:val="auto"/>
        </w:rPr>
      </w:pPr>
      <w:r>
        <w:rPr>
          <w:rFonts w:ascii="Arial" w:cs="Arial" w:eastAsia="Arial" w:hAnsi="Arial"/>
          <w:sz w:val="16"/>
          <w:szCs w:val="16"/>
          <w:color w:val="auto"/>
        </w:rPr>
        <w:t>additional shares is exercised in full), after deducting underwriters' discounts and commissions and estimated offering expenses payable by us.</w:t>
      </w:r>
    </w:p>
    <w:p>
      <w:pPr>
        <w:spacing w:after="0" w:line="147" w:lineRule="exact"/>
        <w:rPr>
          <w:sz w:val="20"/>
          <w:szCs w:val="20"/>
          <w:color w:val="auto"/>
        </w:rPr>
      </w:pPr>
    </w:p>
    <w:p>
      <w:pPr>
        <w:ind w:left="4500" w:right="359"/>
        <w:spacing w:after="0" w:line="302" w:lineRule="auto"/>
        <w:rPr>
          <w:sz w:val="20"/>
          <w:szCs w:val="20"/>
          <w:color w:val="auto"/>
        </w:rPr>
      </w:pPr>
      <w:r>
        <w:rPr>
          <w:rFonts w:ascii="Arial" w:cs="Arial" w:eastAsia="Arial" w:hAnsi="Arial"/>
          <w:sz w:val="15"/>
          <w:szCs w:val="15"/>
          <w:color w:val="auto"/>
        </w:rPr>
        <w:t>We currently anticipate that we will use the net proceeds from this offering, together with our existing cash and cash equivalents, to (i) fund our ongoing pivotal stage development through regulatory submission, and clinical development in additional pediatric and adult indications for naxitamab;</w:t>
      </w:r>
    </w:p>
    <w:p>
      <w:pPr>
        <w:spacing w:after="0" w:line="3" w:lineRule="exact"/>
        <w:rPr>
          <w:sz w:val="20"/>
          <w:szCs w:val="20"/>
          <w:color w:val="auto"/>
        </w:rPr>
      </w:pPr>
    </w:p>
    <w:p>
      <w:pPr>
        <w:ind w:left="4500" w:right="379" w:hanging="2"/>
        <w:spacing w:after="0" w:line="281" w:lineRule="auto"/>
        <w:tabs>
          <w:tab w:leader="none" w:pos="4758" w:val="left"/>
        </w:tabs>
        <w:numPr>
          <w:ilvl w:val="0"/>
          <w:numId w:val="5"/>
        </w:numPr>
        <w:rPr>
          <w:rFonts w:ascii="Arial" w:cs="Arial" w:eastAsia="Arial" w:hAnsi="Arial"/>
          <w:sz w:val="16"/>
          <w:szCs w:val="16"/>
          <w:color w:val="auto"/>
        </w:rPr>
      </w:pPr>
      <w:r>
        <w:rPr>
          <w:rFonts w:ascii="Arial" w:cs="Arial" w:eastAsia="Arial" w:hAnsi="Arial"/>
          <w:sz w:val="16"/>
          <w:szCs w:val="16"/>
          <w:color w:val="auto"/>
        </w:rPr>
        <w:t>fund our ongoing pivotal stage development through regulatory submission, and clinical development in additional pediatric indications and expansion into adult B7-H3 positive cancers for omburtamab; (iii) fund commercial infrastructure build-out preparing for launch of both naxitamab</w:t>
      </w:r>
    </w:p>
    <w:p>
      <w:pPr>
        <w:spacing w:after="0" w:line="3" w:lineRule="exact"/>
        <w:rPr>
          <w:sz w:val="20"/>
          <w:szCs w:val="20"/>
          <w:color w:val="auto"/>
        </w:rPr>
      </w:pPr>
    </w:p>
    <w:p>
      <w:pPr>
        <w:ind w:left="4500" w:right="499"/>
        <w:spacing w:after="0" w:line="247" w:lineRule="auto"/>
        <w:rPr>
          <w:sz w:val="20"/>
          <w:szCs w:val="20"/>
          <w:color w:val="auto"/>
        </w:rPr>
      </w:pPr>
      <w:r>
        <w:rPr>
          <w:rFonts w:ascii="Arial" w:cs="Arial" w:eastAsia="Arial" w:hAnsi="Arial"/>
          <w:sz w:val="16"/>
          <w:szCs w:val="16"/>
          <w:color w:val="auto"/>
        </w:rPr>
        <w:t>and omburtamab; (iv) fund our lutetium-labeled B7-H3 antibody,</w:t>
      </w:r>
      <w:r>
        <w:rPr>
          <w:rFonts w:ascii="Arial" w:cs="Arial" w:eastAsia="Arial" w:hAnsi="Arial"/>
          <w:sz w:val="26"/>
          <w:szCs w:val="26"/>
          <w:color w:val="auto"/>
          <w:vertAlign w:val="superscript"/>
        </w:rPr>
        <w:t>177</w:t>
      </w:r>
      <w:r>
        <w:rPr>
          <w:rFonts w:ascii="Arial" w:cs="Arial" w:eastAsia="Arial" w:hAnsi="Arial"/>
          <w:sz w:val="16"/>
          <w:szCs w:val="16"/>
          <w:color w:val="auto"/>
        </w:rPr>
        <w:t>Lu-omburtamab-DTPA, into clinical testing in a range of pediatric and adult indications, including medulloblastoma and other B7-H3 positive cancers;</w:t>
      </w:r>
    </w:p>
    <w:p>
      <w:pPr>
        <w:spacing w:after="0" w:line="2" w:lineRule="exact"/>
        <w:rPr>
          <w:sz w:val="20"/>
          <w:szCs w:val="20"/>
          <w:color w:val="auto"/>
        </w:rPr>
      </w:pPr>
    </w:p>
    <w:p>
      <w:pPr>
        <w:ind w:left="4500" w:right="159" w:hanging="2"/>
        <w:spacing w:after="0" w:line="287" w:lineRule="auto"/>
        <w:tabs>
          <w:tab w:leader="none" w:pos="4749" w:val="left"/>
        </w:tabs>
        <w:numPr>
          <w:ilvl w:val="0"/>
          <w:numId w:val="6"/>
        </w:numPr>
        <w:rPr>
          <w:rFonts w:ascii="Arial" w:cs="Arial" w:eastAsia="Arial" w:hAnsi="Arial"/>
          <w:sz w:val="16"/>
          <w:szCs w:val="16"/>
          <w:color w:val="auto"/>
        </w:rPr>
      </w:pPr>
      <w:r>
        <w:rPr>
          <w:rFonts w:ascii="Arial" w:cs="Arial" w:eastAsia="Arial" w:hAnsi="Arial"/>
          <w:sz w:val="16"/>
          <w:szCs w:val="16"/>
          <w:color w:val="auto"/>
        </w:rPr>
        <w:t>fund clinical development of the bi-specific huGD2-BsAb, currently in Phase 1, through Phase 2 for pediatric and adult GD2 positive solid tumors and INDs from our portfolio of BsAb product candidates, including huCD33-BsAb for pediatric acute myeloid leukemia (AML); (vi) fund ongoing and expanding clinical development through regulatory submission of our GD2-GD3 Vaccine program; (vii) fund translational science, pre-clinical research and clinical development activities related to our other product candidates, programs and in-licensing of new technologies; and (viii) the remainder for working capital and other general corporate purposes.</w:t>
      </w:r>
    </w:p>
    <w:p>
      <w:pPr>
        <w:spacing w:after="0" w:line="17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See "Use of Proceeds" for more information.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 w:name="page13"/>
    <w:bookmarkEnd w:id="12"/>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47720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250430" cy="4772025"/>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ind w:left="1340"/>
        <w:spacing w:after="0"/>
        <w:rPr>
          <w:sz w:val="20"/>
          <w:szCs w:val="20"/>
          <w:color w:val="auto"/>
        </w:rPr>
      </w:pP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ind w:right="1040"/>
        <w:spacing w:after="0" w:line="254" w:lineRule="auto"/>
        <w:rPr>
          <w:sz w:val="20"/>
          <w:szCs w:val="20"/>
          <w:color w:val="auto"/>
        </w:rPr>
      </w:pPr>
      <w:r>
        <w:rPr>
          <w:rFonts w:ascii="Arial" w:cs="Arial" w:eastAsia="Arial" w:hAnsi="Arial"/>
          <w:sz w:val="18"/>
          <w:szCs w:val="18"/>
          <w:color w:val="auto"/>
        </w:rPr>
        <w:t>Investing in our common stock involves a high degree of risk. You should read the "Risk Factors" section of this prospectus supplement beginning on page S-10, as well as those risk factors that are incorporated by reference in this prospectus supplement and the accompanying prospectus, for a discussion of factors to consider carefully before deciding to purchase shares of our common stock.</w:t>
      </w:r>
    </w:p>
    <w:p>
      <w:pPr>
        <w:spacing w:after="0" w:line="192" w:lineRule="exact"/>
        <w:rPr>
          <w:sz w:val="20"/>
          <w:szCs w:val="20"/>
          <w:color w:val="auto"/>
        </w:rPr>
      </w:pPr>
    </w:p>
    <w:p>
      <w:pPr>
        <w:sectPr>
          <w:pgSz w:w="11900" w:h="16838" w:orient="portrait"/>
          <w:cols w:equalWidth="0" w:num="2">
            <w:col w:w="3780" w:space="720"/>
            <w:col w:w="6600"/>
          </w:cols>
          <w:pgMar w:left="240" w:top="131" w:right="559" w:bottom="1440" w:gutter="0" w:footer="0" w:header="0"/>
          <w:type w:val="continuous"/>
        </w:sectPr>
      </w:pPr>
    </w:p>
    <w:p>
      <w:pPr>
        <w:ind w:left="1340"/>
        <w:spacing w:after="0"/>
        <w:rPr>
          <w:sz w:val="20"/>
          <w:szCs w:val="20"/>
          <w:color w:val="auto"/>
        </w:rPr>
      </w:pPr>
      <w:r>
        <w:rPr>
          <w:rFonts w:ascii="Arial" w:cs="Arial" w:eastAsia="Arial" w:hAnsi="Arial"/>
          <w:sz w:val="15"/>
          <w:szCs w:val="15"/>
          <w:b w:val="1"/>
          <w:bCs w:val="1"/>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"YMAB"</w:t>
      </w:r>
    </w:p>
    <w:p>
      <w:pPr>
        <w:spacing w:after="0" w:line="200" w:lineRule="exact"/>
        <w:rPr>
          <w:sz w:val="20"/>
          <w:szCs w:val="20"/>
          <w:color w:val="auto"/>
        </w:rPr>
      </w:pPr>
    </w:p>
    <w:p>
      <w:pPr>
        <w:sectPr>
          <w:pgSz w:w="11900" w:h="16838" w:orient="portrait"/>
          <w:cols w:equalWidth="0" w:num="2">
            <w:col w:w="4120" w:space="380"/>
            <w:col w:w="6600"/>
          </w:cols>
          <w:pgMar w:left="240" w:top="131" w:right="559" w:bottom="1440" w:gutter="0" w:footer="0" w:header="0"/>
          <w:type w:val="continuous"/>
        </w:sectPr>
      </w:pPr>
    </w:p>
    <w:p>
      <w:pPr>
        <w:spacing w:after="0" w:line="2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number of shares outstanding immediately after this offering is based on 34,193,666 shares of our common stock issued and outstanding as of</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June 30, 2019, and excludes the following:</w:t>
      </w:r>
    </w:p>
    <w:p>
      <w:pPr>
        <w:spacing w:after="0" w:line="246" w:lineRule="exact"/>
        <w:rPr>
          <w:sz w:val="20"/>
          <w:szCs w:val="20"/>
          <w:color w:val="auto"/>
        </w:rPr>
      </w:pPr>
    </w:p>
    <w:p>
      <w:pPr>
        <w:ind w:left="1320" w:right="100" w:hanging="538"/>
        <w:spacing w:after="0" w:line="259"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3,713,873 shares of our common stock issuable upon the exercise of stock options outstanding as of June 30, 2019 under our 2015 Equity Incentive Plan, or the 2015 Plan, and our 2018 Equity Incentive Plan, or the 2018 Plan, in the aggregate, at a weighted average exercise price of $9.06 per share;</w:t>
      </w:r>
    </w:p>
    <w:p>
      <w:pPr>
        <w:spacing w:after="0" w:line="207" w:lineRule="exact"/>
        <w:rPr>
          <w:rFonts w:ascii="Arial" w:cs="Arial" w:eastAsia="Arial" w:hAnsi="Arial"/>
          <w:sz w:val="18"/>
          <w:szCs w:val="18"/>
          <w:color w:val="auto"/>
        </w:rPr>
      </w:pPr>
    </w:p>
    <w:p>
      <w:pPr>
        <w:ind w:left="1320" w:right="180" w:hanging="538"/>
        <w:spacing w:after="0" w:line="268"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10,296 shares of our common stock issuable upon the settlement of unvested restricted stock units outstanding as of June 30, 2019 under our 2018 Plan;</w:t>
      </w:r>
    </w:p>
    <w:p>
      <w:pPr>
        <w:spacing w:after="0" w:line="199"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3,143,577 shares of our common stock available for future issuance under our 2018 Plan (no shares remain available for issuance under the 2015 Plan);</w:t>
      </w:r>
    </w:p>
    <w:p>
      <w:pPr>
        <w:spacing w:after="0" w:line="212" w:lineRule="exact"/>
        <w:rPr>
          <w:rFonts w:ascii="Arial" w:cs="Arial" w:eastAsia="Arial" w:hAnsi="Arial"/>
          <w:sz w:val="18"/>
          <w:szCs w:val="18"/>
          <w:color w:val="auto"/>
        </w:rPr>
      </w:pPr>
    </w:p>
    <w:p>
      <w:pPr>
        <w:ind w:left="1320" w:hanging="538"/>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700,000 shares of our common stock reserved for issuance under our 2018 Employee Stock Purchase Plan; and</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400,000 shares of our common stock issued on August 20, 2019 pursuant to an existing stock grant agreement.</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Unless otherwise indicated, this prospectus supplement reflects and assumes the following:</w:t>
      </w:r>
    </w:p>
    <w:p>
      <w:pPr>
        <w:spacing w:after="0" w:line="239" w:lineRule="exact"/>
        <w:rPr>
          <w:sz w:val="20"/>
          <w:szCs w:val="20"/>
          <w:color w:val="auto"/>
        </w:rPr>
      </w:pPr>
    </w:p>
    <w:p>
      <w:pPr>
        <w:ind w:left="1320" w:hanging="538"/>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exercise of outstanding stock options described above; and</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100" w:firstLine="351"/>
        <w:spacing w:after="0" w:line="288" w:lineRule="auto"/>
        <w:rPr>
          <w:rFonts w:ascii="Arial" w:cs="Arial" w:eastAsia="Arial" w:hAnsi="Arial"/>
          <w:sz w:val="16"/>
          <w:szCs w:val="16"/>
          <w:i w:val="1"/>
          <w:iCs w:val="1"/>
          <w:color w:val="0000EE"/>
        </w:rPr>
      </w:pPr>
      <w:r>
        <w:rPr>
          <w:rFonts w:ascii="Arial" w:cs="Arial" w:eastAsia="Arial" w:hAnsi="Arial"/>
          <w:sz w:val="16"/>
          <w:szCs w:val="16"/>
          <w:i w:val="1"/>
          <w:iCs w:val="1"/>
          <w:color w:val="auto"/>
        </w:rPr>
        <w:t xml:space="preserve">Your investment in our common stock involves a high degree of risk. Before deciding whether to invest in our common stock, you should carefully consider the risks discussed under the section captioned "Risk Factors" contained in our </w:t>
      </w:r>
      <w:hyperlink r:id="rId15">
        <w:r>
          <w:rPr>
            <w:rFonts w:ascii="Arial" w:cs="Arial" w:eastAsia="Arial" w:hAnsi="Arial"/>
            <w:sz w:val="16"/>
            <w:szCs w:val="16"/>
            <w:i w:val="1"/>
            <w:iCs w:val="1"/>
            <w:u w:val="single" w:color="auto"/>
            <w:color w:val="0000EE"/>
          </w:rPr>
          <w:t>Annual Report on Form 10-K for the year ended December 31, 2018</w:t>
        </w:r>
        <w:r>
          <w:rPr>
            <w:rFonts w:ascii="Arial" w:cs="Arial" w:eastAsia="Arial" w:hAnsi="Arial"/>
            <w:sz w:val="16"/>
            <w:szCs w:val="16"/>
            <w:i w:val="1"/>
            <w:iCs w:val="1"/>
            <w:u w:val="single" w:color="auto"/>
            <w:color w:val="auto"/>
          </w:rPr>
          <w:t xml:space="preserve"> </w:t>
        </w:r>
      </w:hyperlink>
      <w:r>
        <w:rPr>
          <w:rFonts w:ascii="Arial" w:cs="Arial" w:eastAsia="Arial" w:hAnsi="Arial"/>
          <w:sz w:val="16"/>
          <w:szCs w:val="16"/>
          <w:i w:val="1"/>
          <w:iCs w:val="1"/>
          <w:color w:val="auto"/>
        </w:rPr>
        <w:t xml:space="preserve">and our </w:t>
      </w:r>
      <w:hyperlink r:id="rId16">
        <w:r>
          <w:rPr>
            <w:rFonts w:ascii="Arial" w:cs="Arial" w:eastAsia="Arial" w:hAnsi="Arial"/>
            <w:sz w:val="16"/>
            <w:szCs w:val="16"/>
            <w:i w:val="1"/>
            <w:iCs w:val="1"/>
            <w:u w:val="single" w:color="auto"/>
            <w:color w:val="0000EE"/>
          </w:rPr>
          <w:t>Quarterly Reports on Form 10-Q for quarters ended March 31, 2019 and June 30, 2019</w:t>
        </w:r>
      </w:hyperlink>
      <w:r>
        <w:rPr>
          <w:rFonts w:ascii="Arial" w:cs="Arial" w:eastAsia="Arial" w:hAnsi="Arial"/>
          <w:sz w:val="16"/>
          <w:szCs w:val="16"/>
          <w:i w:val="1"/>
          <w:iCs w:val="1"/>
          <w:color w:val="000000"/>
        </w:rPr>
        <w:t>,</w:t>
      </w:r>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which were filed with the SEC and are incorporated by reference in this</w:t>
      </w:r>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prospectus supplement and the accompanying prospectus in their entirety and which may be amended, supplemented or superseded by other reports we subsequently file with the SEC, together with other information in this prospectus supplement, the accompanying prospectus, the information and documents incorporated by reference herein and therein, and in any free writing prospectus that we have authorized for use in connection with this offering.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entitled "Cautionary Statement Regarding Forward-Looking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31"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b w:val="1"/>
          <w:bCs w:val="1"/>
          <w:i w:val="1"/>
          <w:iCs w:val="1"/>
          <w:color w:val="auto"/>
        </w:rPr>
        <w:t>The FDA may refuse to accept an accelerated approval pathway for naxitamab and omburtamab and may refuse rolling review of our BLAs which could have a material adverse impact on our development and approval process for these product candidates and our other product candidates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not previously submitted a BLA to the FDA or comparable foreign authorities for any of our product candidates.</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 July 2019, we announced that in a pre-BLA meeting we reached alignment with the FDA on an accelerated approval pathway for naxitamab and our intention to begin submission of a rolling BLA in November 2019. The FDA agreed that we could submit, and the FDA would review, individual portions of our naxitamab BLA submission on a rolling basis, rather than waiting for all portions of the BLA to be completed before submission. We believe that this rolling BLA submission process will provide us with the opportunity for ongoing communications with and feedback from the FDA. During this rolling submission process, however, the FDA may raise issues and pose questions to us that may delay the completion of the BLA submission and thereby potentially also delay the approval process and delay the acceptance of the complete BLA for filing and the ultimate issuance of any Marketing Authorization. We may not be able to provide a satisfactory or a timely response to FDA questions or we may not be able to timely gather the required data to prepare the BLA submissions as we planned. If we are unable to address all questions or concerns the FDA may raise or if we do not have timely access to the data required for the preparations of the BLA, we may not be able to timely file the BLA and ultimately receive a Marketing Authorization for naxitamab. In addition, irrespective of the alignment we reached with the FDA in our pre-BLA meeting, the FDA retains discretion to decide not to review the portions of our BLA for naxitamab we have already submitted until the submission is deemed to be complete and no assurance can be given that we would be able to satisfactorily or timely answer or resolve all the questions and issues the FDA may pose.</w:t>
      </w:r>
    </w:p>
    <w:p>
      <w:pPr>
        <w:spacing w:after="0" w:line="178"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not yet had a pre-BLA meeting with the FDA for omburtamab. That meeting is currently scheduled to take place in November 2019, but the FDA may decide to postpone the pre-BLA meeting or downgrade the meeting to a standard type B meeting when reviewing the pre-BLA meeting package if the FDA does not find the content sufficient to move on towards a BLA submission. While we plan to submit the first portion of a rolling BLA submission for omburtamab in December 2019, we have not yet reached alignment with the FDA on an accelerated approval pathway for omburtamab or a rolling BLA process. The FDA may not support an accelerated approval pathway or accept a rolling BLA submission for omburtamab. If we do not reach alignment with the FDA at our scheduled pre-BLA meeting or if the meeting is postponed or downgraded to a standard type B meeting, or if we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do not succeed in compiling the substantial information required for the initial submission of a rolling BLA in a timely manner, we may not be able to meet our goal of completing the initial submission of a rolling BLA for omburtamab by December 2019, which would delay the BLA submissions and the ultimate receipt of Marketing Authorization.</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Should the FDA refuse to accept an accelerated approval pathway for naxitamab or omburtamab or refuse rolling review of our BLAs for either product candidate, this may result in a delay in obtaining required Marketing Authorizations, which could materially adversely affect our ability to generate revenue from commercialization of the particular product candidate, which would likely result in significant harm to our financial position and adversely impact our stock price. This could also adversely affect the development and approval process for our other product candidates.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31" w:lineRule="exact"/>
        <w:rPr>
          <w:sz w:val="20"/>
          <w:szCs w:val="20"/>
          <w:color w:val="auto"/>
        </w:rPr>
      </w:pPr>
    </w:p>
    <w:p>
      <w:pPr>
        <w:ind w:right="380"/>
        <w:spacing w:after="0" w:line="335" w:lineRule="auto"/>
        <w:rPr>
          <w:sz w:val="20"/>
          <w:szCs w:val="20"/>
          <w:color w:val="auto"/>
        </w:rPr>
      </w:pPr>
      <w:r>
        <w:rPr>
          <w:rFonts w:ascii="Arial" w:cs="Arial" w:eastAsia="Arial" w:hAnsi="Arial"/>
          <w:sz w:val="15"/>
          <w:szCs w:val="15"/>
          <w:b w:val="1"/>
          <w:bCs w:val="1"/>
          <w:i w:val="1"/>
          <w:iCs w:val="1"/>
          <w:color w:val="auto"/>
        </w:rPr>
        <w:t>We have a sublicense agreement with MabVax Therapeutics Holding, Inc., or MabVax, covering our GD2-GD3 Vaccine. MabVax has filed a voluntary petition in bankruptcy. Bankruptcy proceedings are inherently unpredictable. If the MabVax sublicense or our rights thereunder covering our GD2-GD3 Vaccine are adversely affected by the MabVax bankruptcy proceedings, we may not be able to continue developing our GD2-GD3 Vaccine program.</w:t>
      </w:r>
    </w:p>
    <w:p>
      <w:pPr>
        <w:spacing w:after="0" w:line="142"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have entered into a sublicense agreement, or the MabVax Sublicense, with MabVax pursuant to which MabVax granted us a sublicense to all of the exclusive license rights granted to MabVax under its license agreement with MSK relating to our GD2-GD3 Vaccine. On March 21, 2019, MabVax filed a voluntary petition for relief under Chapter 11 of Title 11 of the United States Bankruptcy Code, or the Bankruptcy Code. MabVax has communicated that it continues to manage and operate its business as a debtor in possession pursuant to the Bankruptcy Code. Bankruptcy proceedings are inherently unpredictable and we cannot be certain that our MabVax Sublicense and our rights thereunder relating to our GD2-GD3 Vaccine will not be adversely affected by the MabVax bankruptcy proceedings. For example, MSK has objected to the continuation of its license to MabVax, which may, in turn, impact our rights under the MabVax Sublicense. Alternately, MabVax may seek to reject its sublicense agreement with us, subject to any protections available under the Bankruptcy Code for rights in licensed intellectual property; and we may not be able to immediately enforce our rights with respect to any breaches by MabVax of its sublicense agreement with us due to the automatic stay in MabVax's bankruptcy. If the MabVax Sublicense or any of the rights granted to us thereunder are adversely affected by the MabVax bankruptcy proceedings, we may not be able to continue developing our GD2-GD3 Vaccine program.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you purchase shares of common stock in this offering, you will suffer immediate and substantial dilution in the book value of your investment.</w:t>
      </w:r>
    </w:p>
    <w:p>
      <w:pPr>
        <w:spacing w:after="0" w:line="248" w:lineRule="exact"/>
        <w:rPr>
          <w:sz w:val="20"/>
          <w:szCs w:val="20"/>
          <w:color w:val="auto"/>
        </w:rPr>
      </w:pPr>
    </w:p>
    <w:p>
      <w:pPr>
        <w:jc w:val="both"/>
        <w:ind w:right="80" w:firstLine="348"/>
        <w:spacing w:after="0" w:line="286" w:lineRule="auto"/>
        <w:rPr>
          <w:sz w:val="20"/>
          <w:szCs w:val="20"/>
          <w:color w:val="auto"/>
        </w:rPr>
      </w:pPr>
      <w:r>
        <w:rPr>
          <w:rFonts w:ascii="Arial" w:cs="Arial" w:eastAsia="Arial" w:hAnsi="Arial"/>
          <w:sz w:val="16"/>
          <w:szCs w:val="16"/>
          <w:color w:val="auto"/>
        </w:rPr>
        <w:t>The price per share of our common stock in this offering is substantially higher than the net tangible book value per share of our common stock outstanding prior to this offering. Therefore, if you purchase shares of our common stock in this offering, you will incur immediate and substantial dilution in the net tangible</w:t>
      </w:r>
    </w:p>
    <w:p>
      <w:pPr>
        <w:jc w:val="both"/>
        <w:ind w:right="80"/>
        <w:spacing w:after="0" w:line="255" w:lineRule="auto"/>
        <w:rPr>
          <w:sz w:val="20"/>
          <w:szCs w:val="20"/>
          <w:color w:val="auto"/>
        </w:rPr>
      </w:pPr>
      <w:r>
        <w:rPr>
          <w:rFonts w:ascii="Arial" w:cs="Arial" w:eastAsia="Arial" w:hAnsi="Arial"/>
          <w:sz w:val="18"/>
          <w:szCs w:val="18"/>
          <w:color w:val="auto"/>
        </w:rPr>
        <w:t>book value per share of common stock from the public offering price per share of $ . To the extent shares are issued under outstanding options at exercise prices lower than the price of our common stock in this offering, you will incur further dilution. See the section entitled "Dilution" for a more detailed illustration of the dilution you would incur if you participate in this offering.</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have broad discretion in the use of our cash, cash equivalents and short-term investments, including the net proceeds we receive in this offering, and may not use them effectively.</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management has broad discretion to use our cash, cash equivalents and short-term investments, including the net proceeds we receive in this offering, to fund our operations and could spend these funds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drug candidates. Pending their use to fund our operations, we may invest our cash, cash equivalents and short-term investments, including the net proceeds from this offering, in a manner that does not produce income or that loses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for our common stock, in future transactions may be higher or lower than the price per share paid by investors in this offering.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has been and may be volatile in the future and fluctuate substantially.</w:t>
      </w:r>
    </w:p>
    <w:p>
      <w:pPr>
        <w:spacing w:after="0" w:line="225"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Our stock price has been and is likely to be volatile and may fluctuate substantially. The stock market in general and the market for pharmaceutical and biotechnology companies in particular have experienced extreme volatility that has often been unrelated to the operating performance of particular companies. The market price for our common stock may be influenced by many factors, including:</w:t>
      </w:r>
    </w:p>
    <w:p>
      <w:pPr>
        <w:spacing w:after="0" w:line="208"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results of clinical trials of any of our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products and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partnerships, joint ventures, collaborations or capital commitments;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establishment or termination of collaborations for our product candidates or development programs;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revenues and expenses related to any of our product candidates or development programs;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 or products;</w:t>
      </w:r>
    </w:p>
    <w:p>
      <w:pPr>
        <w:spacing w:after="0" w:line="252"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accurately forecast demand for our products, actual or anticipated changes in forecasts of financial performance, or changes in development timelines;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Sales of a significant number of shares of our common stock in the public markets, or the perception that such sales could occur, could cause the market price of our common stock to drop significantly, even if our business is doing well.</w:t>
      </w:r>
    </w:p>
    <w:p>
      <w:pPr>
        <w:spacing w:after="0" w:line="186" w:lineRule="exact"/>
        <w:rPr>
          <w:sz w:val="20"/>
          <w:szCs w:val="20"/>
          <w:color w:val="auto"/>
        </w:rPr>
      </w:pPr>
    </w:p>
    <w:p>
      <w:pPr>
        <w:ind w:right="200" w:firstLine="351"/>
        <w:spacing w:after="0" w:line="286"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After this offering, we will have</w:t>
      </w:r>
    </w:p>
    <w:p>
      <w:pPr>
        <w:ind w:right="20"/>
        <w:spacing w:after="0" w:line="281" w:lineRule="auto"/>
        <w:rPr>
          <w:sz w:val="20"/>
          <w:szCs w:val="20"/>
          <w:color w:val="auto"/>
        </w:rPr>
      </w:pPr>
      <w:r>
        <w:rPr>
          <w:rFonts w:ascii="Arial" w:cs="Arial" w:eastAsia="Arial" w:hAnsi="Arial"/>
          <w:sz w:val="16"/>
          <w:szCs w:val="16"/>
          <w:color w:val="auto"/>
        </w:rPr>
        <w:t>outstanding shares of common stock based on (i) 34,193,666 shares outstanding as of June 30, 2019, (ii) 400,000 shares of common stock issued on August 20, 2019, pursuant to an existing stock grant agreement and (iii) shares of our common stock that we are selling in this offering, but not</w:t>
      </w:r>
    </w:p>
    <w:p>
      <w:pPr>
        <w:spacing w:after="0" w:line="1"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including any additional share issuable upon exercise of outstanding options or any exercise by the underwriters of their option to purchase additional shares. The shares that we are selling in this offering may be resold in the public market immediately without restriction, unless purchased by our affiliates.</w:t>
      </w:r>
    </w:p>
    <w:p>
      <w:pPr>
        <w:spacing w:after="0" w:line="147"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our executive officers and directors and certain of our shareholders have agreed that, subject to certain exceptions, during the period ending 90 days after the date of this prospectus supplement, in the case of us and our executive officers and directors, and 60 days after the date of this prospectus supplement, in the case of certain other of our shareholders, we and they will not offer, sell, contract to sell, pledge or otherwise dispose of, directly or indirectly, any of our common stock or securities convertible into or exchangeable or exercisable for any of our common stock, enter into a transaction that would have the same effect, or enter into any swap or other arrangement that transfers, in whole or in part, any of the economic consequences of ownership of our common stock, whether any of these transactions are to be settled by delivery of our common stock or other securities, in cash or otherwise, or publicly disclose the intention to make any offer, sale, pledge or disposition, or to enter into any transaction, swap, hedge or other arrangement, without, in each case, the prior written consent of the representatives of the underwriters, who may release any of the securities subject to these lock-up agreements at any time without notice. Exceptions to the lock-up restrictions are described in more detail in this prospectus supplement under the caption "Underwriters."</w:t>
      </w:r>
    </w:p>
    <w:p>
      <w:pPr>
        <w:spacing w:after="0" w:line="174"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These shares are eligible for sale in the public market under Rule 144 of the Securities Act, subject in certain cases to the volume limitations and other conditions of Rule 144 applicable to affiliates, after the earlier of the expiration of, or release from, the lock-up period. The holders of these shares may at any time decide to sell their shares in the public market.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Moreover, holders of an aggregate of approximately 2,950,000 shares of our common stock as of September 30, 2019, have rights, subject to some conditions, to require us to file registration statements covering their shares or to include their shares in registration statements that we may file for ourselves or other stockholders. We have also registered all shares of common stock that we may issue under our equity compensation plans. As a result, these shares can be freely sold in the public market upon issuance, subject to volume limitations applicable to affiliates and the lock-up agreements described above, to the extent applicable.</w:t>
      </w:r>
    </w:p>
    <w:p>
      <w:pPr>
        <w:spacing w:after="0" w:line="1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15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5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67"/>
        </w:trPr>
        <w:tc>
          <w:tcPr>
            <w:tcW w:w="12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8540" w:type="dxa"/>
            <w:vAlign w:val="bottom"/>
          </w:tcPr>
          <w:p>
            <w:pPr>
              <w:ind w:left="3360"/>
              <w:spacing w:after="0"/>
              <w:rPr>
                <w:sz w:val="20"/>
                <w:szCs w:val="20"/>
                <w:color w:val="auto"/>
              </w:rPr>
            </w:pPr>
            <w:r>
              <w:rPr>
                <w:rFonts w:ascii="Arial" w:cs="Arial" w:eastAsia="Arial" w:hAnsi="Arial"/>
                <w:sz w:val="18"/>
                <w:szCs w:val="18"/>
                <w:b w:val="1"/>
                <w:bCs w:val="1"/>
                <w:color w:val="auto"/>
              </w:rPr>
              <w:t>USE OF PROCEEDS</w:t>
            </w:r>
          </w:p>
        </w:tc>
        <w:tc>
          <w:tcPr>
            <w:tcW w:w="1300" w:type="dxa"/>
            <w:vAlign w:val="bottom"/>
          </w:tcPr>
          <w:p>
            <w:pPr>
              <w:spacing w:after="0"/>
              <w:rPr>
                <w:sz w:val="24"/>
                <w:szCs w:val="24"/>
                <w:color w:val="auto"/>
              </w:rPr>
            </w:pPr>
          </w:p>
        </w:tc>
      </w:tr>
      <w:tr>
        <w:trPr>
          <w:trHeight w:val="426"/>
        </w:trPr>
        <w:tc>
          <w:tcPr>
            <w:tcW w:w="10060" w:type="dxa"/>
            <w:vAlign w:val="bottom"/>
            <w:gridSpan w:val="3"/>
          </w:tcPr>
          <w:p>
            <w:pPr>
              <w:ind w:left="360"/>
              <w:spacing w:after="0"/>
              <w:rPr>
                <w:sz w:val="20"/>
                <w:szCs w:val="20"/>
                <w:color w:val="auto"/>
              </w:rPr>
            </w:pPr>
            <w:r>
              <w:rPr>
                <w:rFonts w:ascii="Arial" w:cs="Arial" w:eastAsia="Arial" w:hAnsi="Arial"/>
                <w:sz w:val="18"/>
                <w:szCs w:val="18"/>
                <w:color w:val="auto"/>
                <w:w w:val="91"/>
              </w:rPr>
              <w:t>We estimate that the net proceeds from the sale of shares of common stock to the underwriters in this offering will be approximately $</w:t>
            </w:r>
          </w:p>
        </w:tc>
        <w:tc>
          <w:tcPr>
            <w:tcW w:w="1300" w:type="dxa"/>
            <w:vAlign w:val="bottom"/>
          </w:tcPr>
          <w:p>
            <w:pPr>
              <w:ind w:left="280"/>
              <w:spacing w:after="0"/>
              <w:rPr>
                <w:sz w:val="20"/>
                <w:szCs w:val="20"/>
                <w:color w:val="auto"/>
              </w:rPr>
            </w:pPr>
            <w:r>
              <w:rPr>
                <w:rFonts w:ascii="Arial" w:cs="Arial" w:eastAsia="Arial" w:hAnsi="Arial"/>
                <w:sz w:val="18"/>
                <w:szCs w:val="18"/>
                <w:color w:val="auto"/>
              </w:rPr>
              <w:t>million</w:t>
            </w: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color w:val="auto"/>
              </w:rPr>
              <w:t>(approximately $</w:t>
            </w:r>
          </w:p>
        </w:tc>
        <w:tc>
          <w:tcPr>
            <w:tcW w:w="9840" w:type="dxa"/>
            <w:vAlign w:val="bottom"/>
            <w:gridSpan w:val="2"/>
          </w:tcPr>
          <w:p>
            <w:pPr>
              <w:ind w:left="260"/>
              <w:spacing w:after="0"/>
              <w:rPr>
                <w:sz w:val="20"/>
                <w:szCs w:val="20"/>
                <w:color w:val="auto"/>
              </w:rPr>
            </w:pPr>
            <w:r>
              <w:rPr>
                <w:rFonts w:ascii="Arial" w:cs="Arial" w:eastAsia="Arial" w:hAnsi="Arial"/>
                <w:sz w:val="18"/>
                <w:szCs w:val="18"/>
                <w:color w:val="auto"/>
                <w:w w:val="88"/>
              </w:rPr>
              <w:t>million if the underwriters' option to purchase additional shares is exercised in full), after deducting estimated offering expenses payable</w:t>
            </w:r>
          </w:p>
        </w:tc>
      </w:tr>
      <w:tr>
        <w:trPr>
          <w:trHeight w:val="222"/>
        </w:trPr>
        <w:tc>
          <w:tcPr>
            <w:tcW w:w="1520" w:type="dxa"/>
            <w:vAlign w:val="bottom"/>
            <w:gridSpan w:val="2"/>
          </w:tcPr>
          <w:p>
            <w:pPr>
              <w:spacing w:after="0"/>
              <w:rPr>
                <w:sz w:val="20"/>
                <w:szCs w:val="20"/>
                <w:color w:val="auto"/>
              </w:rPr>
            </w:pPr>
            <w:r>
              <w:rPr>
                <w:rFonts w:ascii="Arial" w:cs="Arial" w:eastAsia="Arial" w:hAnsi="Arial"/>
                <w:sz w:val="18"/>
                <w:szCs w:val="18"/>
                <w:color w:val="auto"/>
              </w:rPr>
              <w:t>by us.</w:t>
            </w:r>
          </w:p>
        </w:tc>
        <w:tc>
          <w:tcPr>
            <w:tcW w:w="8540" w:type="dxa"/>
            <w:vAlign w:val="bottom"/>
          </w:tcPr>
          <w:p>
            <w:pPr>
              <w:spacing w:after="0"/>
              <w:rPr>
                <w:sz w:val="19"/>
                <w:szCs w:val="19"/>
                <w:color w:val="auto"/>
              </w:rPr>
            </w:pPr>
          </w:p>
        </w:tc>
        <w:tc>
          <w:tcPr>
            <w:tcW w:w="1300" w:type="dxa"/>
            <w:vAlign w:val="bottom"/>
          </w:tcPr>
          <w:p>
            <w:pPr>
              <w:spacing w:after="0"/>
              <w:rPr>
                <w:sz w:val="19"/>
                <w:szCs w:val="19"/>
                <w:color w:val="auto"/>
              </w:rPr>
            </w:pPr>
          </w:p>
        </w:tc>
      </w:tr>
    </w:tbl>
    <w:p>
      <w:pPr>
        <w:spacing w:after="0" w:line="210" w:lineRule="exact"/>
        <w:rPr>
          <w:sz w:val="20"/>
          <w:szCs w:val="20"/>
          <w:color w:val="auto"/>
        </w:rPr>
      </w:pPr>
    </w:p>
    <w:p>
      <w:pPr>
        <w:ind w:right="100" w:firstLine="348"/>
        <w:spacing w:after="0" w:line="283" w:lineRule="auto"/>
        <w:rPr>
          <w:sz w:val="20"/>
          <w:szCs w:val="20"/>
          <w:color w:val="auto"/>
        </w:rPr>
      </w:pPr>
      <w:r>
        <w:rPr>
          <w:rFonts w:ascii="Arial" w:cs="Arial" w:eastAsia="Arial" w:hAnsi="Arial"/>
          <w:sz w:val="16"/>
          <w:szCs w:val="16"/>
          <w:color w:val="auto"/>
        </w:rPr>
        <w:t>We currently anticipate that we will use the net proceeds from this offering, together with our existing cash and cash equivalents, to (i) fund our ongoing pivotal stage development through regulatory submission, and clinical development in additional pediatric and adult indications for naxitamab; (ii) fund our ongoing pivotal stage development through regulatory submission, and clinical development in additional pediatric indications and expansion into adult B7-H3 positive cancers for omburtamab; (iii) fund commercial infrastructure build-out preparing for launch of both naxitamab and omburtamab; (iv) fund our lutetium-</w:t>
      </w:r>
    </w:p>
    <w:p>
      <w:pPr>
        <w:spacing w:after="0" w:line="3"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labeled B7-H3 antibody,</w:t>
      </w:r>
      <w:r>
        <w:rPr>
          <w:rFonts w:ascii="Arial" w:cs="Arial" w:eastAsia="Arial" w:hAnsi="Arial"/>
          <w:sz w:val="29"/>
          <w:szCs w:val="29"/>
          <w:color w:val="auto"/>
          <w:vertAlign w:val="superscript"/>
        </w:rPr>
        <w:t>177</w:t>
      </w:r>
      <w:r>
        <w:rPr>
          <w:rFonts w:ascii="Arial" w:cs="Arial" w:eastAsia="Arial" w:hAnsi="Arial"/>
          <w:sz w:val="18"/>
          <w:szCs w:val="18"/>
          <w:color w:val="auto"/>
        </w:rPr>
        <w:t>Lu-omburtamab-DTPA, into clinical testing in a range of pediatric and adult indications, including medulloblastoma and other B7-H3 positive cancers; (v) fund clinical development of the bi-specific huGD2-BsAb, currently in Phase 1, through Phase 2 for pediatric and adult GD2 positive solid tumors and INDs from our portfolio of BsAb product candidates, including huCD33-BsAb for pediatric acute myeloid leukemia (AML); (vi) fund ongoing and expanding clinical development through regulatory submission of our GD2-GD3 Vaccine program; (vii) fund translational science, pre-clinical research and clinical development activities related to our other product candidates, programs and in-licensing of new technologies; and (viii) the remainder for working capital and other general corporate purposes.</w:t>
      </w:r>
    </w:p>
    <w:p>
      <w:pPr>
        <w:spacing w:after="0" w:line="213"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This expected use of the net proceeds from this offering and our existing cash and cash equivalents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and commercialization efforts, the status of and results from clinical trials, any collaboration that we may enter into with third parties for our product candidates and any unforeseen cash needs. Moreover, our estimates of the costs to fund our clinical trials are based on the current designs of the trials. If we were to modify the design of any of these clinical trials, for instance, to increase the number of patients in the clinical trials, our costs to fund the clinical trials could increase.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result, our management will retain broad discretion over the allocation of the net proceeds from this offering.</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Based on our current plans, we believe that our existing cash and cash equivalents, together with the net proceeds from this offering, will be sufficient to enable us to fund our operating expenses and capital expenditure requirements through the fourth quarter of 2022. We have based this estimate on current assumptions that may change depending on numerous factors, and we could use our available capital resources sooner than we currently expect. We expect that the net proceeds from this offering and our existing cash and cash equivalents will be sufficient to enable us to complete each of our ongoing pivotal stage clinical trials for our lead product candidates, naxitamab and omburtamab. However, we do not expect that the net proceeds from this offering and our existing cash and cash equivalents will be sufficient to enable us to conduct through completion any additional clinical trials of our lead product candidates for other indications or to otherwise conduct and complete the development of our other product candidates. Accordingly, we will need to raise substantial additional funds for these purposes. We do not currently have any committed external sources of funds.</w:t>
      </w:r>
    </w:p>
    <w:p>
      <w:pPr>
        <w:spacing w:after="0" w:line="172"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jc w:val="both"/>
        <w:ind w:right="180" w:firstLine="351"/>
        <w:spacing w:after="0" w:line="294" w:lineRule="auto"/>
        <w:rPr>
          <w:sz w:val="20"/>
          <w:szCs w:val="20"/>
          <w:color w:val="auto"/>
        </w:rPr>
      </w:pPr>
      <w:r>
        <w:rPr>
          <w:rFonts w:ascii="Arial" w:cs="Arial" w:eastAsia="Arial" w:hAnsi="Arial"/>
          <w:sz w:val="16"/>
          <w:szCs w:val="16"/>
          <w:color w:val="auto"/>
        </w:rPr>
        <w:t>If you invest in this offering, your ownership interest will be diluted immediately to the extent of the difference between the public offering price per share and the as-adjusted net tangible book value per share of our common stock after giving effect to this offering. We calculate net tangible book value per share by dividing the net tangible book value, which is tangible assets less total liabilities, by the number of outstanding shares of our common stock. Dilution represents the difference between the portion of the amount per share paid by purchasers of shares in this offering and the as adjusted net tangible book value per share of our common stock immediately after giving effect to this offering.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1060" w:type="dxa"/>
            <w:vAlign w:val="bottom"/>
            <w:gridSpan w:val="11"/>
          </w:tcPr>
          <w:p>
            <w:pPr>
              <w:ind w:left="140"/>
              <w:spacing w:after="0"/>
              <w:rPr>
                <w:sz w:val="20"/>
                <w:szCs w:val="20"/>
                <w:color w:val="auto"/>
              </w:rPr>
            </w:pPr>
            <w:r>
              <w:rPr>
                <w:rFonts w:ascii="Arial" w:cs="Arial" w:eastAsia="Arial" w:hAnsi="Arial"/>
                <w:sz w:val="18"/>
                <w:szCs w:val="18"/>
                <w:color w:val="auto"/>
                <w:w w:val="89"/>
              </w:rPr>
              <w:t>Our historical net tangible book value as of June 30, 2019 was approximately $108.4 million, or $3.17 per share. After giving effect to the sale of shares of</w:t>
            </w:r>
          </w:p>
        </w:tc>
        <w:tc>
          <w:tcPr>
            <w:tcW w:w="0" w:type="dxa"/>
            <w:vAlign w:val="bottom"/>
          </w:tcPr>
          <w:p>
            <w:pPr>
              <w:spacing w:after="0"/>
              <w:rPr>
                <w:sz w:val="1"/>
                <w:szCs w:val="1"/>
                <w:color w:val="auto"/>
              </w:rPr>
            </w:pPr>
          </w:p>
        </w:tc>
      </w:tr>
      <w:tr>
        <w:trPr>
          <w:trHeight w:val="216"/>
        </w:trPr>
        <w:tc>
          <w:tcPr>
            <w:tcW w:w="8220" w:type="dxa"/>
            <w:vAlign w:val="bottom"/>
            <w:gridSpan w:val="6"/>
          </w:tcPr>
          <w:p>
            <w:pPr>
              <w:spacing w:after="0"/>
              <w:rPr>
                <w:sz w:val="20"/>
                <w:szCs w:val="20"/>
                <w:color w:val="auto"/>
              </w:rPr>
            </w:pPr>
            <w:r>
              <w:rPr>
                <w:rFonts w:ascii="Arial" w:cs="Arial" w:eastAsia="Arial" w:hAnsi="Arial"/>
                <w:sz w:val="18"/>
                <w:szCs w:val="18"/>
                <w:color w:val="auto"/>
                <w:w w:val="90"/>
              </w:rPr>
              <w:t>our common stock pursuant to this prospectus supplement and accompanying prospectus at an offering price of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4"/>
          </w:tcPr>
          <w:p>
            <w:pPr>
              <w:ind w:left="40"/>
              <w:spacing w:after="0"/>
              <w:rPr>
                <w:sz w:val="20"/>
                <w:szCs w:val="20"/>
                <w:color w:val="auto"/>
              </w:rPr>
            </w:pPr>
            <w:r>
              <w:rPr>
                <w:rFonts w:ascii="Arial" w:cs="Arial" w:eastAsia="Arial" w:hAnsi="Arial"/>
                <w:sz w:val="18"/>
                <w:szCs w:val="18"/>
                <w:color w:val="auto"/>
              </w:rPr>
              <w:t>per share and after deducting</w:t>
            </w:r>
          </w:p>
        </w:tc>
        <w:tc>
          <w:tcPr>
            <w:tcW w:w="0" w:type="dxa"/>
            <w:vAlign w:val="bottom"/>
          </w:tcPr>
          <w:p>
            <w:pPr>
              <w:spacing w:after="0"/>
              <w:rPr>
                <w:sz w:val="1"/>
                <w:szCs w:val="1"/>
                <w:color w:val="auto"/>
              </w:rPr>
            </w:pPr>
          </w:p>
        </w:tc>
      </w:tr>
      <w:tr>
        <w:trPr>
          <w:trHeight w:val="216"/>
        </w:trPr>
        <w:tc>
          <w:tcPr>
            <w:tcW w:w="11280" w:type="dxa"/>
            <w:vAlign w:val="bottom"/>
            <w:gridSpan w:val="12"/>
          </w:tcPr>
          <w:p>
            <w:pPr>
              <w:spacing w:after="0"/>
              <w:rPr>
                <w:sz w:val="20"/>
                <w:szCs w:val="20"/>
                <w:color w:val="auto"/>
              </w:rPr>
            </w:pPr>
            <w:r>
              <w:rPr>
                <w:rFonts w:ascii="Arial" w:cs="Arial" w:eastAsia="Arial" w:hAnsi="Arial"/>
                <w:sz w:val="18"/>
                <w:szCs w:val="18"/>
                <w:color w:val="auto"/>
                <w:w w:val="92"/>
              </w:rPr>
              <w:t>commissions and estimated aggregate offering expenses payable by us, our net tangible book value as of June 30, 2019 would have been approximately</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tcPr>
          <w:p>
            <w:pPr>
              <w:ind w:left="440"/>
              <w:spacing w:after="0"/>
              <w:rPr>
                <w:sz w:val="20"/>
                <w:szCs w:val="20"/>
                <w:color w:val="auto"/>
              </w:rPr>
            </w:pPr>
            <w:r>
              <w:rPr>
                <w:rFonts w:ascii="Arial" w:cs="Arial" w:eastAsia="Arial" w:hAnsi="Arial"/>
                <w:sz w:val="18"/>
                <w:szCs w:val="18"/>
                <w:color w:val="auto"/>
              </w:rPr>
              <w:t>million , or $</w:t>
            </w:r>
          </w:p>
        </w:tc>
        <w:tc>
          <w:tcPr>
            <w:tcW w:w="60" w:type="dxa"/>
            <w:vAlign w:val="bottom"/>
          </w:tcPr>
          <w:p>
            <w:pPr>
              <w:spacing w:after="0"/>
              <w:rPr>
                <w:sz w:val="18"/>
                <w:szCs w:val="18"/>
                <w:color w:val="auto"/>
              </w:rPr>
            </w:pPr>
          </w:p>
        </w:tc>
        <w:tc>
          <w:tcPr>
            <w:tcW w:w="7820" w:type="dxa"/>
            <w:vAlign w:val="bottom"/>
            <w:gridSpan w:val="8"/>
          </w:tcPr>
          <w:p>
            <w:pPr>
              <w:ind w:left="400"/>
              <w:spacing w:after="0"/>
              <w:rPr>
                <w:sz w:val="20"/>
                <w:szCs w:val="20"/>
                <w:color w:val="auto"/>
              </w:rPr>
            </w:pPr>
            <w:r>
              <w:rPr>
                <w:rFonts w:ascii="Arial" w:cs="Arial" w:eastAsia="Arial" w:hAnsi="Arial"/>
                <w:sz w:val="18"/>
                <w:szCs w:val="18"/>
                <w:color w:val="auto"/>
                <w:w w:val="91"/>
              </w:rPr>
              <w:t>per share of common stock. This represents an immediate increase in the net tangible book value of $</w:t>
            </w:r>
          </w:p>
        </w:tc>
        <w:tc>
          <w:tcPr>
            <w:tcW w:w="1740" w:type="dxa"/>
            <w:vAlign w:val="bottom"/>
          </w:tcPr>
          <w:p>
            <w:pPr>
              <w:ind w:left="220"/>
              <w:spacing w:after="0"/>
              <w:rPr>
                <w:sz w:val="20"/>
                <w:szCs w:val="20"/>
                <w:color w:val="auto"/>
              </w:rPr>
            </w:pPr>
            <w:r>
              <w:rPr>
                <w:rFonts w:ascii="Arial" w:cs="Arial" w:eastAsia="Arial" w:hAnsi="Arial"/>
                <w:sz w:val="18"/>
                <w:szCs w:val="18"/>
                <w:color w:val="auto"/>
              </w:rPr>
              <w:t>per share to our</w:t>
            </w:r>
          </w:p>
        </w:tc>
        <w:tc>
          <w:tcPr>
            <w:tcW w:w="0" w:type="dxa"/>
            <w:vAlign w:val="bottom"/>
          </w:tcPr>
          <w:p>
            <w:pPr>
              <w:spacing w:after="0"/>
              <w:rPr>
                <w:sz w:val="1"/>
                <w:szCs w:val="1"/>
                <w:color w:val="auto"/>
              </w:rPr>
            </w:pPr>
          </w:p>
        </w:tc>
      </w:tr>
      <w:tr>
        <w:trPr>
          <w:trHeight w:val="216"/>
        </w:trPr>
        <w:tc>
          <w:tcPr>
            <w:tcW w:w="5700" w:type="dxa"/>
            <w:vAlign w:val="bottom"/>
            <w:gridSpan w:val="5"/>
          </w:tcPr>
          <w:p>
            <w:pPr>
              <w:spacing w:after="0"/>
              <w:rPr>
                <w:sz w:val="20"/>
                <w:szCs w:val="20"/>
                <w:color w:val="auto"/>
              </w:rPr>
            </w:pPr>
            <w:r>
              <w:rPr>
                <w:rFonts w:ascii="Arial" w:cs="Arial" w:eastAsia="Arial" w:hAnsi="Arial"/>
                <w:sz w:val="18"/>
                <w:szCs w:val="18"/>
                <w:color w:val="auto"/>
                <w:w w:val="91"/>
              </w:rPr>
              <w:t>existing stockholders and an immediate dilution in net tangible book value of $</w:t>
            </w:r>
          </w:p>
        </w:tc>
        <w:tc>
          <w:tcPr>
            <w:tcW w:w="5580" w:type="dxa"/>
            <w:vAlign w:val="bottom"/>
            <w:gridSpan w:val="7"/>
          </w:tcPr>
          <w:p>
            <w:pPr>
              <w:ind w:left="400"/>
              <w:spacing w:after="0"/>
              <w:rPr>
                <w:sz w:val="20"/>
                <w:szCs w:val="20"/>
                <w:color w:val="auto"/>
              </w:rPr>
            </w:pPr>
            <w:r>
              <w:rPr>
                <w:rFonts w:ascii="Arial" w:cs="Arial" w:eastAsia="Arial" w:hAnsi="Arial"/>
                <w:sz w:val="18"/>
                <w:szCs w:val="18"/>
                <w:color w:val="auto"/>
                <w:w w:val="91"/>
              </w:rPr>
              <w:t>per share to new investors. The following table illustrates this per share</w:t>
            </w:r>
          </w:p>
        </w:tc>
        <w:tc>
          <w:tcPr>
            <w:tcW w:w="0" w:type="dxa"/>
            <w:vAlign w:val="bottom"/>
          </w:tcPr>
          <w:p>
            <w:pPr>
              <w:spacing w:after="0"/>
              <w:rPr>
                <w:sz w:val="1"/>
                <w:szCs w:val="1"/>
                <w:color w:val="auto"/>
              </w:rPr>
            </w:pPr>
          </w:p>
        </w:tc>
      </w:tr>
      <w:tr>
        <w:trPr>
          <w:trHeight w:val="222"/>
        </w:trPr>
        <w:tc>
          <w:tcPr>
            <w:tcW w:w="1660" w:type="dxa"/>
            <w:vAlign w:val="bottom"/>
            <w:gridSpan w:val="2"/>
          </w:tcPr>
          <w:p>
            <w:pPr>
              <w:spacing w:after="0"/>
              <w:rPr>
                <w:sz w:val="20"/>
                <w:szCs w:val="20"/>
                <w:color w:val="auto"/>
              </w:rPr>
            </w:pPr>
            <w:r>
              <w:rPr>
                <w:rFonts w:ascii="Arial" w:cs="Arial" w:eastAsia="Arial" w:hAnsi="Arial"/>
                <w:sz w:val="18"/>
                <w:szCs w:val="18"/>
                <w:color w:val="auto"/>
              </w:rPr>
              <w:t>dilution:</w:t>
            </w: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3980" w:type="dxa"/>
            <w:vAlign w:val="bottom"/>
            <w:gridSpan w:val="2"/>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3"/>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80" w:type="dxa"/>
            <w:vAlign w:val="bottom"/>
            <w:gridSpan w:val="2"/>
          </w:tcPr>
          <w:p>
            <w:pPr>
              <w:ind w:left="180"/>
              <w:spacing w:after="0"/>
              <w:rPr>
                <w:sz w:val="20"/>
                <w:szCs w:val="20"/>
                <w:color w:val="auto"/>
              </w:rPr>
            </w:pPr>
            <w:r>
              <w:rPr>
                <w:rFonts w:ascii="Arial" w:cs="Arial" w:eastAsia="Arial" w:hAnsi="Arial"/>
                <w:sz w:val="18"/>
                <w:szCs w:val="18"/>
                <w:color w:val="auto"/>
                <w:w w:val="87"/>
              </w:rPr>
              <w:t>Net tangible book value per share as of June 30, 2019</w:t>
            </w:r>
          </w:p>
        </w:tc>
        <w:tc>
          <w:tcPr>
            <w:tcW w:w="25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3.17</w:t>
            </w:r>
          </w:p>
        </w:tc>
        <w:tc>
          <w:tcPr>
            <w:tcW w:w="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5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Increase in net tangible book value per share attributable to this offering</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560" w:type="dxa"/>
            <w:vAlign w:val="bottom"/>
            <w:gridSpan w:val="4"/>
          </w:tcPr>
          <w:p>
            <w:pPr>
              <w:ind w:left="60"/>
              <w:spacing w:after="0" w:line="201" w:lineRule="exact"/>
              <w:rPr>
                <w:sz w:val="20"/>
                <w:szCs w:val="20"/>
                <w:color w:val="auto"/>
              </w:rPr>
            </w:pPr>
            <w:r>
              <w:rPr>
                <w:rFonts w:ascii="Arial" w:cs="Arial" w:eastAsia="Arial" w:hAnsi="Arial"/>
                <w:sz w:val="18"/>
                <w:szCs w:val="18"/>
                <w:color w:val="auto"/>
                <w:w w:val="89"/>
              </w:rPr>
              <w:t>As adjusted net tangible book value per share as of June 30, 2019 after giving effect to this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ind w:left="180"/>
              <w:spacing w:after="0"/>
              <w:rPr>
                <w:sz w:val="20"/>
                <w:szCs w:val="20"/>
                <w:color w:val="auto"/>
              </w:rPr>
            </w:pPr>
            <w:r>
              <w:rPr>
                <w:rFonts w:ascii="Arial" w:cs="Arial" w:eastAsia="Arial" w:hAnsi="Arial"/>
                <w:sz w:val="18"/>
                <w:szCs w:val="18"/>
                <w:color w:val="auto"/>
              </w:rPr>
              <w:t>offering</w:t>
            </w:r>
          </w:p>
        </w:tc>
        <w:tc>
          <w:tcPr>
            <w:tcW w:w="26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Dilution per share to new investors purchasing shares in this offering</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0" w:type="dxa"/>
            <w:vAlign w:val="bottom"/>
            <w:gridSpan w:val="9"/>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220" w:type="dxa"/>
            <w:vAlign w:val="bottom"/>
          </w:tcPr>
          <w:p>
            <w:pPr>
              <w:spacing w:after="0"/>
              <w:rPr>
                <w:sz w:val="24"/>
                <w:szCs w:val="24"/>
                <w:color w:val="auto"/>
              </w:rPr>
            </w:pPr>
          </w:p>
        </w:tc>
        <w:tc>
          <w:tcPr>
            <w:tcW w:w="11060" w:type="dxa"/>
            <w:vAlign w:val="bottom"/>
            <w:gridSpan w:val="11"/>
          </w:tcPr>
          <w:p>
            <w:pPr>
              <w:ind w:left="140"/>
              <w:spacing w:after="0"/>
              <w:rPr>
                <w:sz w:val="20"/>
                <w:szCs w:val="20"/>
                <w:color w:val="auto"/>
              </w:rPr>
            </w:pPr>
            <w:r>
              <w:rPr>
                <w:rFonts w:ascii="Arial" w:cs="Arial" w:eastAsia="Arial" w:hAnsi="Arial"/>
                <w:sz w:val="18"/>
                <w:szCs w:val="18"/>
                <w:color w:val="auto"/>
                <w:w w:val="88"/>
              </w:rPr>
              <w:t>If the underwriters exercise in full their option to purchase additional shares of our common stock, our adjusted net tangible book value as of June 30, 2019</w:t>
            </w:r>
          </w:p>
        </w:tc>
        <w:tc>
          <w:tcPr>
            <w:tcW w:w="0" w:type="dxa"/>
            <w:vAlign w:val="bottom"/>
          </w:tcPr>
          <w:p>
            <w:pPr>
              <w:spacing w:after="0"/>
              <w:rPr>
                <w:sz w:val="1"/>
                <w:szCs w:val="1"/>
                <w:color w:val="auto"/>
              </w:rPr>
            </w:pP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rPr>
              <w:t>would have been $</w:t>
            </w:r>
          </w:p>
        </w:tc>
        <w:tc>
          <w:tcPr>
            <w:tcW w:w="60" w:type="dxa"/>
            <w:vAlign w:val="bottom"/>
          </w:tcPr>
          <w:p>
            <w:pPr>
              <w:spacing w:after="0"/>
              <w:rPr>
                <w:sz w:val="18"/>
                <w:szCs w:val="18"/>
                <w:color w:val="auto"/>
              </w:rPr>
            </w:pPr>
          </w:p>
        </w:tc>
        <w:tc>
          <w:tcPr>
            <w:tcW w:w="1320" w:type="dxa"/>
            <w:vAlign w:val="bottom"/>
          </w:tcPr>
          <w:p>
            <w:pPr>
              <w:ind w:left="180"/>
              <w:spacing w:after="0"/>
              <w:rPr>
                <w:sz w:val="20"/>
                <w:szCs w:val="20"/>
                <w:color w:val="auto"/>
              </w:rPr>
            </w:pPr>
            <w:r>
              <w:rPr>
                <w:rFonts w:ascii="Arial" w:cs="Arial" w:eastAsia="Arial" w:hAnsi="Arial"/>
                <w:sz w:val="18"/>
                <w:szCs w:val="18"/>
                <w:color w:val="auto"/>
              </w:rPr>
              <w:t>million, or $</w:t>
            </w:r>
          </w:p>
        </w:tc>
        <w:tc>
          <w:tcPr>
            <w:tcW w:w="8240" w:type="dxa"/>
            <w:vAlign w:val="bottom"/>
            <w:gridSpan w:val="8"/>
          </w:tcPr>
          <w:p>
            <w:pPr>
              <w:ind w:left="260"/>
              <w:spacing w:after="0"/>
              <w:rPr>
                <w:sz w:val="20"/>
                <w:szCs w:val="20"/>
                <w:color w:val="auto"/>
              </w:rPr>
            </w:pPr>
            <w:r>
              <w:rPr>
                <w:rFonts w:ascii="Arial" w:cs="Arial" w:eastAsia="Arial" w:hAnsi="Arial"/>
                <w:sz w:val="18"/>
                <w:szCs w:val="18"/>
                <w:color w:val="auto"/>
                <w:w w:val="93"/>
              </w:rPr>
              <w:t>per share of common stock. This represents an immediate increase in net tangible book value per share of</w:t>
            </w:r>
          </w:p>
        </w:tc>
        <w:tc>
          <w:tcPr>
            <w:tcW w:w="0" w:type="dxa"/>
            <w:vAlign w:val="bottom"/>
          </w:tcPr>
          <w:p>
            <w:pPr>
              <w:spacing w:after="0"/>
              <w:rPr>
                <w:sz w:val="1"/>
                <w:szCs w:val="1"/>
                <w:color w:val="auto"/>
              </w:rPr>
            </w:pPr>
          </w:p>
        </w:tc>
      </w:tr>
      <w:tr>
        <w:trPr>
          <w:trHeight w:val="222"/>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5480" w:type="dxa"/>
            <w:vAlign w:val="bottom"/>
            <w:gridSpan w:val="4"/>
          </w:tcPr>
          <w:p>
            <w:pPr>
              <w:ind w:left="400"/>
              <w:spacing w:after="0"/>
              <w:rPr>
                <w:sz w:val="20"/>
                <w:szCs w:val="20"/>
                <w:color w:val="auto"/>
              </w:rPr>
            </w:pPr>
            <w:r>
              <w:rPr>
                <w:rFonts w:ascii="Arial" w:cs="Arial" w:eastAsia="Arial" w:hAnsi="Arial"/>
                <w:sz w:val="18"/>
                <w:szCs w:val="18"/>
                <w:color w:val="auto"/>
                <w:w w:val="97"/>
              </w:rPr>
              <w:t>per share to existing shareholders, and an immediate dilution of $</w:t>
            </w:r>
          </w:p>
        </w:tc>
        <w:tc>
          <w:tcPr>
            <w:tcW w:w="3840" w:type="dxa"/>
            <w:vAlign w:val="bottom"/>
            <w:gridSpan w:val="6"/>
          </w:tcPr>
          <w:p>
            <w:pPr>
              <w:jc w:val="right"/>
              <w:ind w:right="163"/>
              <w:spacing w:after="0"/>
              <w:rPr>
                <w:sz w:val="20"/>
                <w:szCs w:val="20"/>
                <w:color w:val="auto"/>
              </w:rPr>
            </w:pPr>
            <w:r>
              <w:rPr>
                <w:rFonts w:ascii="Arial" w:cs="Arial" w:eastAsia="Arial" w:hAnsi="Arial"/>
                <w:sz w:val="18"/>
                <w:szCs w:val="18"/>
                <w:color w:val="auto"/>
                <w:w w:val="90"/>
              </w:rPr>
              <w:t>per share to investors participating in this offering.</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above discussion and table are based on 34,193,666 shares of our common stock issued and outstanding as of June 30, 2019, and excludes the following:</w:t>
      </w:r>
    </w:p>
    <w:p>
      <w:pPr>
        <w:spacing w:after="0" w:line="273" w:lineRule="exact"/>
        <w:rPr>
          <w:sz w:val="20"/>
          <w:szCs w:val="20"/>
          <w:color w:val="auto"/>
        </w:rPr>
      </w:pPr>
    </w:p>
    <w:p>
      <w:pPr>
        <w:ind w:left="1080" w:right="20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3,713,873 shares of our common stock issuable upon the exercise of stock options outstanding as of June 30, 2019 under our 2015 Plan, and our 2018 Plan in the aggregate, at a weighted average exercise price of $9.06 per share;</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10,296 shares of our common stock issuable upon the settlement of unvested restricted stock units outstanding as of June 30, 2019 under our 2018 Plan;</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3,143,577 shares of our common stock available for future issuance under our 2018 Plan (no shares remain available for future issuance under the 2015 Plan);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700,000 shares of our common stock reserved for issuance under our 2018 Employee Stock Purchase Plan;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400,000 shares of our common stock issued on August 20, 2019 pursuant to an existing stock grant agreement.</w:t>
      </w:r>
    </w:p>
    <w:p>
      <w:pPr>
        <w:spacing w:after="0" w:line="225"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To the extent that any options are exercised, new equity awards are granted under our equity incentive plans, or we otherwise issue additional shares of common stock in the future, there will be further dilution to new investors.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We have not declared or paid any cash dividends on our capital stock since our inception. We currently intend to retain future earnings, if any, to finance the operation and expansion of our business and do not anticipate paying any cash dividends on our common stock in the foreseeable future. Any future determination related to our dividend policy will be made at the discretion of our board of directors and will depend on our financial condition, results of operations, capital requirements, restrictions contained in current or future financing instruments, provisions of applicable law and other factors the board deems relevant.</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MATERIAL U.S. FEDERAL TAX CONSIDERATIONS FOR NON-U.S. HOLDERS</w:t>
      </w:r>
    </w:p>
    <w:p>
      <w:pPr>
        <w:spacing w:after="0" w:line="231"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following discussion is a summary of material U.S. federal income tax considerations applicable to non-U.S. holders (as defined below) with respect to their ownership and disposition of shares of our common stock issued pursuant to this offering. For purposes of this discussion, a "non-U.S. holder" means a beneficial owner (other than a partnership or other pass-through entity or arrangement) of our common stock that is not for U.S. federal income tax purposes</w:t>
      </w:r>
    </w:p>
    <w:p>
      <w:pPr>
        <w:spacing w:after="0" w:line="174"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individual who is a citizen or resident alien of the United States;</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corporation or any other organization taxable as a corporation for U.S. federal income tax purposes, created or organized in the United States or under the laws of the United States or of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38" w:lineRule="exact"/>
        <w:rPr>
          <w:rFonts w:ascii="Arial" w:cs="Arial" w:eastAsia="Arial" w:hAnsi="Arial"/>
          <w:sz w:val="18"/>
          <w:szCs w:val="18"/>
          <w:color w:val="auto"/>
        </w:rPr>
      </w:pPr>
    </w:p>
    <w:p>
      <w:pPr>
        <w:ind w:left="1080" w:right="300" w:hanging="532"/>
        <w:spacing w:after="0" w:line="332"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trust if (i) the trust is subject to the primary supervision of a U.S. court and all substantial decisions of the trust are controlled by one or more U.S. persons or (ii) the trust has a valid election in effect under applicable U.S. Treasury regulations to be treated as a U.S. person.</w:t>
      </w:r>
    </w:p>
    <w:p>
      <w:pPr>
        <w:spacing w:after="0" w:line="139"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This discussion does not address the tax treatment of partnerships or other entities or arrangements that are pass-through entities for U.S. federal income tax purposes or persons that hold their common stock through partnerships or other pass-through entities. A partner in a partnership or other pass-through entity that will hold our common stock should consult his, her or its own tax advisor regarding the tax consequences of acquiring, holding and disposing of our common stock through a partnership or other pass-through entity, as applicable.</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such change or differing interpretation could alter the tax consequences to non-U.S. holders described in this prospectus. There can be no assurance that the Internal Revenue Service, which we refer to as the IRS, will not challenge one or more of the tax consequences described herein. We assume in this discussion that a non-U.S. holder holds shares of our common stock as a "capital asset" (generally property held for investment).</w:t>
      </w:r>
    </w:p>
    <w:p>
      <w:pPr>
        <w:spacing w:after="0" w:line="174" w:lineRule="exact"/>
        <w:rPr>
          <w:sz w:val="20"/>
          <w:szCs w:val="20"/>
          <w:color w:val="auto"/>
        </w:rPr>
      </w:pPr>
    </w:p>
    <w:p>
      <w:pPr>
        <w:ind w:right="360" w:firstLine="348"/>
        <w:spacing w:after="0" w:line="332" w:lineRule="auto"/>
        <w:rPr>
          <w:sz w:val="20"/>
          <w:szCs w:val="20"/>
          <w:color w:val="auto"/>
        </w:rPr>
      </w:pPr>
      <w:r>
        <w:rPr>
          <w:rFonts w:ascii="Arial" w:cs="Arial" w:eastAsia="Arial" w:hAnsi="Arial"/>
          <w:sz w:val="16"/>
          <w:szCs w:val="16"/>
          <w:color w:val="auto"/>
        </w:rPr>
        <w:t>This discussion does not address all aspects of U.S. federal income taxation that may be relevant to a particular non-U.S. holder in light of that non-U.S. holder's individual circumstances nor does it address any aspects of U.S. state, local or non-U.S. taxes, the alternative minimum tax, the Medicare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tax on net investment income, the gift and estate tax (except to the extent discussed below in "U.S. Federal Estate Tax") or any U.S. federal tax other than the income tax. This discussion also does not consider any specific facts or circumstances that may apply to a non-U.S. holder and does not address the special tax rules applicable to particular non-U.S. holders, such as:</w:t>
      </w:r>
    </w:p>
    <w:p>
      <w:pPr>
        <w:spacing w:after="0" w:line="208"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brokers or dealers or traders in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238"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"qualified foreign pension funds," or entities wholly owned by a "qualified foreign pension fund";</w:t>
      </w:r>
    </w:p>
    <w:p>
      <w:pPr>
        <w:spacing w:after="0" w:line="238"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or other pass-through or disregarded entities for U.S. federal income tax purposes (and partners and investors therein);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persons that have a functional currency other than the U.S. dollar;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persons that hold our common stock as part of a straddle, hedge, conversion transaction, synthetic security or other integrated investment;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persons who hold or receive our common stock pursuant to the exercise of any employee stock option or otherwise as compensation;</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persons for whom our stock constitutes "qualified small business stock" within the meaning of Section 1202 of the Code;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21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color w:val="auto"/>
        </w:rPr>
        <w:t>THIS DISCUSSION IS FOR INFORMATION PURPOSES ONLY AND IS NOT INTENDED AS LEGAL OR TAX ADVICE. INVESTORS SHOULD CONSULT THEIR OWN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our common stock</w:t>
      </w:r>
    </w:p>
    <w:p>
      <w:pPr>
        <w:spacing w:after="0" w:line="23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Distributions, if any, on our common stock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adjusted tax basis in the holder's common stock and correspondingly reduce (but not below zero) the non-U.S. holder's basis in such stock. Any remaining excess of distribution once the non-U.S. holder's adjusted tax basis is reduced to zero will be treated as capital gain, subject to the tax treatment described below in "Gain on sale or other taxable disposition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of our common stock." Any such distributions will also be subject to the discussion below under the section titled "Withholding and information reporting requirements—FATCA."</w:t>
      </w:r>
    </w:p>
    <w:p>
      <w:pPr>
        <w:spacing w:after="0" w:line="186"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color w:val="auto"/>
        </w:rPr>
        <w:t>Subject to the discussion in the following two paragraphs in this section, dividends paid to a non-U.S. holder generally will be subject to withholding of U.S. federal income tax at a 30% rate or such lower rate as may be specified by an applicable income tax treaty between the United States and such holder's country of residence to the extent such non-U.S. holder qualifies for the benefits of any such income tax treaty.</w:t>
      </w:r>
    </w:p>
    <w:p>
      <w:pPr>
        <w:spacing w:after="0" w:line="16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However, such U.S. effectively connected income, net of specified deductions and credits, is taxed at the same graduated U.S. federal income tax rates applicable to United States persons (as defined in the Code). Any U.S. effectively connected income received by a non-U.S. holder that is classified as a corporation may also, under certain circumstances, be subject to an additional "branch profits tax" at a 30% rate or such lower rate as may be specified by an applicable income tax treaty between the United States and such holder's country of residence.</w:t>
      </w:r>
    </w:p>
    <w:p>
      <w:pPr>
        <w:spacing w:after="0" w:line="172" w:lineRule="exact"/>
        <w:rPr>
          <w:sz w:val="20"/>
          <w:szCs w:val="20"/>
          <w:color w:val="auto"/>
        </w:rPr>
      </w:pPr>
    </w:p>
    <w:p>
      <w:pPr>
        <w:ind w:right="80" w:firstLine="341"/>
        <w:spacing w:after="0" w:line="291" w:lineRule="auto"/>
        <w:rPr>
          <w:sz w:val="20"/>
          <w:szCs w:val="20"/>
          <w:color w:val="auto"/>
        </w:rPr>
      </w:pPr>
      <w:r>
        <w:rPr>
          <w:rFonts w:ascii="Arial" w:cs="Arial" w:eastAsia="Arial" w:hAnsi="Arial"/>
          <w:sz w:val="16"/>
          <w:szCs w:val="16"/>
          <w:color w:val="auto"/>
        </w:rPr>
        <w:t>A non-U.S. holder of our common stock who claims the benefit of an applicable income tax treaty between the United States, and such holder's country of residence generally will be required to provide a properly executed IRS Form W-8BEN or W-8BEN-E or other applicable form (or successor form) to the applicable withholding agent and satisfy applicable certification and other requirements. Non-U.S. holders are urged to consult their tax advisors regarding their entitlement to benefits under a relevant income tax treaty. A non-U.S. holder that is eligible for a reduced rate of U.S. withholding tax under an income tax treaty may obtain a refund or credit of any excess amounts withheld by timely filing a U.S. tax return with the IRS. We are not responsible for any such non-U.S. holder's failure to provide a properly executed applicable IRS Form W-8 (or other applicable or successor form).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or other taxable disposition of our common stock</w:t>
      </w:r>
    </w:p>
    <w:p>
      <w:pPr>
        <w:spacing w:after="0" w:line="231"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Subject to the discussion below under "Withholding and information reporting requirements—FATCA," a non-U.S. holder generally will not be subject to any U.S. federal income tax on any gain realized upon such holder's sale or other taxable disposition of shares of our common stock unless:</w:t>
      </w:r>
    </w:p>
    <w:p>
      <w:pPr>
        <w:spacing w:after="0" w:line="153" w:lineRule="exact"/>
        <w:rPr>
          <w:sz w:val="20"/>
          <w:szCs w:val="20"/>
          <w:color w:val="auto"/>
        </w:rPr>
      </w:pPr>
    </w:p>
    <w:p>
      <w:pPr>
        <w:ind w:left="1080" w:right="80" w:hanging="532"/>
        <w:spacing w:after="0" w:line="298"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gain is U.S. effectively connected income and, if an applicable income tax treaty so provides, is attributable to a permanent establishment or a fixed-base maintained by such non-U.S. holder in the United States, in which case the non-U.S. holder generally will be taxed on a net income basis at the graduated U.S. federal income tax rates applicable to United States persons (as defined in the Code) and, if the non-U.S. holder is a foreign corporation, the branch profits tax described above in "Distributions on our common stock" also may apply;</w:t>
      </w:r>
    </w:p>
    <w:p>
      <w:pPr>
        <w:spacing w:after="0" w:line="193" w:lineRule="exact"/>
        <w:rPr>
          <w:rFonts w:ascii="Arial" w:cs="Arial" w:eastAsia="Arial" w:hAnsi="Arial"/>
          <w:sz w:val="16"/>
          <w:szCs w:val="16"/>
          <w:color w:val="auto"/>
        </w:rPr>
      </w:pPr>
    </w:p>
    <w:p>
      <w:pPr>
        <w:ind w:left="1080" w:right="40" w:hanging="532"/>
        <w:spacing w:after="0" w:line="294"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non-U.S. holder is a nonresident alien individual who is present in the United States for 183 days or more in the taxable year of the disposition and certain other conditions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 source capital losses of the non-U.S. holder, if any (even though the individual is not considered a resident of the United States), provided that the non-U.S. holder has timely filed U.S. federal income tax returns with respect to such losses; or</w:t>
      </w:r>
    </w:p>
    <w:p>
      <w:pPr>
        <w:spacing w:after="0" w:line="183" w:lineRule="exact"/>
        <w:rPr>
          <w:rFonts w:ascii="Arial" w:cs="Arial" w:eastAsia="Arial" w:hAnsi="Arial"/>
          <w:sz w:val="16"/>
          <w:szCs w:val="16"/>
          <w:color w:val="auto"/>
        </w:rPr>
      </w:pPr>
    </w:p>
    <w:p>
      <w:pPr>
        <w:ind w:left="1080" w:right="32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or have been, at any time during the five-year period preceding such sale of other taxable disposition (or the non-U.S. holder's holding period, if shorter) a "U.S. real property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60"/>
        <w:spacing w:after="0" w:line="307" w:lineRule="auto"/>
        <w:rPr>
          <w:sz w:val="20"/>
          <w:szCs w:val="20"/>
          <w:color w:val="auto"/>
        </w:rPr>
      </w:pPr>
      <w:r>
        <w:rPr>
          <w:rFonts w:ascii="Arial" w:cs="Arial" w:eastAsia="Arial" w:hAnsi="Arial"/>
          <w:sz w:val="15"/>
          <w:szCs w:val="15"/>
          <w:color w:val="auto"/>
        </w:rPr>
        <w:t>holding corporation," or USRPHC, unless our common stock is regularly traded on an established securities market, within the meaning of the relevant provisions of the Code, and the non-U.S. holder holds no more than 5% of our outstanding common stock, directly or indirectly, actually or constructively, during the shorter of the 5-year period ending on the date of the disposition or the period that the non-U.S. holder held our common stock. If we are determined to be a USRPHC and the foregoing exception does not apply, then the non-U.S. holder generally will be taxed on its net gain derived from the disposition at the graduated U.S. federal income tax rates applicable to United States persons (as defined in the Code), except that the branch profits tax generally will not apply. If we are a USRPHC and our common stock is not regularly traded on an established securities market, a non-U.S. holder's proceeds received on the disposition of shares will also generally be subject to withholding at a rate of 15%. Generally, a corporation is a USRPHC only if the fair market value of its U.S. real property interests equals or exceeds 50% of the sum of the fair market value of its worldwide real property interests plus its other assets used or held for use in a trade or business. Although there can be no assurance, we do not believe that we are, or have been, a USRPHC, or that we are likely to become one in the future. No assurance can be provided that our common stock will be regularly traded on an established securities market for purposes of the rules described above.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Estate Tax</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Shares of our common stock that are owned or treated as owned at the time of death by an individual who is not a citizen or resident of the United States, as specifically defined for U.S. federal estate tax purposes, are considered U.S. situs assets and will be included in the individual's gross estate for U.S. federal estate tax purposes. Such shares, therefore, may be subject to U.S. federal estate tax, unless an applicable estate tax or other treaty between the United States and such individual's country of residence provides otherwise.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must report annually to the IRS and to each non-U.S. holder the gross amount of the distributions on our common stock paid to such holder and the tax withheld, if any, with respect to such distributions. Non-U.S. holders may have to comply with specific certification procedures to establish that the holder is not a United States person (as defined in the Code) in order to avoid backup withholding at the applicable rate with respect to dividends on our common stock. Dividends paid to non-U.S. holders subject to withholding of U.S. federal income tax, as described above in "Distributions on our common stock," generally will be exempt from U.S. backup withholding. Notwithstanding the foregoing, backup withholding may apply if we have actual knowledge, or reason to know, that the non-U.S. holder is a U.S. person (as defined in the Code) that is not an exempt recipient.</w:t>
      </w:r>
    </w:p>
    <w:p>
      <w:pPr>
        <w:spacing w:after="0" w:line="17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 Copies of information returns may be made available to the tax authorities of the country in which the non-U.S.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holder resides or is incorporated under the provisions of a specific treaty or agreement. Backup withholding is not an additional tax. Any amounts withheld under the backup withholding rules from a payment to a non-U.S. holder can be refunded or credited against the non-U.S. holder's U.S. federal income tax liability, if any, provided that an appropriate claim is filed with the IRS in a timely manner.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and information reporting requirements—FATCA</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Foreign Account Tax Compliance Act, or FATCA, generally imposes a U.S. federal withholding tax at a rate of 30% on payments of dividends on, or gross proceeds from the sale or other disposition of, our common stock paid to a foreign entity unless (i) if the foreign entity is a "foreign financial institution," (as defined in the Code) such foreign entity undertakes certain due diligence, reporting, withholding, and certification obligations, (ii) if the foreign entity is not a "foreign financial institution," such foreign entity identifies certain of its U.S. investors, if any, or (iii) the foreign entity is otherwise exempt under FATCA. Such withholding may also apply to gross proceeds from the sale or other disposition of our common stock, although under recently proposed U.S. Treasury regulations, no withholding would apply to such gross proceeds. The preamble to the proposed regulations specifies that taxpayers (including withholding agents) are permitted to rely on the proposed regulations pending finalization. Under certain circumstances, a non-U.S. holder may be eligible for refunds or credits of this withholding tax. An intergovernmental agreement between the United States and an applicable foreign country may modify the requirements described in this paragraph. Non-U.S. holders should consult their tax advisors regarding the possible implications of this legislation on their investment in our common stock and the entities through which they hold our common stock, including, without limitation, the process and deadlines for meeting the applicable requirements to prevent the imposition of the 30% withholding tax under FATCA.</w:t>
      </w:r>
    </w:p>
    <w:p>
      <w:pPr>
        <w:spacing w:after="0" w:line="175" w:lineRule="exact"/>
        <w:rPr>
          <w:sz w:val="20"/>
          <w:szCs w:val="20"/>
          <w:color w:val="auto"/>
        </w:rPr>
      </w:pPr>
    </w:p>
    <w:p>
      <w:pPr>
        <w:jc w:val="both"/>
        <w:ind w:right="500" w:firstLine="351"/>
        <w:spacing w:after="0" w:line="310" w:lineRule="auto"/>
        <w:rPr>
          <w:sz w:val="20"/>
          <w:szCs w:val="20"/>
          <w:color w:val="auto"/>
        </w:rPr>
      </w:pPr>
      <w:r>
        <w:rPr>
          <w:rFonts w:ascii="Arial" w:cs="Arial" w:eastAsia="Arial" w:hAnsi="Arial"/>
          <w:sz w:val="16"/>
          <w:szCs w:val="16"/>
          <w:b w:val="1"/>
          <w:bCs w:val="1"/>
          <w:color w:val="auto"/>
        </w:rPr>
        <w:t>The preceding discussion of material U.S. federal tax considerations is for general information only. It is not tax advice. Prospective investors should consult their own tax advisors regarding the particular U.S. federal, state, local and non-U.S. tax consequences of purchasing, holding and disposing of our common stock, including the consequences of any proposed changes in applicable laws.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UNDERWRITERS</w:t>
      </w:r>
    </w:p>
    <w:p>
      <w:pPr>
        <w:spacing w:after="0" w:line="231"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Under the terms and subject to the conditions in an underwriting agreement dated the date of this prospectus supplement, the underwriters named below, for whom Morgan Stanley &amp; Co. LLC, J.P. Morgan Securities LLC and BofA Securities, Inc., are acting as representatives (the "representatives"), have severally agreed to purchase, and we have agreed to sell to them, severally, the number of shares indicated below:</w:t>
      </w:r>
    </w:p>
    <w:p>
      <w:pPr>
        <w:sectPr>
          <w:pgSz w:w="11900" w:h="16838" w:orient="portrait"/>
          <w:cols w:equalWidth="0" w:num="1">
            <w:col w:w="11420"/>
          </w:cols>
          <w:pgMar w:left="240" w:top="131" w:right="239" w:bottom="1440" w:gutter="0" w:footer="0" w:header="0"/>
        </w:sectPr>
      </w:pPr>
    </w:p>
    <w:p>
      <w:pPr>
        <w:spacing w:after="0" w:line="305" w:lineRule="exact"/>
        <w:rPr>
          <w:sz w:val="20"/>
          <w:szCs w:val="20"/>
          <w:color w:val="auto"/>
        </w:rPr>
      </w:pPr>
    </w:p>
    <w:p>
      <w:pPr>
        <w:ind w:left="1720"/>
        <w:spacing w:after="0"/>
        <w:rPr>
          <w:sz w:val="20"/>
          <w:szCs w:val="20"/>
          <w:color w:val="auto"/>
        </w:rPr>
      </w:pPr>
      <w:r>
        <w:rPr>
          <w:rFonts w:ascii="Arial" w:cs="Arial" w:eastAsia="Arial" w:hAnsi="Arial"/>
          <w:sz w:val="12"/>
          <w:szCs w:val="12"/>
          <w:b w:val="1"/>
          <w:bCs w:val="1"/>
          <w:u w:val="single" w:color="auto"/>
          <w:color w:val="auto"/>
        </w:rPr>
        <w:t>Name</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center"/>
        <w:ind w:right="2080"/>
        <w:spacing w:after="0"/>
        <w:rPr>
          <w:sz w:val="20"/>
          <w:szCs w:val="20"/>
          <w:color w:val="auto"/>
        </w:rPr>
      </w:pPr>
      <w:r>
        <w:rPr>
          <w:rFonts w:ascii="Arial" w:cs="Arial" w:eastAsia="Arial" w:hAnsi="Arial"/>
          <w:sz w:val="12"/>
          <w:szCs w:val="12"/>
          <w:b w:val="1"/>
          <w:bCs w:val="1"/>
          <w:color w:val="auto"/>
        </w:rPr>
        <w:t>Number of</w:t>
      </w:r>
    </w:p>
    <w:p>
      <w:pPr>
        <w:spacing w:after="0" w:line="24" w:lineRule="exact"/>
        <w:rPr>
          <w:sz w:val="20"/>
          <w:szCs w:val="20"/>
          <w:color w:val="auto"/>
        </w:rPr>
      </w:pPr>
    </w:p>
    <w:p>
      <w:pPr>
        <w:jc w:val="center"/>
        <w:ind w:right="2080"/>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-7620</wp:posOffset>
            </wp:positionV>
            <wp:extent cx="643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8000" w:space="720"/>
            <w:col w:w="2700"/>
          </w:cols>
          <w:pgMar w:left="240" w:top="131" w:right="239" w:bottom="1440" w:gutter="0" w:footer="0" w:header="0"/>
          <w:type w:val="continuous"/>
        </w:sectPr>
      </w:pPr>
    </w:p>
    <w:p>
      <w:pPr>
        <w:ind w:left="1720"/>
        <w:spacing w:after="0"/>
        <w:rPr>
          <w:sz w:val="20"/>
          <w:szCs w:val="20"/>
          <w:color w:val="auto"/>
        </w:rPr>
      </w:pPr>
      <w:r>
        <w:rPr>
          <w:rFonts w:ascii="Arial" w:cs="Arial" w:eastAsia="Arial" w:hAnsi="Arial"/>
          <w:sz w:val="18"/>
          <w:szCs w:val="18"/>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-130175</wp:posOffset>
            </wp:positionV>
            <wp:extent cx="496570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496570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496570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4965700" cy="14605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10795</wp:posOffset>
            </wp:positionV>
            <wp:extent cx="643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27940</wp:posOffset>
            </wp:positionV>
            <wp:extent cx="643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46"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supplement are subject to the approval of certain legal matters by their counsel and to certain other conditions. The underwriters are obligated to take and pay for all of the shares of common stock offered by this prospectus supplement if any such shares are taken. However, the underwriters are not required to take or pay for the shares covered by the underwriters' option to purchase additional shares described below.</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 this</w:t>
      </w:r>
    </w:p>
    <w:p>
      <w:pPr>
        <w:spacing w:after="0" w:line="38"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prospectus supplement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w:t>
      </w:r>
    </w:p>
    <w:p>
      <w:pPr>
        <w:spacing w:after="0" w:line="147"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have granted to the underwriters an option, exercisable for 30 days from the date of this prospectus supplement, to purchase up to $18,750,000 of additional shares of common stock at the public offering price listed on the cover page of this prospectus supplement, less underwriting discounts and commissions.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70"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$18,750,000 of shares of common stock.</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8"/>
              </w:rPr>
              <w:t>Per</w:t>
            </w:r>
          </w:p>
        </w:tc>
        <w:tc>
          <w:tcPr>
            <w:tcW w:w="620" w:type="dxa"/>
            <w:vAlign w:val="bottom"/>
          </w:tcPr>
          <w:p>
            <w:pPr>
              <w:spacing w:after="0"/>
              <w:rPr>
                <w:sz w:val="14"/>
                <w:szCs w:val="14"/>
                <w:color w:val="auto"/>
              </w:rPr>
            </w:pPr>
          </w:p>
        </w:tc>
        <w:tc>
          <w:tcPr>
            <w:tcW w:w="2820" w:type="dxa"/>
            <w:vAlign w:val="bottom"/>
            <w:gridSpan w:val="4"/>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17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20" w:type="dxa"/>
            <w:vAlign w:val="bottom"/>
            <w:tcBorders>
              <w:top w:val="single" w:sz="8" w:color="auto"/>
            </w:tcBorders>
          </w:tcPr>
          <w:p>
            <w:pPr>
              <w:jc w:val="right"/>
              <w:ind w:right="127"/>
              <w:spacing w:after="0" w:line="129" w:lineRule="exact"/>
              <w:rPr>
                <w:sz w:val="20"/>
                <w:szCs w:val="20"/>
                <w:color w:val="auto"/>
              </w:rPr>
            </w:pPr>
            <w:r>
              <w:rPr>
                <w:rFonts w:ascii="Arial" w:cs="Arial" w:eastAsia="Arial" w:hAnsi="Arial"/>
                <w:sz w:val="14"/>
                <w:szCs w:val="14"/>
                <w:b w:val="1"/>
                <w:bCs w:val="1"/>
                <w:color w:val="auto"/>
              </w:rPr>
              <w:t>No</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Full</w:t>
            </w:r>
          </w:p>
        </w:tc>
        <w:tc>
          <w:tcPr>
            <w:tcW w:w="1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Share</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7"/>
              </w:rPr>
              <w:t>Exercise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2"/>
          </w:tcPr>
          <w:p>
            <w:pPr>
              <w:jc w:val="center"/>
              <w:ind w:right="1880"/>
              <w:spacing w:after="0"/>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700" w:type="dxa"/>
            <w:vAlign w:val="bottom"/>
            <w:tcBorders>
              <w:top w:val="single" w:sz="8" w:color="auto"/>
            </w:tcBorders>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49"/>
              <w:spacing w:after="0"/>
              <w:rPr>
                <w:sz w:val="20"/>
                <w:szCs w:val="20"/>
                <w:color w:val="auto"/>
              </w:rPr>
            </w:pPr>
            <w:r>
              <w:rPr>
                <w:rFonts w:ascii="Arial" w:cs="Arial" w:eastAsia="Arial" w:hAnsi="Arial"/>
                <w:sz w:val="15"/>
                <w:szCs w:val="15"/>
                <w:color w:val="auto"/>
                <w:w w:val="71"/>
              </w:rPr>
              <w:t>$</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700" w:type="dxa"/>
            <w:vAlign w:val="bottom"/>
          </w:tcPr>
          <w:p>
            <w:pPr>
              <w:jc w:val="right"/>
              <w:ind w:right="547"/>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620" w:type="dxa"/>
            <w:vAlign w:val="bottom"/>
          </w:tcPr>
          <w:p>
            <w:pPr>
              <w:jc w:val="right"/>
              <w:ind w:right="467"/>
              <w:spacing w:after="0"/>
              <w:rPr>
                <w:sz w:val="20"/>
                <w:szCs w:val="20"/>
                <w:color w:val="auto"/>
              </w:rPr>
            </w:pPr>
            <w:r>
              <w:rPr>
                <w:rFonts w:ascii="Arial" w:cs="Arial" w:eastAsia="Arial" w:hAnsi="Arial"/>
                <w:sz w:val="15"/>
                <w:szCs w:val="15"/>
                <w:color w:val="auto"/>
                <w:w w:val="71"/>
              </w:rPr>
              <w:t>$</w:t>
            </w:r>
          </w:p>
        </w:tc>
        <w:tc>
          <w:tcPr>
            <w:tcW w:w="940" w:type="dxa"/>
            <w:vAlign w:val="bottom"/>
            <w:gridSpan w:val="3"/>
          </w:tcPr>
          <w:p>
            <w:pPr>
              <w:jc w:val="right"/>
              <w:ind w:right="549"/>
              <w:spacing w:after="0"/>
              <w:rPr>
                <w:sz w:val="20"/>
                <w:szCs w:val="20"/>
                <w:color w:val="auto"/>
              </w:rPr>
            </w:pPr>
            <w:r>
              <w:rPr>
                <w:rFonts w:ascii="Arial" w:cs="Arial" w:eastAsia="Arial" w:hAnsi="Arial"/>
                <w:sz w:val="18"/>
                <w:szCs w:val="18"/>
                <w:color w:val="auto"/>
              </w:rPr>
              <w:t>$</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700" w:type="dxa"/>
            <w:vAlign w:val="bottom"/>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ind w:right="549"/>
              <w:spacing w:after="0"/>
              <w:rPr>
                <w:sz w:val="20"/>
                <w:szCs w:val="20"/>
                <w:color w:val="auto"/>
              </w:rPr>
            </w:pPr>
            <w:r>
              <w:rPr>
                <w:rFonts w:ascii="Arial" w:cs="Arial" w:eastAsia="Arial" w:hAnsi="Arial"/>
                <w:sz w:val="18"/>
                <w:szCs w:val="18"/>
                <w:color w:val="auto"/>
              </w:rPr>
              <w:t>$</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720" w:type="dxa"/>
            <w:vAlign w:val="bottom"/>
          </w:tcPr>
          <w:p>
            <w:pPr>
              <w:spacing w:after="0"/>
              <w:rPr>
                <w:sz w:val="24"/>
                <w:szCs w:val="24"/>
                <w:color w:val="auto"/>
              </w:rPr>
            </w:pPr>
          </w:p>
        </w:tc>
        <w:tc>
          <w:tcPr>
            <w:tcW w:w="5400" w:type="dxa"/>
            <w:vAlign w:val="bottom"/>
          </w:tcPr>
          <w:p>
            <w:pPr>
              <w:ind w:left="3820"/>
              <w:spacing w:after="0"/>
              <w:rPr>
                <w:sz w:val="20"/>
                <w:szCs w:val="20"/>
                <w:color w:val="auto"/>
              </w:rPr>
            </w:pPr>
            <w:r>
              <w:rPr>
                <w:rFonts w:ascii="Arial" w:cs="Arial" w:eastAsia="Arial" w:hAnsi="Arial"/>
                <w:sz w:val="18"/>
                <w:szCs w:val="18"/>
                <w:color w:val="auto"/>
              </w:rPr>
              <w:t>S-22</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54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 estimated offering expenses payable by us, exclusive of the underwriting discounts and commissions, are approximately $450,000. We have agreed to reimburse the underwriters for expenses relating to clearance of this offering with the Financial Industry Regulatory Authority up to $35,000.</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Nasdaq Global Select Market under the trading symbol "YMAB."</w:t>
      </w:r>
    </w:p>
    <w:p>
      <w:pPr>
        <w:spacing w:after="0" w:line="225" w:lineRule="exact"/>
        <w:rPr>
          <w:sz w:val="20"/>
          <w:szCs w:val="20"/>
          <w:color w:val="auto"/>
        </w:rPr>
      </w:pPr>
    </w:p>
    <w:p>
      <w:pPr>
        <w:ind w:right="300" w:firstLine="348"/>
        <w:spacing w:after="0" w:line="298" w:lineRule="auto"/>
        <w:rPr>
          <w:sz w:val="20"/>
          <w:szCs w:val="20"/>
          <w:color w:val="auto"/>
        </w:rPr>
      </w:pPr>
      <w:r>
        <w:rPr>
          <w:rFonts w:ascii="Arial" w:cs="Arial" w:eastAsia="Arial" w:hAnsi="Arial"/>
          <w:sz w:val="16"/>
          <w:szCs w:val="16"/>
          <w:color w:val="auto"/>
        </w:rPr>
        <w:t>We and all directors, executive officers and certain stockholders have agreed that, without the prior written consent of Morgan Stanley &amp; Co. LLC, J.P. Morgan Securities LLC and BofA Securities, Inc. on behalf of the underwriters, we and they will not, and will not publicly disclose an intention to, during the period ending 90 days after the date of this prospectus supplement, in the case of us and our executive officers and directors, and 60 days after the date of this prospectus supplement in the case of certain other shareholders, (the "restricted period"):</w:t>
      </w:r>
    </w:p>
    <w:p>
      <w:pPr>
        <w:spacing w:after="0" w:line="180" w:lineRule="exact"/>
        <w:rPr>
          <w:sz w:val="20"/>
          <w:szCs w:val="20"/>
          <w:color w:val="auto"/>
        </w:rPr>
      </w:pPr>
    </w:p>
    <w:p>
      <w:pPr>
        <w:ind w:left="1080" w:right="20" w:hanging="532"/>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221"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199"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86" w:lineRule="exact"/>
        <w:rPr>
          <w:sz w:val="20"/>
          <w:szCs w:val="20"/>
          <w:color w:val="auto"/>
        </w:rPr>
      </w:pPr>
    </w:p>
    <w:p>
      <w:pPr>
        <w:jc w:val="both"/>
        <w:ind w:right="80" w:firstLine="351"/>
        <w:spacing w:after="0" w:line="298" w:lineRule="auto"/>
        <w:rPr>
          <w:sz w:val="20"/>
          <w:szCs w:val="20"/>
          <w:color w:val="auto"/>
        </w:rPr>
      </w:pPr>
      <w:r>
        <w:rPr>
          <w:rFonts w:ascii="Arial" w:cs="Arial" w:eastAsia="Arial" w:hAnsi="Arial"/>
          <w:sz w:val="16"/>
          <w:szCs w:val="16"/>
          <w:color w:val="auto"/>
        </w:rPr>
        <w:t>whether any such transaction described above is to be settled by delivery of common stock or such other securities, in cash or otherwise. In addition, we and each such person agrees that, without the prior written consent of Morgan Stanley &amp; Co. LLC, J.P. Morgan Securities LLC and BofA Securities, Inc.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restrictions described in the immediately preceding paragraph do not apply to:</w:t>
      </w:r>
    </w:p>
    <w:p>
      <w:pPr>
        <w:spacing w:after="0" w:line="23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sale of shares to the underwriters;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issuance by us of shares of common stock upon the exercise of an option or a warrant or the conversion of a security outstanding on the date of this prospectus supplement of which the underwriters have been advised in writing;</w:t>
      </w:r>
    </w:p>
    <w:p>
      <w:pPr>
        <w:spacing w:after="0" w:line="199" w:lineRule="exact"/>
        <w:rPr>
          <w:rFonts w:ascii="Arial" w:cs="Arial" w:eastAsia="Arial" w:hAnsi="Arial"/>
          <w:sz w:val="18"/>
          <w:szCs w:val="18"/>
          <w:color w:val="auto"/>
        </w:rPr>
      </w:pPr>
    </w:p>
    <w:p>
      <w:pPr>
        <w:ind w:left="1080" w:right="460" w:hanging="532"/>
        <w:spacing w:after="0" w:line="306"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transactions by any person other than us relating to shares of common stock or other securities acquired in open market transactions after the completion of the offering of the shares; provided that no filing under Section 16(a) of the Exchange Act, is required or voluntarily made in connection with subsequent sales of the common stock or other securities acquired in such open market transactions;</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establishment of a trading plan pursuant to Rule 10b5-1 under the Exchange Act for the transfer of shares of common stock, provided that</w:t>
      </w:r>
    </w:p>
    <w:p>
      <w:pPr>
        <w:spacing w:after="0" w:line="38" w:lineRule="exact"/>
        <w:rPr>
          <w:rFonts w:ascii="Arial" w:cs="Arial" w:eastAsia="Arial" w:hAnsi="Arial"/>
          <w:sz w:val="16"/>
          <w:szCs w:val="16"/>
          <w:color w:val="auto"/>
        </w:rPr>
      </w:pPr>
    </w:p>
    <w:p>
      <w:pPr>
        <w:ind w:left="1080" w:right="180"/>
        <w:spacing w:after="0" w:line="302" w:lineRule="auto"/>
        <w:rPr>
          <w:rFonts w:ascii="Arial" w:cs="Arial" w:eastAsia="Arial" w:hAnsi="Arial"/>
          <w:sz w:val="16"/>
          <w:szCs w:val="16"/>
          <w:color w:val="auto"/>
        </w:rPr>
      </w:pPr>
      <w:r>
        <w:rPr>
          <w:rFonts w:ascii="Arial" w:cs="Arial" w:eastAsia="Arial" w:hAnsi="Arial"/>
          <w:sz w:val="16"/>
          <w:szCs w:val="16"/>
          <w:color w:val="auto"/>
        </w:rPr>
        <w:t>(i) such plan does not provide for the transfer of common stock during the restricted period and (ii) to the extent a public announcement or filing under the Exchange Act, if any, is required or voluntarily made regarding the establishment of such plan, such announcement or filing shall include a statement to the effect that no transfer of common stock may be made under such plan during the restricted period;</w:t>
      </w:r>
    </w:p>
    <w:p>
      <w:pPr>
        <w:spacing w:after="0" w:line="190" w:lineRule="exact"/>
        <w:rPr>
          <w:rFonts w:ascii="Arial" w:cs="Arial" w:eastAsia="Arial" w:hAnsi="Arial"/>
          <w:sz w:val="16"/>
          <w:szCs w:val="16"/>
          <w:color w:val="auto"/>
        </w:rPr>
      </w:pPr>
    </w:p>
    <w:p>
      <w:pPr>
        <w:ind w:left="108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sale, transfer or other disposition pursuant to any trading plan pursuant to Rule 10b5-1 existing on the date hereof, provided that to the extent a filing under the Exchange Act, if any, is required in connection with such sale, transfer or other disposition, such filing shall include a</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statement to the effect that the sale, transfer or other disposition was made pursuant to such existing 10b5-1 trading plan; or</w:t>
      </w:r>
    </w:p>
    <w:p>
      <w:pPr>
        <w:spacing w:after="0" w:line="239" w:lineRule="exact"/>
        <w:rPr>
          <w:sz w:val="20"/>
          <w:szCs w:val="20"/>
          <w:color w:val="auto"/>
        </w:rPr>
      </w:pPr>
    </w:p>
    <w:p>
      <w:pPr>
        <w:ind w:left="1080" w:right="440" w:hanging="532"/>
        <w:spacing w:after="0" w:line="370" w:lineRule="auto"/>
        <w:tabs>
          <w:tab w:leader="none" w:pos="10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transactions pursuant to the pledge by Thomas Gad, our Founder, Chairman, President and Head of Business Development, of up to 450,000 shares of Common Stock as collateral or security pursuant to a personal line of credit, and any transfer upon foreclosure upon such shares.</w:t>
      </w:r>
    </w:p>
    <w:p>
      <w:pPr>
        <w:spacing w:after="0" w:line="116"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Morgan Stanley &amp; Co. LLC, J.P. Morgan Securities LLC and BofA Securities, Inc., in their sole discretion, may release the common stock and other securities subject to the lock-up agreements described above in whole or in part at any time.</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The underwriters can close out a covered short sale by exercising the option or purchasing shares in the open market. In determining the source of shares to close out a covered short sale, the underwriters will consider, among other things, the open market price of shares compared to the price available under the option. The underwriters may also sell shares in excess of the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 prospectus supplement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97"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67"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instruments and may at any time hold, or recommend to clients that they acquire, long or short positions in such securities and instruments.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In relation to each Member State of the European Economic Area (each, a "Member State"), no offer of shares may be made to the public in that Member State other than:</w:t>
      </w:r>
    </w:p>
    <w:p>
      <w:pPr>
        <w:spacing w:after="0" w:line="19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25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representatives; or</w:t>
      </w:r>
    </w:p>
    <w:p>
      <w:pPr>
        <w:spacing w:after="0" w:line="199" w:lineRule="exact"/>
        <w:rPr>
          <w:rFonts w:ascii="Arial" w:cs="Arial" w:eastAsia="Arial" w:hAnsi="Arial"/>
          <w:sz w:val="18"/>
          <w:szCs w:val="18"/>
          <w:color w:val="auto"/>
        </w:rPr>
      </w:pPr>
    </w:p>
    <w:p>
      <w:pPr>
        <w:ind w:left="1080" w:hanging="532"/>
        <w:spacing w:after="0" w:line="323" w:lineRule="auto"/>
        <w:tabs>
          <w:tab w:leader="none" w:pos="10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 any other circumstances falling within Article 1(4) of the Prospectus Regulation, provided that no such offer of shares shall require us or any of our representatives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representatives and us that it is a "qualified investor" as defined in the Prospectus Regulation.</w:t>
      </w:r>
    </w:p>
    <w:p>
      <w:pPr>
        <w:spacing w:after="0" w:line="152"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the case of any shares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representatives has been obtained to each such proposed offer or resale.</w:t>
      </w:r>
    </w:p>
    <w:p>
      <w:pPr>
        <w:spacing w:after="0" w:line="170"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Member State means the communication in any form and by means of sufficient information on the terms of the offer and the shares to be offered so as to enable an investor to decide to purchase shares, the expression "Prospectus Regulation" means Regulation (EU) 2017/1129 (as amended).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United Kingdom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underwriter has represented and agreed that:</w:t>
      </w:r>
    </w:p>
    <w:p>
      <w:pPr>
        <w:spacing w:after="0" w:line="239" w:lineRule="exact"/>
        <w:rPr>
          <w:sz w:val="20"/>
          <w:szCs w:val="20"/>
          <w:color w:val="auto"/>
        </w:rPr>
      </w:pPr>
    </w:p>
    <w:p>
      <w:pPr>
        <w:ind w:left="1080" w:right="80" w:hanging="532"/>
        <w:spacing w:after="0" w:line="256"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224"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225" w:lineRule="exact"/>
        <w:rPr>
          <w:sz w:val="20"/>
          <w:szCs w:val="20"/>
          <w:color w:val="auto"/>
        </w:rPr>
      </w:pPr>
    </w:p>
    <w:p>
      <w:pPr>
        <w:ind w:right="640" w:firstLine="348"/>
        <w:spacing w:after="0" w:line="370" w:lineRule="auto"/>
        <w:rPr>
          <w:sz w:val="20"/>
          <w:szCs w:val="20"/>
          <w:color w:val="auto"/>
        </w:rPr>
      </w:pPr>
      <w:r>
        <w:rPr>
          <w:rFonts w:ascii="Arial" w:cs="Arial" w:eastAsia="Arial" w:hAnsi="Arial"/>
          <w:sz w:val="15"/>
          <w:szCs w:val="15"/>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86"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7" w:lineRule="exact"/>
        <w:rPr>
          <w:sz w:val="20"/>
          <w:szCs w:val="20"/>
          <w:color w:val="auto"/>
        </w:rPr>
      </w:pPr>
    </w:p>
    <w:p>
      <w:pPr>
        <w:jc w:val="both"/>
        <w:ind w:right="400" w:firstLine="351"/>
        <w:spacing w:after="0" w:line="259"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225"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70" w:lineRule="exact"/>
        <w:rPr>
          <w:sz w:val="20"/>
          <w:szCs w:val="20"/>
          <w:color w:val="auto"/>
        </w:rPr>
      </w:pPr>
    </w:p>
    <w:p>
      <w:pPr>
        <w:ind w:right="300" w:firstLine="351"/>
        <w:spacing w:after="0" w:line="255"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Dubai International Financial Centre</w:t>
      </w:r>
    </w:p>
    <w:p>
      <w:pPr>
        <w:spacing w:after="0" w:line="225"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 purchase, and this prospectus or any other document or material in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connection with the offer or sale, or invitation for subscription or purchase, of the shares,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239" w:lineRule="exact"/>
        <w:rPr>
          <w:sz w:val="20"/>
          <w:szCs w:val="20"/>
          <w:color w:val="auto"/>
        </w:rPr>
      </w:pPr>
    </w:p>
    <w:p>
      <w:pPr>
        <w:ind w:left="1080" w:right="80" w:hanging="532"/>
        <w:spacing w:after="0" w:line="33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6" w:lineRule="exact"/>
        <w:rPr>
          <w:rFonts w:ascii="Arial" w:cs="Arial" w:eastAsia="Arial" w:hAnsi="Arial"/>
          <w:sz w:val="16"/>
          <w:szCs w:val="16"/>
          <w:color w:val="auto"/>
        </w:rPr>
      </w:pPr>
    </w:p>
    <w:p>
      <w:pPr>
        <w:ind w:left="1080" w:right="10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86"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208" w:lineRule="exact"/>
        <w:rPr>
          <w:sz w:val="20"/>
          <w:szCs w:val="20"/>
          <w:color w:val="auto"/>
        </w:rPr>
      </w:pPr>
    </w:p>
    <w:p>
      <w:pPr>
        <w:ind w:left="1080" w:right="12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specified in Section 276(7) of the SFA.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225"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common stock.</w:t>
      </w:r>
    </w:p>
    <w:p>
      <w:pPr>
        <w:spacing w:after="0" w:line="139"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Accordingly, the shares of common stock have not been, directly or indirectly, offered or sold and will not be, directly or indirectly, offered or sold in Japan or to, or for the benefit of, any resident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Qualified Institutional Investors ("QII")</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For Non-QII Investors</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97"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97"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67" w:lineRule="exact"/>
        <w:rPr>
          <w:sz w:val="20"/>
          <w:szCs w:val="20"/>
          <w:color w:val="auto"/>
        </w:rPr>
      </w:pPr>
    </w:p>
    <w:p>
      <w:pPr>
        <w:ind w:right="400" w:firstLine="348"/>
        <w:spacing w:after="0" w:line="256"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validity of the shares of common stock offered hereby will be passed upon for us by Satterlee Stephens LLP, New York, New York. Certain legal matters with respect to this offering will be passed upon for the underwriters by Shearman &amp; Sterling LLP.</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60" w:firstLine="348"/>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The financial statements incorporated in this prospectus supplement by reference to the </w:t>
      </w:r>
      <w:hyperlink r:id="rId15">
        <w:r>
          <w:rPr>
            <w:rFonts w:ascii="Arial" w:cs="Arial" w:eastAsia="Arial" w:hAnsi="Arial"/>
            <w:sz w:val="18"/>
            <w:szCs w:val="18"/>
            <w:u w:val="single" w:color="auto"/>
            <w:color w:val="0000EE"/>
          </w:rPr>
          <w:t>Annual Report on Form 10-K for the year ended December 31, 2018</w:t>
        </w:r>
      </w:hyperlink>
      <w:r>
        <w:rPr>
          <w:rFonts w:ascii="Arial" w:cs="Arial" w:eastAsia="Arial" w:hAnsi="Arial"/>
          <w:sz w:val="18"/>
          <w:szCs w:val="18"/>
          <w:color w:val="auto"/>
        </w:rPr>
        <w:t xml:space="preserve"> have been so incorporated in reliance on the report of PricewaterhouseCoopers LLP, an independent registered public accounting firm, given on the authority of said firm as experts in auditing and accounting.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file annual, quarterly and current reports, proxy statements and other information with the SEC pursuant to the reporting and information requirements of the Exchange Act. Our SEC filings are available to the public over the Internet at the SEC's website at http://www.sec.gov. Copies of certain information filed by us with the SEC are also available on our website at www.ymabs.com. Information contained on our website is not incorporated by reference into this prospectus and, therefore, is not part of this prospectus or any prospectus supplement. In addition, we will furnish a full statement of the relative rights and preferences of each class or series of our stock which has been so designated and any restrictions on the ownership or transfer of our stock to any shareholder upon request and without charge. Written requests for such copies should be directed to Y-mAbs Therapeutics, Inc., 230 Park Avenue, Suite 3350, New York, NY 10169, or by telephone request to (646) 885-8505.</w:t>
      </w:r>
    </w:p>
    <w:p>
      <w:pPr>
        <w:spacing w:after="0" w:line="172"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This prospectus supplement is part of a registration statement that we filed with the SEC. The registration statement contains more information than this prospectus supplement and the accompanying prospectus regarding us and the securities, including certain exhibits and schedules. You can obtain a copy of the registration statement from the SEC's website.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The SEC allows us to incorporate by reference the information and reports we file with it into this prospectus supplement and the accompanying prospectus, which means that we can disclose important information to you by referring you to these documents. The information incorporated by reference is an important part of this prospectus supplement and the accompanying prospectus, and information that we file later with the SEC will automatically update and supersede the information already incorporated by reference. We are incorporating by reference the documents listed below, which we have already filed with the SEC (other than those documents or the portions of those documents not deemed to be filed), and any future filings (other than current reports furnished under Item 2.02 or Item 7.01 of Form 8-K and exhibits filed in such forms that are related to such items unless such Form 8-K expressly provides to the contrary) we make with the SEC under Sections 13(a), 13(c), 14 or 15(d) of the Exchange Act, including all filings made after the date of the filing of this registration statement and prior to the effectiveness of this registration statement, except as to any portion of any future report or document that is furnished and not deemed filed under such provisions, until we sell all of the securities:</w:t>
      </w:r>
    </w:p>
    <w:p>
      <w:pPr>
        <w:spacing w:after="0" w:line="187"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0000EE"/>
        </w:rPr>
      </w:pPr>
      <w:hyperlink r:id="rId15">
        <w:r>
          <w:rPr>
            <w:rFonts w:ascii="Arial" w:cs="Arial" w:eastAsia="Arial" w:hAnsi="Arial"/>
            <w:sz w:val="18"/>
            <w:szCs w:val="18"/>
            <w:u w:val="single" w:color="auto"/>
            <w:color w:val="0000EE"/>
          </w:rPr>
          <w:t>our Annual Report on Form 10-K for the year ended December 31, 2018, filed with the SEC on March 22, 2019</w:t>
        </w:r>
      </w:hyperlink>
      <w:r>
        <w:rPr>
          <w:rFonts w:ascii="Arial" w:cs="Arial" w:eastAsia="Arial" w:hAnsi="Arial"/>
          <w:sz w:val="18"/>
          <w:szCs w:val="18"/>
          <w:color w:val="000000"/>
        </w:rPr>
        <w:t>;</w:t>
      </w:r>
    </w:p>
    <w:p>
      <w:pPr>
        <w:spacing w:after="0" w:line="252" w:lineRule="exact"/>
        <w:rPr>
          <w:rFonts w:ascii="Arial" w:cs="Arial" w:eastAsia="Arial" w:hAnsi="Arial"/>
          <w:sz w:val="18"/>
          <w:szCs w:val="18"/>
          <w:color w:val="0000EE"/>
        </w:rPr>
      </w:pPr>
    </w:p>
    <w:p>
      <w:pPr>
        <w:ind w:left="1080" w:right="420" w:hanging="532"/>
        <w:spacing w:after="0" w:line="268" w:lineRule="auto"/>
        <w:tabs>
          <w:tab w:leader="none" w:pos="1080" w:val="left"/>
        </w:tabs>
        <w:numPr>
          <w:ilvl w:val="0"/>
          <w:numId w:val="22"/>
        </w:numPr>
        <w:rPr>
          <w:rFonts w:ascii="Arial" w:cs="Arial" w:eastAsia="Arial" w:hAnsi="Arial"/>
          <w:sz w:val="18"/>
          <w:szCs w:val="18"/>
          <w:color w:val="0000EE"/>
        </w:rPr>
      </w:pPr>
      <w:r>
        <w:rPr>
          <w:rFonts w:ascii="Arial" w:cs="Arial" w:eastAsia="Arial" w:hAnsi="Arial"/>
          <w:sz w:val="18"/>
          <w:szCs w:val="18"/>
          <w:color w:val="auto"/>
        </w:rPr>
        <w:t xml:space="preserve">the information specifically incorporated by reference into our </w:t>
      </w:r>
      <w:hyperlink r:id="rId15">
        <w:r>
          <w:rPr>
            <w:rFonts w:ascii="Arial" w:cs="Arial" w:eastAsia="Arial" w:hAnsi="Arial"/>
            <w:sz w:val="18"/>
            <w:szCs w:val="18"/>
            <w:u w:val="single" w:color="auto"/>
            <w:color w:val="0000EE"/>
          </w:rPr>
          <w:t>Annual Report on Form 10-K for the year ended December 31, 2018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from our </w:t>
      </w:r>
      <w:hyperlink r:id="rId57">
        <w:r>
          <w:rPr>
            <w:rFonts w:ascii="Arial" w:cs="Arial" w:eastAsia="Arial" w:hAnsi="Arial"/>
            <w:sz w:val="18"/>
            <w:szCs w:val="18"/>
            <w:u w:val="single" w:color="auto"/>
            <w:color w:val="0000EE"/>
          </w:rPr>
          <w:t>Definitive Proxy Statement on Schedule 14A, filed with the SEC on April 30, 2019</w:t>
        </w:r>
      </w:hyperlink>
      <w:r>
        <w:rPr>
          <w:rFonts w:ascii="Arial" w:cs="Arial" w:eastAsia="Arial" w:hAnsi="Arial"/>
          <w:sz w:val="18"/>
          <w:szCs w:val="18"/>
          <w:color w:val="000000"/>
        </w:rPr>
        <w:t>;</w:t>
      </w:r>
    </w:p>
    <w:p>
      <w:pPr>
        <w:spacing w:after="0" w:line="186"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S-29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740" w:hanging="532"/>
        <w:spacing w:after="0" w:line="268" w:lineRule="auto"/>
        <w:tabs>
          <w:tab w:leader="none" w:pos="1080" w:val="left"/>
        </w:tabs>
        <w:numPr>
          <w:ilvl w:val="0"/>
          <w:numId w:val="23"/>
        </w:numPr>
        <w:rPr>
          <w:rFonts w:ascii="Arial" w:cs="Arial" w:eastAsia="Arial" w:hAnsi="Arial"/>
          <w:sz w:val="18"/>
          <w:szCs w:val="18"/>
          <w:color w:val="0000EE"/>
        </w:rPr>
      </w:pPr>
      <w:r>
        <w:rPr>
          <w:rFonts w:ascii="Arial" w:cs="Arial" w:eastAsia="Arial" w:hAnsi="Arial"/>
          <w:sz w:val="18"/>
          <w:szCs w:val="18"/>
          <w:color w:val="auto"/>
        </w:rPr>
        <w:t xml:space="preserve">our Quarterly Reports on Form 10-Q for the quarters ended March 31, 2019 and June 30, 2019, filed with the SEC on </w:t>
      </w:r>
      <w:hyperlink r:id="rId59">
        <w:r>
          <w:rPr>
            <w:rFonts w:ascii="Arial" w:cs="Arial" w:eastAsia="Arial" w:hAnsi="Arial"/>
            <w:sz w:val="18"/>
            <w:szCs w:val="18"/>
            <w:u w:val="single" w:color="auto"/>
            <w:color w:val="0000EE"/>
          </w:rPr>
          <w:t>May 10,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6">
        <w:r>
          <w:rPr>
            <w:rFonts w:ascii="Arial" w:cs="Arial" w:eastAsia="Arial" w:hAnsi="Arial"/>
            <w:sz w:val="18"/>
            <w:szCs w:val="18"/>
            <w:u w:val="single" w:color="auto"/>
            <w:color w:val="0000EE"/>
          </w:rPr>
          <w:t>August 14, 2019</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respectively;</w:t>
      </w:r>
    </w:p>
    <w:p>
      <w:pPr>
        <w:spacing w:after="0" w:line="212" w:lineRule="exact"/>
        <w:rPr>
          <w:rFonts w:ascii="Arial" w:cs="Arial" w:eastAsia="Arial" w:hAnsi="Arial"/>
          <w:sz w:val="18"/>
          <w:szCs w:val="18"/>
          <w:color w:val="0000EE"/>
        </w:rPr>
      </w:pPr>
    </w:p>
    <w:p>
      <w:pPr>
        <w:ind w:left="1080" w:right="84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60">
        <w:r>
          <w:rPr>
            <w:rFonts w:ascii="Arial" w:cs="Arial" w:eastAsia="Arial" w:hAnsi="Arial"/>
            <w:sz w:val="18"/>
            <w:szCs w:val="18"/>
            <w:u w:val="single" w:color="auto"/>
            <w:color w:val="0000EE"/>
          </w:rPr>
          <w:t>April 30, 2019</w:t>
        </w:r>
      </w:hyperlink>
      <w:r>
        <w:rPr>
          <w:rFonts w:ascii="Arial" w:cs="Arial" w:eastAsia="Arial" w:hAnsi="Arial"/>
          <w:sz w:val="18"/>
          <w:szCs w:val="18"/>
          <w:color w:val="auto"/>
        </w:rPr>
        <w:t xml:space="preserve">, </w:t>
      </w:r>
      <w:hyperlink r:id="rId61">
        <w:r>
          <w:rPr>
            <w:rFonts w:ascii="Arial" w:cs="Arial" w:eastAsia="Arial" w:hAnsi="Arial"/>
            <w:sz w:val="18"/>
            <w:szCs w:val="18"/>
            <w:u w:val="single" w:color="auto"/>
            <w:color w:val="0000EE"/>
          </w:rPr>
          <w:t>June 6,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62">
        <w:r>
          <w:rPr>
            <w:rFonts w:ascii="Arial" w:cs="Arial" w:eastAsia="Arial" w:hAnsi="Arial"/>
            <w:sz w:val="18"/>
            <w:szCs w:val="18"/>
            <w:u w:val="single" w:color="auto"/>
            <w:color w:val="0000EE"/>
          </w:rPr>
          <w:t>September 19,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each case, except for information contained therein which is furnished rather than filed);</w:t>
      </w:r>
    </w:p>
    <w:p>
      <w:pPr>
        <w:spacing w:after="0" w:line="199" w:lineRule="exact"/>
        <w:rPr>
          <w:rFonts w:ascii="Arial" w:cs="Arial" w:eastAsia="Arial" w:hAnsi="Arial"/>
          <w:sz w:val="18"/>
          <w:szCs w:val="18"/>
          <w:color w:val="auto"/>
        </w:rPr>
      </w:pPr>
    </w:p>
    <w:p>
      <w:pPr>
        <w:ind w:left="1080" w:right="340" w:hanging="532"/>
        <w:spacing w:after="0" w:line="259" w:lineRule="auto"/>
        <w:tabs>
          <w:tab w:leader="none" w:pos="1080" w:val="left"/>
        </w:tabs>
        <w:numPr>
          <w:ilvl w:val="0"/>
          <w:numId w:val="23"/>
        </w:numPr>
        <w:rPr>
          <w:rFonts w:ascii="Arial" w:cs="Arial" w:eastAsia="Arial" w:hAnsi="Arial"/>
          <w:sz w:val="18"/>
          <w:szCs w:val="18"/>
          <w:color w:val="0000EE"/>
        </w:rPr>
      </w:pPr>
      <w:hyperlink r:id="rId63">
        <w:r>
          <w:rPr>
            <w:rFonts w:ascii="Arial" w:cs="Arial" w:eastAsia="Arial" w:hAnsi="Arial"/>
            <w:sz w:val="18"/>
            <w:szCs w:val="18"/>
            <w:u w:val="single" w:color="auto"/>
            <w:color w:val="0000EE"/>
          </w:rPr>
          <w:t>the description of our common stock contained in our registration statement on Form 8-A (Registration No. 001-38650) filed with the SEC on</w:t>
        </w:r>
      </w:hyperlink>
      <w:r>
        <w:rPr>
          <w:rFonts w:ascii="Arial" w:cs="Arial" w:eastAsia="Arial" w:hAnsi="Arial"/>
          <w:sz w:val="18"/>
          <w:szCs w:val="18"/>
          <w:u w:val="single" w:color="auto"/>
          <w:color w:val="0000EE"/>
        </w:rPr>
        <w:t xml:space="preserve"> </w:t>
      </w:r>
      <w:hyperlink r:id="rId63">
        <w:r>
          <w:rPr>
            <w:rFonts w:ascii="Arial" w:cs="Arial" w:eastAsia="Arial" w:hAnsi="Arial"/>
            <w:sz w:val="18"/>
            <w:szCs w:val="18"/>
            <w:u w:val="single" w:color="auto"/>
            <w:color w:val="0000EE"/>
          </w:rPr>
          <w:t>September 11, 2018 under Section 12(b) of the Exchange Act, including any amendments or reports filed for the purpose of updating such</w:t>
        </w:r>
      </w:hyperlink>
      <w:r>
        <w:rPr>
          <w:rFonts w:ascii="Arial" w:cs="Arial" w:eastAsia="Arial" w:hAnsi="Arial"/>
          <w:sz w:val="18"/>
          <w:szCs w:val="18"/>
          <w:u w:val="single" w:color="auto"/>
          <w:color w:val="0000EE"/>
        </w:rPr>
        <w:t xml:space="preserve"> </w:t>
      </w:r>
      <w:hyperlink r:id="rId63">
        <w:r>
          <w:rPr>
            <w:rFonts w:ascii="Arial" w:cs="Arial" w:eastAsia="Arial" w:hAnsi="Arial"/>
            <w:sz w:val="18"/>
            <w:szCs w:val="18"/>
            <w:u w:val="single" w:color="auto"/>
            <w:color w:val="0000EE"/>
          </w:rPr>
          <w:t>description</w:t>
        </w:r>
        <w:r>
          <w:rPr>
            <w:rFonts w:ascii="Arial" w:cs="Arial" w:eastAsia="Arial" w:hAnsi="Arial"/>
            <w:sz w:val="18"/>
            <w:szCs w:val="18"/>
            <w:color w:val="000000"/>
          </w:rPr>
          <w:t>; and</w:t>
        </w:r>
      </w:hyperlink>
    </w:p>
    <w:p>
      <w:pPr>
        <w:spacing w:after="0" w:line="207" w:lineRule="exact"/>
        <w:rPr>
          <w:rFonts w:ascii="Arial" w:cs="Arial" w:eastAsia="Arial" w:hAnsi="Arial"/>
          <w:sz w:val="18"/>
          <w:szCs w:val="18"/>
          <w:color w:val="0000EE"/>
        </w:rPr>
      </w:pPr>
    </w:p>
    <w:p>
      <w:pPr>
        <w:ind w:left="1080" w:right="20" w:hanging="532"/>
        <w:spacing w:after="0" w:line="335" w:lineRule="auto"/>
        <w:tabs>
          <w:tab w:leader="none" w:pos="10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all reports and other documents subsequently filed by us pursuant to Sections 13(a), 13(c), 14 and 15(d) of the Exchange Act after the date of this prospectus supplement and prior to the termination or completion of the offering of securities under this prospectus supplement shall be deemed to be incorporated by reference in this prospectus supplement and to be a part hereof from the date of filing such reports and other documents.</w:t>
      </w:r>
    </w:p>
    <w:p>
      <w:pPr>
        <w:spacing w:after="0" w:line="142" w:lineRule="exact"/>
        <w:rPr>
          <w:rFonts w:ascii="Arial" w:cs="Arial" w:eastAsia="Arial" w:hAnsi="Arial"/>
          <w:sz w:val="18"/>
          <w:szCs w:val="18"/>
          <w:u w:val="single" w:color="auto"/>
          <w:color w:val="0000EE"/>
        </w:rPr>
      </w:pPr>
    </w:p>
    <w:p>
      <w:pPr>
        <w:ind w:left="360"/>
        <w:spacing w:after="0"/>
        <w:rPr>
          <w:sz w:val="20"/>
          <w:szCs w:val="20"/>
          <w:color w:val="auto"/>
        </w:rPr>
      </w:pPr>
      <w:r>
        <w:rPr>
          <w:rFonts w:ascii="Arial" w:cs="Arial" w:eastAsia="Arial" w:hAnsi="Arial"/>
          <w:sz w:val="18"/>
          <w:szCs w:val="18"/>
          <w:color w:val="auto"/>
        </w:rPr>
        <w:t>The SEC file number for each of the documents listed above is 001-38650.</w:t>
      </w:r>
    </w:p>
    <w:p>
      <w:pPr>
        <w:spacing w:after="0" w:line="225" w:lineRule="exact"/>
        <w:rPr>
          <w:rFonts w:ascii="Arial" w:cs="Arial" w:eastAsia="Arial" w:hAnsi="Arial"/>
          <w:sz w:val="18"/>
          <w:szCs w:val="18"/>
          <w:u w:val="single" w:color="auto"/>
          <w:color w:val="0000EE"/>
        </w:rPr>
      </w:pPr>
    </w:p>
    <w:p>
      <w:pPr>
        <w:ind w:right="200" w:firstLine="341"/>
        <w:spacing w:after="0" w:line="291" w:lineRule="auto"/>
        <w:rPr>
          <w:sz w:val="20"/>
          <w:szCs w:val="20"/>
          <w:color w:val="auto"/>
        </w:rPr>
      </w:pPr>
      <w:r>
        <w:rPr>
          <w:rFonts w:ascii="Arial" w:cs="Arial" w:eastAsia="Arial" w:hAnsi="Arial"/>
          <w:sz w:val="16"/>
          <w:szCs w:val="16"/>
          <w:color w:val="auto"/>
        </w:rPr>
        <w:t>Any statement contained in this prospectus supplement, the accompanying prospectus or in a document incorporated or deemed to be incorporated by reference into this prospectus supplement or the accompanying prospectus will be deemed to be modified or superseded for purposes of this prospectus supplement and the accompanying prospectus to the extent that a statement contained in this prospectus supplement, the accompanying prospectus or any other subsequently filed document that is deemed to be incorporated by reference into this prospectus supplement or the accompanying prospectus modifies or supersedes the statement. Any statement so modified or superseded will not be deemed, except as so modified or superseded, to constitute a part of this prospectus supplement and the accompanying prospectus.</w:t>
      </w:r>
    </w:p>
    <w:p>
      <w:pPr>
        <w:spacing w:after="0" w:line="174" w:lineRule="exact"/>
        <w:rPr>
          <w:rFonts w:ascii="Arial" w:cs="Arial" w:eastAsia="Arial" w:hAnsi="Arial"/>
          <w:sz w:val="18"/>
          <w:szCs w:val="18"/>
          <w:u w:val="single" w:color="auto"/>
          <w:color w:val="0000EE"/>
        </w:rPr>
      </w:pPr>
    </w:p>
    <w:p>
      <w:pPr>
        <w:ind w:right="40" w:firstLine="351"/>
        <w:spacing w:after="0" w:line="294" w:lineRule="auto"/>
        <w:rPr>
          <w:sz w:val="20"/>
          <w:szCs w:val="20"/>
          <w:color w:val="auto"/>
        </w:rPr>
      </w:pPr>
      <w:r>
        <w:rPr>
          <w:rFonts w:ascii="Arial" w:cs="Arial" w:eastAsia="Arial" w:hAnsi="Arial"/>
          <w:sz w:val="16"/>
          <w:szCs w:val="16"/>
          <w:color w:val="auto"/>
        </w:rPr>
        <w:t>Upon request, we will provide, without charge, to each person, including any beneficial owner, to whom a copy of this prospectus supplement is delivered, a copy of the documents incorporated by reference into this prospectus supplement and the accompanying prospectus but not delivered with the prospectus supplement or the accompanying prospectus. You may request a copy of these filings, and any exhibits we have specifically incorporated by reference as an exhibit in this prospectus supplement and the accompanying prospectus, at no cost by writing or telephoning us at the following address: Y-mAbs Therapeutics, Inc., 230 Park Avenue, Suite 3350, New York, NY 10169, Attention: Secretary or by telephone request to (646) 885-8505.</w:t>
      </w:r>
    </w:p>
    <w:p>
      <w:pPr>
        <w:spacing w:after="0" w:line="170" w:lineRule="exact"/>
        <w:rPr>
          <w:rFonts w:ascii="Arial" w:cs="Arial" w:eastAsia="Arial" w:hAnsi="Arial"/>
          <w:sz w:val="18"/>
          <w:szCs w:val="18"/>
          <w:u w:val="single" w:color="auto"/>
          <w:color w:val="0000EE"/>
        </w:rPr>
      </w:pPr>
    </w:p>
    <w:p>
      <w:pPr>
        <w:ind w:right="180" w:firstLine="348"/>
        <w:spacing w:after="0" w:line="268" w:lineRule="auto"/>
        <w:rPr>
          <w:sz w:val="20"/>
          <w:szCs w:val="20"/>
          <w:color w:val="auto"/>
        </w:rPr>
      </w:pPr>
      <w:r>
        <w:rPr>
          <w:rFonts w:ascii="Arial" w:cs="Arial" w:eastAsia="Arial" w:hAnsi="Arial"/>
          <w:sz w:val="18"/>
          <w:szCs w:val="18"/>
          <w:color w:val="auto"/>
        </w:rPr>
        <w:t>This prospectus supplement and the accompanying prospectus is part of a registration statement we filed with the SEC. We have incorporated exhibits into this registration statement. You should read the exhibits carefully for provisions that may be important to you.</w:t>
      </w:r>
    </w:p>
    <w:p>
      <w:pPr>
        <w:spacing w:after="0" w:line="186" w:lineRule="exact"/>
        <w:rPr>
          <w:rFonts w:ascii="Arial" w:cs="Arial" w:eastAsia="Arial" w:hAnsi="Arial"/>
          <w:sz w:val="18"/>
          <w:szCs w:val="18"/>
          <w:u w:val="single" w:color="auto"/>
          <w:color w:val="0000EE"/>
        </w:rPr>
      </w:pPr>
    </w:p>
    <w:p>
      <w:pPr>
        <w:ind w:firstLine="345"/>
        <w:spacing w:after="0" w:line="255" w:lineRule="auto"/>
        <w:rPr>
          <w:sz w:val="20"/>
          <w:szCs w:val="20"/>
          <w:color w:val="auto"/>
        </w:rPr>
      </w:pPr>
      <w:r>
        <w:rPr>
          <w:rFonts w:ascii="Arial" w:cs="Arial" w:eastAsia="Arial" w:hAnsi="Arial"/>
          <w:sz w:val="18"/>
          <w:szCs w:val="18"/>
          <w:color w:val="auto"/>
        </w:rPr>
        <w:t>You should rely only on the information incorporated by reference or provided in this prospectus supplement and accompanying prospectus. We have not, and the underwriters have not, authorized anyone to provide you with different information. We and the underwriters are not making an offer of these securities in any jurisdiction where the offer is not permitted. You should not assume that the information in this prospectus supplement or the accompanying prospectus or in the documents incorporated by reference is accurate as of any date other than the date on the front of this prospectus supplement, the accompanying prospectus or those documents.</w:t>
      </w:r>
    </w:p>
    <w:p>
      <w:pPr>
        <w:spacing w:after="0" w:line="197" w:lineRule="exact"/>
        <w:rPr>
          <w:rFonts w:ascii="Arial" w:cs="Arial" w:eastAsia="Arial" w:hAnsi="Arial"/>
          <w:sz w:val="18"/>
          <w:szCs w:val="18"/>
          <w:u w:val="single" w:color="auto"/>
          <w:color w:val="0000EE"/>
        </w:rPr>
      </w:pPr>
    </w:p>
    <w:p>
      <w:pPr>
        <w:jc w:val="center"/>
        <w:ind w:right="-39"/>
        <w:spacing w:after="0"/>
        <w:rPr>
          <w:sz w:val="20"/>
          <w:szCs w:val="20"/>
          <w:color w:val="auto"/>
        </w:rPr>
      </w:pPr>
      <w:r>
        <w:rPr>
          <w:rFonts w:ascii="Arial" w:cs="Arial" w:eastAsia="Arial" w:hAnsi="Arial"/>
          <w:sz w:val="18"/>
          <w:szCs w:val="18"/>
          <w:color w:val="auto"/>
        </w:rPr>
        <w:t>S-30</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2303145</wp:posOffset>
            </wp:positionH>
            <wp:positionV relativeFrom="paragraph">
              <wp:posOffset>152400</wp:posOffset>
            </wp:positionV>
            <wp:extent cx="2649855" cy="9347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2649855"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$300,000,000</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Common Stock</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Preferred Stock</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Debt Securities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Warrants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Units</w:t>
      </w:r>
    </w:p>
    <w:p>
      <w:pPr>
        <w:spacing w:after="0" w:line="216" w:lineRule="exact"/>
        <w:rPr>
          <w:sz w:val="20"/>
          <w:szCs w:val="20"/>
          <w:color w:val="auto"/>
        </w:rPr>
      </w:pPr>
    </w:p>
    <w:p>
      <w:pPr>
        <w:jc w:val="both"/>
        <w:ind w:right="80" w:firstLine="348"/>
        <w:spacing w:after="0" w:line="303" w:lineRule="auto"/>
        <w:rPr>
          <w:sz w:val="20"/>
          <w:szCs w:val="20"/>
          <w:color w:val="auto"/>
        </w:rPr>
      </w:pPr>
      <w:r>
        <w:rPr>
          <w:rFonts w:ascii="Arial" w:cs="Arial" w:eastAsia="Arial" w:hAnsi="Arial"/>
          <w:sz w:val="15"/>
          <w:szCs w:val="15"/>
          <w:color w:val="auto"/>
        </w:rPr>
        <w:t>We may from time to time issue, in one or more series, classes or combination, up to $300,000,000 in aggregate principal amount of the securities described in this prospectus in one or more offerings. We may offer these securities separately or together in units. We will specify in the applicable prospectus supplement the terms of the securities being offered. We may also authorize one or more free writing prospectuses to be provided to you in connection with these offerings.</w:t>
      </w:r>
    </w:p>
    <w:p>
      <w:pPr>
        <w:spacing w:after="0" w:line="1"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The prospectus supplement and any related free writing prospectus may also add, update or change information contained in this prospectus. See "Plan of Distribution" below for additional information on how we may conduct sales of our common stock.</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securities offered by us in this prospectus may be sold directly to investors, to or through underwriters and also to other purchasers or through agents.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We will set forth the names of any underwriters or agents, and any fees, conversions or discount arrangements, in the applicable prospectus supplement.</w:t>
      </w:r>
    </w:p>
    <w:p>
      <w:pPr>
        <w:spacing w:after="0" w:line="242" w:lineRule="exact"/>
        <w:rPr>
          <w:sz w:val="20"/>
          <w:szCs w:val="20"/>
          <w:color w:val="auto"/>
        </w:rPr>
      </w:pPr>
    </w:p>
    <w:p>
      <w:pPr>
        <w:ind w:right="440" w:firstLine="345"/>
        <w:spacing w:after="0" w:line="268" w:lineRule="auto"/>
        <w:rPr>
          <w:sz w:val="20"/>
          <w:szCs w:val="20"/>
          <w:color w:val="auto"/>
        </w:rPr>
      </w:pPr>
      <w:r>
        <w:rPr>
          <w:rFonts w:ascii="Arial" w:cs="Arial" w:eastAsia="Arial" w:hAnsi="Arial"/>
          <w:sz w:val="18"/>
          <w:szCs w:val="18"/>
          <w:color w:val="auto"/>
        </w:rPr>
        <w:t>You should carefully read this prospectus, any prospectus supplement or amendment and any related free writing prospectus, as well as any documents incorporated by reference, before you invest in our securities.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This prospectus may not be used to consummate a sale of any securities unless accompanied by a prospectus supplement.</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Our common stock is listed on the Nasdaq Global Select Market under the symbol "YMAB." On September 26, 2019, the closing price for our common stock, as reported on the Nasdaq Global Select Market, was $26.98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123190</wp:posOffset>
            </wp:positionV>
            <wp:extent cx="18954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351"/>
        <w:spacing w:after="0" w:line="239" w:lineRule="auto"/>
        <w:rPr>
          <w:sz w:val="20"/>
          <w:szCs w:val="20"/>
          <w:color w:val="auto"/>
        </w:rPr>
      </w:pPr>
      <w:r>
        <w:rPr>
          <w:rFonts w:ascii="Arial" w:cs="Arial" w:eastAsia="Arial" w:hAnsi="Arial"/>
          <w:sz w:val="22"/>
          <w:szCs w:val="22"/>
          <w:b w:val="1"/>
          <w:bCs w:val="1"/>
          <w:color w:val="auto"/>
        </w:rPr>
        <w:t>Investing in our securities involves a high degree of risk. You should review carefully the risks and uncertainties described under the heading "Risk Factors" contained in this prospectus beginning on page 2 of this prospectus and similar section contained in any applicable prospectus supplement, and under similar headings in the other documents that are incorporated by reference into this prospectus.</w:t>
      </w:r>
    </w:p>
    <w:p>
      <w:pPr>
        <w:spacing w:after="0" w:line="194" w:lineRule="exact"/>
        <w:rPr>
          <w:sz w:val="20"/>
          <w:szCs w:val="20"/>
          <w:color w:val="auto"/>
        </w:rPr>
      </w:pPr>
    </w:p>
    <w:p>
      <w:pPr>
        <w:ind w:right="860" w:firstLine="351"/>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90805</wp:posOffset>
            </wp:positionV>
            <wp:extent cx="18954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date of this prospectus is October 15,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560" w:type="dxa"/>
            <w:vAlign w:val="bottom"/>
            <w:gridSpan w:val="16"/>
            <w:vMerge w:val="restart"/>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ABOUT THIS PROSPECTUS</w:t>
              </w:r>
            </w:hyperlink>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8560" w:type="dxa"/>
            <w:vAlign w:val="bottom"/>
            <w:gridSpan w:val="16"/>
            <w:vMerge w:val="continue"/>
          </w:tcPr>
          <w:p>
            <w:pPr>
              <w:spacing w:after="0"/>
              <w:rPr>
                <w:sz w:val="14"/>
                <w:szCs w:val="14"/>
                <w:color w:val="auto"/>
              </w:rPr>
            </w:pPr>
          </w:p>
        </w:tc>
        <w:tc>
          <w:tcPr>
            <w:tcW w:w="420" w:type="dxa"/>
            <w:vAlign w:val="bottom"/>
            <w:gridSpan w:val="3"/>
          </w:tcPr>
          <w:p>
            <w:pPr>
              <w:jc w:val="right"/>
              <w:spacing w:after="0" w:line="170" w:lineRule="exact"/>
              <w:rPr>
                <w:rFonts w:ascii="Arial" w:cs="Arial" w:eastAsia="Arial" w:hAnsi="Arial"/>
                <w:sz w:val="18"/>
                <w:szCs w:val="18"/>
                <w:color w:val="0000EE"/>
              </w:rPr>
            </w:pPr>
            <w:hyperlink w:anchor="page37">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196"/>
        </w:trPr>
        <w:tc>
          <w:tcPr>
            <w:tcW w:w="21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6380" w:type="dxa"/>
            <w:vAlign w:val="bottom"/>
            <w:gridSpan w:val="8"/>
          </w:tcPr>
          <w:p>
            <w:pPr>
              <w:spacing w:after="0"/>
              <w:rPr>
                <w:sz w:val="17"/>
                <w:szCs w:val="17"/>
                <w:color w:val="auto"/>
              </w:rPr>
            </w:pPr>
          </w:p>
        </w:tc>
        <w:tc>
          <w:tcPr>
            <w:tcW w:w="320" w:type="dxa"/>
            <w:vAlign w:val="bottom"/>
            <w:gridSpan w:val="2"/>
          </w:tcPr>
          <w:p>
            <w:pPr>
              <w:spacing w:after="0"/>
              <w:rPr>
                <w:sz w:val="17"/>
                <w:szCs w:val="17"/>
                <w:color w:val="auto"/>
              </w:rPr>
            </w:pPr>
          </w:p>
        </w:tc>
        <w:tc>
          <w:tcPr>
            <w:tcW w:w="10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2</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w:anchor="page39">
              <w:r>
                <w:rPr>
                  <w:rFonts w:ascii="Arial" w:cs="Arial" w:eastAsia="Arial" w:hAnsi="Arial"/>
                  <w:sz w:val="18"/>
                  <w:szCs w:val="18"/>
                  <w:color w:val="0000EE"/>
                  <w:w w:val="93"/>
                </w:rPr>
                <w:t>CAUTIONARY STATEMENT REGARDING FORWARD-LOOKING STATEMENTS</w:t>
              </w:r>
            </w:hyperlink>
          </w:p>
        </w:tc>
        <w:tc>
          <w:tcPr>
            <w:tcW w:w="2360" w:type="dxa"/>
            <w:vAlign w:val="bottom"/>
          </w:tcPr>
          <w:p>
            <w:pPr>
              <w:spacing w:after="0"/>
              <w:rPr>
                <w:sz w:val="17"/>
                <w:szCs w:val="17"/>
                <w:color w:val="auto"/>
              </w:rPr>
            </w:pPr>
          </w:p>
        </w:tc>
        <w:tc>
          <w:tcPr>
            <w:tcW w:w="32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3</w:t>
              </w:r>
            </w:hyperlink>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41">
              <w:r>
                <w:rPr>
                  <w:rFonts w:ascii="Arial" w:cs="Arial" w:eastAsia="Arial" w:hAnsi="Arial"/>
                  <w:sz w:val="18"/>
                  <w:szCs w:val="18"/>
                  <w:color w:val="0000EE"/>
                  <w:w w:val="93"/>
                </w:rPr>
                <w:t>THE COMPANY</w:t>
              </w:r>
            </w:hyperlink>
          </w:p>
        </w:tc>
        <w:tc>
          <w:tcPr>
            <w:tcW w:w="7300" w:type="dxa"/>
            <w:vAlign w:val="bottom"/>
            <w:gridSpan w:val="13"/>
          </w:tcPr>
          <w:p>
            <w:pPr>
              <w:spacing w:after="0"/>
              <w:rPr>
                <w:sz w:val="17"/>
                <w:szCs w:val="17"/>
                <w:color w:val="auto"/>
              </w:rPr>
            </w:pPr>
          </w:p>
        </w:tc>
        <w:tc>
          <w:tcPr>
            <w:tcW w:w="32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5</w:t>
              </w:r>
            </w:hyperlink>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USE OF PROCEEDS</w:t>
              </w:r>
            </w:hyperlink>
          </w:p>
        </w:tc>
        <w:tc>
          <w:tcPr>
            <w:tcW w:w="7000" w:type="dxa"/>
            <w:vAlign w:val="bottom"/>
            <w:gridSpan w:val="11"/>
          </w:tcPr>
          <w:p>
            <w:pPr>
              <w:spacing w:after="0"/>
              <w:rPr>
                <w:sz w:val="17"/>
                <w:szCs w:val="17"/>
                <w:color w:val="auto"/>
              </w:rPr>
            </w:pPr>
          </w:p>
        </w:tc>
        <w:tc>
          <w:tcPr>
            <w:tcW w:w="32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6</w:t>
              </w:r>
            </w:hyperlink>
          </w:p>
        </w:tc>
        <w:tc>
          <w:tcPr>
            <w:tcW w:w="0" w:type="dxa"/>
            <w:vAlign w:val="bottom"/>
          </w:tcPr>
          <w:p>
            <w:pPr>
              <w:spacing w:after="0"/>
              <w:rPr>
                <w:sz w:val="1"/>
                <w:szCs w:val="1"/>
                <w:color w:val="auto"/>
              </w:rPr>
            </w:pPr>
          </w:p>
        </w:tc>
      </w:tr>
      <w:tr>
        <w:trPr>
          <w:trHeight w:val="196"/>
        </w:trPr>
        <w:tc>
          <w:tcPr>
            <w:tcW w:w="8560" w:type="dxa"/>
            <w:vAlign w:val="bottom"/>
            <w:gridSpan w:val="16"/>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SECURITIES WE MAY OFFER</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16"/>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CAPITAL STOCK</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49">
              <w:r>
                <w:rPr>
                  <w:rFonts w:ascii="Arial" w:cs="Arial" w:eastAsia="Arial" w:hAnsi="Arial"/>
                  <w:sz w:val="18"/>
                  <w:szCs w:val="18"/>
                  <w:color w:val="0000EE"/>
                  <w:w w:val="92"/>
                </w:rPr>
                <w:t>DESCRIPTION OF DEBT SECURITIES</w:t>
              </w:r>
            </w:hyperlink>
          </w:p>
        </w:tc>
        <w:tc>
          <w:tcPr>
            <w:tcW w:w="558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13</w:t>
              </w:r>
            </w:hyperlink>
          </w:p>
        </w:tc>
        <w:tc>
          <w:tcPr>
            <w:tcW w:w="0" w:type="dxa"/>
            <w:vAlign w:val="bottom"/>
          </w:tcPr>
          <w:p>
            <w:pPr>
              <w:spacing w:after="0"/>
              <w:rPr>
                <w:sz w:val="1"/>
                <w:szCs w:val="1"/>
                <w:color w:val="auto"/>
              </w:rPr>
            </w:pPr>
          </w:p>
        </w:tc>
      </w:tr>
      <w:tr>
        <w:trPr>
          <w:trHeight w:val="196"/>
        </w:trPr>
        <w:tc>
          <w:tcPr>
            <w:tcW w:w="8560" w:type="dxa"/>
            <w:vAlign w:val="bottom"/>
            <w:gridSpan w:val="16"/>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DESCRIPTION OF WARRANTS</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196"/>
        </w:trPr>
        <w:tc>
          <w:tcPr>
            <w:tcW w:w="19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59">
              <w:r>
                <w:rPr>
                  <w:rFonts w:ascii="Arial" w:cs="Arial" w:eastAsia="Arial" w:hAnsi="Arial"/>
                  <w:sz w:val="18"/>
                  <w:szCs w:val="18"/>
                  <w:color w:val="0000EE"/>
                  <w:w w:val="92"/>
                </w:rPr>
                <w:t>DESCRIPTION OF UNITS</w:t>
              </w:r>
            </w:hyperlink>
          </w:p>
        </w:tc>
        <w:tc>
          <w:tcPr>
            <w:tcW w:w="440" w:type="dxa"/>
            <w:vAlign w:val="bottom"/>
            <w:tcBorders>
              <w:top w:val="single" w:sz="8" w:color="0000EE"/>
            </w:tcBorders>
            <w:gridSpan w:val="4"/>
          </w:tcPr>
          <w:p>
            <w:pPr>
              <w:spacing w:after="0"/>
              <w:rPr>
                <w:sz w:val="17"/>
                <w:szCs w:val="17"/>
                <w:color w:val="auto"/>
              </w:rPr>
            </w:pPr>
          </w:p>
        </w:tc>
        <w:tc>
          <w:tcPr>
            <w:tcW w:w="6140" w:type="dxa"/>
            <w:vAlign w:val="bottom"/>
            <w:gridSpan w:val="6"/>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23</w:t>
              </w:r>
            </w:hyperlink>
          </w:p>
        </w:tc>
        <w:tc>
          <w:tcPr>
            <w:tcW w:w="0" w:type="dxa"/>
            <w:vAlign w:val="bottom"/>
          </w:tcPr>
          <w:p>
            <w:pPr>
              <w:spacing w:after="0"/>
              <w:rPr>
                <w:sz w:val="1"/>
                <w:szCs w:val="1"/>
                <w:color w:val="auto"/>
              </w:rPr>
            </w:pPr>
          </w:p>
        </w:tc>
      </w:tr>
      <w:tr>
        <w:trPr>
          <w:trHeight w:val="196"/>
        </w:trPr>
        <w:tc>
          <w:tcPr>
            <w:tcW w:w="29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60">
              <w:r>
                <w:rPr>
                  <w:rFonts w:ascii="Arial" w:cs="Arial" w:eastAsia="Arial" w:hAnsi="Arial"/>
                  <w:sz w:val="18"/>
                  <w:szCs w:val="18"/>
                  <w:color w:val="0000EE"/>
                  <w:w w:val="92"/>
                </w:rPr>
                <w:t>LEGAL OWNERSHIP OF SECURITIES</w:t>
              </w:r>
            </w:hyperlink>
          </w:p>
        </w:tc>
        <w:tc>
          <w:tcPr>
            <w:tcW w:w="560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24</w:t>
              </w:r>
            </w:hyperlink>
          </w:p>
        </w:tc>
        <w:tc>
          <w:tcPr>
            <w:tcW w:w="0" w:type="dxa"/>
            <w:vAlign w:val="bottom"/>
          </w:tcPr>
          <w:p>
            <w:pPr>
              <w:spacing w:after="0"/>
              <w:rPr>
                <w:sz w:val="1"/>
                <w:szCs w:val="1"/>
                <w:color w:val="auto"/>
              </w:rPr>
            </w:pPr>
          </w:p>
        </w:tc>
      </w:tr>
      <w:tr>
        <w:trPr>
          <w:trHeight w:val="196"/>
        </w:trPr>
        <w:tc>
          <w:tcPr>
            <w:tcW w:w="8560" w:type="dxa"/>
            <w:vAlign w:val="bottom"/>
            <w:gridSpan w:val="16"/>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PLAN OF DISTRIBUTION</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196"/>
        </w:trPr>
        <w:tc>
          <w:tcPr>
            <w:tcW w:w="20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LEGAL MATTERS</w:t>
              </w:r>
            </w:hyperlink>
          </w:p>
        </w:tc>
        <w:tc>
          <w:tcPr>
            <w:tcW w:w="6560" w:type="dxa"/>
            <w:vAlign w:val="bottom"/>
            <w:gridSpan w:val="9"/>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31</w:t>
              </w:r>
            </w:hyperlink>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7">
              <w:r>
                <w:rPr>
                  <w:rFonts w:ascii="Arial" w:cs="Arial" w:eastAsia="Arial" w:hAnsi="Arial"/>
                  <w:sz w:val="18"/>
                  <w:szCs w:val="18"/>
                  <w:color w:val="0000EE"/>
                  <w:w w:val="88"/>
                </w:rPr>
                <w:t>EXPERTS</w:t>
              </w:r>
            </w:hyperlink>
          </w:p>
        </w:tc>
        <w:tc>
          <w:tcPr>
            <w:tcW w:w="660" w:type="dxa"/>
            <w:vAlign w:val="bottom"/>
            <w:tcBorders>
              <w:top w:val="single" w:sz="8" w:color="0000EE"/>
            </w:tcBorders>
            <w:gridSpan w:val="3"/>
          </w:tcPr>
          <w:p>
            <w:pPr>
              <w:spacing w:after="0"/>
              <w:rPr>
                <w:sz w:val="17"/>
                <w:szCs w:val="17"/>
                <w:color w:val="auto"/>
              </w:rPr>
            </w:pPr>
          </w:p>
        </w:tc>
        <w:tc>
          <w:tcPr>
            <w:tcW w:w="7140" w:type="dxa"/>
            <w:vAlign w:val="bottom"/>
            <w:gridSpan w:val="12"/>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31</w:t>
              </w:r>
            </w:hyperlink>
          </w:p>
        </w:tc>
        <w:tc>
          <w:tcPr>
            <w:tcW w:w="0" w:type="dxa"/>
            <w:vAlign w:val="bottom"/>
          </w:tcPr>
          <w:p>
            <w:pPr>
              <w:spacing w:after="0"/>
              <w:rPr>
                <w:sz w:val="1"/>
                <w:szCs w:val="1"/>
                <w:color w:val="auto"/>
              </w:rPr>
            </w:pPr>
          </w:p>
        </w:tc>
      </w:tr>
      <w:tr>
        <w:trPr>
          <w:trHeight w:val="196"/>
        </w:trPr>
        <w:tc>
          <w:tcPr>
            <w:tcW w:w="374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w:anchor="page67">
              <w:r>
                <w:rPr>
                  <w:rFonts w:ascii="Arial" w:cs="Arial" w:eastAsia="Arial" w:hAnsi="Arial"/>
                  <w:sz w:val="18"/>
                  <w:szCs w:val="18"/>
                  <w:color w:val="0000EE"/>
                  <w:w w:val="95"/>
                </w:rPr>
                <w:t>WHERE YOU CAN FIND MORE INFORMATION</w:t>
              </w:r>
            </w:hyperlink>
          </w:p>
        </w:tc>
        <w:tc>
          <w:tcPr>
            <w:tcW w:w="482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31</w:t>
              </w:r>
            </w:hyperlink>
          </w:p>
        </w:tc>
        <w:tc>
          <w:tcPr>
            <w:tcW w:w="0" w:type="dxa"/>
            <w:vAlign w:val="bottom"/>
          </w:tcPr>
          <w:p>
            <w:pPr>
              <w:spacing w:after="0"/>
              <w:rPr>
                <w:sz w:val="1"/>
                <w:szCs w:val="1"/>
                <w:color w:val="auto"/>
              </w:rPr>
            </w:pPr>
          </w:p>
        </w:tc>
      </w:tr>
      <w:tr>
        <w:trPr>
          <w:trHeight w:val="196"/>
        </w:trPr>
        <w:tc>
          <w:tcPr>
            <w:tcW w:w="280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68">
              <w:r>
                <w:rPr>
                  <w:rFonts w:ascii="Arial" w:cs="Arial" w:eastAsia="Arial" w:hAnsi="Arial"/>
                  <w:sz w:val="18"/>
                  <w:szCs w:val="18"/>
                  <w:color w:val="0000EE"/>
                  <w:w w:val="92"/>
                </w:rPr>
                <w:t>INCORPORATION BY REFERENCE</w:t>
              </w:r>
            </w:hyperlink>
          </w:p>
        </w:tc>
        <w:tc>
          <w:tcPr>
            <w:tcW w:w="5760" w:type="dxa"/>
            <w:vAlign w:val="bottom"/>
            <w:gridSpan w:val="5"/>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32</w:t>
              </w:r>
            </w:hyperlink>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jc w:val="both"/>
        <w:ind w:right="520" w:firstLine="348"/>
        <w:spacing w:after="0" w:line="259"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the SEC, using a "shelf" registration process. Under this shelf registration process, we may from time to time sell any combination of the securities described in this prospectus in one or more offerings for an aggregate offering price of up to $300,000,000.</w:t>
      </w:r>
    </w:p>
    <w:p>
      <w:pPr>
        <w:spacing w:after="0" w:line="194"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This prospectus provides you with a general description of the securities we may offer. Each time we sell securities under this prospectus, we will provide one or more prospectus supplements that will contain specific information about the terms of the offering. The prospectus supplement and any related free writing prospectus that we may authorize to be provided to you may also add, update or change information contained in this prospectus. You should read this prospectus, any applicable prospectus supplement and any related free writing prospectus, together with the additional information described under the heading "Where You Can Find More Information" beginning on page 31 of this prospectus and "Incorporation by Reference" beginning on page 32 of this prospectus, before investing in any of the securities offered.</w:t>
      </w:r>
    </w:p>
    <w:p>
      <w:pPr>
        <w:spacing w:after="0" w:line="198" w:lineRule="exact"/>
        <w:rPr>
          <w:sz w:val="20"/>
          <w:szCs w:val="20"/>
          <w:color w:val="auto"/>
        </w:rPr>
      </w:pPr>
    </w:p>
    <w:p>
      <w:pPr>
        <w:ind w:right="40" w:firstLine="345"/>
        <w:spacing w:after="0" w:line="290"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the applicable prospectus supplement or in any related free writing prospectus filed by or on behalf of us with the SEC. We have not authorized anyone to provide you with different information. This prospectus, any applicable prospectus supplement or any related free writing prospectus do not constitute an offer to sell or the solicitation of an offer to buy any securities other than the registered securities to which they relate as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72"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67"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Except as otherwise indicated herein or as the context otherwise requires, references in this prospectus to "Y-mAbs," the "company," "we," "us" and "our" and similar words refer to Y-mAbs Therapeutics, Inc. and our wholly owned Danish subsidiary, Y-mAbs Therapeutics A/S.</w:t>
      </w:r>
    </w:p>
    <w:p>
      <w:pPr>
        <w:spacing w:after="0" w:line="139"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"Y-mAbs®" is our registered trademark. Any other trademarks or service marks of our company appearing in this prospectus are the property of Y-mAbs Therapeutics, Inc. All other trademarks, trade names and service marks appearing in this prospectus are the property of their respective owners. Solely for convenience, the trademarks and trade names in this prospectus are referred to without the ® and ™ symbols, but such references should not be construed as any indicator that their respective owners will not assert, to the fullest extent under applicable law, their rights thereto. We do not intend our use or display of other entities' trade names, trademarks or service marks to imply a relationship with, or endorsement or sponsorship of us by, any other entity.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Investing in our securities involves a high degree of risk. You should carefully consider the risks described below and in the documents incorporated by reference in this prospectus, any prospectus supplement and any related free writing prospectus, as well as other information we include or incorporate by reference into this prospectus, any applicable prospectus supplement and any related free writing prospectus, before making an investment decision.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below and in the documents incorporated herein by reference, including in our most recent </w:t>
      </w:r>
      <w:hyperlink r:id="rId15">
        <w:r>
          <w:rPr>
            <w:rFonts w:ascii="Arial" w:cs="Arial" w:eastAsia="Arial" w:hAnsi="Arial"/>
            <w:sz w:val="16"/>
            <w:szCs w:val="16"/>
            <w:u w:val="single" w:color="auto"/>
            <w:color w:val="0000EE"/>
          </w:rPr>
          <w:t>Annual Report on 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r:id="rId16">
        <w:r>
          <w:rPr>
            <w:rFonts w:ascii="Arial" w:cs="Arial" w:eastAsia="Arial" w:hAnsi="Arial"/>
            <w:sz w:val="16"/>
            <w:szCs w:val="16"/>
            <w:u w:val="single" w:color="auto"/>
            <w:color w:val="0000EE"/>
          </w:rPr>
          <w:t>Quarterly Report on Form 10-Q</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and in any subsequent Quarterly Reports on Form 10-Q or Current Reports on Form 8-K that we file with the SEC after the date of this prospectus, all of which are incorporated by reference into this prospectus. Please also read carefully the section below entitled "Cautionary Statement Regarding Forward-Looking Statements." The occurrence of any of these risks might cause you to lose all or part of your investment in the offered securities.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This prospectus and any prospectus supplement, any related free writing prospectus, including the documents that we incorporate by reference in this prospectus, any prospectus supplement and any related free writing prospectus, contains forward-looking statements within the meaning of Section 27A of the Securities Act of 1933, as amended, or the Securities Act, and Section 21E of the Securities Exchange Act of 1934, as amended, or the Exchange Act, that involve substantial risks and uncertainties. All statements, other than statements of historical facts, contained in this prospectus and each prospectus supplement, including the documents that we incorporate by reference in this prospectus and each prospectus supplement, including statements regarding our business strategy, future operations and results thereof, future financial position, future revenue, projected costs, prospects, current and prospective products, product approvals, research and development costs, current and prospective collaborations, timing and likelihood of success, plans and objectives of management, expected market growth and future results of current and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The words "anticipate," "believe," "continue," "could," "estimate," "expect," "contemplate," "intend," "may," "might," "plan," "potential," "predict," "project," "should," "target," "will," "would" and similar expressions are intended to identify forward-looking statements, although not all forward-looking statements contain these identifying words.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forward-looking statements include, among other things, statements about:</w:t>
      </w:r>
    </w:p>
    <w:p>
      <w:pPr>
        <w:spacing w:after="0" w:line="239" w:lineRule="exact"/>
        <w:rPr>
          <w:sz w:val="20"/>
          <w:szCs w:val="20"/>
          <w:color w:val="auto"/>
        </w:rPr>
      </w:pPr>
    </w:p>
    <w:p>
      <w:pPr>
        <w:ind w:left="1080" w:right="52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implementation of our business model and our plans to develop and commercialize our two lead product candidates and other product candidates, including the potential clinical efficacy and other benefits thereof;</w:t>
      </w:r>
    </w:p>
    <w:p>
      <w:pPr>
        <w:spacing w:after="0" w:line="212"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ongoing and future clinical trials for our two lead product candidates and other product candidates, whether conducted by us or by any of our collaborators, including the timing of initiation of these trials, the pace of enrollment, the completion of enrollment, the availability of data from these trials, the expected dates of BLA submission and approval by the FDA and equivalent foreign regulatory authorities and of the anticipated results;</w:t>
      </w:r>
    </w:p>
    <w:p>
      <w:pPr>
        <w:spacing w:after="0" w:line="210"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pre-clinical studies and future clinical trials for our other product candidates and our research and development programs, whether conducted by us or by any of our collaborators, including the timing of initiation of these trials, the pace of enrollment, the expected date of completion and of the anticipated results;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timing of and our ability to obtain and maintain regulatory, marketing and reimbursement approvals for our product candidates;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products for which we receive marketing approval;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pricing and reimbursement levels of our product candidates, if approved;</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employees and to identify, hire and retain additional qualified employees, including a direct sales force;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remediation of material weaknesses in our internal control over financial reporting;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intellectual property position and strategy and the scope of protection we are able to establish and maintain for the intellectual property rights covering our product candidates and technology;</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 and technologies with significant commercial potential;</w:t>
      </w:r>
    </w:p>
    <w:p>
      <w:pPr>
        <w:spacing w:after="0" w:line="25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plans and ability to enter into collaborations or strategic partnerships for the development and commercialization of our product candidates and future operations;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potential benefits of any future collaboration or strategic partnerships;</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expectations related to the use of our cash and cash equivalents, how long that cash is expected to last, and the need for, timing and amount of any future financing transaction;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financial performance, including our estimates regarding revenues, expenses, capital expenditure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252"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Jumpstart Our Business Startups Act of 2012;</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use of proceeds from our initial public offering and any follow-on public offering; and</w:t>
      </w:r>
    </w:p>
    <w:p>
      <w:pPr>
        <w:spacing w:after="0" w:line="238"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risks and uncertainties, including those described or incorporated by reference under the caption "Risk Factors" in this prospectus, any prospectus supplement and any free writing prospectus that we may file.</w:t>
      </w:r>
    </w:p>
    <w:p>
      <w:pPr>
        <w:spacing w:after="0" w:line="186"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color w:val="auto"/>
        </w:rPr>
        <w:t>Forward-looking statements in this prospectus, any prospectus supplement and any related free writing prospectus, including the documents that we incorporate by reference in this prospectus, any prospectus supplement and any related free writing prospectus,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referenced in the section "Risk Factors" and elsewhere in this prospectus and the documents that we incorporate by reference.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72"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This prospectus, any prospectus supplement and any related free writing prospectus, including the documents that we incorporate by reference in this prospectus, any prospectus supplement and any related free writing prospectus,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a late-stage clinical biopharmaceutical company focused on the development and commercialization of novel, antibody-based therapeutic products for the treatment of cancer. We have a broad and advanced product pipeline, including two pivotal-stage product candidates—naxitamab and omburtamab— which target tumors that express GD2 and B7-H3, respectively. We are developing naxitamab for the treatment of pediatric patients with relapsed or refractory, or R/R, high-risk neuroblastoma, or NB, and radiolabeled omburtamab for the treatment of pediatric patients with central nervous system, or CNS, leptomeningeal metastases, or LM, from NB. NB is a rare and almost exclusively pediatric cancer that develops in the sympathetic nervous system and CNS/LM is a rare and usually fatal complication of NB in which the disease spreads to the membranes, or meninges, surrounding the brain and spinal cord in the CNS.</w:t>
      </w:r>
    </w:p>
    <w:p>
      <w:pPr>
        <w:spacing w:after="0" w:line="174"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Our mission is to become the world leader in developing better and safer antibody-based pediatric oncology products addressing clear unmet medical needs and, as such, have a transformational impact on the lives of patients. We intend to advance and expand our product pipeline into certain adult cancer indications either independently or in collaboration with potential partners.</w:t>
      </w:r>
    </w:p>
    <w:p>
      <w:pPr>
        <w:spacing w:after="0" w:line="194"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were incorporated under the laws of the State of Delaware on April 30, 2015. On September 25, 2018, we completed the initial public offering, or IPO of our common stock.</w:t>
      </w:r>
    </w:p>
    <w:p>
      <w:pPr>
        <w:spacing w:after="0" w:line="186"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color w:val="auto"/>
        </w:rPr>
        <w:t xml:space="preserve">Our principal executive offices are located at 230 Park Avenue, Suite 3350, New York, New York 10169 and our telephone number is (646) 885-8505. Our corporate website address is </w:t>
      </w:r>
      <w:r>
        <w:rPr>
          <w:rFonts w:ascii="Arial" w:cs="Arial" w:eastAsia="Arial" w:hAnsi="Arial"/>
          <w:sz w:val="18"/>
          <w:szCs w:val="18"/>
          <w:i w:val="1"/>
          <w:iCs w:val="1"/>
          <w:color w:val="auto"/>
        </w:rPr>
        <w:t>www.ymabs.com</w:t>
      </w:r>
      <w:r>
        <w:rPr>
          <w:rFonts w:ascii="Arial" w:cs="Arial" w:eastAsia="Arial" w:hAnsi="Arial"/>
          <w:sz w:val="18"/>
          <w:szCs w:val="18"/>
          <w:color w:val="auto"/>
        </w:rPr>
        <w:t>. Our website and the information contained on, or that can be accessed through, the website will not be deemed to be incorporated by reference in, and are not considered part of, this prospectus. You should not rely on any such information in making your decision whether to purchase our securities.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currently intend to use the net proceeds from the sale of any securities offered by us under this prospectus as indicated in the applicable prospectus supplement or any related free writing prospectus that we may authorize to be provided to you.</w:t>
      </w:r>
    </w:p>
    <w:p>
      <w:pPr>
        <w:spacing w:after="0" w:line="18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131" w:right="7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WE MAY OFFER</w:t>
      </w:r>
    </w:p>
    <w:p>
      <w:pPr>
        <w:spacing w:after="0" w:line="23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This prospectus contains summary descriptions of the securities we may offer from time to time. This prospectus provides you with a general description of the securities we may offer. These summary descriptions are not meant to be complete descriptions of each security. The particular terms of any security we may offer will be described in the applicable prospectus supplement.</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following description of the rights of our common stock and preferred stock, together with the additional information we include in any applicable prospectus supplements and any free writing prospectus, summarizes the material terms and provisions of our capital stock. The following description of our capital stock does not purport to be complete and is subject to, and qualified in its entirety by, our amended and restated certificate of incorporation and amended and restated bylaws, which are exhibits to the registration statement of which this prospectus forms a part, and by applicable law. The terms of our common stock and preferred stock may also be affected by Delaware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31"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Our authorized capital stock consists of 100,000,000 shares of common stock, par value $0.0001 per share, and 5,500,000 shares of preferred stock, par value $0.0001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shares</w:t>
      </w:r>
    </w:p>
    <w:p>
      <w:pPr>
        <w:spacing w:after="0" w:line="225"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As of September 26, 2019, there were 34,593,666 shares of our common stock outstanding and no shares of preferred stock outstanding. As of September 26, 2019, we had 42 record holders of our common stock.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Each holder of common stock is entitled to one vote for each share on all matters submitted to a vote of the stockholders, including the election of directors. Our amended and restated certificate of incorporation and amended and restated bylaws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Subject to preferences that may be applicable to any then-outstanding preferred stock, holders of common stock are entitled to receive dividends, if any, as may be declared from time to time by our board of directors out of legally available funds.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Holders of common stock have no preemptive, conversion, subscription or other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our outstanding shares of common stock are fully paid and nonassessable.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We are a party to certain registration rights agreements dated as of October 13, 2017 and November 17, 2017, collectively referred to herein as the Registration Rights Agreements, with certain holders of our common stock, including some of our directors and 5% stockholders and their affiliates and entities affiliated with our directors. The Registration Rights Agreements provide these holders of our common stock the right to require us to register these shares under the Securities Act under specified circumstances as described below. As of September 26, 2019, the shares subject to registration rights under the Registration Rights Agreements, or the registrable shares, represent approximately 60% of our outstanding common stock. After registration pursuant to these rights, these shares will become freely tradable without restriction under the Securities Act.</w:t>
      </w:r>
    </w:p>
    <w:p>
      <w:pPr>
        <w:spacing w:after="0" w:line="17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Under the Registration Rights Agreements, holders of registrable shares can demand that we file a registration statement or request that their shares be included on a registration statement that we are otherwise filing, in either case, registering the resale of their shares of common stock. These registration rights are subject to conditions and limitations, including the right, in certain circumstances, of the underwriters of an offering to limit the number of shares included in such registration and our right, in certain circumstances, not to effect a requested S-1 or S-3 registration during the period that is 60 days before our estimated date of filing of, and ending on a date that is 90 days (or 180 days in the case of our initial public offering) after the effective date of, a company-initiated registration statement.</w:t>
      </w:r>
    </w:p>
    <w:p>
      <w:pPr>
        <w:spacing w:after="0" w:line="198" w:lineRule="exact"/>
        <w:rPr>
          <w:sz w:val="20"/>
          <w:szCs w:val="20"/>
          <w:color w:val="auto"/>
        </w:rPr>
      </w:pPr>
    </w:p>
    <w:p>
      <w:pPr>
        <w:jc w:val="both"/>
        <w:ind w:right="100" w:firstLine="348"/>
        <w:spacing w:after="0" w:line="306" w:lineRule="auto"/>
        <w:rPr>
          <w:sz w:val="20"/>
          <w:szCs w:val="20"/>
          <w:color w:val="auto"/>
        </w:rPr>
      </w:pPr>
      <w:r>
        <w:rPr>
          <w:rFonts w:ascii="Arial" w:cs="Arial" w:eastAsia="Arial" w:hAnsi="Arial"/>
          <w:sz w:val="16"/>
          <w:szCs w:val="16"/>
          <w:color w:val="auto"/>
        </w:rPr>
        <w:t>The registration rights of any holder will terminate upon the earliest to occur of: (i) the date on which such holder holds no registrable shares, (ii) such time as Rule 144 or another similar exemption under the Securities Act is available for the sale of all of such holder's registrable shares without the requirement for us to be in compliance with the current publication information required under Rule 144(c)(1), and (iii) the fifth anniversary of our initial public offering.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Subject to specified limitations set forth in the Registration Rights Agreements, the holder or holders of not less than a majority of our registrable securities,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as defined in the Registration Rights Agreements, acting together, may at any time demand in writing that we register the outstanding registrable securities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Act so long as the total amount of registrable shares requested to be registered has an anticipated aggregate offering price to the public of least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 million. We are not obligated to file a registration statement pursuant to this demand provision on more than two occasions, subject to specified exceptions.</w:t>
      </w:r>
    </w:p>
    <w:p>
      <w:pPr>
        <w:spacing w:after="0" w:line="242" w:lineRule="exact"/>
        <w:rPr>
          <w:sz w:val="20"/>
          <w:szCs w:val="20"/>
          <w:color w:val="auto"/>
        </w:rPr>
      </w:pPr>
    </w:p>
    <w:p>
      <w:pPr>
        <w:jc w:val="both"/>
        <w:ind w:right="360" w:firstLine="351"/>
        <w:spacing w:after="0" w:line="335" w:lineRule="auto"/>
        <w:rPr>
          <w:sz w:val="20"/>
          <w:szCs w:val="20"/>
          <w:color w:val="auto"/>
        </w:rPr>
      </w:pPr>
      <w:r>
        <w:rPr>
          <w:rFonts w:ascii="Arial" w:cs="Arial" w:eastAsia="Arial" w:hAnsi="Arial"/>
          <w:sz w:val="15"/>
          <w:szCs w:val="15"/>
          <w:color w:val="auto"/>
        </w:rPr>
        <w:t>In addition, at any time after we become eligible to file a registration statement on Form S-3 under the Securities Act, subject to specified limitations, a holder or holders of a majority of the registrable securities may demand in writing that we register on Form S-3 all or part of the registrable securities held by them so long as the total amount of registrable shares requested to be registered has an anticipated aggregate offering price to the public of least $10 million.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Incidental Registration Rights</w:t>
      </w:r>
    </w:p>
    <w:p>
      <w:pPr>
        <w:spacing w:after="0" w:line="225"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If we propose to file a registration statement to register any of our common stock under the Securities Act, either for our own account or for the account of any of our stockholders that are not holders of registrable securities, and on a form that would also permit the registration of registrable securities, the holders of our registrable securities are entitled to notice of registration and, subject to specified exceptions, we will be required to use our best efforts to register the registrable securities then held by them that they request that we register.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225"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Pursuant to the Registration Rights Agreements, we are required to pay all registration expenses, including registration fees, printing expenses, fees and disbursements of our counsel and accountants and reasonable fees and disbursements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not to exceed $50,000 of one counsel representing the selling stockholders, other than any underwriting discounts and commissions, related to any demand or incidental registration.</w:t>
      </w:r>
    </w:p>
    <w:p>
      <w:pPr>
        <w:spacing w:after="0" w:line="186" w:lineRule="exact"/>
        <w:rPr>
          <w:sz w:val="20"/>
          <w:szCs w:val="20"/>
          <w:color w:val="auto"/>
        </w:rPr>
      </w:pPr>
    </w:p>
    <w:p>
      <w:pPr>
        <w:jc w:val="both"/>
        <w:ind w:right="540" w:firstLine="348"/>
        <w:spacing w:after="0" w:line="259" w:lineRule="auto"/>
        <w:rPr>
          <w:sz w:val="20"/>
          <w:szCs w:val="20"/>
          <w:color w:val="auto"/>
        </w:rPr>
      </w:pPr>
      <w:r>
        <w:rPr>
          <w:rFonts w:ascii="Arial" w:cs="Arial" w:eastAsia="Arial" w:hAnsi="Arial"/>
          <w:sz w:val="18"/>
          <w:szCs w:val="18"/>
          <w:color w:val="auto"/>
        </w:rPr>
        <w:t>The Registration Rights Agreements contain customary cross-indemnification provisions, pursuant to which we are obligated to indemnify the selling stockholders in the event of material misstatements or omissions in the registration statement attributable to us, and they are obligated to indemnify us for material misstatements or omissions in the registration statement attributable to them.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Our board of directors has the authority, without further action by the stockholders, to issue up to 5,500,000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As of September 26, 2019, no shares of preferred stock were outstanding.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Our amended and restated certificate of incorporation and amended and restated bylaws contain certain provisions that are intended to enhance the likelihood of continuity and stability in the composition of our board of directors but which may have the effect of delaying, deferring or preventing a future takeover or change in control of us unless such takeover or change in control is approved by our board of directors.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Staggered Board; Removal of Directors</w:t>
      </w:r>
    </w:p>
    <w:p>
      <w:pPr>
        <w:spacing w:after="0" w:line="225" w:lineRule="exact"/>
        <w:rPr>
          <w:sz w:val="20"/>
          <w:szCs w:val="20"/>
          <w:color w:val="auto"/>
        </w:rPr>
      </w:pPr>
    </w:p>
    <w:p>
      <w:pPr>
        <w:ind w:right="80" w:firstLine="351"/>
        <w:spacing w:after="0" w:line="305" w:lineRule="auto"/>
        <w:rPr>
          <w:sz w:val="20"/>
          <w:szCs w:val="20"/>
          <w:color w:val="auto"/>
        </w:rPr>
      </w:pPr>
      <w:r>
        <w:rPr>
          <w:rFonts w:ascii="Arial" w:cs="Arial" w:eastAsia="Arial" w:hAnsi="Arial"/>
          <w:sz w:val="15"/>
          <w:szCs w:val="15"/>
          <w:color w:val="auto"/>
        </w:rPr>
        <w:t>Our amended and restated certificate of incorporation and amended and restated bylaws divide our board of directors into three classes with staggered three-year terms. In addition, our amended and restated certificate of incorporation and amended and restated bylaws provide that directors may be removed only for</w:t>
      </w:r>
    </w:p>
    <w:p>
      <w:pPr>
        <w:ind w:right="60"/>
        <w:spacing w:after="0" w:line="250" w:lineRule="auto"/>
        <w:rPr>
          <w:sz w:val="20"/>
          <w:szCs w:val="20"/>
          <w:color w:val="auto"/>
        </w:rPr>
      </w:pPr>
      <w:r>
        <w:rPr>
          <w:rFonts w:ascii="Arial" w:cs="Arial" w:eastAsia="Arial" w:hAnsi="Arial"/>
          <w:sz w:val="17"/>
          <w:szCs w:val="17"/>
          <w:color w:val="auto"/>
        </w:rPr>
        <w:t>cause and only by the affirmative vote of the holders of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our shares of capital stock present in person or by proxy and entitled to vote. Under our amended and restated certificate of incorporation and bylaws, any vacancy on our board of directors, including a vacancy resulting from an enlargement of our board of directors, may be filled only by vote of a majority of our directors then in office, although less than a quorum, or by a sole remaining director and shall not be filled by the stockholders. Furthermore, our amended and restated certificate of incorporation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Stockholder Action; Special Meeting of Stockholders; Advance Notice Requirements for Stockholder Proposals and Director Nominations</w:t>
      </w:r>
    </w:p>
    <w:p>
      <w:pPr>
        <w:spacing w:after="0" w:line="248"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Our amended and restated certificate of incorporation and our amended and restated bylaws provide that any action required or permitted to be taken by our stockholders at an annual meeting or special meeting of stockholders may only be taken if it is properly brought before such meeting and may not be taken by written action in lieu of a meeting. Our amended and restated certificate of incorporation and amended and restated bylaws also provide that, except as otherwise required by law, special meetings of the stockholders can only be called by the chairman of our board of directors, our chief executive officer or our board of directors. In addition, our amended and restated bylaws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 before the meeting by or at the direction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Voting</w:t>
      </w:r>
    </w:p>
    <w:p>
      <w:pPr>
        <w:spacing w:after="0" w:line="225" w:lineRule="exact"/>
        <w:rPr>
          <w:sz w:val="20"/>
          <w:szCs w:val="20"/>
          <w:color w:val="auto"/>
        </w:rPr>
      </w:pPr>
    </w:p>
    <w:p>
      <w:pPr>
        <w:ind w:right="40" w:firstLine="348"/>
        <w:spacing w:after="0" w:line="277" w:lineRule="auto"/>
        <w:rPr>
          <w:sz w:val="20"/>
          <w:szCs w:val="20"/>
          <w:color w:val="auto"/>
        </w:rPr>
      </w:pPr>
      <w:r>
        <w:rPr>
          <w:rFonts w:ascii="Arial" w:cs="Arial" w:eastAsia="Arial" w:hAnsi="Arial"/>
          <w:sz w:val="15"/>
          <w:szCs w:val="15"/>
          <w:color w:val="auto"/>
        </w:rPr>
        <w:t>The General Corporation Law of the State of Delaware, or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amended and restated bylaws may be amended or repealed by a majority vote of our board of directors or the affirmative vote of the holders of at least 66</w:t>
      </w:r>
      <w:r>
        <w:rPr>
          <w:rFonts w:ascii="Arial" w:cs="Arial" w:eastAsia="Arial" w:hAnsi="Arial"/>
          <w:sz w:val="24"/>
          <w:szCs w:val="24"/>
          <w:color w:val="auto"/>
          <w:vertAlign w:val="superscript"/>
        </w:rPr>
        <w:t>2</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of the votes that all our stockholders would be entitled to cast in any annual election of directors. In addition, the affirmative</w:t>
      </w:r>
    </w:p>
    <w:p>
      <w:pPr>
        <w:spacing w:after="0" w:line="2" w:lineRule="exact"/>
        <w:rPr>
          <w:sz w:val="20"/>
          <w:szCs w:val="20"/>
          <w:color w:val="auto"/>
        </w:rPr>
      </w:pPr>
    </w:p>
    <w:p>
      <w:pPr>
        <w:ind w:right="20"/>
        <w:spacing w:after="0" w:line="216" w:lineRule="auto"/>
        <w:rPr>
          <w:sz w:val="20"/>
          <w:szCs w:val="20"/>
          <w:color w:val="auto"/>
        </w:rPr>
      </w:pPr>
      <w:r>
        <w:rPr>
          <w:rFonts w:ascii="Arial" w:cs="Arial" w:eastAsia="Arial" w:hAnsi="Arial"/>
          <w:sz w:val="17"/>
          <w:szCs w:val="17"/>
          <w:color w:val="auto"/>
        </w:rPr>
        <w:t>vote of the holders of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votes that all our stockholders would be entitled to cast in any election of directors is required to amend or repeal or to adopt any provisions inconsistent with any of the provisions of our amended and restated certificate of incorporation described above.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are subject to the provisions of Section 203 of the Delaware General Corporation Law, or the DGCL.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198" w:lineRule="exact"/>
        <w:rPr>
          <w:sz w:val="20"/>
          <w:szCs w:val="20"/>
          <w:color w:val="auto"/>
        </w:rPr>
      </w:pPr>
    </w:p>
    <w:p>
      <w:pPr>
        <w:ind w:right="40" w:firstLine="351"/>
        <w:spacing w:after="0" w:line="312" w:lineRule="auto"/>
        <w:rPr>
          <w:sz w:val="20"/>
          <w:szCs w:val="20"/>
          <w:color w:val="auto"/>
        </w:rPr>
      </w:pPr>
      <w:r>
        <w:rPr>
          <w:rFonts w:ascii="Arial" w:cs="Arial" w:eastAsia="Arial" w:hAnsi="Arial"/>
          <w:sz w:val="15"/>
          <w:szCs w:val="15"/>
          <w:color w:val="auto"/>
        </w:rPr>
        <w:t>Under Section 203, a business combination between a corporation and an interested stockholder is prohibited unless it satisfies one of the following conditions: before the stockholder became interested, our board of directors approved either the business combination or the transaction which resulted in the stockholder becoming an interested stockholder;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stockholder became interested, the business combination was approved by our board of directors of the corporation and authorized at an annual or special meeting of the stockholders by the affirmative vote of at least two-thirds of the outstanding voting stock which is not owned by the interested stockholder.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 Selection</w:t>
      </w:r>
    </w:p>
    <w:p>
      <w:pPr>
        <w:spacing w:after="0" w:line="231" w:lineRule="exact"/>
        <w:rPr>
          <w:sz w:val="20"/>
          <w:szCs w:val="20"/>
          <w:color w:val="auto"/>
        </w:rPr>
      </w:pPr>
    </w:p>
    <w:p>
      <w:pPr>
        <w:ind w:right="280" w:firstLine="351"/>
        <w:spacing w:after="0" w:line="284"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 Chancery of the State of Delaware shall be the sole and exclusive forum for (1) any derivative action or proceeding brought on behalf of our company, (2) any action asserting a claim of breach of a fiduciary duty owed by any of our directors, officers, employees or stockholders to our company or our stockholders,</w:t>
      </w:r>
    </w:p>
    <w:p>
      <w:pPr>
        <w:spacing w:after="0" w:line="1" w:lineRule="exact"/>
        <w:rPr>
          <w:sz w:val="20"/>
          <w:szCs w:val="20"/>
          <w:color w:val="auto"/>
        </w:rPr>
      </w:pPr>
    </w:p>
    <w:p>
      <w:pPr>
        <w:ind w:right="140" w:firstLine="8"/>
        <w:spacing w:after="0" w:line="292" w:lineRule="auto"/>
        <w:tabs>
          <w:tab w:leader="none" w:pos="2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action asserting a claim arising pursuant to any provision of the DGCL or as to which the DGCL confers jurisdiction on the Court of Chancery of the State of Delaware, or (4) any action asserting a claim arising pursuant to any provision of our amended and restated certificate of incorporation or amended and restated bylaws (in each case, as they may be amended from time to time) or governed by the internal affairs doctrine. This exclusive forum provision would not apply to suits brought to enforce any liability or duty created by the Securities Act or the Exchange Act or any other claim for which the federal courts have exclusive jurisdiction. To the extent that any such claims may be based upon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Although our amended and restated certificate of incorporation contains the choice of forum provision described above, it is possible that a court could rule that such a provision is inapplicable for a particular claim or action or that such provision is unenforceable.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authorized but unissued shares of common stock and preferred stock are available for future issuance without stockholder approval, subject to any limitations imposed by the listing requirements of the Nasdaq Global Select Market. These additional shares may be used for a variety of corporate finance transactions, acquisitions and employee benefit plans. The existence of authorized but unissued and unreserved common stock and preferred stock could make it more difficult or discourage an attempt to obtain control of us by means of a proxy contest, tender offer, merger or otherwise.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 and registrar's address is 6201 15th Avenue, Brooklyn, NY 11219.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Select Market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Nasdaq Global Select Market under the symbol "YMAB."</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To the extent the information contained in the prospectus supplement differs from this summary description, you should rely on the information in the prospectus supplement.</w:t>
      </w:r>
    </w:p>
    <w:p>
      <w:pPr>
        <w:spacing w:after="0" w:line="170"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6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debt securities will be issued under an indenture between us and a trustee named in the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380" w:firstLine="348"/>
        <w:spacing w:after="0" w:line="306" w:lineRule="auto"/>
        <w:rPr>
          <w:sz w:val="20"/>
          <w:szCs w:val="20"/>
          <w:color w:val="auto"/>
        </w:rPr>
      </w:pPr>
      <w:r>
        <w:rPr>
          <w:rFonts w:ascii="Arial" w:cs="Arial" w:eastAsia="Arial" w:hAnsi="Arial"/>
          <w:sz w:val="16"/>
          <w:szCs w:val="16"/>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2.1) The particular terms of each series of debt securities will be described in a prospectus supplement relating to such series (including any pricing supplement or term sheet).</w:t>
      </w:r>
    </w:p>
    <w:p>
      <w:pPr>
        <w:spacing w:after="0" w:line="161" w:lineRule="exact"/>
        <w:rPr>
          <w:sz w:val="20"/>
          <w:szCs w:val="20"/>
          <w:color w:val="auto"/>
        </w:rPr>
      </w:pPr>
    </w:p>
    <w:p>
      <w:pPr>
        <w:jc w:val="both"/>
        <w:ind w:right="280" w:firstLine="348"/>
        <w:spacing w:after="0" w:line="306" w:lineRule="auto"/>
        <w:rPr>
          <w:sz w:val="20"/>
          <w:szCs w:val="20"/>
          <w:color w:val="auto"/>
        </w:rPr>
      </w:pPr>
      <w:r>
        <w:rPr>
          <w:rFonts w:ascii="Arial" w:cs="Arial" w:eastAsia="Arial" w:hAnsi="Arial"/>
          <w:sz w:val="16"/>
          <w:szCs w:val="16"/>
          <w:color w:val="auto"/>
        </w:rPr>
        <w:t>We can issue an unlimited amount of debt securities under the indenture that may be in one or more series with the same or various maturities, at par, at a premium, or at a discount. (Section 2.2) We will set forth in a prospectus supplement (including any pricing supplement or term sheet) relating to any series of debt securities being offered, the aggregate principal amount and the following terms of the debt securities, if applicable:</w:t>
      </w:r>
    </w:p>
    <w:p>
      <w:pPr>
        <w:spacing w:after="0" w:line="174"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or dates on which the principal on a particular series of debt securities is payable;</w:t>
      </w:r>
    </w:p>
    <w:p>
      <w:pPr>
        <w:spacing w:after="0" w:line="252"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210"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place or places where principal of, and interest, if any, on the debt securities will be payable (and the method of such payment), where the debt securities of such series may be surrendered for registration of transfer or exchange, and where notices and demands to us in respect of the debt securities may be delivered;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period or periods within which, the price or prices at which and the terms and conditions upon which we may redeem the debt securities;</w:t>
      </w:r>
    </w:p>
    <w:p>
      <w:pPr>
        <w:spacing w:after="0" w:line="275" w:lineRule="exact"/>
        <w:rPr>
          <w:rFonts w:ascii="Arial" w:cs="Arial" w:eastAsia="Arial" w:hAnsi="Arial"/>
          <w:sz w:val="16"/>
          <w:szCs w:val="16"/>
          <w:color w:val="auto"/>
        </w:rPr>
      </w:pPr>
    </w:p>
    <w:p>
      <w:pPr>
        <w:jc w:val="both"/>
        <w:ind w:left="1080" w:right="100" w:hanging="532"/>
        <w:spacing w:after="0" w:line="306"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the debt securities of a particular series shall be redeemed or purchased, in whole or in part, pursuant to such obligation;</w:t>
      </w:r>
    </w:p>
    <w:p>
      <w:pPr>
        <w:spacing w:after="0" w:line="174" w:lineRule="exact"/>
        <w:rPr>
          <w:rFonts w:ascii="Arial" w:cs="Arial" w:eastAsia="Arial" w:hAnsi="Arial"/>
          <w:sz w:val="16"/>
          <w:szCs w:val="16"/>
          <w:color w:val="auto"/>
        </w:rPr>
      </w:pPr>
    </w:p>
    <w:p>
      <w:pPr>
        <w:ind w:left="1080" w:right="4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denominations in which the debt securities will be issued, if other than denominations of $1,000 and any integral multiple thereof;</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238"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currency of denomination of the debt securities, which may be U.S. dollars or any foreign currency, and if such currency of denomination is a composite currency, the agency or organization, if any, responsible for overseeing such composite currency;</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and premium and interest on, the debt securities will be made;</w:t>
      </w:r>
    </w:p>
    <w:p>
      <w:pPr>
        <w:spacing w:after="0" w:line="199" w:lineRule="exact"/>
        <w:rPr>
          <w:rFonts w:ascii="Arial" w:cs="Arial" w:eastAsia="Arial" w:hAnsi="Arial"/>
          <w:sz w:val="18"/>
          <w:szCs w:val="18"/>
          <w:color w:val="auto"/>
        </w:rPr>
      </w:pPr>
    </w:p>
    <w:p>
      <w:pPr>
        <w:jc w:val="both"/>
        <w:ind w:left="1080" w:right="140" w:hanging="532"/>
        <w:spacing w:after="0" w:line="370" w:lineRule="auto"/>
        <w:tabs>
          <w:tab w:leader="none" w:pos="10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if payments of principal of, or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129" w:lineRule="exact"/>
        <w:rPr>
          <w:rFonts w:ascii="Arial" w:cs="Arial" w:eastAsia="Arial" w:hAnsi="Arial"/>
          <w:sz w:val="15"/>
          <w:szCs w:val="15"/>
          <w:color w:val="auto"/>
        </w:rPr>
      </w:pPr>
    </w:p>
    <w:p>
      <w:pPr>
        <w:jc w:val="both"/>
        <w:ind w:left="1080" w:right="18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and premium, if any, and interest on, the debt securities will be determined, if these amounts may be determined by reference to an index based on a currency or currencies or by reference to a commodity, commodity index, stock exchange index or financial index;</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238" w:lineRule="exact"/>
        <w:rPr>
          <w:rFonts w:ascii="Arial" w:cs="Arial" w:eastAsia="Arial" w:hAnsi="Arial"/>
          <w:sz w:val="18"/>
          <w:szCs w:val="18"/>
          <w:color w:val="auto"/>
        </w:rPr>
      </w:pPr>
    </w:p>
    <w:p>
      <w:pPr>
        <w:ind w:left="1080" w:right="260" w:hanging="532"/>
        <w:spacing w:after="0" w:line="33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addition to, deletion of or change in the covenants described in this prospectus or in the indenture with respect to the debt securities;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depositaries, interest rate calculation agents, exchange rate calculation agents or other agents with respect to the debt securities;</w:t>
      </w:r>
    </w:p>
    <w:p>
      <w:pPr>
        <w:spacing w:after="0" w:line="261" w:lineRule="exact"/>
        <w:rPr>
          <w:rFonts w:ascii="Arial" w:cs="Arial" w:eastAsia="Arial" w:hAnsi="Arial"/>
          <w:sz w:val="16"/>
          <w:szCs w:val="16"/>
          <w:color w:val="auto"/>
        </w:rPr>
      </w:pPr>
    </w:p>
    <w:p>
      <w:pPr>
        <w:ind w:left="1080" w:right="12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0" w:hanging="532"/>
        <w:spacing w:after="0" w:line="33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166" w:lineRule="exact"/>
        <w:rPr>
          <w:rFonts w:ascii="Arial" w:cs="Arial" w:eastAsia="Arial" w:hAnsi="Arial"/>
          <w:sz w:val="16"/>
          <w:szCs w:val="16"/>
          <w:color w:val="auto"/>
        </w:rPr>
      </w:pPr>
    </w:p>
    <w:p>
      <w:pPr>
        <w:ind w:left="1080" w:right="2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of that series, including the terms of subordination, if any, of such guarantees. (Section 2.2)</w:t>
      </w:r>
    </w:p>
    <w:p>
      <w:pPr>
        <w:spacing w:after="0" w:line="186" w:lineRule="exact"/>
        <w:rPr>
          <w:sz w:val="20"/>
          <w:szCs w:val="20"/>
          <w:color w:val="auto"/>
        </w:rPr>
      </w:pPr>
    </w:p>
    <w:p>
      <w:pPr>
        <w:ind w:right="320" w:firstLine="348"/>
        <w:spacing w:after="0" w:line="306" w:lineRule="auto"/>
        <w:rPr>
          <w:sz w:val="20"/>
          <w:szCs w:val="20"/>
          <w:color w:val="auto"/>
        </w:rPr>
      </w:pPr>
      <w:r>
        <w:rPr>
          <w:rFonts w:ascii="Arial" w:cs="Arial" w:eastAsia="Arial" w:hAnsi="Arial"/>
          <w:sz w:val="16"/>
          <w:szCs w:val="16"/>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61"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If we denominate the purchase price of any of the debt securities in a foreign currency or currencies or a foreign currency unit or units, or if the principal of, and premium, if any,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Each debt security will be represented by either one or more global securities registered in the name of The Depository Trust Company (DTC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97"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61" w:lineRule="exact"/>
        <w:rPr>
          <w:sz w:val="20"/>
          <w:szCs w:val="20"/>
          <w:color w:val="auto"/>
        </w:rPr>
      </w:pPr>
    </w:p>
    <w:p>
      <w:pPr>
        <w:ind w:right="20" w:firstLine="345"/>
        <w:spacing w:after="0" w:line="259"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94" w:lineRule="exact"/>
        <w:rPr>
          <w:sz w:val="20"/>
          <w:szCs w:val="20"/>
          <w:color w:val="auto"/>
        </w:rPr>
      </w:pPr>
    </w:p>
    <w:p>
      <w:pPr>
        <w:jc w:val="both"/>
        <w:ind w:right="40" w:firstLine="351"/>
        <w:spacing w:after="0" w:line="370" w:lineRule="auto"/>
        <w:rPr>
          <w:sz w:val="20"/>
          <w:szCs w:val="20"/>
          <w:color w:val="auto"/>
        </w:rPr>
      </w:pPr>
      <w:r>
        <w:rPr>
          <w:rFonts w:ascii="Arial" w:cs="Arial" w:eastAsia="Arial" w:hAnsi="Arial"/>
          <w:sz w:val="15"/>
          <w:szCs w:val="15"/>
          <w:color w:val="auto"/>
        </w:rPr>
        <w:t>Global Debt Securities and Book-Entry System. Each global debt security representing book-entry debt securities will be deposited with, or on behalf of, the Depositary, and registered in the name of the Depositary or a nominee of the Depositary. Please see the section entitled "Global Securities" for more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 (Article IV)</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that may afford holders of the debt securities protection in the event we have a change in control or in the event of a highly leveraged transaction (whether or not such transaction results in a change in control) that could adversely affect holders of debt securities.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31" w:lineRule="exact"/>
        <w:rPr>
          <w:sz w:val="20"/>
          <w:szCs w:val="20"/>
          <w:color w:val="auto"/>
        </w:rPr>
      </w:pPr>
    </w:p>
    <w:p>
      <w:pPr>
        <w:ind w:right="760" w:firstLine="348"/>
        <w:spacing w:after="0" w:line="268"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(a "successor person") unless:</w:t>
      </w:r>
    </w:p>
    <w:p>
      <w:pPr>
        <w:spacing w:after="0" w:line="199" w:lineRule="exact"/>
        <w:rPr>
          <w:sz w:val="20"/>
          <w:szCs w:val="20"/>
          <w:color w:val="auto"/>
        </w:rPr>
      </w:pPr>
    </w:p>
    <w:p>
      <w:pPr>
        <w:ind w:left="1080" w:right="40" w:hanging="532"/>
        <w:spacing w:after="0" w:line="33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are the surviving corporation or the successor person (if other than the company) is a corporation organized and validly existing under the laws of any U.S. domestic jurisdiction and expressly assumes our obligations on the debt securities and under the indenture;</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certain other conditions are met.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Notwithstanding the above, any of our subsidiaries may consolidate with, merge into or transfer all or part of its properties to us. (Section 5.1)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239" w:lineRule="exact"/>
        <w:rPr>
          <w:sz w:val="20"/>
          <w:szCs w:val="20"/>
          <w:color w:val="auto"/>
        </w:rPr>
      </w:pPr>
    </w:p>
    <w:p>
      <w:pPr>
        <w:ind w:left="1080" w:right="20" w:hanging="532"/>
        <w:spacing w:after="0" w:line="259"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default in the payment of principal of any debt security of that series at its maturity;</w:t>
      </w:r>
    </w:p>
    <w:p>
      <w:pPr>
        <w:spacing w:after="0" w:line="238" w:lineRule="exact"/>
        <w:rPr>
          <w:rFonts w:ascii="Arial" w:cs="Arial" w:eastAsia="Arial" w:hAnsi="Arial"/>
          <w:sz w:val="18"/>
          <w:szCs w:val="18"/>
          <w:color w:val="auto"/>
        </w:rPr>
      </w:pPr>
    </w:p>
    <w:p>
      <w:pPr>
        <w:ind w:left="1080" w:right="120" w:hanging="532"/>
        <w:spacing w:after="0" w:line="298"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default in the performance or breach of any other covenant or warranty by us in the indenture or any debt security (other than a covenant or warranty that has been included in the indenture solely for the benefit of a series of debt securities other than that series), which default continues uncured for a period of 60 days after we receive written notice from the trustee or the company and the trustee receive written notice from the holders of not less than 25% in principal amount of the outstanding debt securities of that series as provided in the indenture;</w:t>
      </w:r>
    </w:p>
    <w:p>
      <w:pPr>
        <w:spacing w:after="0" w:line="180" w:lineRule="exact"/>
        <w:rPr>
          <w:rFonts w:ascii="Arial" w:cs="Arial" w:eastAsia="Arial" w:hAnsi="Arial"/>
          <w:sz w:val="16"/>
          <w:szCs w:val="16"/>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the company; or</w:t>
      </w:r>
    </w:p>
    <w:p>
      <w:pPr>
        <w:spacing w:after="0" w:line="252"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that is described in the applicable prospectus supplement. (Section 6.1)</w:t>
      </w:r>
    </w:p>
    <w:p>
      <w:pPr>
        <w:spacing w:after="0" w:line="186"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6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194"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2" w:lineRule="exact"/>
        <w:rPr>
          <w:sz w:val="20"/>
          <w:szCs w:val="20"/>
          <w:color w:val="auto"/>
        </w:rPr>
      </w:pPr>
    </w:p>
    <w:p>
      <w:pPr>
        <w:ind w:right="80" w:firstLine="348"/>
        <w:spacing w:after="0" w:line="286" w:lineRule="auto"/>
        <w:rPr>
          <w:sz w:val="20"/>
          <w:szCs w:val="20"/>
          <w:color w:val="auto"/>
        </w:rPr>
      </w:pPr>
      <w:r>
        <w:rPr>
          <w:rFonts w:ascii="Arial" w:cs="Arial" w:eastAsia="Arial" w:hAnsi="Arial"/>
          <w:sz w:val="16"/>
          <w:szCs w:val="16"/>
          <w:color w:val="auto"/>
        </w:rPr>
        <w:t>The indenture provides that the trustee may refuse to perform any duty or exercise any of its rights or powers under the indenture, unless the trustee receives indemnity satisfactory to it against any cost, liability or expense that might be incurred by it in performing such duty or exercising such right or power.</w:t>
      </w:r>
    </w:p>
    <w:p>
      <w:pPr>
        <w:jc w:val="both"/>
        <w:ind w:right="160"/>
        <w:spacing w:after="0" w:line="255" w:lineRule="auto"/>
        <w:rPr>
          <w:sz w:val="20"/>
          <w:szCs w:val="20"/>
          <w:color w:val="auto"/>
        </w:rPr>
      </w:pPr>
      <w:r>
        <w:rPr>
          <w:rFonts w:ascii="Arial" w:cs="Arial" w:eastAsia="Arial" w:hAnsi="Arial"/>
          <w:sz w:val="18"/>
          <w:szCs w:val="18"/>
          <w:color w:val="auto"/>
        </w:rPr>
        <w:t>(Section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198"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19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that holder has previously given to the trustee written notice of a continuing Event of Default with respect to debt securities of that series; and</w:t>
      </w:r>
    </w:p>
    <w:p>
      <w:pPr>
        <w:spacing w:after="0" w:line="275" w:lineRule="exact"/>
        <w:rPr>
          <w:rFonts w:ascii="Arial" w:cs="Arial" w:eastAsia="Arial" w:hAnsi="Arial"/>
          <w:sz w:val="16"/>
          <w:szCs w:val="16"/>
          <w:color w:val="auto"/>
        </w:rPr>
      </w:pPr>
    </w:p>
    <w:p>
      <w:pPr>
        <w:ind w:left="1080" w:right="40" w:hanging="532"/>
        <w:spacing w:after="0" w:line="256"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9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and premium and any interest on, that debt security on or after the due dates expressed in that debt security and to institute suit for the enforcement of payment. (Section 6.8)</w:t>
      </w:r>
    </w:p>
    <w:p>
      <w:pPr>
        <w:spacing w:after="0" w:line="194"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and the trustee may modify, amend or supplement the indenture or the debt securities of any series without the consent of any holder of any debt security:</w:t>
      </w:r>
    </w:p>
    <w:p>
      <w:pPr>
        <w:spacing w:after="0" w:line="273"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38" w:lineRule="exact"/>
        <w:rPr>
          <w:rFonts w:ascii="Arial" w:cs="Arial" w:eastAsia="Arial" w:hAnsi="Arial"/>
          <w:sz w:val="18"/>
          <w:szCs w:val="18"/>
          <w:color w:val="auto"/>
        </w:rPr>
      </w:pPr>
    </w:p>
    <w:p>
      <w:pPr>
        <w:ind w:left="5620" w:right="1740" w:hanging="5072"/>
        <w:spacing w:after="0" w:line="519" w:lineRule="auto"/>
        <w:tabs>
          <w:tab w:leader="none" w:pos="108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any series or secure debt securities of any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debt securities of any series;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debt securities of any series as permitted by the indenture;</w:t>
      </w:r>
    </w:p>
    <w:p>
      <w:pPr>
        <w:spacing w:after="0" w:line="275"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199" w:lineRule="exact"/>
        <w:rPr>
          <w:rFonts w:ascii="Arial" w:cs="Arial" w:eastAsia="Arial" w:hAnsi="Arial"/>
          <w:sz w:val="18"/>
          <w:szCs w:val="18"/>
          <w:color w:val="auto"/>
        </w:rPr>
      </w:pPr>
    </w:p>
    <w:p>
      <w:pPr>
        <w:ind w:left="1080" w:right="90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 (Section 9.1)</w:t>
      </w:r>
    </w:p>
    <w:p>
      <w:pPr>
        <w:spacing w:after="0" w:line="186"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208"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252" w:lineRule="exact"/>
        <w:rPr>
          <w:rFonts w:ascii="Arial" w:cs="Arial" w:eastAsia="Arial" w:hAnsi="Arial"/>
          <w:sz w:val="18"/>
          <w:szCs w:val="18"/>
          <w:color w:val="auto"/>
        </w:rPr>
      </w:pPr>
    </w:p>
    <w:p>
      <w:pPr>
        <w:ind w:left="1080" w:right="360" w:hanging="532"/>
        <w:spacing w:after="0" w:line="306"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waive a Default or Event of Default in the payment of the principal of, or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make the principal of, or premium or interest on, any debt security payable in currency other than that stated in the debt security;</w:t>
      </w:r>
    </w:p>
    <w:p>
      <w:pPr>
        <w:spacing w:after="0" w:line="252" w:lineRule="exact"/>
        <w:rPr>
          <w:rFonts w:ascii="Arial" w:cs="Arial" w:eastAsia="Arial" w:hAnsi="Arial"/>
          <w:sz w:val="18"/>
          <w:szCs w:val="18"/>
          <w:color w:val="auto"/>
        </w:rPr>
      </w:pPr>
    </w:p>
    <w:p>
      <w:pPr>
        <w:jc w:val="both"/>
        <w:ind w:left="1080" w:right="2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and premium and interest on, those debt securities and to institute suit for the enforcement of any such payment and to waivers or amendments; or</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 (Section 9.3)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i w:val="1"/>
          <w:iCs w:val="1"/>
          <w:color w:val="auto"/>
        </w:rPr>
        <w:t xml:space="preserve">Legal Defeasance. </w:t>
      </w:r>
      <w:r>
        <w:rPr>
          <w:rFonts w:ascii="Arial" w:cs="Arial" w:eastAsia="Arial" w:hAnsi="Arial"/>
          <w:sz w:val="16"/>
          <w:szCs w:val="16"/>
          <w:color w:val="auto"/>
        </w:rPr>
        <w:t>The indenture provides that, unless otherwise provided by the terms of the applicable series of debt securities, we may be discharged</w:t>
      </w:r>
      <w:r>
        <w:rPr>
          <w:rFonts w:ascii="Arial" w:cs="Arial" w:eastAsia="Arial" w:hAnsi="Arial"/>
          <w:sz w:val="16"/>
          <w:szCs w:val="16"/>
          <w:i w:val="1"/>
          <w:iCs w:val="1"/>
          <w:color w:val="auto"/>
        </w:rPr>
        <w:t xml:space="preserve"> </w:t>
      </w:r>
      <w:r>
        <w:rPr>
          <w:rFonts w:ascii="Arial" w:cs="Arial" w:eastAsia="Arial" w:hAnsi="Arial"/>
          <w:sz w:val="16"/>
          <w:szCs w:val="16"/>
          <w:color w:val="auto"/>
        </w:rPr>
        <w:t>from any and all obligations in respect of the debt securities of any series (subject to certain exceptions). We will be so discharged upon the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172"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This discharge may occur only if, among other things, we have delivered to the trustee an opinion of counsel stating that we have received from, or there has been published by, the U.S. Internal Revenue Service a ruling or, since the date of execution of the indenture, there has been a change in the applicable U.S. federal income tax law, in either case to the effect that, and based thereon such opinion shall confirm that, the holders of the debt securities of that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 (Section 8.3)</w:t>
      </w:r>
    </w:p>
    <w:p>
      <w:pPr>
        <w:spacing w:after="0" w:line="198"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i w:val="1"/>
          <w:iCs w:val="1"/>
          <w:color w:val="auto"/>
        </w:rPr>
        <w:t xml:space="preserve">Defeasance of Certain Covenants. </w:t>
      </w:r>
      <w:r>
        <w:rPr>
          <w:rFonts w:ascii="Arial" w:cs="Arial" w:eastAsia="Arial" w:hAnsi="Arial"/>
          <w:sz w:val="18"/>
          <w:szCs w:val="18"/>
          <w:color w:val="auto"/>
        </w:rPr>
        <w:t>The indenture provides that, unless otherwise provided by the terms of the applicable series of debt securities, upon</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certain conditions:</w:t>
      </w:r>
    </w:p>
    <w:p>
      <w:pPr>
        <w:spacing w:after="0" w:line="199" w:lineRule="exact"/>
        <w:rPr>
          <w:sz w:val="20"/>
          <w:szCs w:val="20"/>
          <w:color w:val="auto"/>
        </w:rPr>
      </w:pPr>
    </w:p>
    <w:p>
      <w:pPr>
        <w:ind w:left="1080" w:right="20" w:hanging="532"/>
        <w:spacing w:after="0" w:line="332"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may omit to comply with the covenant described under the heading "Consolidation, Merger and Sale of Assets" and certain other covenants set forth in the indenture, as well as any additional covenants that may be set forth in the applicable prospectus supplement; and</w:t>
      </w:r>
    </w:p>
    <w:p>
      <w:pPr>
        <w:spacing w:after="0" w:line="166"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("covenant defeasance").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conditions include:</w:t>
      </w:r>
    </w:p>
    <w:p>
      <w:pPr>
        <w:spacing w:after="0" w:line="239" w:lineRule="exact"/>
        <w:rPr>
          <w:sz w:val="20"/>
          <w:szCs w:val="20"/>
          <w:color w:val="auto"/>
        </w:rPr>
      </w:pPr>
    </w:p>
    <w:p>
      <w:pPr>
        <w:ind w:left="1080" w:hanging="532"/>
        <w:spacing w:after="0" w:line="254"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211"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delivering to the trustee an opinion of counsel to the effect that the holders of the debt securities of that series will not recognize income, gain or loss for U.S. federal income tax purposes as a result of the deposit and related covenant defeasance and will be subject to U.S. federal income tax on the same amounts and in the same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manner and at the same times as would have been the case if the deposit and related covenant defeasance had not occurred. (Section 8.4)</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or Securityholders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debt securities, will be governed by the laws of the State of New York.</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94"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WARRANTS</w:t>
      </w:r>
    </w:p>
    <w:p>
      <w:pPr>
        <w:spacing w:after="0" w:line="23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is subject to, and qualified in its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particular terms of any issue of warrants will be described in the prospectus supplement relating to the issue. Those terms may include:</w:t>
      </w:r>
    </w:p>
    <w:p>
      <w:pPr>
        <w:spacing w:after="0" w:line="262" w:lineRule="exact"/>
        <w:rPr>
          <w:sz w:val="20"/>
          <w:szCs w:val="20"/>
          <w:color w:val="auto"/>
        </w:rPr>
      </w:pPr>
    </w:p>
    <w:p>
      <w:pPr>
        <w:ind w:left="108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purchasable upon the exercise of warrants to purchase such shares and the price at which such number of shares may be purchased upon such exercise;</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date, if any, on and after which the warrants and the related debt securities, preferred stock or common stock will be separately transferable;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U.S. federal income tax consequences applicable to the warrants; and</w:t>
      </w:r>
    </w:p>
    <w:p>
      <w:pPr>
        <w:spacing w:after="0" w:line="252" w:lineRule="exact"/>
        <w:rPr>
          <w:rFonts w:ascii="Arial" w:cs="Arial" w:eastAsia="Arial" w:hAnsi="Arial"/>
          <w:sz w:val="18"/>
          <w:szCs w:val="18"/>
          <w:color w:val="auto"/>
        </w:rPr>
      </w:pPr>
    </w:p>
    <w:p>
      <w:pPr>
        <w:ind w:left="360" w:firstLine="188"/>
        <w:spacing w:after="0" w:line="501" w:lineRule="auto"/>
        <w:tabs>
          <w:tab w:leader="none" w:pos="1089"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exercise and settlement of the warrants. Holders of equity warrants will not be entitled to:</w:t>
      </w:r>
    </w:p>
    <w:p>
      <w:pPr>
        <w:spacing w:after="0" w:line="13"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vote, consent or receive dividends;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receive notice as stockholders with respect to any meeting of stockholders for the election of our directors or any other matter;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exercise any rights as stockholders of the company.</w:t>
      </w:r>
    </w:p>
    <w:p>
      <w:pPr>
        <w:spacing w:after="0" w:line="225" w:lineRule="exact"/>
        <w:rPr>
          <w:sz w:val="20"/>
          <w:szCs w:val="20"/>
          <w:color w:val="auto"/>
        </w:rPr>
      </w:pPr>
    </w:p>
    <w:p>
      <w:pPr>
        <w:ind w:right="340" w:firstLine="351"/>
        <w:spacing w:after="0" w:line="298" w:lineRule="auto"/>
        <w:rPr>
          <w:sz w:val="20"/>
          <w:szCs w:val="20"/>
          <w:color w:val="auto"/>
        </w:rPr>
      </w:pPr>
      <w:r>
        <w:rPr>
          <w:rFonts w:ascii="Arial" w:cs="Arial" w:eastAsia="Arial" w:hAnsi="Arial"/>
          <w:sz w:val="16"/>
          <w:szCs w:val="16"/>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67" w:lineRule="exact"/>
        <w:rPr>
          <w:sz w:val="20"/>
          <w:szCs w:val="20"/>
          <w:color w:val="auto"/>
        </w:rPr>
      </w:pPr>
    </w:p>
    <w:p>
      <w:pPr>
        <w:ind w:right="360" w:firstLine="341"/>
        <w:spacing w:after="0" w:line="268" w:lineRule="auto"/>
        <w:rPr>
          <w:sz w:val="20"/>
          <w:szCs w:val="20"/>
          <w:color w:val="auto"/>
        </w:rPr>
      </w:pPr>
      <w:r>
        <w:rPr>
          <w:rFonts w:ascii="Arial" w:cs="Arial" w:eastAsia="Arial" w:hAnsi="Arial"/>
          <w:sz w:val="18"/>
          <w:szCs w:val="18"/>
          <w:color w:val="auto"/>
        </w:rPr>
        <w:t>A holder of warrant certificates may exchange them for new warrant certificates of different denominations, present them for registration of transfer and exercise them at the corporate trust office of the warrant agent or any other office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UNITS</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70"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If we offer any units, certain terms of that series of units will be described in the applicable prospectus supplement, including, without limitation, the following, as applicable:</w:t>
      </w:r>
    </w:p>
    <w:p>
      <w:pPr>
        <w:spacing w:after="0" w:line="199"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title of the series of units;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identification and description of the separate constituent securities comprising the units;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price or prices at which the units will be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date, if any, on and after which the constituent securities comprising the units will be separately transferable;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discussion of certain U.S. federal income tax considerations applicable to the units;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other terms of the units and their constituent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LEGAL OWNERSHIP OF SECURITIES</w:t>
      </w:r>
    </w:p>
    <w:p>
      <w:pPr>
        <w:spacing w:after="0" w:line="231" w:lineRule="exact"/>
        <w:rPr>
          <w:sz w:val="20"/>
          <w:szCs w:val="20"/>
          <w:color w:val="auto"/>
        </w:rPr>
      </w:pPr>
    </w:p>
    <w:p>
      <w:pPr>
        <w:ind w:right="220" w:firstLine="348"/>
        <w:spacing w:after="0" w:line="294" w:lineRule="auto"/>
        <w:rPr>
          <w:sz w:val="20"/>
          <w:szCs w:val="20"/>
          <w:color w:val="auto"/>
        </w:rPr>
      </w:pPr>
      <w:r>
        <w:rPr>
          <w:rFonts w:ascii="Arial" w:cs="Arial" w:eastAsia="Arial" w:hAnsi="Arial"/>
          <w:sz w:val="16"/>
          <w:szCs w:val="16"/>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or depositary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Holders</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97" w:lineRule="exact"/>
        <w:rPr>
          <w:sz w:val="20"/>
          <w:szCs w:val="20"/>
          <w:color w:val="auto"/>
        </w:rPr>
      </w:pPr>
    </w:p>
    <w:p>
      <w:pPr>
        <w:ind w:right="320" w:firstLine="351"/>
        <w:spacing w:after="0" w:line="294" w:lineRule="auto"/>
        <w:rPr>
          <w:sz w:val="20"/>
          <w:szCs w:val="20"/>
          <w:color w:val="auto"/>
        </w:rPr>
      </w:pPr>
      <w:r>
        <w:rPr>
          <w:rFonts w:ascii="Arial" w:cs="Arial" w:eastAsia="Arial" w:hAnsi="Arial"/>
          <w:sz w:val="16"/>
          <w:szCs w:val="16"/>
          <w:color w:val="auto"/>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70" w:lineRule="exact"/>
        <w:rPr>
          <w:sz w:val="20"/>
          <w:szCs w:val="20"/>
          <w:color w:val="auto"/>
        </w:rPr>
      </w:pPr>
    </w:p>
    <w:p>
      <w:pPr>
        <w:ind w:right="160" w:firstLine="341"/>
        <w:spacing w:after="0" w:line="259" w:lineRule="auto"/>
        <w:rPr>
          <w:sz w:val="20"/>
          <w:szCs w:val="20"/>
          <w:color w:val="auto"/>
        </w:rPr>
      </w:pPr>
      <w:r>
        <w:rPr>
          <w:rFonts w:ascii="Arial" w:cs="Arial" w:eastAsia="Arial" w:hAnsi="Arial"/>
          <w:sz w:val="18"/>
          <w:szCs w:val="18"/>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Street Name Holders</w:t>
      </w:r>
    </w:p>
    <w:p>
      <w:pPr>
        <w:spacing w:after="0" w:line="231"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 global security may be terminated in certain situations as described under "—Special Situations When a Global Security Will Be Terminated,"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67"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Holders</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6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For example, once we make a payment or give a notice to the legal holder, we have no further responsibility for the payment or notice even if that legal holder is required, under agreements with its participants or customers or by law, to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pass it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legal holders, and not the indirect holders, of the securities. Whether and how the legal holders contact the indirect holders is up to the legal 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Considerations for Indirect Holders</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19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whether and how you can instruct it to send you securities registered in your own name so you can be a holder, if that is permitted in the future;</w:t>
      </w:r>
    </w:p>
    <w:p>
      <w:pPr>
        <w:spacing w:after="0" w:line="275" w:lineRule="exact"/>
        <w:rPr>
          <w:rFonts w:ascii="Arial" w:cs="Arial" w:eastAsia="Arial" w:hAnsi="Arial"/>
          <w:sz w:val="16"/>
          <w:szCs w:val="16"/>
          <w:color w:val="auto"/>
        </w:rPr>
      </w:pPr>
    </w:p>
    <w:p>
      <w:pPr>
        <w:ind w:left="1080" w:right="58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how it would exercise rights under the securities if there were a default or other event triggering the need for holders to act to protect their interests;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the securities are in book-entry form, how the depositary's rules and procedures will affect these matters.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31"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86" w:lineRule="exact"/>
        <w:rPr>
          <w:sz w:val="20"/>
          <w:szCs w:val="20"/>
          <w:color w:val="auto"/>
        </w:rPr>
      </w:pPr>
    </w:p>
    <w:p>
      <w:pPr>
        <w:ind w:right="500" w:firstLine="351"/>
        <w:spacing w:after="0" w:line="306" w:lineRule="auto"/>
        <w:rPr>
          <w:sz w:val="20"/>
          <w:szCs w:val="20"/>
          <w:color w:val="auto"/>
        </w:rPr>
      </w:pPr>
      <w:r>
        <w:rPr>
          <w:rFonts w:ascii="Arial" w:cs="Arial" w:eastAsia="Arial" w:hAnsi="Arial"/>
          <w:sz w:val="16"/>
          <w:szCs w:val="16"/>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161"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174"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Considerations for Global Securities</w:t>
      </w:r>
    </w:p>
    <w:p>
      <w:pPr>
        <w:spacing w:after="0" w:line="231" w:lineRule="exact"/>
        <w:rPr>
          <w:sz w:val="20"/>
          <w:szCs w:val="20"/>
          <w:color w:val="auto"/>
        </w:rPr>
      </w:pPr>
    </w:p>
    <w:p>
      <w:pPr>
        <w:jc w:val="both"/>
        <w:ind w:right="200" w:firstLine="341"/>
        <w:spacing w:after="0" w:line="259"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securities are issued only as global securities, an investor should be aware of the following:</w:t>
      </w:r>
    </w:p>
    <w:p>
      <w:pPr>
        <w:spacing w:after="0" w:line="239" w:lineRule="exact"/>
        <w:rPr>
          <w:sz w:val="20"/>
          <w:szCs w:val="20"/>
          <w:color w:val="auto"/>
        </w:rPr>
      </w:pPr>
    </w:p>
    <w:p>
      <w:pPr>
        <w:ind w:left="1080" w:right="28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21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securities to some insurance companies and to other institutions that are required by law to own their securities in non-book-entry form;</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spacing w:after="0" w:line="212"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depositary's policies, which may change from time to time, will govern payments, transfers, exchanges and other matters relating to an investor's interest in the global security;</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and any applicable trustee have no responsibility for any aspect of the depositary's actions or for its records of ownership interests in the global security, nor will we or any applicable trustee supervise the depositary in any way;</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depositary may, and we understand that DTC will, require that those who purchase and sell interests in the global security within its book-entry system use immediately available funds, and your broker or bank may require you to do so as well; and</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the global security, may also have their own policies affecting payments, notices and other matters relating to the securities.</w:t>
      </w:r>
    </w:p>
    <w:p>
      <w:pPr>
        <w:spacing w:after="0" w:line="186"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There may be more than one financial intermediary in the chain of ownership for an investor. We do not monitor and are not responsible for the actions of any of those intermediaries.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Situations When a Global Security Will Be Terminated</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global security will terminate when the following special situations occur:</w:t>
      </w:r>
    </w:p>
    <w:p>
      <w:pPr>
        <w:spacing w:after="0" w:line="239" w:lineRule="exact"/>
        <w:rPr>
          <w:sz w:val="20"/>
          <w:szCs w:val="20"/>
          <w:color w:val="auto"/>
        </w:rPr>
      </w:pPr>
    </w:p>
    <w:p>
      <w:pPr>
        <w:ind w:left="1080" w:right="48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we notify any applicable trustee that we wish to terminate that global security;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securities represented by that global security and has not been cured or waived.</w:t>
      </w:r>
    </w:p>
    <w:p>
      <w:pPr>
        <w:spacing w:after="0" w:line="225"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neither we nor any applicable trustee, is responsible for deciding the names of the institutions that will be the initial direct 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Euroclear and Clearstream</w:t>
      </w:r>
    </w:p>
    <w:p>
      <w:pPr>
        <w:spacing w:after="0" w:line="23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70" w:lineRule="exact"/>
        <w:rPr>
          <w:sz w:val="20"/>
          <w:szCs w:val="20"/>
          <w:color w:val="auto"/>
        </w:rPr>
      </w:pPr>
    </w:p>
    <w:p>
      <w:pPr>
        <w:ind w:right="480" w:firstLine="351"/>
        <w:spacing w:after="0" w:line="259" w:lineRule="auto"/>
        <w:rPr>
          <w:sz w:val="20"/>
          <w:szCs w:val="20"/>
          <w:color w:val="auto"/>
        </w:rPr>
      </w:pPr>
      <w:r>
        <w:rPr>
          <w:rFonts w:ascii="Arial" w:cs="Arial" w:eastAsia="Arial" w:hAnsi="Arial"/>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94"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94"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94"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sell securities:</w:t>
      </w:r>
    </w:p>
    <w:p>
      <w:pPr>
        <w:spacing w:after="0" w:line="239"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underwriters;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directly to purchasers;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a combination of any of these methods or any other method permitted by law.</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 holders.</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may directly solicit offers to purchase securities, or agents may be designated to solicit such offers. In the prospectus supplement relating to such offering, we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239"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199"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public offering or purchase price;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the agent or underwriters;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dealers;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If any underwriters or agents are used in the sale of the securities in respect of which this prospectus is delivered, we will enter into an underwriting agreement, sales agreement or other agreement with them at the time of sale to them, and we will set forth in the prospectus supplement relating to such offering the names of the underwriters or agents and the terms of the related agreement with them.</w:t>
      </w:r>
    </w:p>
    <w:p>
      <w:pPr>
        <w:spacing w:after="0" w:line="194"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 connection with the offering of securities, we may grant to the underwriters an option to purchase additional securities with an additional underwriting commission, as may be set forth in the applicable prospectus supplement. If we grant any such option, the terms of such option will be set forth in the prospectus supplement for such securities.</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a dealer is used in the sale of the securities in respect of which the prospectus is delivered, we will sell such securities to the dealer, as principal. The dealer, who may be deemed to be an "underwriter" as that term is defined in the Securities Act, may then resell such securities to the public at varying prices to be determined by such dealer at the time of resale.</w:t>
      </w:r>
    </w:p>
    <w:p>
      <w:pPr>
        <w:spacing w:after="0" w:line="194"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61"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94"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88" w:lineRule="exact"/>
        <w:rPr>
          <w:sz w:val="20"/>
          <w:szCs w:val="20"/>
          <w:color w:val="auto"/>
        </w:rPr>
      </w:pPr>
    </w:p>
    <w:p>
      <w:pPr>
        <w:ind w:left="1080" w:right="40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w:t>
      </w:r>
    </w:p>
    <w:p>
      <w:pPr>
        <w:spacing w:after="0" w:line="167"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116"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Any common stock will be listed on the Nasdaq Global Select Market, but any other securities may or may not be listed on a national securities exchange. In order to facilitate the offering of the securities, any underwriters may engage in transactions that stabilize, maintain or otherwise affect the price of the securities or any other securities the prices of</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2"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7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Under Rule 15c6-1 of the Securities Exchange Act of 1934, as amended (the "Exchange Act"), trades in the secondary market generally are required to settle in three business days, unless the parties to any such trade expressly agree otherwise. The applicable prospectus supplement may provide that the original issue date for your securities may be more than three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198"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18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compliance with the guidelines of the Financial Industry Regulatory Authority, Inc., or FINRA, the aggregate maximum discount, commission or agency fees or other items constituting underwriting compensation to be received by any FINRA member or independent broker-dealer will not exceed 8% of the proceeds from any offering pursuant to this prospectus and any applicable prospectus supplement.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anticipated date of delivery of offered securities will be set forth in the applicable prospectus supplement relating to each offer.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Certain legal matters in connection with this offering will be passed upon for us by Satterlee Stephens LLP, New York, New York. Any underwriters will also be advised about the validity of the securities and other legal matters by their own counsel, which will be named in the prospectus supplement.</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40" w:firstLine="348"/>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The financial statements incorporated in this prospectus by reference to the </w:t>
      </w:r>
      <w:hyperlink r:id="rId15">
        <w:r>
          <w:rPr>
            <w:rFonts w:ascii="Arial" w:cs="Arial" w:eastAsia="Arial" w:hAnsi="Arial"/>
            <w:sz w:val="18"/>
            <w:szCs w:val="18"/>
            <w:u w:val="single" w:color="auto"/>
            <w:color w:val="0000EE"/>
          </w:rPr>
          <w:t>Annual Report on Form 10-K for the year ended December 31, 2018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have been so incorporated in reliance on the report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are subject to the information requirements of the Exchange Act and, in accordance therewith, file annual, quarterly and special reports, proxy statements and other information with the SEC. You may read and copy any document we file, including the registration statement, at the SEC's Public Reference Room at 100 F Street, N.E., Washington, D.C. 20549. You may call the SEC at 1-800-SEC-0330 for further information on the operation of the Public Reference Room. These documents also may be accessed through the SEC's electronic data gathering, analysis and retrieval system, or EDGAR, via electronic means, including the SEC's home page on the Internet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 xml:space="preserve">We have the authority to designate and issue more than one class or series of stock having various preferences, conversion and other rights, voting powers, restrictions, limitations as to dividends, qualifications, and terms and conditions of redemption. See "Description of Capital Stock." We will furnish a full statement of the relative rights and preferences of each class or series of our stock which has been so designated and any restrictions on the ownership or transfer of our stock to any stockholder upon written or oral request and without charge. Written requests for such copies should be directed to Y-mAbs Therapeutics, Inc., 230 Park Avenue, Suite 3350, New York, NY 10169, Attention: Secretary. Our website is located at </w:t>
      </w:r>
      <w:r>
        <w:rPr>
          <w:rFonts w:ascii="Arial" w:cs="Arial" w:eastAsia="Arial" w:hAnsi="Arial"/>
          <w:sz w:val="16"/>
          <w:szCs w:val="16"/>
          <w:i w:val="1"/>
          <w:iCs w:val="1"/>
          <w:color w:val="auto"/>
        </w:rPr>
        <w:t>www.ymabs.com</w:t>
      </w:r>
      <w:r>
        <w:rPr>
          <w:rFonts w:ascii="Arial" w:cs="Arial" w:eastAsia="Arial" w:hAnsi="Arial"/>
          <w:sz w:val="16"/>
          <w:szCs w:val="16"/>
          <w:color w:val="auto"/>
        </w:rPr>
        <w:t>. Information contained on our website is not incorporated by reference into this prospectus and, therefore, is not part of this prospectus or any prospectus supplement.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right="200" w:firstLine="348"/>
        <w:spacing w:after="0" w:line="289" w:lineRule="auto"/>
        <w:rPr>
          <w:sz w:val="20"/>
          <w:szCs w:val="20"/>
          <w:color w:val="auto"/>
        </w:rPr>
      </w:pPr>
      <w:r>
        <w:rPr>
          <w:rFonts w:ascii="Arial" w:cs="Arial" w:eastAsia="Arial" w:hAnsi="Arial"/>
          <w:sz w:val="16"/>
          <w:szCs w:val="16"/>
          <w:color w:val="auto"/>
        </w:rPr>
        <w:t>The SEC allows us to incorporate by reference the information and reports we file with it into this prospectus, which means that we can disclose important information to you by referring you to these documents. The information incorporated by reference is an important part of this prospectus, and information that we file later with the SEC will automatically update and supersede the information already incorporated by reference. We are incorporating by reference the documents listed below, which we have already filed with the SEC (other than those documents or the portions of those documents not deemed to be filed), and any future filings (other than current reports furnished under Item 2.02 or Item 7.01 of Form 8-K and exhibits filed in such forms that are related to such items unless such Form 8-K expressly provides to the contrary) we make with the SEC under Sections 13(a), 13(c), 14 or 15(d) of the Exchange Act, including all filings made after the date of the filing of this registration statement and prior to the effectiveness of this registration statement, except as to any portion of any future report or document that is furnished and not deemed filed under such provisions, until we sell all of the securities:</w:t>
      </w:r>
    </w:p>
    <w:p>
      <w:pPr>
        <w:spacing w:after="0" w:line="186"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0000EE"/>
        </w:rPr>
      </w:pPr>
      <w:hyperlink r:id="rId15">
        <w:r>
          <w:rPr>
            <w:rFonts w:ascii="Arial" w:cs="Arial" w:eastAsia="Arial" w:hAnsi="Arial"/>
            <w:sz w:val="18"/>
            <w:szCs w:val="18"/>
            <w:u w:val="single" w:color="auto"/>
            <w:color w:val="0000EE"/>
          </w:rPr>
          <w:t>our Annual Report on Form 10-K for the year ended December 31, 2018, filed with the SEC on March 22, 2019</w:t>
        </w:r>
      </w:hyperlink>
      <w:r>
        <w:rPr>
          <w:rFonts w:ascii="Arial" w:cs="Arial" w:eastAsia="Arial" w:hAnsi="Arial"/>
          <w:sz w:val="18"/>
          <w:szCs w:val="18"/>
          <w:color w:val="000000"/>
        </w:rPr>
        <w:t>;</w:t>
      </w:r>
    </w:p>
    <w:p>
      <w:pPr>
        <w:spacing w:after="0" w:line="252" w:lineRule="exact"/>
        <w:rPr>
          <w:rFonts w:ascii="Arial" w:cs="Arial" w:eastAsia="Arial" w:hAnsi="Arial"/>
          <w:sz w:val="18"/>
          <w:szCs w:val="18"/>
          <w:color w:val="0000EE"/>
        </w:rPr>
      </w:pPr>
    </w:p>
    <w:p>
      <w:pPr>
        <w:ind w:left="1080" w:right="420" w:hanging="532"/>
        <w:spacing w:after="0" w:line="268" w:lineRule="auto"/>
        <w:tabs>
          <w:tab w:leader="none" w:pos="1080" w:val="left"/>
        </w:tabs>
        <w:numPr>
          <w:ilvl w:val="0"/>
          <w:numId w:val="48"/>
        </w:numPr>
        <w:rPr>
          <w:rFonts w:ascii="Arial" w:cs="Arial" w:eastAsia="Arial" w:hAnsi="Arial"/>
          <w:sz w:val="18"/>
          <w:szCs w:val="18"/>
          <w:color w:val="0000EE"/>
        </w:rPr>
      </w:pPr>
      <w:r>
        <w:rPr>
          <w:rFonts w:ascii="Arial" w:cs="Arial" w:eastAsia="Arial" w:hAnsi="Arial"/>
          <w:sz w:val="18"/>
          <w:szCs w:val="18"/>
          <w:color w:val="auto"/>
        </w:rPr>
        <w:t xml:space="preserve">the information specifically incorporated by reference into our </w:t>
      </w:r>
      <w:hyperlink r:id="rId15">
        <w:r>
          <w:rPr>
            <w:rFonts w:ascii="Arial" w:cs="Arial" w:eastAsia="Arial" w:hAnsi="Arial"/>
            <w:sz w:val="18"/>
            <w:szCs w:val="18"/>
            <w:u w:val="single" w:color="auto"/>
            <w:color w:val="0000EE"/>
          </w:rPr>
          <w:t>Annual Report on Form 10-K for the year ended December 31, 2018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from our </w:t>
      </w:r>
      <w:hyperlink r:id="rId57">
        <w:r>
          <w:rPr>
            <w:rFonts w:ascii="Arial" w:cs="Arial" w:eastAsia="Arial" w:hAnsi="Arial"/>
            <w:sz w:val="18"/>
            <w:szCs w:val="18"/>
            <w:u w:val="single" w:color="auto"/>
            <w:color w:val="0000EE"/>
          </w:rPr>
          <w:t>Definitive Proxy Statement on Schedule 14A, filed with the SEC on April 30, 2019</w:t>
        </w:r>
      </w:hyperlink>
      <w:r>
        <w:rPr>
          <w:rFonts w:ascii="Arial" w:cs="Arial" w:eastAsia="Arial" w:hAnsi="Arial"/>
          <w:sz w:val="18"/>
          <w:szCs w:val="18"/>
          <w:color w:val="000000"/>
        </w:rPr>
        <w:t>;</w:t>
      </w:r>
    </w:p>
    <w:p>
      <w:pPr>
        <w:spacing w:after="0" w:line="199" w:lineRule="exact"/>
        <w:rPr>
          <w:rFonts w:ascii="Arial" w:cs="Arial" w:eastAsia="Arial" w:hAnsi="Arial"/>
          <w:sz w:val="18"/>
          <w:szCs w:val="18"/>
          <w:color w:val="0000EE"/>
        </w:rPr>
      </w:pPr>
    </w:p>
    <w:p>
      <w:pPr>
        <w:ind w:left="1080" w:right="760" w:hanging="532"/>
        <w:spacing w:after="0" w:line="268" w:lineRule="auto"/>
        <w:tabs>
          <w:tab w:leader="none" w:pos="1080" w:val="left"/>
        </w:tabs>
        <w:numPr>
          <w:ilvl w:val="0"/>
          <w:numId w:val="48"/>
        </w:numPr>
        <w:rPr>
          <w:rFonts w:ascii="Arial" w:cs="Arial" w:eastAsia="Arial" w:hAnsi="Arial"/>
          <w:sz w:val="18"/>
          <w:szCs w:val="18"/>
          <w:color w:val="0000EE"/>
        </w:rPr>
      </w:pPr>
      <w:r>
        <w:rPr>
          <w:rFonts w:ascii="Arial" w:cs="Arial" w:eastAsia="Arial" w:hAnsi="Arial"/>
          <w:sz w:val="18"/>
          <w:szCs w:val="18"/>
          <w:color w:val="auto"/>
        </w:rPr>
        <w:t xml:space="preserve">our Quarterly Reports on Form 10-Q for the quarters ended March 31, 2019 and June 30, 2019, filed with the SEC on </w:t>
      </w:r>
      <w:hyperlink r:id="rId59">
        <w:r>
          <w:rPr>
            <w:rFonts w:ascii="Arial" w:cs="Arial" w:eastAsia="Arial" w:hAnsi="Arial"/>
            <w:sz w:val="18"/>
            <w:szCs w:val="18"/>
            <w:u w:val="single" w:color="auto"/>
            <w:color w:val="0000EE"/>
          </w:rPr>
          <w:t>May 10,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6">
        <w:r>
          <w:rPr>
            <w:rFonts w:ascii="Arial" w:cs="Arial" w:eastAsia="Arial" w:hAnsi="Arial"/>
            <w:sz w:val="18"/>
            <w:szCs w:val="18"/>
            <w:u w:val="single" w:color="auto"/>
            <w:color w:val="0000EE"/>
          </w:rPr>
          <w:t>August 14, 2019</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respectively;</w:t>
      </w:r>
    </w:p>
    <w:p>
      <w:pPr>
        <w:spacing w:after="0" w:line="199" w:lineRule="exact"/>
        <w:rPr>
          <w:rFonts w:ascii="Arial" w:cs="Arial" w:eastAsia="Arial" w:hAnsi="Arial"/>
          <w:sz w:val="18"/>
          <w:szCs w:val="18"/>
          <w:color w:val="0000EE"/>
        </w:rPr>
      </w:pPr>
    </w:p>
    <w:p>
      <w:pPr>
        <w:ind w:left="1080" w:right="86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60">
        <w:r>
          <w:rPr>
            <w:rFonts w:ascii="Arial" w:cs="Arial" w:eastAsia="Arial" w:hAnsi="Arial"/>
            <w:sz w:val="18"/>
            <w:szCs w:val="18"/>
            <w:u w:val="single" w:color="auto"/>
            <w:color w:val="0000EE"/>
          </w:rPr>
          <w:t>April 30, 2019</w:t>
        </w:r>
      </w:hyperlink>
      <w:r>
        <w:rPr>
          <w:rFonts w:ascii="Arial" w:cs="Arial" w:eastAsia="Arial" w:hAnsi="Arial"/>
          <w:sz w:val="18"/>
          <w:szCs w:val="18"/>
          <w:color w:val="auto"/>
        </w:rPr>
        <w:t xml:space="preserve">, </w:t>
      </w:r>
      <w:hyperlink r:id="rId61">
        <w:r>
          <w:rPr>
            <w:rFonts w:ascii="Arial" w:cs="Arial" w:eastAsia="Arial" w:hAnsi="Arial"/>
            <w:sz w:val="18"/>
            <w:szCs w:val="18"/>
            <w:u w:val="single" w:color="auto"/>
            <w:color w:val="0000EE"/>
          </w:rPr>
          <w:t>June 6,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62">
        <w:r>
          <w:rPr>
            <w:rFonts w:ascii="Arial" w:cs="Arial" w:eastAsia="Arial" w:hAnsi="Arial"/>
            <w:sz w:val="18"/>
            <w:szCs w:val="18"/>
            <w:u w:val="single" w:color="auto"/>
            <w:color w:val="0000EE"/>
          </w:rPr>
          <w:t>September 19,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each case, except for information contained therein which is furnished rather than filed);</w:t>
      </w:r>
    </w:p>
    <w:p>
      <w:pPr>
        <w:spacing w:after="0" w:line="212" w:lineRule="exact"/>
        <w:rPr>
          <w:rFonts w:ascii="Arial" w:cs="Arial" w:eastAsia="Arial" w:hAnsi="Arial"/>
          <w:sz w:val="18"/>
          <w:szCs w:val="18"/>
          <w:color w:val="auto"/>
        </w:rPr>
      </w:pPr>
    </w:p>
    <w:p>
      <w:pPr>
        <w:ind w:left="1080" w:right="360" w:hanging="532"/>
        <w:spacing w:after="0" w:line="259" w:lineRule="auto"/>
        <w:tabs>
          <w:tab w:leader="none" w:pos="1080" w:val="left"/>
        </w:tabs>
        <w:numPr>
          <w:ilvl w:val="0"/>
          <w:numId w:val="48"/>
        </w:numPr>
        <w:rPr>
          <w:rFonts w:ascii="Arial" w:cs="Arial" w:eastAsia="Arial" w:hAnsi="Arial"/>
          <w:sz w:val="18"/>
          <w:szCs w:val="18"/>
          <w:color w:val="0000EE"/>
        </w:rPr>
      </w:pPr>
      <w:hyperlink r:id="rId63">
        <w:r>
          <w:rPr>
            <w:rFonts w:ascii="Arial" w:cs="Arial" w:eastAsia="Arial" w:hAnsi="Arial"/>
            <w:sz w:val="18"/>
            <w:szCs w:val="18"/>
            <w:u w:val="single" w:color="auto"/>
            <w:color w:val="0000EE"/>
          </w:rPr>
          <w:t>the description of our common stock contained in our registration statement on Form 8-A (Registration No. 001-38650) filed with the SEC on</w:t>
        </w:r>
      </w:hyperlink>
      <w:r>
        <w:rPr>
          <w:rFonts w:ascii="Arial" w:cs="Arial" w:eastAsia="Arial" w:hAnsi="Arial"/>
          <w:sz w:val="18"/>
          <w:szCs w:val="18"/>
          <w:u w:val="single" w:color="auto"/>
          <w:color w:val="0000EE"/>
        </w:rPr>
        <w:t xml:space="preserve"> </w:t>
      </w:r>
      <w:hyperlink r:id="rId63">
        <w:r>
          <w:rPr>
            <w:rFonts w:ascii="Arial" w:cs="Arial" w:eastAsia="Arial" w:hAnsi="Arial"/>
            <w:sz w:val="18"/>
            <w:szCs w:val="18"/>
            <w:u w:val="single" w:color="auto"/>
            <w:color w:val="0000EE"/>
          </w:rPr>
          <w:t>September 11, 2018 under Section 12(b) of the Exchange Act, including any amendments or reports filed for the purpose of updating such</w:t>
        </w:r>
      </w:hyperlink>
      <w:r>
        <w:rPr>
          <w:rFonts w:ascii="Arial" w:cs="Arial" w:eastAsia="Arial" w:hAnsi="Arial"/>
          <w:sz w:val="18"/>
          <w:szCs w:val="18"/>
          <w:u w:val="single" w:color="auto"/>
          <w:color w:val="0000EE"/>
        </w:rPr>
        <w:t xml:space="preserve"> </w:t>
      </w:r>
      <w:hyperlink r:id="rId63">
        <w:r>
          <w:rPr>
            <w:rFonts w:ascii="Arial" w:cs="Arial" w:eastAsia="Arial" w:hAnsi="Arial"/>
            <w:sz w:val="18"/>
            <w:szCs w:val="18"/>
            <w:u w:val="single" w:color="auto"/>
            <w:color w:val="0000EE"/>
          </w:rPr>
          <w:t>description</w:t>
        </w:r>
        <w:r>
          <w:rPr>
            <w:rFonts w:ascii="Arial" w:cs="Arial" w:eastAsia="Arial" w:hAnsi="Arial"/>
            <w:sz w:val="18"/>
            <w:szCs w:val="18"/>
            <w:color w:val="000000"/>
          </w:rPr>
          <w:t>; and</w:t>
        </w:r>
      </w:hyperlink>
    </w:p>
    <w:p>
      <w:pPr>
        <w:spacing w:after="0" w:line="207" w:lineRule="exact"/>
        <w:rPr>
          <w:rFonts w:ascii="Arial" w:cs="Arial" w:eastAsia="Arial" w:hAnsi="Arial"/>
          <w:sz w:val="18"/>
          <w:szCs w:val="18"/>
          <w:color w:val="0000EE"/>
        </w:rPr>
      </w:pPr>
    </w:p>
    <w:p>
      <w:pPr>
        <w:ind w:left="1080" w:right="120" w:hanging="532"/>
        <w:spacing w:after="0" w:line="306"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all reports and other documents subsequently filed by us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61" w:lineRule="exact"/>
        <w:rPr>
          <w:rFonts w:ascii="Arial" w:cs="Arial" w:eastAsia="Arial" w:hAnsi="Arial"/>
          <w:sz w:val="18"/>
          <w:szCs w:val="18"/>
          <w:u w:val="single" w:color="auto"/>
          <w:color w:val="0000EE"/>
        </w:rPr>
      </w:pPr>
    </w:p>
    <w:p>
      <w:pPr>
        <w:ind w:left="360"/>
        <w:spacing w:after="0"/>
        <w:rPr>
          <w:sz w:val="20"/>
          <w:szCs w:val="20"/>
          <w:color w:val="auto"/>
        </w:rPr>
      </w:pPr>
      <w:r>
        <w:rPr>
          <w:rFonts w:ascii="Arial" w:cs="Arial" w:eastAsia="Arial" w:hAnsi="Arial"/>
          <w:sz w:val="18"/>
          <w:szCs w:val="18"/>
          <w:color w:val="auto"/>
        </w:rPr>
        <w:t>The SEC file number for each of the documents listed above is 001-38650.</w:t>
      </w:r>
    </w:p>
    <w:p>
      <w:pPr>
        <w:spacing w:after="0" w:line="225" w:lineRule="exact"/>
        <w:rPr>
          <w:rFonts w:ascii="Arial" w:cs="Arial" w:eastAsia="Arial" w:hAnsi="Arial"/>
          <w:sz w:val="18"/>
          <w:szCs w:val="18"/>
          <w:u w:val="single" w:color="auto"/>
          <w:color w:val="0000EE"/>
        </w:rPr>
      </w:pPr>
    </w:p>
    <w:p>
      <w:pPr>
        <w:ind w:firstLine="341"/>
        <w:spacing w:after="0" w:line="256" w:lineRule="auto"/>
        <w:rPr>
          <w:sz w:val="20"/>
          <w:szCs w:val="20"/>
          <w:color w:val="auto"/>
        </w:rPr>
      </w:pPr>
      <w:r>
        <w:rPr>
          <w:rFonts w:ascii="Arial" w:cs="Arial" w:eastAsia="Arial" w:hAnsi="Arial"/>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97" w:lineRule="exact"/>
        <w:rPr>
          <w:rFonts w:ascii="Arial" w:cs="Arial" w:eastAsia="Arial" w:hAnsi="Arial"/>
          <w:sz w:val="18"/>
          <w:szCs w:val="18"/>
          <w:u w:val="single" w:color="auto"/>
          <w:color w:val="0000EE"/>
        </w:rPr>
      </w:pPr>
    </w:p>
    <w:p>
      <w:pPr>
        <w:jc w:val="both"/>
        <w:ind w:firstLine="351"/>
        <w:spacing w:after="0" w:line="298" w:lineRule="auto"/>
        <w:rPr>
          <w:sz w:val="20"/>
          <w:szCs w:val="20"/>
          <w:color w:val="auto"/>
        </w:rPr>
      </w:pPr>
      <w:r>
        <w:rPr>
          <w:rFonts w:ascii="Arial" w:cs="Arial" w:eastAsia="Arial" w:hAnsi="Arial"/>
          <w:sz w:val="16"/>
          <w:szCs w:val="16"/>
          <w:color w:val="auto"/>
        </w:rPr>
        <w:t>Upon request, we will provide, without charge, to each person, including any beneficial owner, to whom a copy of this prospectus is delivered, a copy of the documents incorporated by reference into this prospectus but not delivered with the prospectus. You may request a copy of these filings, and any exhibits we have specifically incorporated by reference as an exhibit in this prospectus, at no cost by writing or telephoning us at the following address: Y-mAbs Therapeutics, Inc., 230 Park Avenue, Suite 3350, New York, NY 10169, Attention: Secretary or by telephone request to (646) 885-8505.</w:t>
      </w:r>
    </w:p>
    <w:p>
      <w:pPr>
        <w:spacing w:after="0" w:line="167" w:lineRule="exact"/>
        <w:rPr>
          <w:rFonts w:ascii="Arial" w:cs="Arial" w:eastAsia="Arial" w:hAnsi="Arial"/>
          <w:sz w:val="18"/>
          <w:szCs w:val="18"/>
          <w:u w:val="single" w:color="auto"/>
          <w:color w:val="0000EE"/>
        </w:rPr>
      </w:pPr>
    </w:p>
    <w:p>
      <w:pPr>
        <w:ind w:right="120" w:firstLine="348"/>
        <w:spacing w:after="0" w:line="268" w:lineRule="auto"/>
        <w:rPr>
          <w:sz w:val="20"/>
          <w:szCs w:val="20"/>
          <w:color w:val="auto"/>
        </w:rPr>
      </w:pPr>
      <w:r>
        <w:rPr>
          <w:rFonts w:ascii="Arial" w:cs="Arial" w:eastAsia="Arial" w:hAnsi="Arial"/>
          <w:sz w:val="18"/>
          <w:szCs w:val="18"/>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86"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45"/>
        <w:spacing w:after="0" w:line="256"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19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131" w:right="61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$125,000,000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2303145</wp:posOffset>
            </wp:positionH>
            <wp:positionV relativeFrom="paragraph">
              <wp:posOffset>160020</wp:posOffset>
            </wp:positionV>
            <wp:extent cx="2649855" cy="9347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2649855"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160020</wp:posOffset>
            </wp:positionV>
            <wp:extent cx="18954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421"/>
        </w:trPr>
        <w:tc>
          <w:tcPr>
            <w:tcW w:w="4140" w:type="dxa"/>
            <w:vAlign w:val="bottom"/>
          </w:tcPr>
          <w:p>
            <w:pPr>
              <w:ind w:left="1140"/>
              <w:spacing w:after="0"/>
              <w:rPr>
                <w:sz w:val="20"/>
                <w:szCs w:val="20"/>
                <w:color w:val="auto"/>
              </w:rPr>
            </w:pPr>
            <w:r>
              <w:rPr>
                <w:rFonts w:ascii="Arial" w:cs="Arial" w:eastAsia="Arial" w:hAnsi="Arial"/>
                <w:sz w:val="32"/>
                <w:szCs w:val="32"/>
                <w:b w:val="1"/>
                <w:bCs w:val="1"/>
                <w:color w:val="auto"/>
              </w:rPr>
              <w:t>Morgan Stanley</w:t>
            </w:r>
          </w:p>
        </w:tc>
        <w:tc>
          <w:tcPr>
            <w:tcW w:w="3200" w:type="dxa"/>
            <w:vAlign w:val="bottom"/>
          </w:tcPr>
          <w:p>
            <w:pPr>
              <w:jc w:val="right"/>
              <w:ind w:right="635"/>
              <w:spacing w:after="0"/>
              <w:rPr>
                <w:sz w:val="20"/>
                <w:szCs w:val="20"/>
                <w:color w:val="auto"/>
              </w:rPr>
            </w:pPr>
            <w:r>
              <w:rPr>
                <w:rFonts w:ascii="Arial" w:cs="Arial" w:eastAsia="Arial" w:hAnsi="Arial"/>
                <w:sz w:val="32"/>
                <w:szCs w:val="32"/>
                <w:b w:val="1"/>
                <w:bCs w:val="1"/>
                <w:color w:val="auto"/>
              </w:rPr>
              <w:t>J.P. Morgan</w:t>
            </w:r>
          </w:p>
        </w:tc>
        <w:tc>
          <w:tcPr>
            <w:tcW w:w="4080" w:type="dxa"/>
            <w:vAlign w:val="bottom"/>
          </w:tcPr>
          <w:p>
            <w:pPr>
              <w:ind w:left="760"/>
              <w:spacing w:after="0"/>
              <w:rPr>
                <w:sz w:val="20"/>
                <w:szCs w:val="20"/>
                <w:color w:val="auto"/>
              </w:rPr>
            </w:pPr>
            <w:r>
              <w:rPr>
                <w:rFonts w:ascii="Arial" w:cs="Arial" w:eastAsia="Arial" w:hAnsi="Arial"/>
                <w:sz w:val="32"/>
                <w:szCs w:val="32"/>
                <w:b w:val="1"/>
                <w:bCs w:val="1"/>
                <w:color w:val="auto"/>
              </w:rPr>
              <w:t>BofA Securities</w:t>
            </w:r>
          </w:p>
        </w:tc>
      </w:tr>
      <w:tr>
        <w:trPr>
          <w:trHeight w:val="415"/>
        </w:trPr>
        <w:tc>
          <w:tcPr>
            <w:tcW w:w="4140" w:type="dxa"/>
            <w:vAlign w:val="bottom"/>
          </w:tcPr>
          <w:p>
            <w:pPr>
              <w:spacing w:after="0"/>
              <w:rPr>
                <w:sz w:val="24"/>
                <w:szCs w:val="24"/>
                <w:color w:val="auto"/>
              </w:rPr>
            </w:pPr>
          </w:p>
        </w:tc>
        <w:tc>
          <w:tcPr>
            <w:tcW w:w="3200" w:type="dxa"/>
            <w:vAlign w:val="bottom"/>
          </w:tcPr>
          <w:p>
            <w:pPr>
              <w:jc w:val="right"/>
              <w:ind w:right="755"/>
              <w:spacing w:after="0"/>
              <w:rPr>
                <w:sz w:val="20"/>
                <w:szCs w:val="20"/>
                <w:color w:val="auto"/>
              </w:rPr>
            </w:pPr>
            <w:r>
              <w:rPr>
                <w:rFonts w:ascii="Arial" w:cs="Arial" w:eastAsia="Arial" w:hAnsi="Arial"/>
                <w:sz w:val="18"/>
                <w:szCs w:val="18"/>
                <w:b w:val="1"/>
                <w:bCs w:val="1"/>
                <w:color w:val="auto"/>
              </w:rPr>
              <w:t>, 2019</w:t>
            </w:r>
          </w:p>
        </w:tc>
        <w:tc>
          <w:tcPr>
            <w:tcW w:w="4080" w:type="dxa"/>
            <w:vAlign w:val="bottom"/>
          </w:tcPr>
          <w:p>
            <w:pPr>
              <w:spacing w:after="0"/>
              <w:rPr>
                <w:sz w:val="24"/>
                <w:szCs w:val="24"/>
                <w:color w:val="auto"/>
              </w:rPr>
            </w:pPr>
          </w:p>
        </w:tc>
      </w:tr>
      <w:tr>
        <w:trPr>
          <w:trHeight w:val="218"/>
        </w:trPr>
        <w:tc>
          <w:tcPr>
            <w:tcW w:w="414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tcPr>
          <w:p>
            <w:pPr>
              <w:spacing w:after="0"/>
              <w:rPr>
                <w:sz w:val="18"/>
                <w:szCs w:val="18"/>
                <w:color w:val="auto"/>
              </w:rPr>
            </w:pPr>
          </w:p>
        </w:tc>
      </w:tr>
      <w:tr>
        <w:trPr>
          <w:trHeight w:val="41"/>
        </w:trPr>
        <w:tc>
          <w:tcPr>
            <w:tcW w:w="4140" w:type="dxa"/>
            <w:vAlign w:val="bottom"/>
            <w:tcBorders>
              <w:bottom w:val="single" w:sz="8" w:color="auto"/>
            </w:tcBorders>
          </w:tcPr>
          <w:p>
            <w:pPr>
              <w:spacing w:after="0"/>
              <w:rPr>
                <w:sz w:val="3"/>
                <w:szCs w:val="3"/>
                <w:color w:val="auto"/>
              </w:rPr>
            </w:pPr>
          </w:p>
        </w:tc>
        <w:tc>
          <w:tcPr>
            <w:tcW w:w="3200" w:type="dxa"/>
            <w:vAlign w:val="bottom"/>
            <w:tcBorders>
              <w:bottom w:val="single" w:sz="8" w:color="auto"/>
            </w:tcBorders>
          </w:tcPr>
          <w:p>
            <w:pPr>
              <w:spacing w:after="0"/>
              <w:rPr>
                <w:sz w:val="3"/>
                <w:szCs w:val="3"/>
                <w:color w:val="auto"/>
              </w:rPr>
            </w:pPr>
          </w:p>
        </w:tc>
        <w:tc>
          <w:tcPr>
            <w:tcW w:w="4080" w:type="dxa"/>
            <w:vAlign w:val="bottom"/>
            <w:tcBorders>
              <w:bottom w:val="single" w:sz="8" w:color="auto"/>
            </w:tcBorders>
          </w:tcPr>
          <w:p>
            <w:pPr>
              <w:spacing w:after="0"/>
              <w:rPr>
                <w:sz w:val="3"/>
                <w:szCs w:val="3"/>
                <w:color w:val="auto"/>
              </w:rPr>
            </w:pPr>
          </w:p>
        </w:tc>
      </w:tr>
      <w:tr>
        <w:trPr>
          <w:trHeight w:val="226"/>
        </w:trPr>
        <w:tc>
          <w:tcPr>
            <w:tcW w:w="414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decimal"/>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lowerRoman"/>
      <w:start w:val="2"/>
    </w:lvl>
  </w:abstractNum>
  <w:abstractNum w:abstractNumId="5">
    <w:nsid w:val="54E49EB4"/>
    <w:multiLevelType w:val="hybridMultilevel"/>
    <w:lvl w:ilvl="0">
      <w:lvlJc w:val="left"/>
      <w:lvlText w:val="(%1)"/>
      <w:numFmt w:val="lowerRoman"/>
      <w:start w:val="5"/>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1)"/>
      <w:numFmt w:val="lowerLetter"/>
      <w:start w:val="1"/>
    </w:lvl>
  </w:abstractNum>
  <w:abstractNum w:abstractNumId="18">
    <w:nsid w:val="3006C83E"/>
    <w:multiLevelType w:val="hybridMultilevel"/>
    <w:lvl w:ilvl="0">
      <w:lvlJc w:val="left"/>
      <w:lvlText w:val="(%1)"/>
      <w:numFmt w:val="lowerLetter"/>
      <w:start w:val="1"/>
    </w:lvl>
  </w:abstractNum>
  <w:abstractNum w:abstractNumId="19">
    <w:nsid w:val="614FD4A1"/>
    <w:multiLevelType w:val="hybridMultilevel"/>
    <w:lvl w:ilvl="0">
      <w:lvlJc w:val="left"/>
      <w:lvlText w:val="(%1)"/>
      <w:numFmt w:val="lowerLetter"/>
      <w:start w:val="1"/>
    </w:lvl>
  </w:abstractNum>
  <w:abstractNum w:abstractNumId="20">
    <w:nsid w:val="419AC241"/>
    <w:multiLevelType w:val="hybridMultilevel"/>
    <w:lvl w:ilvl="0">
      <w:lvlJc w:val="left"/>
      <w:lvlText w:val="(%1)"/>
      <w:numFmt w:val="lowerLetter"/>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1)"/>
      <w:numFmt w:val="decimal"/>
      <w:start w:val="3"/>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8"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jpe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jpe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5" Type="http://schemas.openxmlformats.org/officeDocument/2006/relationships/hyperlink" Target="http://www.sec.gov/Archives/edgar/data/1722964/000155837019002375/ymab-20181231x10k.htm" TargetMode="External"/><Relationship Id="rId16" Type="http://schemas.openxmlformats.org/officeDocument/2006/relationships/hyperlink" Target="http://www.sec.gov/Archives/edgar/data/1722964/000155837019008167/ymab-20190630x10q.htm" TargetMode="External"/><Relationship Id="rId57" Type="http://schemas.openxmlformats.org/officeDocument/2006/relationships/hyperlink" Target="http://www.sec.gov/Archives/edgar/data/1722964/000104746919002749/a2238580zdef14a.htm" TargetMode="External"/><Relationship Id="rId59" Type="http://schemas.openxmlformats.org/officeDocument/2006/relationships/hyperlink" Target="http://www.sec.gov/Archives/edgar/data/1722964/000154478419000003/ymab-20190331x10q.htm" TargetMode="External"/><Relationship Id="rId60" Type="http://schemas.openxmlformats.org/officeDocument/2006/relationships/hyperlink" Target="http://www.sec.gov/Archives/edgar/data/1722964/000110465919025078/a19-9154_18k.htm" TargetMode="External"/><Relationship Id="rId61" Type="http://schemas.openxmlformats.org/officeDocument/2006/relationships/hyperlink" Target="http://www.sec.gov/Archives/edgar/data/1722964/000110465919034296/a19-11208_18k.htm" TargetMode="External"/><Relationship Id="rId62" Type="http://schemas.openxmlformats.org/officeDocument/2006/relationships/hyperlink" Target="http://www.sec.gov/Archives/edgar/data/1722964/000110465919050729/a19-18811_18k.htm" TargetMode="External"/><Relationship Id="rId63" Type="http://schemas.openxmlformats.org/officeDocument/2006/relationships/hyperlink" Target="http://www.sec.gov/Archives/edgar/data/1722964/000110465918056144/a18-5676_10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2019-12-04T22:50:55Z</dcterms:created>
  <dcterms:modified xsi:type="dcterms:W3CDTF">2019-12-04T22:50:55Z</dcterms:modified>
</cp:coreProperties>
</file>