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541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4164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Gad Thomas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20"/>
        <w:spacing w:after="0" w:line="340" w:lineRule="auto"/>
        <w:rPr>
          <w:sz w:val="20"/>
          <w:szCs w:val="20"/>
          <w:color w:val="auto"/>
        </w:rPr>
      </w:pPr>
      <w:r>
        <w:rPr>
          <w:rFonts w:ascii="Times New Roman" w:cs="Times New Roman" w:eastAsia="Times New Roman" w:hAnsi="Times New Roman"/>
          <w:sz w:val="16"/>
          <w:szCs w:val="16"/>
          <w:color w:val="0000FF"/>
        </w:rPr>
        <w:t>C/O Y-MABS THERAPEUTICS, INC. 202 CARNEGIE CENTER, SUITE 301</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Y-mAbs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YMAB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0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NJ</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08540</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35"/>
              <w:spacing w:after="0"/>
              <w:rPr>
                <w:sz w:val="20"/>
                <w:szCs w:val="20"/>
                <w:color w:val="auto"/>
              </w:rPr>
            </w:pPr>
            <w:r>
              <w:rPr>
                <w:rFonts w:ascii="Times New Roman" w:cs="Times New Roman" w:eastAsia="Times New Roman" w:hAnsi="Times New Roman"/>
                <w:sz w:val="17"/>
                <w:szCs w:val="17"/>
                <w:color w:val="0000FF"/>
                <w:w w:val="98"/>
              </w:rPr>
              <w:t>06/03/2025</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2"/>
              </w:rPr>
              <w:t>103,000</w:t>
            </w:r>
            <w:r>
              <w:rPr>
                <w:rFonts w:ascii="Times New Roman" w:cs="Times New Roman" w:eastAsia="Times New Roman" w:hAnsi="Times New Roman"/>
                <w:sz w:val="21"/>
                <w:szCs w:val="21"/>
                <w:color w:val="008000"/>
                <w:w w:val="92"/>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w:t>
            </w: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305,721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GAD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8"/>
              </w:rPr>
              <w:t>67,681</w:t>
            </w:r>
          </w:p>
        </w:tc>
        <w:tc>
          <w:tcPr>
            <w:tcW w:w="34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Enterprises</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4"/>
          </w:tcPr>
          <w:p>
            <w:pPr>
              <w:ind w:left="80"/>
              <w:spacing w:after="0" w:line="266"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8"/>
              </w:rPr>
              <w:t>60,000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Children</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0"/>
          </w:tcPr>
          <w:p>
            <w:pPr>
              <w:jc w:val="center"/>
              <w:ind w:right="118"/>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103,000</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3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06/03/2025</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103,000</w:t>
            </w:r>
          </w:p>
        </w:tc>
        <w:tc>
          <w:tcPr>
            <w:tcW w:w="780" w:type="dxa"/>
            <w:vAlign w:val="bottom"/>
            <w:gridSpan w:val="2"/>
            <w:vMerge w:val="continue"/>
          </w:tcPr>
          <w:p>
            <w:pPr>
              <w:spacing w:after="0"/>
              <w:rPr>
                <w:sz w:val="11"/>
                <w:szCs w:val="11"/>
                <w:color w:val="auto"/>
              </w:rPr>
            </w:pPr>
          </w:p>
        </w:tc>
        <w:tc>
          <w:tcPr>
            <w:tcW w:w="6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06/10/2025</w:t>
            </w: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1"/>
                <w:szCs w:val="11"/>
                <w:color w:val="auto"/>
              </w:rPr>
            </w:pPr>
          </w:p>
        </w:tc>
        <w:tc>
          <w:tcPr>
            <w:tcW w:w="52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acquired through the exercise of Employee Stock Options.</w:t>
      </w:r>
    </w:p>
    <w:p>
      <w:pPr>
        <w:spacing w:after="0" w:line="41"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Reporting Person's children who are deemed to share Reporting Person's household.</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and became exercisable as to 25% of the shares subject to the option on June 10, 2016, and thereafter vested as to 1/48th of the shares in equal monthly installments, until such time as the option was 100% vested on June 10, 2019.</w:t>
      </w:r>
    </w:p>
    <w:p>
      <w:pPr>
        <w:spacing w:after="0" w:line="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John LaRocca,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06/05/2025</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3224" TargetMode="External"/><Relationship Id="rId14"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2025-06-05T18:21:08Z</dcterms:created>
  <dcterms:modified xsi:type="dcterms:W3CDTF">2025-06-05T18:21:08Z</dcterms:modified>
</cp:coreProperties>
</file>