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30,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001-38650</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New York, New York 10169</w:t>
            </w:r>
          </w:p>
        </w:tc>
        <w:tc>
          <w:tcPr>
            <w:tcW w:w="19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(646) 885-8505</w:t>
            </w:r>
          </w:p>
        </w:tc>
        <w:tc>
          <w:tcPr>
            <w:tcW w:w="19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30, 2023, Y-mAbs Therapeutics, Inc., announced its financial results for the fiscal year ended December 31, 2022. A copy of the press release is attached hereto as Exhibit 99.1.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320" w:type="dxa"/>
            <w:vAlign w:val="bottom"/>
            <w:gridSpan w:val="3"/>
          </w:tcPr>
          <w:p>
            <w:pPr>
              <w:ind w:left="380"/>
              <w:spacing w:after="0"/>
              <w:rPr>
                <w:sz w:val="20"/>
                <w:szCs w:val="20"/>
                <w:color w:val="auto"/>
              </w:rPr>
            </w:pPr>
            <w:r>
              <w:rPr>
                <w:rFonts w:ascii="Arial" w:cs="Arial" w:eastAsia="Arial" w:hAnsi="Arial"/>
                <w:sz w:val="18"/>
                <w:szCs w:val="18"/>
                <w:color w:val="auto"/>
              </w:rPr>
              <w:t>(d) Exhibits</w:t>
            </w:r>
          </w:p>
        </w:tc>
      </w:tr>
      <w:tr>
        <w:trPr>
          <w:trHeight w:val="432"/>
        </w:trPr>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44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0000EE"/>
              </w:rPr>
              <w:t>Press Release, dated March 30,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Y-MABS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30, 2023</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64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154305</wp:posOffset>
            </wp:positionV>
            <wp:extent cx="2811780"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Reports Fourth Quarter and Full-Year 2022 Financial Results and Recent Corporate Developments</w:t>
      </w:r>
    </w:p>
    <w:p>
      <w:pPr>
        <w:spacing w:after="0" w:line="225" w:lineRule="exact"/>
        <w:rPr>
          <w:sz w:val="20"/>
          <w:szCs w:val="20"/>
          <w:color w:val="auto"/>
        </w:rPr>
      </w:pPr>
    </w:p>
    <w:p>
      <w:pPr>
        <w:ind w:left="660" w:right="6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Q4 2022 DANYELZA® record net product revenues of $16.4 million, driving YoY growth of 71% and 31% sequential increase compared to Q3 2022</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DANYELZA conditional marketing authorization granted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Management reiterates 2023 financial guidance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First ever SADA Phase I trial opened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and cash equivalents of $105.8 million as of December 31, 2022, anticipated runway into the first quarter 2026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 Company will host a conference call on Friday, March 31, 2023, at 9 a.m. EST</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New York, NY, March 30, 2023 (GLOBE NEWSWIRE) – Y-mAbs Therapeutics, Inc. (the “Company” or “Y-mAbs”) (Nasdaq: YMAB) a commercial-stage biopharmaceutical company focused on the development and commercialization of novel, antibody-based therapeutic products for the treatment of cancer, today reported financial results for the fourth quarter and full year 2022.</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fourth quarter of 2022 marked another period of significant progress for DANYELZA and set up 2023 to be a very productive year,” said Thomas Gad, President and Interim Chief Executive Officer. “We are thrilled to report record DANYELZA net revenues of $16.4 million in the fourth quarter of 2022, a 31% sequential increase compared to the previous quarter. In addition, DANYELZA was conditionally approved in China, with a planned launch in the first half of 2023. We look forward to our partners’ continued efforts to expand DANYELZA globally to offer much-needed treatment for patients with relapsed/refractory high-risk neuroblastoma in the bone or bone marrow.”</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Mr. Gad continued, “We recently implemented a restructuring plan to prioritize resources on the DANYELZA franchise and development of our SADA technology in the fight against cancer. With a 35% reduction in force and an anticipated 28% reduction in annual operating expenses for 2023, we emerge leaner and supported by a robust balance sheet with $105.8 million in cash and cash equivalents as of December 31, 2022, which we estimate should support our business operations as currently planned into the first quarter of 2026. We achieved a major milestone of getting our first unique SADA IND cleared by the FDA and opening up our first ever SADA Phase I trial late in 2022. We are actively screening patients initially for Small Cell Lung Cancer, Sarcoma and Melanoma and are eventually planning to screen more broadly for GD2 positive solid tumors.”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and Recent Corporate Developments</w:t>
      </w:r>
    </w:p>
    <w:p>
      <w:pPr>
        <w:spacing w:after="0" w:line="229" w:lineRule="exact"/>
        <w:rPr>
          <w:sz w:val="20"/>
          <w:szCs w:val="20"/>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2, 2023, Y-mAbs announced that the European Medicines Agency agreed to the Company’s Pediatric Investigational Plan for naxitamab</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January 4, 2023, Y-mAbs announced a restructuring plan including a 35% reduction in workforce and an anticipated 28% reduction in annual operating expenses for 2023</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21, 2022, Y-mAbs announced a partnership with WEP Clinical regarding early access program for DANYELZA (naxitamab-gqgk) in Europe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14, 2022, Y-mAbs announced a new SADA construct, CD38-SADA against non-Hodgkin’s Lymphoma</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8, 2022, Y-mAbs announced that DANYELZA (naxitamab-gqgk) for the treatment of high-risk neuroblastoma was conditionally approved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1, 2022, Y-mAbs announced that the Company had received a complete response letter for omburtamab BLA indicating that the FDA determined that it was unable to approve the BLA in its current form.</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November 17, 2022, Y-mAbs activated its first ever SADA Phase I trial site and by March 11 Memorial Sloan Kettering was activated as the fourth clinical study site planned to enroll Small Cell Lung Cancer, Sarcoma and Melanoma patients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October 28, 2022, Y-mAbs announced the outcome of the FDA Oncologic Drugs Advisory Committee meeting, where the committee voted 16 to 0 that the Company had not provided sufficient evidence to conclude that omburtamab improves overall survival</w:t>
      </w:r>
    </w:p>
    <w:p>
      <w:pPr>
        <w:spacing w:after="0" w:line="146" w:lineRule="exact"/>
        <w:rPr>
          <w:rFonts w:ascii="Arial" w:cs="Arial" w:eastAsia="Arial" w:hAnsi="Arial"/>
          <w:sz w:val="17"/>
          <w:szCs w:val="17"/>
          <w:color w:val="auto"/>
        </w:rPr>
      </w:pPr>
    </w:p>
    <w:p>
      <w:pPr>
        <w:ind w:left="660" w:right="7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3, 2022 Y-mAbs announced pivotal data from Study 101 for omburtamab in CNS/LM metastasis from neuroblastoma at the International Society of Pediatric Oncology (“SIOP”) annual congress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Y-mAbs reported net revenues of $31.5 million and $65.3 million for the fourth quarter 2022 and year ended December 31, 2022, which represented increases of 228% and 87%, respectively, over $9.6 million and $34.9 million in the comparable periods of 2021. Net revenues in the quarter and year ended December 31, 2022 included license revenue of $15.0 million and $16.0 million, respectively, compared to no license revenue in the fourth quarter ended December 31, 2021, and license revenue of $2.0 million for the year ended December 31, 2021. During the three months and year ended December 31, 2022, we recognized a regulatory-based milestone payment received of $15.0 million from SciClone Pharmaceuticals International Ltd. for the conditional approval of DANYELZA in China.</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DANYELZA net product revenue for the fourth quarter of 2022 and year ended December 31, 2022, was $16.4 million and $49.3 million, respectively, which represented increases of 71% and 50%, respectively, over the corresponding periods in 2021 and an increase of 31% compared to the third quarter 2022 DANYELZA net product revenues of $12.5 million. The increase was primarily driven by an increase in the number of new U.S. patients in treatment during the fourth quarter of 2022.</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2022, Y-mAbs has delivered DANYELZA to 48 centers across the United States, corresponding to an increase of 12% in the number of centers since the third quarter of 2022. During the fourth quarter of 2022, approximately 53% of the vials sold in the United States were sold outside Memorial Sloan Kettering (“MSK”), an increase from the prior quarter as a result of the growth of new patients at institutions outside MSK outpacing MSK’s growth of new patients.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and development expenses were $19.8 million for the three months ended December 31, 2022, compared to $28.7 million for the three months ended December 31, 2021. The $8.9 million decrease reflects decreased spending for clinical trials, outsourced research and supplies, and costs for outsourced manufacturing services due to decreased clinical trial activities in 2022. Having completed the resubmission of the BLA for omburtamab in the first quarter of 2022, we are now focused on pipeline development programs for potential DANYELZA label expansion and advancing SADA constructs into the clinic.</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Research and development expenses decreased by $1.6 million to $91.6 million during the year ended December 31, 2022, compared to the prior year period. The decrease mainly reflects decreased clinical trial activities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Administration</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Selling, general, and administrative expenses decreased by $4.3 million to $10.8 million for the three months ended December 31, 2022, compared to $15.1 million for the three months ended December 31, 2021. The decrease in selling, general and administrative expenses was primarily the result of a $1.8 million decrease in costs related to the commercialization of DANYELZA as there were heavy launch costs in the fourth quarter of 2021.</w:t>
      </w:r>
    </w:p>
    <w:p>
      <w:pPr>
        <w:spacing w:after="0" w:line="14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Selling, general, and administrative expenses increased by $6.3 million to $60.9 million for the year ended December 31, 2022, compared to $54.6 million for the year ended December 31, 2021. The increase in selling, general, and administrative expenses was primarily attributable to a $7.8 million increase in severance and share-based compensation expense related to the termination of our former chief executive officer.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reported net income for the fourth quarter ended December 31, 2022, of $1.2 million, or $0.03 per basic and diluted share, compared to a net loss of $36.9 million, or $0.85 per basic and diluted share, for the quarter ended December 31, 2021. The favorable change to net income in 2022 was primarily driven by the license revenues of $15.0 million, the positive gross profit impact from increased DANYELZA revenues and the decreased research and development expenses in 2022.</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reported a net loss for the year ended December 31, 2022, of $95.6 million, or $2.19 per basic and diluted share, compared to a net loss of $55.3 million, or $1.28 per basic and diluted share, for the year ended December 31, 2021. Net loss in the year ended December 31, 2021, included a $62.0 million net gain from the sale of our DANYELZA Priority Review Voucher, after sharing 40% of the net proceeds from the sale with MSK, pursuant to the terms of our license agreement with MSK. The increase in net loss for the year ended December 31, 2022, also reflects the impact of contractual severance-related benefits for our former chief executive officer, as noted above, partially offset by the gross profit impact of DANYELZA’s revenue growth and 2022 license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had approximately $105.8 million in cash and cash equivalents as of December 31, 2022, and we expect a full-year 2023 cash burn of $50-55 million. Our existing cash and cash equivalents, when combined with anticipated DANYELZA revenues, which are assumed to increase by 10% each year for the purpose of our analysis of runway, is expected to be sufficient to fund our operations into the first quarter of 2026. In terms of development activities, we have assumed that our prioritized programs will be advanced at our own expense and no new programs are assumed at this point. We assume no new partnerships or other new business development, and no further development of the omburtamab program.</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estimate reflects our current business plan that is supported by assumptions that may prove to be inaccurate, such that we could use our available capital resources sooner than we currently expect.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reiterated its 2023 financial guidance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DANYELZA® net product revenues of $60-$65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operating expenses of $115-120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total annual cash burn of $50-55 million;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anticipated to support operations as currently planned into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Y-mAbs will host a conference call on Friday, March 31, 2023, at 9 a.m. Eastern Time. To participate in the call, please use the following dial-in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Investors (domestic):</w:t>
            </w:r>
          </w:p>
        </w:tc>
        <w:tc>
          <w:tcPr>
            <w:tcW w:w="1540" w:type="dxa"/>
            <w:vAlign w:val="bottom"/>
          </w:tcPr>
          <w:p>
            <w:pPr>
              <w:ind w:left="520"/>
              <w:spacing w:after="0"/>
              <w:rPr>
                <w:sz w:val="20"/>
                <w:szCs w:val="20"/>
                <w:color w:val="auto"/>
              </w:rPr>
            </w:pPr>
            <w:r>
              <w:rPr>
                <w:rFonts w:ascii="Arial" w:cs="Arial" w:eastAsia="Arial" w:hAnsi="Arial"/>
                <w:sz w:val="18"/>
                <w:szCs w:val="18"/>
                <w:color w:val="auto"/>
                <w:w w:val="89"/>
              </w:rPr>
              <w:t>877-407-0792</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Investors (international):</w:t>
            </w:r>
          </w:p>
        </w:tc>
        <w:tc>
          <w:tcPr>
            <w:tcW w:w="1540" w:type="dxa"/>
            <w:vAlign w:val="bottom"/>
          </w:tcPr>
          <w:p>
            <w:pPr>
              <w:ind w:left="520"/>
              <w:spacing w:after="0"/>
              <w:rPr>
                <w:sz w:val="20"/>
                <w:szCs w:val="20"/>
                <w:color w:val="auto"/>
              </w:rPr>
            </w:pPr>
            <w:r>
              <w:rPr>
                <w:rFonts w:ascii="Arial" w:cs="Arial" w:eastAsia="Arial" w:hAnsi="Arial"/>
                <w:sz w:val="18"/>
                <w:szCs w:val="18"/>
                <w:color w:val="auto"/>
                <w:w w:val="89"/>
              </w:rPr>
              <w:t>201-689-8263</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Conference ID:</w:t>
            </w:r>
          </w:p>
        </w:tc>
        <w:tc>
          <w:tcPr>
            <w:tcW w:w="1540" w:type="dxa"/>
            <w:vAlign w:val="bottom"/>
          </w:tcPr>
          <w:p>
            <w:pPr>
              <w:ind w:left="520"/>
              <w:spacing w:after="0"/>
              <w:rPr>
                <w:sz w:val="20"/>
                <w:szCs w:val="20"/>
                <w:color w:val="auto"/>
              </w:rPr>
            </w:pPr>
            <w:r>
              <w:rPr>
                <w:rFonts w:ascii="Arial" w:cs="Arial" w:eastAsia="Arial" w:hAnsi="Arial"/>
                <w:sz w:val="18"/>
                <w:szCs w:val="18"/>
                <w:color w:val="auto"/>
              </w:rPr>
              <w:t>13736579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access a live webcast of the update, please use this link.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 stage, OMBLASTYS® (omburtamab), which targets tumors that express B7-H3.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statements about our business model, including financial outlook for 2023, including estimated operating expenses, total cash burn and DANYELZA product revenue and sufficiency of cash resources; the restructuring, including the reduction in workforce and revised business plan, and the expected impacts, expenses and benefits thereof, including potential cost-savings from the reduction in force, expected reduction of operating expenses and any expectations with respect to cost savings to be derived therefrom; implied and express statements regarding the future of the Company’s business; the Company’s plans and strategies, development, commercialization and product distribution plans; expectations with respect to omburtamab; expectations with respect to our products and product candidates, including potential territory and label expansion of DANYELZA and the potential market opportunity related thereto and potential benefits thereof, and the potential of the SADA Technology, including the development of the first tumor binding dataset and potential benefits thereof; expectations relating to key anticipated development milestones</w:t>
      </w:r>
    </w:p>
    <w:p>
      <w:pPr>
        <w:spacing w:after="0" w:line="5" w:lineRule="exact"/>
        <w:rPr>
          <w:sz w:val="20"/>
          <w:szCs w:val="20"/>
          <w:color w:val="auto"/>
        </w:rPr>
      </w:pPr>
    </w:p>
    <w:p>
      <w:pPr>
        <w:ind w:right="20" w:firstLine="8"/>
        <w:spacing w:after="0" w:line="283" w:lineRule="auto"/>
        <w:tabs>
          <w:tab w:leader="none" w:pos="9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including potential expansion of international commercialization efforts with respect to DANYELZA development efforts and the SADA Technology, including potential indications and potential application to [a broad set of][all] GD2 positive solid tumors, and the timing thereof; expectations with respect to current and future clinical and pre-clinical studies and our research and development programs; expectations related to the timing of the initiation and completion of regulatory submissions; regulatory, marketing and reimbursement approvals; including satisfaction of conditions to approvals; additional product candidates and technologies; expectations regarding collaborations or strategic partnerships and the potential benefits thereof; expectations related to the use of cash and cash equivalents, and the need for, timing and amount of any future financing transaction; expectations with respect to the Company’s future financial performance;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our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the Company’s Quarterly Report on Form 10-Q for the quarter ending September 30, 2022, and future filings and reports by the Company including the Company’s Annual Report on Form 10-K for the year ended December 31, 2022.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DANYELZA®, OMBLASTYS® and Y-mAbs®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09"/>
        </w:trPr>
        <w:tc>
          <w:tcPr>
            <w:tcW w:w="8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181,564</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w:t>
            </w: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7,473</w:t>
            </w:r>
          </w:p>
        </w:tc>
      </w:tr>
      <w:tr>
        <w:trPr>
          <w:trHeight w:val="209"/>
        </w:trPr>
        <w:tc>
          <w:tcPr>
            <w:tcW w:w="8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w:t>
            </w:r>
          </w:p>
        </w:tc>
      </w:tr>
      <w:tr>
        <w:trPr>
          <w:trHeight w:val="263"/>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141,456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212,783</w:t>
            </w:r>
          </w:p>
        </w:tc>
        <w:tc>
          <w:tcPr>
            <w:tcW w:w="100" w:type="dxa"/>
            <w:vAlign w:val="bottom"/>
            <w:tcBorders>
              <w:bottom w:val="single" w:sz="8" w:color="CCEEFF"/>
            </w:tcBorders>
          </w:tcPr>
          <w:p>
            <w:pPr>
              <w:spacing w:after="0"/>
              <w:rPr>
                <w:sz w:val="22"/>
                <w:szCs w:val="22"/>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13,552</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13,241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12,540</w:t>
            </w: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r>
      <w:tr>
        <w:trPr>
          <w:trHeight w:val="209"/>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milestones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Operating lease liabilities, long-term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Borders>
              <w:bottom w:val="single" w:sz="8" w:color="CCEEFF"/>
            </w:tcBorders>
          </w:tcPr>
          <w:p>
            <w:pPr>
              <w:spacing w:after="0"/>
              <w:rPr>
                <w:sz w:val="18"/>
                <w:szCs w:val="18"/>
                <w:color w:val="auto"/>
              </w:rPr>
            </w:pPr>
          </w:p>
        </w:tc>
      </w:tr>
      <w:tr>
        <w:trPr>
          <w:trHeight w:val="209"/>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$0.0001 par value, 5,500,000 shares authorized and none issued at December 31, 2022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40" w:type="dxa"/>
            <w:vAlign w:val="bottom"/>
          </w:tcPr>
          <w:p>
            <w:pPr>
              <w:spacing w:after="0" w:line="201" w:lineRule="exact"/>
              <w:rPr>
                <w:sz w:val="20"/>
                <w:szCs w:val="20"/>
                <w:color w:val="auto"/>
              </w:rPr>
            </w:pPr>
            <w:r>
              <w:rPr>
                <w:rFonts w:ascii="Arial" w:cs="Arial" w:eastAsia="Arial" w:hAnsi="Arial"/>
                <w:sz w:val="18"/>
                <w:szCs w:val="18"/>
                <w:color w:val="auto"/>
                <w:w w:val="90"/>
              </w:rPr>
              <w:t>Common stock, $0.0001 par value, 100,000,000 shares authorized at December 31, 2022 and December 31, 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w w:val="97"/>
              </w:rPr>
              <w:t>43,670,109 and 43,694,716 shares issued and outstanding at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519,206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(340,475)</w:t>
            </w:r>
          </w:p>
        </w:tc>
      </w:tr>
      <w:tr>
        <w:trPr>
          <w:trHeight w:val="210"/>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180,106</w:t>
            </w:r>
          </w:p>
        </w:tc>
        <w:tc>
          <w:tcPr>
            <w:tcW w:w="100" w:type="dxa"/>
            <w:vAlign w:val="bottom"/>
            <w:tcBorders>
              <w:bottom w:val="single" w:sz="8" w:color="CCEEFF"/>
            </w:tcBorders>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586105</wp:posOffset>
            </wp:positionV>
            <wp:extent cx="2811780"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8117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7"/>
          </w:tcPr>
          <w:p>
            <w:pPr>
              <w:ind w:left="40"/>
              <w:spacing w:after="0"/>
              <w:rPr>
                <w:sz w:val="20"/>
                <w:szCs w:val="20"/>
                <w:color w:val="auto"/>
              </w:rPr>
            </w:pPr>
            <w:r>
              <w:rPr>
                <w:rFonts w:ascii="Arial" w:cs="Arial" w:eastAsia="Arial" w:hAnsi="Arial"/>
                <w:sz w:val="18"/>
                <w:szCs w:val="18"/>
                <w:b w:val="1"/>
                <w:bCs w:val="1"/>
                <w:color w:val="auto"/>
                <w:w w:val="96"/>
              </w:rPr>
              <w:t>Three months ended December 31,</w:t>
            </w:r>
          </w:p>
        </w:tc>
        <w:tc>
          <w:tcPr>
            <w:tcW w:w="200" w:type="dxa"/>
            <w:vAlign w:val="bottom"/>
          </w:tcPr>
          <w:p>
            <w:pPr>
              <w:spacing w:after="0"/>
              <w:rPr>
                <w:sz w:val="20"/>
                <w:szCs w:val="20"/>
                <w:color w:val="auto"/>
              </w:rPr>
            </w:pPr>
          </w:p>
        </w:tc>
        <w:tc>
          <w:tcPr>
            <w:tcW w:w="258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w w:val="92"/>
              </w:rPr>
              <w:t>Years ended December 31,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Product revenue, net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16,447</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9,598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49,267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32,897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 revenue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 royalties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28,757</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91,572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93,245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15,138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60,939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54,571</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(35,758</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(LOSS),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Gain from sale of priority review voucher,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62,010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income/(loss), net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INCOME/(LOSS)</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(95,568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5"/>
              </w:rPr>
              <w:t>Net income/(loss) per share attributable to common stockholders, basic</w:t>
            </w: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54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2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43,668,690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43,664,277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43,703,663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43,181,808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2"/>
              </w:rPr>
              <w:t>Net income / (loss) per share attributable to common stockholders, diluted</w:t>
            </w: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54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2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diluted</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44,692,485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43,664,277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43,703,663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43,181,808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2023-03-30T15:34:46Z</dcterms:created>
  <dcterms:modified xsi:type="dcterms:W3CDTF">2023-03-30T15:34:46Z</dcterms:modified>
</cp:coreProperties>
</file>