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593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5930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03/16/2020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45"/>
        <w:spacing w:after="0"/>
        <w:rPr>
          <w:sz w:val="20"/>
          <w:szCs w:val="20"/>
          <w:color w:val="auto"/>
        </w:rPr>
      </w:pPr>
      <w:r>
        <w:rPr>
          <w:rFonts w:ascii="Arial" w:cs="Arial" w:eastAsia="Arial" w:hAnsi="Arial"/>
          <w:sz w:val="17"/>
          <w:szCs w:val="17"/>
          <w:color w:val="0000FF"/>
        </w:rPr>
        <w:t>President and Chairman</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80" w:type="dxa"/>
            <w:vAlign w:val="bottom"/>
            <w:gridSpan w:val="2"/>
          </w:tcPr>
          <w:p>
            <w:pPr>
              <w:ind w:left="180"/>
              <w:spacing w:after="0"/>
              <w:rPr>
                <w:sz w:val="20"/>
                <w:szCs w:val="20"/>
                <w:color w:val="auto"/>
              </w:rPr>
            </w:pPr>
            <w:r>
              <w:rPr>
                <w:rFonts w:ascii="Arial" w:cs="Arial" w:eastAsia="Arial" w:hAnsi="Arial"/>
                <w:sz w:val="12"/>
                <w:szCs w:val="12"/>
                <w:b w:val="1"/>
                <w:bCs w:val="1"/>
                <w:color w:val="auto"/>
              </w:rPr>
              <w:t>2. Transaction</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w w:val="98"/>
              </w:rPr>
              <w:t>2A. Deemed</w:t>
            </w:r>
          </w:p>
        </w:tc>
        <w:tc>
          <w:tcPr>
            <w:tcW w:w="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60" w:type="dxa"/>
            <w:vAlign w:val="bottom"/>
          </w:tcPr>
          <w:p>
            <w:pPr>
              <w:ind w:left="40"/>
              <w:spacing w:after="0"/>
              <w:rPr>
                <w:sz w:val="20"/>
                <w:szCs w:val="20"/>
                <w:color w:val="auto"/>
              </w:rPr>
            </w:pPr>
            <w:r>
              <w:rPr>
                <w:rFonts w:ascii="Arial" w:cs="Arial" w:eastAsia="Arial" w:hAnsi="Arial"/>
                <w:sz w:val="12"/>
                <w:szCs w:val="12"/>
                <w:b w:val="1"/>
                <w:bCs w:val="1"/>
                <w:color w:val="auto"/>
              </w:rPr>
              <w:t>3.</w:t>
            </w:r>
          </w:p>
        </w:tc>
        <w:tc>
          <w:tcPr>
            <w:tcW w:w="420" w:type="dxa"/>
            <w:vAlign w:val="bottom"/>
          </w:tcPr>
          <w:p>
            <w:pPr>
              <w:spacing w:after="0"/>
              <w:rPr>
                <w:sz w:val="13"/>
                <w:szCs w:val="13"/>
                <w:color w:val="auto"/>
              </w:rPr>
            </w:pPr>
          </w:p>
        </w:tc>
        <w:tc>
          <w:tcPr>
            <w:tcW w:w="21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180"/>
              <w:spacing w:after="0" w:line="131"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3"/>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420" w:type="dxa"/>
            <w:vAlign w:val="bottom"/>
            <w:tcBorders>
              <w:bottom w:val="single" w:sz="8" w:color="808080"/>
            </w:tcBorders>
          </w:tcPr>
          <w:p>
            <w:pPr>
              <w:spacing w:after="0"/>
              <w:rPr>
                <w:sz w:val="14"/>
                <w:szCs w:val="14"/>
                <w:color w:val="auto"/>
              </w:rPr>
            </w:pPr>
          </w:p>
        </w:tc>
        <w:tc>
          <w:tcPr>
            <w:tcW w:w="76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 w:type="dxa"/>
            <w:vAlign w:val="bottom"/>
          </w:tcPr>
          <w:p>
            <w:pPr>
              <w:spacing w:after="0"/>
              <w:rPr>
                <w:sz w:val="7"/>
                <w:szCs w:val="7"/>
                <w:color w:val="auto"/>
              </w:rPr>
            </w:pPr>
          </w:p>
        </w:tc>
        <w:tc>
          <w:tcPr>
            <w:tcW w:w="82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 w:type="dxa"/>
            <w:vAlign w:val="bottom"/>
            <w:tcBorders>
              <w:top w:val="single" w:sz="8" w:color="2C2C2C"/>
            </w:tcBorders>
          </w:tcPr>
          <w:p>
            <w:pPr>
              <w:spacing w:after="0"/>
              <w:rPr>
                <w:sz w:val="7"/>
                <w:szCs w:val="7"/>
                <w:color w:val="auto"/>
              </w:rPr>
            </w:pPr>
          </w:p>
        </w:tc>
        <w:tc>
          <w:tcPr>
            <w:tcW w:w="360" w:type="dxa"/>
            <w:vAlign w:val="bottom"/>
            <w:tcBorders>
              <w:top w:val="single" w:sz="8" w:color="2C2C2C"/>
            </w:tcBorders>
          </w:tcPr>
          <w:p>
            <w:pPr>
              <w:spacing w:after="0"/>
              <w:rPr>
                <w:sz w:val="7"/>
                <w:szCs w:val="7"/>
                <w:color w:val="auto"/>
              </w:rPr>
            </w:pPr>
          </w:p>
        </w:tc>
        <w:tc>
          <w:tcPr>
            <w:tcW w:w="420" w:type="dxa"/>
            <w:vAlign w:val="bottom"/>
            <w:tcBorders>
              <w:top w:val="single" w:sz="8" w:color="2C2C2C"/>
            </w:tcBorders>
          </w:tcPr>
          <w:p>
            <w:pPr>
              <w:spacing w:after="0"/>
              <w:rPr>
                <w:sz w:val="7"/>
                <w:szCs w:val="7"/>
                <w:color w:val="auto"/>
              </w:rPr>
            </w:pPr>
          </w:p>
        </w:tc>
        <w:tc>
          <w:tcPr>
            <w:tcW w:w="76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gridSpan w:val="2"/>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60" w:type="dxa"/>
            <w:vAlign w:val="bottom"/>
            <w:vMerge w:val="restart"/>
          </w:tcPr>
          <w:p>
            <w:pPr>
              <w:ind w:left="40"/>
              <w:spacing w:after="0"/>
              <w:rPr>
                <w:sz w:val="20"/>
                <w:szCs w:val="20"/>
                <w:color w:val="auto"/>
              </w:rPr>
            </w:pPr>
            <w:r>
              <w:rPr>
                <w:rFonts w:ascii="Arial" w:cs="Arial" w:eastAsia="Arial" w:hAnsi="Arial"/>
                <w:sz w:val="12"/>
                <w:szCs w:val="12"/>
                <w:b w:val="1"/>
                <w:bCs w:val="1"/>
                <w:color w:val="auto"/>
                <w:w w:val="99"/>
              </w:rPr>
              <w:t>Code</w:t>
            </w:r>
          </w:p>
        </w:tc>
        <w:tc>
          <w:tcPr>
            <w:tcW w:w="4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vMerge w:val="continue"/>
          </w:tcPr>
          <w:p>
            <w:pPr>
              <w:spacing w:after="0"/>
              <w:rPr>
                <w:sz w:val="10"/>
                <w:szCs w:val="10"/>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 w:type="dxa"/>
            <w:vAlign w:val="bottom"/>
          </w:tcPr>
          <w:p>
            <w:pPr>
              <w:spacing w:after="0"/>
              <w:rPr>
                <w:sz w:val="6"/>
                <w:szCs w:val="6"/>
                <w:color w:val="auto"/>
              </w:rPr>
            </w:pPr>
          </w:p>
        </w:tc>
        <w:tc>
          <w:tcPr>
            <w:tcW w:w="82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420" w:type="dxa"/>
            <w:vAlign w:val="bottom"/>
            <w:vMerge w:val="continue"/>
          </w:tcPr>
          <w:p>
            <w:pPr>
              <w:spacing w:after="0"/>
              <w:rPr>
                <w:sz w:val="6"/>
                <w:szCs w:val="6"/>
                <w:color w:val="auto"/>
              </w:rPr>
            </w:pPr>
          </w:p>
        </w:tc>
        <w:tc>
          <w:tcPr>
            <w:tcW w:w="760" w:type="dxa"/>
            <w:vAlign w:val="bottom"/>
            <w:vMerge w:val="continue"/>
          </w:tcPr>
          <w:p>
            <w:pPr>
              <w:spacing w:after="0"/>
              <w:rPr>
                <w:sz w:val="6"/>
                <w:szCs w:val="6"/>
                <w:color w:val="auto"/>
              </w:rPr>
            </w:pPr>
          </w:p>
        </w:tc>
        <w:tc>
          <w:tcPr>
            <w:tcW w:w="3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60" w:type="dxa"/>
            <w:vAlign w:val="bottom"/>
          </w:tcPr>
          <w:p>
            <w:pPr>
              <w:spacing w:after="0"/>
              <w:rPr>
                <w:sz w:val="8"/>
                <w:szCs w:val="8"/>
                <w:color w:val="auto"/>
              </w:rPr>
            </w:pPr>
          </w:p>
        </w:tc>
        <w:tc>
          <w:tcPr>
            <w:tcW w:w="82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6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280"/>
              <w:spacing w:after="0"/>
              <w:rPr>
                <w:sz w:val="20"/>
                <w:szCs w:val="20"/>
                <w:color w:val="auto"/>
              </w:rPr>
            </w:pPr>
            <w:r>
              <w:rPr>
                <w:rFonts w:ascii="Arial" w:cs="Arial" w:eastAsia="Arial" w:hAnsi="Arial"/>
                <w:sz w:val="17"/>
                <w:szCs w:val="17"/>
                <w:color w:val="0000FF"/>
                <w:w w:val="96"/>
              </w:rPr>
              <w:t>03/16/2020</w:t>
            </w: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ind w:left="160"/>
              <w:spacing w:after="0"/>
              <w:rPr>
                <w:sz w:val="20"/>
                <w:szCs w:val="20"/>
                <w:color w:val="auto"/>
              </w:rPr>
            </w:pPr>
            <w:r>
              <w:rPr>
                <w:rFonts w:ascii="Arial" w:cs="Arial" w:eastAsia="Arial" w:hAnsi="Arial"/>
                <w:sz w:val="13"/>
                <w:szCs w:val="13"/>
                <w:color w:val="0000FF"/>
              </w:rPr>
              <w:t>S</w:t>
            </w:r>
          </w:p>
        </w:tc>
        <w:tc>
          <w:tcPr>
            <w:tcW w:w="420" w:type="dxa"/>
            <w:vAlign w:val="bottom"/>
          </w:tcPr>
          <w:p>
            <w:pPr>
              <w:spacing w:after="0"/>
              <w:rPr>
                <w:sz w:val="18"/>
                <w:szCs w:val="18"/>
                <w:color w:val="auto"/>
              </w:rPr>
            </w:pPr>
          </w:p>
        </w:tc>
        <w:tc>
          <w:tcPr>
            <w:tcW w:w="760" w:type="dxa"/>
            <w:vAlign w:val="bottom"/>
          </w:tcPr>
          <w:p>
            <w:pPr>
              <w:ind w:left="140"/>
              <w:spacing w:after="0" w:line="213" w:lineRule="exact"/>
              <w:rPr>
                <w:sz w:val="20"/>
                <w:szCs w:val="20"/>
                <w:color w:val="auto"/>
              </w:rPr>
            </w:pPr>
            <w:r>
              <w:rPr>
                <w:rFonts w:ascii="Arial" w:cs="Arial" w:eastAsia="Arial" w:hAnsi="Arial"/>
                <w:sz w:val="17"/>
                <w:szCs w:val="17"/>
                <w:color w:val="0000FF"/>
                <w:w w:val="99"/>
              </w:rPr>
              <w:t>4,000</w:t>
            </w:r>
            <w:r>
              <w:rPr>
                <w:rFonts w:ascii="Arial" w:cs="Arial" w:eastAsia="Arial" w:hAnsi="Arial"/>
                <w:sz w:val="22"/>
                <w:szCs w:val="22"/>
                <w:color w:val="008000"/>
                <w:w w:val="99"/>
                <w:vertAlign w:val="superscript"/>
              </w:rPr>
              <w:t>(1)</w:t>
            </w:r>
          </w:p>
        </w:tc>
        <w:tc>
          <w:tcPr>
            <w:tcW w:w="360" w:type="dxa"/>
            <w:vAlign w:val="bottom"/>
          </w:tcPr>
          <w:p>
            <w:pPr>
              <w:ind w:left="200"/>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ind w:left="80"/>
              <w:spacing w:after="0" w:line="213" w:lineRule="exact"/>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18.0102</w:t>
            </w:r>
            <w:r>
              <w:rPr>
                <w:rFonts w:ascii="Arial" w:cs="Arial" w:eastAsia="Arial" w:hAnsi="Arial"/>
                <w:sz w:val="22"/>
                <w:szCs w:val="22"/>
                <w:color w:val="008000"/>
                <w:w w:val="94"/>
                <w:vertAlign w:val="superscript"/>
              </w:rPr>
              <w:t>(2)</w:t>
            </w:r>
          </w:p>
        </w:tc>
        <w:tc>
          <w:tcPr>
            <w:tcW w:w="1180" w:type="dxa"/>
            <w:vAlign w:val="bottom"/>
            <w:gridSpan w:val="2"/>
          </w:tcPr>
          <w:p>
            <w:pPr>
              <w:jc w:val="right"/>
              <w:ind w:right="280"/>
              <w:spacing w:after="0"/>
              <w:rPr>
                <w:sz w:val="20"/>
                <w:szCs w:val="20"/>
                <w:color w:val="auto"/>
              </w:rPr>
            </w:pPr>
            <w:r>
              <w:rPr>
                <w:rFonts w:ascii="Arial" w:cs="Arial" w:eastAsia="Arial" w:hAnsi="Arial"/>
                <w:sz w:val="17"/>
                <w:szCs w:val="17"/>
                <w:color w:val="0000FF"/>
              </w:rPr>
              <w:t>836,000</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WG</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7"/>
                <w:szCs w:val="17"/>
                <w:color w:val="0000FF"/>
              </w:rPr>
              <w:t>1,030,356</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Biotech</w:t>
            </w: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ApS</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60" w:type="dxa"/>
            <w:vAlign w:val="bottom"/>
            <w:gridSpan w:val="16"/>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2"/>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1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1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w w:val="96"/>
              </w:rPr>
              <w:t>and 5)</w:t>
            </w: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spacing w:after="0"/>
              <w:rPr>
                <w:sz w:val="20"/>
                <w:szCs w:val="20"/>
                <w:color w:val="auto"/>
              </w:rPr>
            </w:pPr>
            <w:r>
              <w:rPr>
                <w:rFonts w:ascii="Arial" w:cs="Arial" w:eastAsia="Arial" w:hAnsi="Arial"/>
                <w:sz w:val="12"/>
                <w:szCs w:val="12"/>
                <w:b w:val="1"/>
                <w:bCs w:val="1"/>
                <w:color w:val="auto"/>
              </w:rPr>
              <w:t>(D)</w:t>
            </w:r>
          </w:p>
        </w:tc>
        <w:tc>
          <w:tcPr>
            <w:tcW w:w="1180" w:type="dxa"/>
            <w:vAlign w:val="bottom"/>
            <w:gridSpan w:val="2"/>
          </w:tcPr>
          <w:p>
            <w:pPr>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by the Reporting Person on April 11, 2019.</w:t>
      </w:r>
    </w:p>
    <w:p>
      <w:pPr>
        <w:spacing w:after="0" w:line="50" w:lineRule="exact"/>
        <w:rPr>
          <w:rFonts w:ascii="Arial" w:cs="Arial" w:eastAsia="Arial" w:hAnsi="Arial"/>
          <w:sz w:val="13"/>
          <w:szCs w:val="13"/>
          <w:color w:val="008000"/>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$18.87 to $17.18.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15" w:lineRule="exact"/>
        <w:rPr>
          <w:rFonts w:ascii="Arial" w:cs="Arial" w:eastAsia="Arial" w:hAnsi="Arial"/>
          <w:sz w:val="13"/>
          <w:szCs w:val="13"/>
          <w:color w:val="008000"/>
        </w:rPr>
      </w:pPr>
    </w:p>
    <w:p>
      <w:pPr>
        <w:ind w:left="40" w:right="1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WG Biotech ApS owns 5,508,392 shares of the Issuer's common stock. GAD Enterprises, LLC (of which Reporting Person is sole member) owns approximately 18.71% of WG Biotech ApS but has no voting or dispositive power over the shares of common stock held by WG Biotech ApS.</w:t>
      </w:r>
    </w:p>
    <w:p>
      <w:pPr>
        <w:spacing w:after="0" w:line="2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03/18/2020</w:t>
            </w:r>
          </w:p>
        </w:tc>
      </w:tr>
      <w:tr>
        <w:trPr>
          <w:trHeight w:val="20"/>
        </w:trPr>
        <w:tc>
          <w:tcPr>
            <w:tcW w:w="110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2020-03-18T15:17:09Z</dcterms:created>
  <dcterms:modified xsi:type="dcterms:W3CDTF">2020-03-18T15:17:09Z</dcterms:modified>
</cp:coreProperties>
</file>