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Gad Thomas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Y-MABS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 PARK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10169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Y-mAbs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YMAB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60" w:type="dxa"/>
            <w:vAlign w:val="bottom"/>
            <w:tcBorders>
              <w:bottom w:val="single" w:sz="8" w:color="0000EE"/>
            </w:tcBorders>
          </w:tcPr>
          <w:p>
            <w:pPr>
              <w:spacing w:after="0"/>
              <w:rPr>
                <w:sz w:val="3"/>
                <w:szCs w:val="3"/>
                <w:color w:val="auto"/>
              </w:rPr>
            </w:pPr>
          </w:p>
        </w:tc>
        <w:tc>
          <w:tcPr>
            <w:tcW w:w="1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03/05/2024</w:t>
            </w:r>
          </w:p>
        </w:tc>
        <w:tc>
          <w:tcPr>
            <w:tcW w:w="1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6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BUSINESS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03/05/2024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3,900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16.44</w:t>
            </w:r>
            <w:r>
              <w:rPr>
                <w:rFonts w:ascii="Times New Roman" w:cs="Times New Roman" w:eastAsia="Times New Roman" w:hAnsi="Times New Roman"/>
                <w:sz w:val="22"/>
                <w:szCs w:val="22"/>
                <w:color w:val="008000"/>
                <w:w w:val="92"/>
                <w:vertAlign w:val="superscript"/>
              </w:rPr>
              <w:t>(2)</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158,700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265,032</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Enterprises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4"/>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6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60,000</w:t>
            </w: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Children</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6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Nondiscretionary sale to cover tax liability associated with the vesting and settlement of restricted stock units.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$16.41 to $16.52, inclusive.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Reporting Person's children who are deemed to share Reporting Person's household.</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John LaRocca, Attorney-in- </w:t>
      </w:r>
      <w:r>
        <w:rPr>
          <w:rFonts w:ascii="Times New Roman" w:cs="Times New Roman" w:eastAsia="Times New Roman" w:hAnsi="Times New Roman"/>
          <w:sz w:val="34"/>
          <w:szCs w:val="34"/>
          <w:color w:val="0000FF"/>
          <w:vertAlign w:val="subscript"/>
        </w:rPr>
        <w:t>03/07/2024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2024-03-07T16:17:40Z</dcterms:created>
  <dcterms:modified xsi:type="dcterms:W3CDTF">2024-03-07T16:17:40Z</dcterms:modified>
</cp:coreProperties>
</file>