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283"/>
        <w:jc w:val="left"/>
        <w:rPr>
          <w:bdr w:val="single" w:sz="16" w:space="1" w:color="000000"/>
        </w:rPr>
      </w:pPr>
      <w:bookmarkStart w:id="0" w:name="tm2323444d1_8k.htm"/>
      <w:bookmarkStart w:id="1" w:name="kstm2323444d1_8k"/>
      <w:bookmarkEnd w:id="0"/>
      <w:bookmarkEnd w:id="1"/>
      <w:r>
        <w:rPr>
          <w:bdr w:val="single" w:sz="16"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UNITED STATES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SECURITIES AND EXCHANGE COMMISSION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Washington, D.C. 20549 </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C_edei--DocumentType_c20230810__20"/>
      <w:bookmarkEnd w:id="2"/>
      <w:r>
        <w:rPr>
          <w:rFonts w:ascii="Times New Roman;Times;Serif" w:hAnsi="Times New Roman;Times;Serif"/>
          <w:b/>
          <w:i w:val="false"/>
          <w:caps w:val="false"/>
          <w:smallCaps w:val="false"/>
          <w:sz w:val="36"/>
        </w:rPr>
        <w:t xml:space="preserve">8-K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Pursuant to Section 13 or 15(d) of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the Securities Exchange Act of 1934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Date of report (Date of earliest event reported): </w:t>
      </w:r>
      <w:bookmarkStart w:id="3" w:name="xdx_900_edei--DocumentPeriodEndDate_c202"/>
      <w:bookmarkEnd w:id="3"/>
      <w:r>
        <w:rPr>
          <w:rFonts w:ascii="Times New Roman;Times;Serif" w:hAnsi="Times New Roman;Times;Serif"/>
          <w:b/>
          <w:i w:val="false"/>
          <w:caps w:val="false"/>
          <w:smallCaps w:val="false"/>
          <w:sz w:val="20"/>
        </w:rPr>
        <w:t>August 10, 2023</w:t>
      </w:r>
    </w:p>
    <w:p>
      <w:pPr>
        <w:pStyle w:val="TextBody"/>
        <w:bidi w:val="0"/>
        <w:spacing w:before="0" w:after="0"/>
        <w:ind w:left="0" w:right="0" w:hanging="0"/>
        <w:jc w:val="left"/>
        <w:rPr>
          <w:caps w:val="false"/>
          <w:smallCaps w:val="false"/>
        </w:rPr>
      </w:pPr>
      <w:r>
        <w:rPr>
          <w:caps w:val="false"/>
          <w:smallCaps w:val="false"/>
        </w:rPr>
        <w:t> </w:t>
      </w:r>
    </w:p>
    <w:p>
      <w:pPr>
        <w:pStyle w:val="TextBody"/>
        <w:pBdr>
          <w:bottom w:val="single" w:sz="8" w:space="1" w:color="000000"/>
        </w:pBdr>
        <w:bidi w:val="0"/>
        <w:spacing w:before="0" w:after="0"/>
        <w:ind w:left="0" w:right="0" w:hanging="0"/>
        <w:jc w:val="center"/>
        <w:rPr>
          <w:rFonts w:ascii="Times New Roman;Times;Serif" w:hAnsi="Times New Roman;Times;Serif"/>
          <w:b/>
          <w:i w:val="false"/>
          <w:caps w:val="false"/>
          <w:smallCaps w:val="false"/>
          <w:sz w:val="36"/>
        </w:rPr>
      </w:pPr>
      <w:bookmarkStart w:id="4" w:name="xdx_907_edei--EntityRegistrantName_c2023"/>
      <w:bookmarkEnd w:id="4"/>
      <w:r>
        <w:rPr>
          <w:rFonts w:ascii="Times New Roman;Times;Serif" w:hAnsi="Times New Roman;Times;Serif"/>
          <w:b/>
          <w:i w:val="false"/>
          <w:caps w:val="false"/>
          <w:smallCaps w:val="false"/>
          <w:sz w:val="36"/>
        </w:rPr>
        <w:t>Y-MABS THERAPEUTICS,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(Exact name of registrant as specified in its charter) </w:t>
      </w:r>
    </w:p>
    <w:p>
      <w:pPr>
        <w:pStyle w:val="TextBody"/>
        <w:bidi w:val="0"/>
        <w:spacing w:before="0" w:after="0"/>
        <w:ind w:left="0" w:right="0" w:hanging="0"/>
        <w:jc w:val="left"/>
        <w:rPr>
          <w:caps w:val="false"/>
          <w:smallCaps w:val="false"/>
        </w:rPr>
      </w:pPr>
      <w:r>
        <w:rPr>
          <w:caps w:val="false"/>
          <w:smallCaps w:val="false"/>
        </w:rPr>
        <w:t> </w:t>
      </w:r>
    </w:p>
    <w:tbl>
      <w:tblPr>
        <w:tblW w:w="5490" w:type="dxa"/>
        <w:jc w:val="left"/>
        <w:tblInd w:w="0" w:type="dxa"/>
        <w:tblLayout w:type="fixed"/>
        <w:tblCellMar>
          <w:top w:w="0" w:type="dxa"/>
          <w:left w:w="0" w:type="dxa"/>
          <w:bottom w:w="0" w:type="dxa"/>
          <w:right w:w="0" w:type="dxa"/>
        </w:tblCellMar>
      </w:tblPr>
      <w:tblGrid>
        <w:gridCol w:w="2660"/>
        <w:gridCol w:w="60"/>
        <w:gridCol w:w="1145"/>
        <w:gridCol w:w="60"/>
        <w:gridCol w:w="1565"/>
      </w:tblGrid>
      <w:tr>
        <w:trPr/>
        <w:tc>
          <w:tcPr>
            <w:tcW w:w="266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5" w:name="xdx_900_edei--EntityIncorporationStateCo"/>
            <w:bookmarkEnd w:id="5"/>
            <w:r>
              <w:rPr>
                <w:rFonts w:ascii="Times New Roman;Times;Serif" w:hAnsi="Times New Roman;Times;Serif"/>
                <w:b/>
                <w:i w:val="false"/>
                <w:caps w:val="false"/>
                <w:smallCaps w:val="false"/>
                <w:sz w:val="20"/>
              </w:rPr>
              <w:t>Delaware</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6" w:name="xdx_909_edei--EntityFileNumber_c20230810"/>
            <w:bookmarkEnd w:id="6"/>
            <w:r>
              <w:rPr>
                <w:rFonts w:ascii="Times New Roman;Times;Serif" w:hAnsi="Times New Roman;Times;Serif"/>
                <w:b/>
                <w:i w:val="false"/>
                <w:caps w:val="false"/>
                <w:smallCaps w:val="false"/>
                <w:sz w:val="20"/>
              </w:rPr>
              <w:t>001-38650</w:t>
            </w:r>
          </w:p>
        </w:tc>
        <w:tc>
          <w:tcPr>
            <w:tcW w:w="60" w:type="dxa"/>
            <w:tcBorders/>
            <w:vAlign w:val="center"/>
          </w:tcPr>
          <w:p>
            <w:pPr>
              <w:pStyle w:val="TableContents"/>
              <w:bidi w:val="0"/>
              <w:spacing w:before="0" w:after="283"/>
              <w:jc w:val="left"/>
              <w:rPr/>
            </w:pPr>
            <w:r>
              <w:rPr/>
              <w:t> </w:t>
            </w:r>
          </w:p>
        </w:tc>
        <w:tc>
          <w:tcPr>
            <w:tcW w:w="156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7" w:name="xdx_90E_edei--EntityTaxIdentificationNum"/>
            <w:bookmarkEnd w:id="7"/>
            <w:r>
              <w:rPr>
                <w:rFonts w:ascii="Times New Roman;Times;Serif" w:hAnsi="Times New Roman;Times;Serif"/>
                <w:b/>
                <w:i w:val="false"/>
                <w:caps w:val="false"/>
                <w:smallCaps w:val="false"/>
                <w:sz w:val="20"/>
              </w:rPr>
              <w:t>47-4619612</w:t>
            </w:r>
          </w:p>
        </w:tc>
      </w:tr>
      <w:tr>
        <w:trPr/>
        <w:tc>
          <w:tcPr>
            <w:tcW w:w="2660"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(State or other jurisdiction of</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incorporation or organization)</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File Number)</w:t>
            </w:r>
          </w:p>
        </w:tc>
        <w:tc>
          <w:tcPr>
            <w:tcW w:w="60" w:type="dxa"/>
            <w:tcBorders/>
            <w:vAlign w:val="center"/>
          </w:tcPr>
          <w:p>
            <w:pPr>
              <w:pStyle w:val="TableContents"/>
              <w:bidi w:val="0"/>
              <w:spacing w:before="0" w:after="283"/>
              <w:jc w:val="left"/>
              <w:rPr/>
            </w:pPr>
            <w:r>
              <w:rPr/>
              <w:t> </w:t>
            </w:r>
          </w:p>
        </w:tc>
        <w:tc>
          <w:tcPr>
            <w:tcW w:w="1565"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(I.R.S. Employer</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Identification No.)</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8" w:name="xdx_90C_edei--EntityAddressAddressLine1_"/>
      <w:bookmarkEnd w:id="8"/>
      <w:r>
        <w:rPr>
          <w:rFonts w:ascii="Times New Roman;Times;Serif" w:hAnsi="Times New Roman;Times;Serif"/>
          <w:b/>
          <w:i w:val="false"/>
          <w:caps w:val="false"/>
          <w:smallCaps w:val="false"/>
          <w:sz w:val="20"/>
        </w:rPr>
        <w:t>230 Park Avenue</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9" w:name="xdx_90F_edei--EntityAddressAddressLine2_"/>
      <w:bookmarkEnd w:id="9"/>
      <w:r>
        <w:rPr>
          <w:rFonts w:ascii="Times New Roman;Times;Serif" w:hAnsi="Times New Roman;Times;Serif"/>
          <w:b/>
          <w:i w:val="false"/>
          <w:caps w:val="false"/>
          <w:smallCaps w:val="false"/>
          <w:sz w:val="20"/>
        </w:rPr>
        <w:t>Suite 3350</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0" w:name="xdx_900_edei--EntityAddressCityOrTown_c2"/>
      <w:bookmarkEnd w:id="10"/>
      <w:r>
        <w:rPr>
          <w:rFonts w:ascii="Times New Roman;Times;Serif" w:hAnsi="Times New Roman;Times;Serif"/>
          <w:b/>
          <w:i w:val="false"/>
          <w:caps w:val="false"/>
          <w:smallCaps w:val="false"/>
          <w:sz w:val="20"/>
        </w:rPr>
        <w:t xml:space="preserve">New York, </w:t>
      </w:r>
      <w:bookmarkStart w:id="11" w:name="xdx_90D_edei--EntityAddressStateOrProvin"/>
      <w:bookmarkEnd w:id="11"/>
      <w:r>
        <w:rPr>
          <w:rFonts w:ascii="Times New Roman;Times;Serif" w:hAnsi="Times New Roman;Times;Serif"/>
          <w:b/>
          <w:i w:val="false"/>
          <w:caps w:val="false"/>
          <w:smallCaps w:val="false"/>
          <w:sz w:val="20"/>
        </w:rPr>
        <w:t xml:space="preserve">New York </w:t>
      </w:r>
      <w:bookmarkStart w:id="12" w:name="xdx_907_edei--EntityAddressPostalZipCode"/>
      <w:bookmarkEnd w:id="12"/>
      <w:r>
        <w:rPr>
          <w:rFonts w:ascii="Times New Roman;Times;Serif" w:hAnsi="Times New Roman;Times;Serif"/>
          <w:b/>
          <w:i w:val="false"/>
          <w:caps w:val="false"/>
          <w:smallCaps w:val="false"/>
          <w:sz w:val="20"/>
        </w:rPr>
        <w:t xml:space="preserve">10169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(Address of principal executive offices) (Zip Code)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bookmarkStart w:id="13" w:name="xdx_90E_edei--CityAreaCode_c20230810__20"/>
      <w:bookmarkEnd w:id="13"/>
      <w:r>
        <w:rPr>
          <w:rFonts w:ascii="Times New Roman;Times;Serif" w:hAnsi="Times New Roman;Times;Serif"/>
          <w:b/>
          <w:i w:val="false"/>
          <w:caps w:val="false"/>
          <w:smallCaps w:val="false"/>
          <w:sz w:val="20"/>
        </w:rPr>
        <w:t xml:space="preserve">646) </w:t>
      </w:r>
      <w:bookmarkStart w:id="14" w:name="xdx_90A_edei--LocalPhoneNumber_c20230810"/>
      <w:bookmarkEnd w:id="14"/>
      <w:r>
        <w:rPr>
          <w:rFonts w:ascii="Times New Roman;Times;Serif" w:hAnsi="Times New Roman;Times;Serif"/>
          <w:b/>
          <w:i w:val="false"/>
          <w:caps w:val="false"/>
          <w:smallCaps w:val="false"/>
          <w:sz w:val="20"/>
        </w:rPr>
        <w:t xml:space="preserve">885-8505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(Registrant’s telephone number, include area code)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N/A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(Former Name or Former Address, if Changed Since Last Report)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7585" w:type="dxa"/>
        <w:jc w:val="left"/>
        <w:tblInd w:w="0" w:type="dxa"/>
        <w:tblLayout w:type="fixed"/>
        <w:tblCellMar>
          <w:top w:w="0" w:type="dxa"/>
          <w:left w:w="0" w:type="dxa"/>
          <w:bottom w:w="0" w:type="dxa"/>
          <w:right w:w="0" w:type="dxa"/>
        </w:tblCellMar>
      </w:tblPr>
      <w:tblGrid>
        <w:gridCol w:w="245"/>
        <w:gridCol w:w="7340"/>
      </w:tblGrid>
      <w:tr>
        <w:trPr/>
        <w:tc>
          <w:tcPr>
            <w:tcW w:w="245" w:type="dxa"/>
            <w:tcBorders/>
            <w:vAlign w:val="center"/>
          </w:tcPr>
          <w:p>
            <w:pPr>
              <w:pStyle w:val="TableContents"/>
              <w:bidi w:val="0"/>
              <w:spacing w:before="0" w:after="283"/>
              <w:jc w:val="left"/>
              <w:rPr>
                <w:caps w:val="false"/>
                <w:smallCaps w:val="false"/>
              </w:rPr>
            </w:pPr>
            <w:bookmarkStart w:id="15" w:name="xdx_909_edei--WrittenCommunications_c202"/>
            <w:bookmarkEnd w:id="15"/>
            <w:r>
              <w:rPr>
                <w:caps w:val="false"/>
                <w:smallCaps w:val="false"/>
              </w:rPr>
              <w:t>☐</w:t>
            </w:r>
          </w:p>
        </w:tc>
        <w:tc>
          <w:tcPr>
            <w:tcW w:w="73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Written communications pursuant to Rule 425 under the Securities Act (17 CFR 230.425) </w:t>
            </w:r>
          </w:p>
        </w:tc>
      </w:tr>
    </w:tbl>
    <w:p>
      <w:pPr>
        <w:pStyle w:val="TextBody"/>
        <w:bidi w:val="0"/>
        <w:spacing w:before="0" w:after="0"/>
        <w:ind w:left="0" w:right="0" w:hanging="0"/>
        <w:jc w:val="left"/>
        <w:rPr>
          <w:caps w:val="false"/>
          <w:smallCaps w:val="false"/>
        </w:rPr>
      </w:pPr>
      <w:r>
        <w:rPr>
          <w:caps w:val="false"/>
          <w:smallCaps w:val="false"/>
        </w:rPr>
        <w:t> </w:t>
      </w:r>
    </w:p>
    <w:tbl>
      <w:tblPr>
        <w:tblW w:w="7615" w:type="dxa"/>
        <w:jc w:val="left"/>
        <w:tblInd w:w="0" w:type="dxa"/>
        <w:tblLayout w:type="fixed"/>
        <w:tblCellMar>
          <w:top w:w="0" w:type="dxa"/>
          <w:left w:w="0" w:type="dxa"/>
          <w:bottom w:w="0" w:type="dxa"/>
          <w:right w:w="0" w:type="dxa"/>
        </w:tblCellMar>
      </w:tblPr>
      <w:tblGrid>
        <w:gridCol w:w="245"/>
        <w:gridCol w:w="7370"/>
      </w:tblGrid>
      <w:tr>
        <w:trPr/>
        <w:tc>
          <w:tcPr>
            <w:tcW w:w="245" w:type="dxa"/>
            <w:tcBorders/>
            <w:vAlign w:val="center"/>
          </w:tcPr>
          <w:p>
            <w:pPr>
              <w:pStyle w:val="TableContents"/>
              <w:bidi w:val="0"/>
              <w:spacing w:before="0" w:after="283"/>
              <w:jc w:val="left"/>
              <w:rPr>
                <w:caps w:val="false"/>
                <w:smallCaps w:val="false"/>
              </w:rPr>
            </w:pPr>
            <w:bookmarkStart w:id="16" w:name="xdx_905_edei--SolicitingMaterial_c202308"/>
            <w:bookmarkEnd w:id="16"/>
            <w:r>
              <w:rPr>
                <w:caps w:val="false"/>
                <w:smallCaps w:val="false"/>
              </w:rPr>
              <w:t>☐</w:t>
            </w:r>
          </w:p>
        </w:tc>
        <w:tc>
          <w:tcPr>
            <w:tcW w:w="73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Soliciting material pursuant to Rule 14a-12 under the Exchange Act (17 CFR 240.14a-12) </w:t>
            </w:r>
          </w:p>
        </w:tc>
      </w:tr>
    </w:tbl>
    <w:p>
      <w:pPr>
        <w:pStyle w:val="TextBody"/>
        <w:bidi w:val="0"/>
        <w:spacing w:before="0" w:after="0"/>
        <w:ind w:left="0" w:right="0" w:hanging="0"/>
        <w:jc w:val="left"/>
        <w:rPr>
          <w:caps w:val="false"/>
          <w:smallCaps w:val="false"/>
        </w:rPr>
      </w:pPr>
      <w:r>
        <w:rPr>
          <w:caps w:val="false"/>
          <w:smallCaps w:val="false"/>
        </w:rPr>
        <w:t> </w:t>
      </w:r>
    </w:p>
    <w:tbl>
      <w:tblPr>
        <w:tblW w:w="9355" w:type="dxa"/>
        <w:jc w:val="left"/>
        <w:tblInd w:w="0" w:type="dxa"/>
        <w:tblLayout w:type="fixed"/>
        <w:tblCellMar>
          <w:top w:w="0" w:type="dxa"/>
          <w:left w:w="0" w:type="dxa"/>
          <w:bottom w:w="0" w:type="dxa"/>
          <w:right w:w="0" w:type="dxa"/>
        </w:tblCellMar>
      </w:tblPr>
      <w:tblGrid>
        <w:gridCol w:w="245"/>
        <w:gridCol w:w="9110"/>
      </w:tblGrid>
      <w:tr>
        <w:trPr/>
        <w:tc>
          <w:tcPr>
            <w:tcW w:w="245" w:type="dxa"/>
            <w:tcBorders/>
            <w:vAlign w:val="center"/>
          </w:tcPr>
          <w:p>
            <w:pPr>
              <w:pStyle w:val="TableContents"/>
              <w:bidi w:val="0"/>
              <w:spacing w:before="0" w:after="283"/>
              <w:jc w:val="left"/>
              <w:rPr>
                <w:caps w:val="false"/>
                <w:smallCaps w:val="false"/>
              </w:rPr>
            </w:pPr>
            <w:bookmarkStart w:id="17" w:name="xdx_904_edei--PreCommencementTenderOffer"/>
            <w:bookmarkEnd w:id="17"/>
            <w:r>
              <w:rPr>
                <w:caps w:val="false"/>
                <w:smallCaps w:val="false"/>
              </w:rPr>
              <w:t>☐</w:t>
            </w:r>
          </w:p>
        </w:tc>
        <w:tc>
          <w:tcPr>
            <w:tcW w:w="91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Pre-commencement communications pursuant to Rule 14d-2(b) under the Exchange Act (17 CFR 240.14d-2(b)) </w:t>
            </w:r>
          </w:p>
        </w:tc>
      </w:tr>
    </w:tbl>
    <w:p>
      <w:pPr>
        <w:pStyle w:val="TextBody"/>
        <w:bidi w:val="0"/>
        <w:spacing w:before="0" w:after="0"/>
        <w:ind w:left="0" w:right="0" w:hanging="0"/>
        <w:jc w:val="left"/>
        <w:rPr>
          <w:caps w:val="false"/>
          <w:smallCaps w:val="false"/>
        </w:rPr>
      </w:pPr>
      <w:r>
        <w:rPr>
          <w:caps w:val="false"/>
          <w:smallCaps w:val="false"/>
        </w:rPr>
        <w:t> </w:t>
      </w:r>
    </w:p>
    <w:tbl>
      <w:tblPr>
        <w:tblW w:w="9295" w:type="dxa"/>
        <w:jc w:val="left"/>
        <w:tblInd w:w="0" w:type="dxa"/>
        <w:tblLayout w:type="fixed"/>
        <w:tblCellMar>
          <w:top w:w="0" w:type="dxa"/>
          <w:left w:w="0" w:type="dxa"/>
          <w:bottom w:w="0" w:type="dxa"/>
          <w:right w:w="0" w:type="dxa"/>
        </w:tblCellMar>
      </w:tblPr>
      <w:tblGrid>
        <w:gridCol w:w="245"/>
        <w:gridCol w:w="9050"/>
      </w:tblGrid>
      <w:tr>
        <w:trPr/>
        <w:tc>
          <w:tcPr>
            <w:tcW w:w="245" w:type="dxa"/>
            <w:tcBorders/>
            <w:vAlign w:val="center"/>
          </w:tcPr>
          <w:p>
            <w:pPr>
              <w:pStyle w:val="TableContents"/>
              <w:bidi w:val="0"/>
              <w:spacing w:before="0" w:after="283"/>
              <w:jc w:val="left"/>
              <w:rPr>
                <w:caps w:val="false"/>
                <w:smallCaps w:val="false"/>
              </w:rPr>
            </w:pPr>
            <w:bookmarkStart w:id="18" w:name="xdx_90B_edei--PreCommencementIssuerTende"/>
            <w:bookmarkEnd w:id="18"/>
            <w:r>
              <w:rPr>
                <w:caps w:val="false"/>
                <w:smallCaps w:val="false"/>
              </w:rPr>
              <w:t>☐</w:t>
            </w:r>
          </w:p>
        </w:tc>
        <w:tc>
          <w:tcPr>
            <w:tcW w:w="90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Pre-commencement communications pursuant to Rule 13e-4(c) under the Exchange Act (17 CFR 240.13e-4(c)) </w:t>
            </w:r>
          </w:p>
        </w:tc>
      </w:tr>
    </w:tbl>
    <w:p>
      <w:pPr>
        <w:pStyle w:val="TextBody"/>
        <w:bidi w:val="0"/>
        <w:spacing w:before="0" w:after="0"/>
        <w:ind w:left="4" w:right="4" w:hanging="0"/>
        <w:jc w:val="left"/>
        <w:rPr>
          <w:caps w:val="false"/>
          <w:smallCaps w:val="false"/>
        </w:rPr>
      </w:pPr>
      <w:r>
        <w:rPr>
          <w:caps w:val="false"/>
          <w:smallCaps w:val="false"/>
        </w:rPr>
        <w:t> </w:t>
      </w:r>
    </w:p>
    <w:p>
      <w:pPr>
        <w:pStyle w:val="TextBody"/>
        <w:bidi w:val="0"/>
        <w:spacing w:before="0" w:after="0"/>
        <w:ind w:left="4" w:right="4"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4" w:right="4" w:hanging="0"/>
        <w:jc w:val="left"/>
        <w:rPr>
          <w:caps w:val="false"/>
          <w:smallCaps w:val="false"/>
        </w:rPr>
      </w:pPr>
      <w:r>
        <w:rPr>
          <w:caps w:val="false"/>
          <w:smallCaps w:val="false"/>
        </w:rPr>
        <w:t> </w:t>
      </w:r>
    </w:p>
    <w:tbl>
      <w:tblPr>
        <w:tblW w:w="8160" w:type="dxa"/>
        <w:jc w:val="left"/>
        <w:tblInd w:w="0" w:type="dxa"/>
        <w:tblLayout w:type="fixed"/>
        <w:tblCellMar>
          <w:top w:w="0" w:type="dxa"/>
          <w:left w:w="0" w:type="dxa"/>
          <w:bottom w:w="28" w:type="dxa"/>
          <w:right w:w="0" w:type="dxa"/>
        </w:tblCellMar>
      </w:tblPr>
      <w:tblGrid>
        <w:gridCol w:w="2855"/>
        <w:gridCol w:w="60"/>
        <w:gridCol w:w="1415"/>
        <w:gridCol w:w="60"/>
        <w:gridCol w:w="3770"/>
      </w:tblGrid>
      <w:tr>
        <w:trPr/>
        <w:tc>
          <w:tcPr>
            <w:tcW w:w="2855" w:type="dxa"/>
            <w:tcBorders>
              <w:bottom w:val="single" w:sz="8" w:space="0" w:color="000000"/>
            </w:tcBorders>
            <w:vAlign w:val="center"/>
          </w:tcPr>
          <w:p>
            <w:pPr>
              <w:pStyle w:val="TableContents"/>
              <w:bidi w:val="0"/>
              <w:spacing w:before="0" w:after="283"/>
              <w:ind w:left="0" w:right="0" w:hanging="144"/>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 of each class:</w:t>
            </w:r>
          </w:p>
        </w:tc>
        <w:tc>
          <w:tcPr>
            <w:tcW w:w="60" w:type="dxa"/>
            <w:tcBorders/>
            <w:tcMar>
              <w:bottom w:w="0" w:type="dxa"/>
            </w:tcMar>
            <w:vAlign w:val="center"/>
          </w:tcPr>
          <w:p>
            <w:pPr>
              <w:pStyle w:val="TableContents"/>
              <w:bidi w:val="0"/>
              <w:spacing w:before="0" w:after="283"/>
              <w:jc w:val="center"/>
              <w:rPr/>
            </w:pPr>
            <w:r>
              <w:rPr/>
              <w:t> </w:t>
            </w:r>
          </w:p>
        </w:tc>
        <w:tc>
          <w:tcPr>
            <w:tcW w:w="141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Trading Symbol</w:t>
            </w:r>
          </w:p>
        </w:tc>
        <w:tc>
          <w:tcPr>
            <w:tcW w:w="60" w:type="dxa"/>
            <w:tcBorders/>
            <w:tcMar>
              <w:bottom w:w="0" w:type="dxa"/>
            </w:tcMar>
            <w:vAlign w:val="center"/>
          </w:tcPr>
          <w:p>
            <w:pPr>
              <w:pStyle w:val="TableContents"/>
              <w:bidi w:val="0"/>
              <w:spacing w:before="0" w:after="283"/>
              <w:jc w:val="center"/>
              <w:rPr/>
            </w:pPr>
            <w:r>
              <w:rPr/>
              <w:t> </w:t>
            </w:r>
          </w:p>
        </w:tc>
        <w:tc>
          <w:tcPr>
            <w:tcW w:w="3770" w:type="dxa"/>
            <w:tcBorders>
              <w:bottom w:val="single" w:sz="8" w:space="0" w:color="000000"/>
            </w:tcBorders>
            <w:vAlign w:val="center"/>
          </w:tcPr>
          <w:p>
            <w:pPr>
              <w:pStyle w:val="TableContents"/>
              <w:bidi w:val="0"/>
              <w:spacing w:before="0" w:after="283"/>
              <w:ind w:left="0" w:right="0" w:hanging="144"/>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each exchange on which registered:</w:t>
            </w:r>
          </w:p>
        </w:tc>
      </w:tr>
      <w:tr>
        <w:trPr/>
        <w:tc>
          <w:tcPr>
            <w:tcW w:w="285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9" w:name="xdx_90E_edei--Security12bTitle_c20230810"/>
            <w:bookmarkEnd w:id="19"/>
            <w:r>
              <w:rPr>
                <w:rFonts w:ascii="Times New Roman;Times;Serif" w:hAnsi="Times New Roman;Times;Serif"/>
                <w:b w:val="false"/>
                <w:i w:val="false"/>
                <w:caps w:val="false"/>
                <w:smallCaps w:val="false"/>
                <w:sz w:val="20"/>
              </w:rPr>
              <w:t>Common Stock, $0.0001 par value</w:t>
            </w:r>
          </w:p>
        </w:tc>
        <w:tc>
          <w:tcPr>
            <w:tcW w:w="60" w:type="dxa"/>
            <w:tcBorders/>
            <w:tcMar>
              <w:bottom w:w="0" w:type="dxa"/>
            </w:tcMar>
            <w:vAlign w:val="center"/>
          </w:tcPr>
          <w:p>
            <w:pPr>
              <w:pStyle w:val="TableContents"/>
              <w:bidi w:val="0"/>
              <w:spacing w:before="0" w:after="283"/>
              <w:jc w:val="left"/>
              <w:rPr/>
            </w:pPr>
            <w:r>
              <w:rPr/>
              <w:t> </w:t>
            </w:r>
          </w:p>
        </w:tc>
        <w:tc>
          <w:tcPr>
            <w:tcW w:w="141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0" w:name="xdx_90A_edei--TradingSymbol_c20230810__2"/>
            <w:bookmarkEnd w:id="20"/>
            <w:r>
              <w:rPr>
                <w:rFonts w:ascii="Times New Roman;Times;Serif" w:hAnsi="Times New Roman;Times;Serif"/>
                <w:b w:val="false"/>
                <w:i w:val="false"/>
                <w:caps w:val="false"/>
                <w:smallCaps w:val="false"/>
                <w:sz w:val="20"/>
              </w:rPr>
              <w:t>YMAB</w:t>
            </w:r>
          </w:p>
        </w:tc>
        <w:tc>
          <w:tcPr>
            <w:tcW w:w="60" w:type="dxa"/>
            <w:tcBorders/>
            <w:tcMar>
              <w:bottom w:w="0" w:type="dxa"/>
            </w:tcMar>
            <w:vAlign w:val="center"/>
          </w:tcPr>
          <w:p>
            <w:pPr>
              <w:pStyle w:val="TableContents"/>
              <w:bidi w:val="0"/>
              <w:spacing w:before="0" w:after="283"/>
              <w:jc w:val="left"/>
              <w:rPr/>
            </w:pPr>
            <w:r>
              <w:rPr/>
              <w:t> </w:t>
            </w:r>
          </w:p>
        </w:tc>
        <w:tc>
          <w:tcPr>
            <w:tcW w:w="377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1" w:name="xdx_908_edei--SecurityExchangeName_c2023"/>
            <w:bookmarkEnd w:id="21"/>
            <w:r>
              <w:rPr>
                <w:rFonts w:ascii="Times New Roman;Times;Serif" w:hAnsi="Times New Roman;Times;Serif"/>
                <w:b w:val="false"/>
                <w:i w:val="false"/>
                <w:caps w:val="false"/>
                <w:smallCaps w:val="false"/>
                <w:sz w:val="20"/>
              </w:rPr>
              <w:t>NASDAQ Global Select Market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2" w:name="xdx_901_edei--EntityEmergingGrowthCompan"/>
      <w:bookmarkEnd w:id="22"/>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2.02. Results of Operations and Financial Condition.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10, 2023, Y-mAbs Therapeutics, Inc., announced its financial results for the quarter ended June 30, 2023. A copy of the press release is attached hereto as Exhibit 99.1.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furnished pursuant to Item 2.02 on this Form 8-K, including Exhibit 99.1 attached hereto, shall not be deemed “filed” for purposes of Section 18 of the Securities Exchange Act of 1934, as amended (the “Exchange Act”), or otherwise subject to the liabilities of that section, nor shall it be deemed incorporated by reference into any other filing under the Securities Act or the Exchange Act, except as expressly set forth by specific reference in such a filing.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p>
      <w:pPr>
        <w:pStyle w:val="TextBody"/>
        <w:bidi w:val="0"/>
        <w:spacing w:before="0" w:after="0"/>
        <w:ind w:left="0" w:right="0" w:hanging="0"/>
        <w:jc w:val="left"/>
        <w:rPr>
          <w:caps w:val="false"/>
          <w:smallCaps w:val="false"/>
        </w:rPr>
      </w:pPr>
      <w:r>
        <w:rPr>
          <w:caps w:val="false"/>
          <w:smallCaps w:val="false"/>
        </w:rPr>
        <w:t> </w:t>
      </w:r>
    </w:p>
    <w:tbl>
      <w:tblPr>
        <w:tblW w:w="7570" w:type="dxa"/>
        <w:jc w:val="left"/>
        <w:tblInd w:w="0" w:type="dxa"/>
        <w:tblLayout w:type="fixed"/>
        <w:tblCellMar>
          <w:top w:w="0" w:type="dxa"/>
          <w:left w:w="0" w:type="dxa"/>
          <w:bottom w:w="28" w:type="dxa"/>
          <w:right w:w="0" w:type="dxa"/>
        </w:tblCellMar>
      </w:tblPr>
      <w:tblGrid>
        <w:gridCol w:w="995"/>
        <w:gridCol w:w="60"/>
        <w:gridCol w:w="6515"/>
      </w:tblGrid>
      <w:tr>
        <w:trPr/>
        <w:tc>
          <w:tcPr>
            <w:tcW w:w="995" w:type="dxa"/>
            <w:tcBorders>
              <w:bottom w:val="single" w:sz="8"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Exhibit No.</w:t>
            </w:r>
          </w:p>
        </w:tc>
        <w:tc>
          <w:tcPr>
            <w:tcW w:w="60" w:type="dxa"/>
            <w:tcBorders/>
            <w:tcMar>
              <w:bottom w:w="0" w:type="dxa"/>
            </w:tcMar>
            <w:vAlign w:val="center"/>
          </w:tcPr>
          <w:p>
            <w:pPr>
              <w:pStyle w:val="TableContents"/>
              <w:bidi w:val="0"/>
              <w:spacing w:before="0" w:after="283"/>
              <w:jc w:val="left"/>
              <w:rPr/>
            </w:pPr>
            <w:r>
              <w:rPr/>
              <w:t> </w:t>
            </w:r>
          </w:p>
        </w:tc>
        <w:tc>
          <w:tcPr>
            <w:tcW w:w="6515" w:type="dxa"/>
            <w:tcBorders>
              <w:bottom w:val="single" w:sz="8" w:space="0" w:color="000000"/>
            </w:tcBorders>
            <w:vAlign w:val="center"/>
          </w:tcPr>
          <w:p>
            <w:pPr>
              <w:pStyle w:val="TableContents"/>
              <w:bidi w:val="0"/>
              <w:spacing w:before="0" w:after="283"/>
              <w:jc w:val="left"/>
              <w:rPr>
                <w:b/>
              </w:rPr>
            </w:pPr>
            <w:r>
              <w:rPr>
                <w:b/>
              </w:rPr>
              <w:t>Description</w:t>
            </w:r>
          </w:p>
        </w:tc>
      </w:tr>
      <w:tr>
        <w:trPr/>
        <w:tc>
          <w:tcPr>
            <w:tcW w:w="995" w:type="dxa"/>
            <w:tcBorders/>
            <w:tcMar>
              <w:bottom w:w="0" w:type="dxa"/>
            </w:tcMar>
            <w:vAlign w:val="center"/>
          </w:tcPr>
          <w:p>
            <w:pPr>
              <w:pStyle w:val="TableContents"/>
              <w:bidi w:val="0"/>
              <w:spacing w:before="0" w:after="283"/>
              <w:jc w:val="left"/>
              <w:rPr/>
            </w:pPr>
            <w:r>
              <w:rPr/>
              <w:t> </w:t>
            </w:r>
          </w:p>
        </w:tc>
        <w:tc>
          <w:tcPr>
            <w:tcW w:w="6575" w:type="dxa"/>
            <w:gridSpan w:val="2"/>
            <w:tcBorders/>
            <w:tcMar>
              <w:bottom w:w="0" w:type="dxa"/>
            </w:tcMar>
            <w:vAlign w:val="center"/>
          </w:tcPr>
          <w:p>
            <w:pPr>
              <w:pStyle w:val="TableContents"/>
              <w:bidi w:val="0"/>
              <w:spacing w:before="0" w:after="283"/>
              <w:jc w:val="left"/>
              <w:rPr/>
            </w:pPr>
            <w:r>
              <w:rPr/>
              <w:t> </w:t>
            </w:r>
          </w:p>
        </w:tc>
      </w:tr>
      <w:tr>
        <w:trPr/>
        <w:tc>
          <w:tcPr>
            <w:tcW w:w="995" w:type="dxa"/>
            <w:tcBorders/>
            <w:tcMar>
              <w:bottom w:w="0" w:type="dxa"/>
            </w:tcMar>
            <w:vAlign w:val="center"/>
          </w:tcPr>
          <w:p>
            <w:pPr>
              <w:pStyle w:val="TableContents"/>
              <w:bidi w:val="0"/>
              <w:spacing w:before="0" w:after="283"/>
              <w:jc w:val="left"/>
              <w:rPr/>
            </w:pPr>
            <w:hyperlink w:anchor="tm2323444d1_ex99-1.htm">
              <w:r>
                <w:rPr>
                  <w:rStyle w:val="InternetLink"/>
                  <w:rFonts w:ascii="Times New Roman;Times;Serif" w:hAnsi="Times New Roman;Times;Serif"/>
                  <w:sz w:val="20"/>
                </w:rPr>
                <w:t>99.1</w:t>
              </w:r>
            </w:hyperlink>
          </w:p>
        </w:tc>
        <w:tc>
          <w:tcPr>
            <w:tcW w:w="60" w:type="dxa"/>
            <w:tcBorders/>
            <w:tcMar>
              <w:bottom w:w="0" w:type="dxa"/>
            </w:tcMar>
            <w:vAlign w:val="center"/>
          </w:tcPr>
          <w:p>
            <w:pPr>
              <w:pStyle w:val="TableContents"/>
              <w:bidi w:val="0"/>
              <w:spacing w:before="0" w:after="283"/>
              <w:jc w:val="left"/>
              <w:rPr/>
            </w:pPr>
            <w:r>
              <w:rPr/>
              <w:t> </w:t>
            </w:r>
          </w:p>
        </w:tc>
        <w:tc>
          <w:tcPr>
            <w:tcW w:w="6515" w:type="dxa"/>
            <w:tcBorders/>
            <w:tcMar>
              <w:bottom w:w="0" w:type="dxa"/>
            </w:tcMar>
            <w:vAlign w:val="center"/>
          </w:tcPr>
          <w:p>
            <w:pPr>
              <w:pStyle w:val="TableContents"/>
              <w:bidi w:val="0"/>
              <w:spacing w:before="0" w:after="283"/>
              <w:jc w:val="left"/>
              <w:rPr/>
            </w:pPr>
            <w:hyperlink w:anchor="tm2323444d1_ex99-1.htm">
              <w:r>
                <w:rPr>
                  <w:rStyle w:val="InternetLink"/>
                  <w:rFonts w:ascii="Times New Roman;Times;Serif" w:hAnsi="Times New Roman;Times;Serif"/>
                  <w:sz w:val="20"/>
                </w:rPr>
                <w:t>Press Release, dated August 10, 2023.</w:t>
              </w:r>
            </w:hyperlink>
          </w:p>
        </w:tc>
      </w:tr>
      <w:tr>
        <w:trPr/>
        <w:tc>
          <w:tcPr>
            <w:tcW w:w="9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515" w:type="dxa"/>
            <w:tcBorders/>
            <w:tcMar>
              <w:bottom w:w="0" w:type="dxa"/>
            </w:tcMar>
            <w:vAlign w:val="center"/>
          </w:tcPr>
          <w:p>
            <w:pPr>
              <w:pStyle w:val="TableContents"/>
              <w:bidi w:val="0"/>
              <w:spacing w:before="0" w:after="283"/>
              <w:jc w:val="left"/>
              <w:rPr/>
            </w:pPr>
            <w:r>
              <w:rPr/>
              <w:t> </w:t>
            </w:r>
          </w:p>
        </w:tc>
      </w:tr>
      <w:tr>
        <w:trPr/>
        <w:tc>
          <w:tcPr>
            <w:tcW w:w="995" w:type="dxa"/>
            <w:tcBorders/>
            <w:tcMar>
              <w:bottom w:w="0" w:type="dxa"/>
            </w:tcMar>
            <w:vAlign w:val="center"/>
          </w:tcPr>
          <w:p>
            <w:pPr>
              <w:pStyle w:val="TableContents"/>
              <w:bidi w:val="0"/>
              <w:spacing w:before="0" w:after="283"/>
              <w:jc w:val="left"/>
              <w:rPr/>
            </w:pPr>
            <w:r>
              <w:rPr/>
              <w:t>104</w:t>
            </w:r>
          </w:p>
        </w:tc>
        <w:tc>
          <w:tcPr>
            <w:tcW w:w="60" w:type="dxa"/>
            <w:tcBorders/>
            <w:tcMar>
              <w:bottom w:w="0" w:type="dxa"/>
            </w:tcMar>
            <w:vAlign w:val="center"/>
          </w:tcPr>
          <w:p>
            <w:pPr>
              <w:pStyle w:val="TableContents"/>
              <w:bidi w:val="0"/>
              <w:spacing w:before="0" w:after="283"/>
              <w:jc w:val="left"/>
              <w:rPr/>
            </w:pPr>
            <w:r>
              <w:rPr/>
              <w:t> </w:t>
            </w:r>
          </w:p>
        </w:tc>
        <w:tc>
          <w:tcPr>
            <w:tcW w:w="6515" w:type="dxa"/>
            <w:tcBorders/>
            <w:tcMar>
              <w:bottom w:w="0" w:type="dxa"/>
            </w:tcMar>
            <w:vAlign w:val="center"/>
          </w:tcPr>
          <w:p>
            <w:pPr>
              <w:pStyle w:val="TableContents"/>
              <w:bidi w:val="0"/>
              <w:spacing w:before="0" w:after="283"/>
              <w:jc w:val="left"/>
              <w:rPr/>
            </w:pPr>
            <w:r>
              <w:rPr/>
              <w:t>Interactive Data File (embedded within the Inline XBRL document).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as amended,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4"/>
        <w:gridCol w:w="319"/>
        <w:gridCol w:w="8032"/>
      </w:tblGrid>
      <w:tr>
        <w:trPr/>
        <w:tc>
          <w:tcPr>
            <w:tcW w:w="1854" w:type="dxa"/>
            <w:tcBorders/>
            <w:vAlign w:val="center"/>
          </w:tcPr>
          <w:p>
            <w:pPr>
              <w:pStyle w:val="TableContents"/>
              <w:bidi w:val="0"/>
              <w:spacing w:before="0" w:after="283"/>
              <w:jc w:val="left"/>
              <w:rPr/>
            </w:pPr>
            <w:r>
              <w:rPr/>
              <w:t> </w:t>
            </w:r>
          </w:p>
        </w:tc>
        <w:tc>
          <w:tcPr>
            <w:tcW w:w="8351"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Y-MABS THERAPEUTICS, INC.</w:t>
            </w:r>
          </w:p>
        </w:tc>
      </w:tr>
      <w:tr>
        <w:trPr/>
        <w:tc>
          <w:tcPr>
            <w:tcW w:w="1854" w:type="dxa"/>
            <w:tcBorders/>
            <w:vAlign w:val="center"/>
          </w:tcPr>
          <w:p>
            <w:pPr>
              <w:pStyle w:val="TableContents"/>
              <w:bidi w:val="0"/>
              <w:spacing w:before="0" w:after="283"/>
              <w:jc w:val="left"/>
              <w:rPr/>
            </w:pPr>
            <w:r>
              <w:rPr/>
              <w:t> </w:t>
            </w:r>
          </w:p>
        </w:tc>
        <w:tc>
          <w:tcPr>
            <w:tcW w:w="319" w:type="dxa"/>
            <w:tcBorders/>
            <w:vAlign w:val="center"/>
          </w:tcPr>
          <w:p>
            <w:pPr>
              <w:pStyle w:val="TableContents"/>
              <w:bidi w:val="0"/>
              <w:spacing w:before="0" w:after="283"/>
              <w:jc w:val="left"/>
              <w:rPr/>
            </w:pPr>
            <w:r>
              <w:rPr/>
              <w:t> </w:t>
            </w:r>
          </w:p>
        </w:tc>
        <w:tc>
          <w:tcPr>
            <w:tcW w:w="8032" w:type="dxa"/>
            <w:tcBorders/>
            <w:vAlign w:val="center"/>
          </w:tcPr>
          <w:p>
            <w:pPr>
              <w:pStyle w:val="TableContents"/>
              <w:bidi w:val="0"/>
              <w:spacing w:before="0" w:after="283"/>
              <w:jc w:val="left"/>
              <w:rPr/>
            </w:pPr>
            <w:r>
              <w:rPr/>
              <w:t> </w:t>
            </w:r>
          </w:p>
        </w:tc>
      </w:tr>
      <w:tr>
        <w:trPr/>
        <w:tc>
          <w:tcPr>
            <w:tcW w:w="185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August 10, 2023</w:t>
            </w:r>
          </w:p>
        </w:tc>
        <w:tc>
          <w:tcPr>
            <w:tcW w:w="31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8032"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Thomas Gad</w:t>
            </w:r>
          </w:p>
        </w:tc>
      </w:tr>
      <w:tr>
        <w:trPr/>
        <w:tc>
          <w:tcPr>
            <w:tcW w:w="1854" w:type="dxa"/>
            <w:tcBorders/>
            <w:vAlign w:val="center"/>
          </w:tcPr>
          <w:p>
            <w:pPr>
              <w:pStyle w:val="TableContents"/>
              <w:bidi w:val="0"/>
              <w:spacing w:before="0" w:after="283"/>
              <w:jc w:val="left"/>
              <w:rPr/>
            </w:pPr>
            <w:r>
              <w:rPr/>
              <w:t> </w:t>
            </w:r>
          </w:p>
        </w:tc>
        <w:tc>
          <w:tcPr>
            <w:tcW w:w="319" w:type="dxa"/>
            <w:tcBorders/>
            <w:vAlign w:val="center"/>
          </w:tcPr>
          <w:p>
            <w:pPr>
              <w:pStyle w:val="TableContents"/>
              <w:bidi w:val="0"/>
              <w:spacing w:before="0" w:after="283"/>
              <w:jc w:val="left"/>
              <w:rPr/>
            </w:pPr>
            <w:r>
              <w:rPr/>
              <w:t> </w:t>
            </w:r>
          </w:p>
        </w:tc>
        <w:tc>
          <w:tcPr>
            <w:tcW w:w="803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Thomas Gad</w:t>
            </w:r>
          </w:p>
        </w:tc>
      </w:tr>
      <w:tr>
        <w:trPr/>
        <w:tc>
          <w:tcPr>
            <w:tcW w:w="1854" w:type="dxa"/>
            <w:tcBorders/>
            <w:vAlign w:val="center"/>
          </w:tcPr>
          <w:p>
            <w:pPr>
              <w:pStyle w:val="TableContents"/>
              <w:bidi w:val="0"/>
              <w:spacing w:before="0" w:after="283"/>
              <w:jc w:val="left"/>
              <w:rPr/>
            </w:pPr>
            <w:r>
              <w:rPr/>
              <w:t> </w:t>
            </w:r>
          </w:p>
        </w:tc>
        <w:tc>
          <w:tcPr>
            <w:tcW w:w="319" w:type="dxa"/>
            <w:tcBorders/>
            <w:vAlign w:val="center"/>
          </w:tcPr>
          <w:p>
            <w:pPr>
              <w:pStyle w:val="TableContents"/>
              <w:bidi w:val="0"/>
              <w:spacing w:before="0" w:after="283"/>
              <w:jc w:val="left"/>
              <w:rPr/>
            </w:pPr>
            <w:r>
              <w:rPr/>
              <w:t> </w:t>
            </w:r>
          </w:p>
        </w:tc>
        <w:tc>
          <w:tcPr>
            <w:tcW w:w="803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Founder, President, Interim Chief Executive Officer and Head of Business Development &amp; Strategy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pPr>
      <w:bookmarkStart w:id="23" w:name="tm2323444d1_ex99-1.htm"/>
      <w:bookmarkStart w:id="24" w:name="kstm2323444d1_ex991"/>
      <w:bookmarkEnd w:id="23"/>
      <w:bookmarkEnd w:id="24"/>
      <w:r>
        <w:rPr/>
        <w:t> </w:t>
      </w:r>
      <w:r>
        <w:br w:type="page"/>
      </w:r>
    </w:p>
    <w:p>
      <w:pPr>
        <w:pStyle w:val="TextBody"/>
        <w:bidi w:val="0"/>
        <w:jc w:val="right"/>
        <w:rPr>
          <w:b/>
          <w:sz w:val="20"/>
        </w:rPr>
      </w:pPr>
      <w:r>
        <w:rPr>
          <w:b/>
          <w:sz w:val="20"/>
        </w:rPr>
        <w:t>Exhibit 99.1</w:t>
      </w:r>
    </w:p>
    <w:p>
      <w:pPr>
        <w:pStyle w:val="TextBody"/>
        <w:bidi w:val="0"/>
        <w:spacing w:before="0" w:after="283"/>
        <w:jc w:val="left"/>
        <w:rPr/>
      </w:pPr>
      <w:r>
        <w:rPr/>
        <w:t> </w:t>
      </w:r>
    </w:p>
    <w:p>
      <w:pPr>
        <w:pStyle w:val="TextBody"/>
        <w:bidi w:val="0"/>
        <w:jc w:val="right"/>
        <w:rPr/>
      </w:pPr>
      <w:r>
        <w:rPr/>
        <w:drawing>
          <wp:inline distT="0" distB="0" distL="0" distR="0">
            <wp:extent cx="3219450" cy="5810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219450" cy="581025"/>
                    </a:xfrm>
                    <a:prstGeom prst="rect">
                      <a:avLst/>
                    </a:prstGeom>
                  </pic:spPr>
                </pic:pic>
              </a:graphicData>
            </a:graphic>
          </wp:inline>
        </w:drawing>
      </w:r>
    </w:p>
    <w:p>
      <w:pPr>
        <w:pStyle w:val="TextBody"/>
        <w:bidi w:val="0"/>
        <w:spacing w:before="0" w:after="283"/>
        <w:jc w:val="left"/>
        <w:rPr/>
      </w:pPr>
      <w:r>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shd w:fill="FFFFFF" w:val="clear"/>
        </w:rPr>
      </w:pPr>
      <w:r>
        <w:rPr>
          <w:rFonts w:ascii="Times New Roman;Times;Serif" w:hAnsi="Times New Roman;Times;Serif"/>
          <w:b/>
          <w:i w:val="false"/>
          <w:caps w:val="false"/>
          <w:smallCaps w:val="false"/>
          <w:sz w:val="20"/>
          <w:shd w:fill="FFFFFF" w:val="clear"/>
        </w:rPr>
        <w:t>Y-mAbs Reports Second Quarter 2023 Financial Results and Recent Corporate Developments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0" w:type="dxa"/>
          <w:right w:w="0" w:type="dxa"/>
        </w:tblCellMar>
      </w:tblPr>
      <w:tblGrid>
        <w:gridCol w:w="38"/>
        <w:gridCol w:w="95"/>
        <w:gridCol w:w="10072"/>
      </w:tblGrid>
      <w:tr>
        <w:trPr/>
        <w:tc>
          <w:tcPr>
            <w:tcW w:w="38" w:type="dxa"/>
            <w:tcBorders/>
            <w:shd w:fill="FFFFFF" w:val="clear"/>
            <w:vAlign w:val="center"/>
          </w:tcPr>
          <w:p>
            <w:pPr>
              <w:pStyle w:val="TableContents"/>
              <w:bidi w:val="0"/>
              <w:spacing w:before="0" w:after="283"/>
              <w:jc w:val="left"/>
              <w:rPr>
                <w:sz w:val="4"/>
                <w:szCs w:val="4"/>
              </w:rPr>
            </w:pPr>
            <w:r>
              <w:rPr>
                <w:sz w:val="4"/>
                <w:szCs w:val="4"/>
              </w:rPr>
            </w:r>
          </w:p>
        </w:tc>
        <w:tc>
          <w:tcPr>
            <w:tcW w:w="95" w:type="dxa"/>
            <w:tcBorders/>
            <w:shd w:fill="FFFFFF" w:val="clear"/>
            <w:vAlign w:val="center"/>
          </w:tcPr>
          <w:p>
            <w:pPr>
              <w:pStyle w:val="TableContents"/>
              <w:bidi w:val="0"/>
              <w:spacing w:before="0" w:after="283"/>
              <w:jc w:val="left"/>
              <w:rPr>
                <w:rFonts w:ascii="Symbol" w:hAnsi="Symbol"/>
                <w:sz w:val="20"/>
              </w:rPr>
            </w:pPr>
            <w:r>
              <w:rPr>
                <w:rFonts w:ascii="Symbol" w:hAnsi="Symbol"/>
                <w:sz w:val="20"/>
              </w:rPr>
              <w:t>·</w:t>
            </w:r>
          </w:p>
        </w:tc>
        <w:tc>
          <w:tcPr>
            <w:tcW w:w="10072" w:type="dxa"/>
            <w:tcBorders/>
            <w:shd w:fill="FFFFFF" w:val="clear"/>
            <w:vAlign w:val="center"/>
          </w:tcPr>
          <w:p>
            <w:pPr>
              <w:pStyle w:val="TableContents"/>
              <w:bidi w:val="0"/>
              <w:spacing w:before="0" w:after="283"/>
              <w:jc w:val="left"/>
              <w:rPr>
                <w:rFonts w:ascii="Times New Roman;Times;Serif" w:hAnsi="Times New Roman;Times;Serif"/>
                <w:b/>
                <w:sz w:val="20"/>
                <w:shd w:fill="FFFFFF" w:val="clear"/>
              </w:rPr>
            </w:pPr>
            <w:r>
              <w:rPr>
                <w:rFonts w:ascii="Times New Roman;Times;Serif" w:hAnsi="Times New Roman;Times;Serif"/>
                <w:b/>
                <w:sz w:val="20"/>
                <w:shd w:fill="FFFFFF" w:val="clear"/>
              </w:rPr>
              <w:t>Q2 2023 DANYELZA® record net product revenues of $20.8 million, driving YoY growth of 112% and a 3% sequential increase compared to Q1 2023</w:t>
            </w:r>
          </w:p>
        </w:tc>
      </w:tr>
    </w:tbl>
    <w:tbl>
      <w:tblPr>
        <w:tblW w:w="4503" w:type="dxa"/>
        <w:jc w:val="left"/>
        <w:tblInd w:w="0" w:type="dxa"/>
        <w:shd w:fill="FFFFFF" w:val="clear"/>
        <w:tblLayout w:type="fixed"/>
        <w:tblCellMar>
          <w:top w:w="0" w:type="dxa"/>
          <w:left w:w="0" w:type="dxa"/>
          <w:bottom w:w="0" w:type="dxa"/>
          <w:right w:w="0" w:type="dxa"/>
        </w:tblCellMar>
      </w:tblPr>
      <w:tblGrid>
        <w:gridCol w:w="38"/>
        <w:gridCol w:w="95"/>
        <w:gridCol w:w="4370"/>
      </w:tblGrid>
      <w:tr>
        <w:trPr/>
        <w:tc>
          <w:tcPr>
            <w:tcW w:w="38" w:type="dxa"/>
            <w:tcBorders/>
            <w:shd w:fill="FFFFFF" w:val="clear"/>
            <w:vAlign w:val="center"/>
          </w:tcPr>
          <w:p>
            <w:pPr>
              <w:pStyle w:val="TableContents"/>
              <w:bidi w:val="0"/>
              <w:spacing w:before="0" w:after="283"/>
              <w:jc w:val="left"/>
              <w:rPr>
                <w:sz w:val="4"/>
                <w:szCs w:val="4"/>
              </w:rPr>
            </w:pPr>
            <w:r>
              <w:rPr>
                <w:sz w:val="4"/>
                <w:szCs w:val="4"/>
              </w:rPr>
            </w:r>
          </w:p>
        </w:tc>
        <w:tc>
          <w:tcPr>
            <w:tcW w:w="95" w:type="dxa"/>
            <w:tcBorders/>
            <w:shd w:fill="FFFFFF" w:val="clear"/>
            <w:vAlign w:val="center"/>
          </w:tcPr>
          <w:p>
            <w:pPr>
              <w:pStyle w:val="TableContents"/>
              <w:bidi w:val="0"/>
              <w:spacing w:before="0" w:after="283"/>
              <w:jc w:val="left"/>
              <w:rPr>
                <w:rFonts w:ascii="Symbol" w:hAnsi="Symbol"/>
                <w:sz w:val="20"/>
              </w:rPr>
            </w:pPr>
            <w:r>
              <w:rPr>
                <w:rFonts w:ascii="Symbol" w:hAnsi="Symbol"/>
                <w:sz w:val="20"/>
              </w:rPr>
              <w:t>·</w:t>
            </w:r>
          </w:p>
        </w:tc>
        <w:tc>
          <w:tcPr>
            <w:tcW w:w="4370" w:type="dxa"/>
            <w:tcBorders/>
            <w:shd w:fill="FFFFFF" w:val="clear"/>
            <w:vAlign w:val="center"/>
          </w:tcPr>
          <w:p>
            <w:pPr>
              <w:pStyle w:val="TableContents"/>
              <w:bidi w:val="0"/>
              <w:spacing w:before="0" w:after="283"/>
              <w:jc w:val="left"/>
              <w:rPr>
                <w:rFonts w:ascii="Times New Roman;Times;Serif" w:hAnsi="Times New Roman;Times;Serif"/>
                <w:b/>
                <w:sz w:val="20"/>
                <w:shd w:fill="FFFFFF" w:val="clear"/>
              </w:rPr>
            </w:pPr>
            <w:r>
              <w:rPr>
                <w:rFonts w:ascii="Times New Roman;Times;Serif" w:hAnsi="Times New Roman;Times;Serif"/>
                <w:b/>
                <w:sz w:val="20"/>
                <w:shd w:fill="FFFFFF" w:val="clear"/>
              </w:rPr>
              <w:t>Management reiterates FY 2023 financial guidance</w:t>
            </w:r>
          </w:p>
        </w:tc>
      </w:tr>
    </w:tbl>
    <w:tbl>
      <w:tblPr>
        <w:tblW w:w="4878" w:type="dxa"/>
        <w:jc w:val="left"/>
        <w:tblInd w:w="0" w:type="dxa"/>
        <w:shd w:fill="FFFFFF" w:val="clear"/>
        <w:tblLayout w:type="fixed"/>
        <w:tblCellMar>
          <w:top w:w="0" w:type="dxa"/>
          <w:left w:w="0" w:type="dxa"/>
          <w:bottom w:w="0" w:type="dxa"/>
          <w:right w:w="0" w:type="dxa"/>
        </w:tblCellMar>
      </w:tblPr>
      <w:tblGrid>
        <w:gridCol w:w="38"/>
        <w:gridCol w:w="95"/>
        <w:gridCol w:w="4745"/>
      </w:tblGrid>
      <w:tr>
        <w:trPr/>
        <w:tc>
          <w:tcPr>
            <w:tcW w:w="38" w:type="dxa"/>
            <w:tcBorders/>
            <w:shd w:fill="FFFFFF" w:val="clear"/>
            <w:vAlign w:val="center"/>
          </w:tcPr>
          <w:p>
            <w:pPr>
              <w:pStyle w:val="TableContents"/>
              <w:bidi w:val="0"/>
              <w:spacing w:before="0" w:after="283"/>
              <w:jc w:val="left"/>
              <w:rPr>
                <w:sz w:val="4"/>
                <w:szCs w:val="4"/>
              </w:rPr>
            </w:pPr>
            <w:r>
              <w:rPr>
                <w:sz w:val="4"/>
                <w:szCs w:val="4"/>
              </w:rPr>
            </w:r>
          </w:p>
        </w:tc>
        <w:tc>
          <w:tcPr>
            <w:tcW w:w="95" w:type="dxa"/>
            <w:tcBorders/>
            <w:shd w:fill="FFFFFF" w:val="clear"/>
            <w:vAlign w:val="center"/>
          </w:tcPr>
          <w:p>
            <w:pPr>
              <w:pStyle w:val="TableContents"/>
              <w:bidi w:val="0"/>
              <w:spacing w:before="0" w:after="283"/>
              <w:jc w:val="left"/>
              <w:rPr>
                <w:rFonts w:ascii="Symbol" w:hAnsi="Symbol"/>
                <w:sz w:val="20"/>
              </w:rPr>
            </w:pPr>
            <w:r>
              <w:rPr>
                <w:rFonts w:ascii="Symbol" w:hAnsi="Symbol"/>
                <w:sz w:val="20"/>
              </w:rPr>
              <w:t>·</w:t>
            </w:r>
          </w:p>
        </w:tc>
        <w:tc>
          <w:tcPr>
            <w:tcW w:w="4745" w:type="dxa"/>
            <w:tcBorders/>
            <w:shd w:fill="FFFFFF" w:val="clear"/>
            <w:vAlign w:val="center"/>
          </w:tcPr>
          <w:p>
            <w:pPr>
              <w:pStyle w:val="TableContents"/>
              <w:bidi w:val="0"/>
              <w:spacing w:before="0" w:after="283"/>
              <w:jc w:val="left"/>
              <w:rPr>
                <w:rFonts w:ascii="Times New Roman;Times;Serif" w:hAnsi="Times New Roman;Times;Serif"/>
                <w:b/>
                <w:sz w:val="20"/>
                <w:shd w:fill="FFFFFF" w:val="clear"/>
              </w:rPr>
            </w:pPr>
            <w:r>
              <w:rPr>
                <w:rFonts w:ascii="Times New Roman;Times;Serif" w:hAnsi="Times New Roman;Times;Serif"/>
                <w:b/>
                <w:sz w:val="20"/>
                <w:shd w:fill="FFFFFF" w:val="clear"/>
              </w:rPr>
              <w:t>DANYELZA marketing authorization granted in Brazil</w:t>
            </w:r>
          </w:p>
        </w:tc>
      </w:tr>
    </w:tbl>
    <w:tbl>
      <w:tblPr>
        <w:tblW w:w="5178" w:type="dxa"/>
        <w:jc w:val="left"/>
        <w:tblInd w:w="0" w:type="dxa"/>
        <w:shd w:fill="FFFFFF" w:val="clear"/>
        <w:tblLayout w:type="fixed"/>
        <w:tblCellMar>
          <w:top w:w="0" w:type="dxa"/>
          <w:left w:w="0" w:type="dxa"/>
          <w:bottom w:w="0" w:type="dxa"/>
          <w:right w:w="0" w:type="dxa"/>
        </w:tblCellMar>
      </w:tblPr>
      <w:tblGrid>
        <w:gridCol w:w="38"/>
        <w:gridCol w:w="95"/>
        <w:gridCol w:w="5045"/>
      </w:tblGrid>
      <w:tr>
        <w:trPr/>
        <w:tc>
          <w:tcPr>
            <w:tcW w:w="38" w:type="dxa"/>
            <w:tcBorders/>
            <w:shd w:fill="FFFFFF" w:val="clear"/>
            <w:vAlign w:val="center"/>
          </w:tcPr>
          <w:p>
            <w:pPr>
              <w:pStyle w:val="TableContents"/>
              <w:bidi w:val="0"/>
              <w:spacing w:before="0" w:after="283"/>
              <w:jc w:val="left"/>
              <w:rPr>
                <w:sz w:val="4"/>
                <w:szCs w:val="4"/>
              </w:rPr>
            </w:pPr>
            <w:r>
              <w:rPr>
                <w:sz w:val="4"/>
                <w:szCs w:val="4"/>
              </w:rPr>
            </w:r>
          </w:p>
        </w:tc>
        <w:tc>
          <w:tcPr>
            <w:tcW w:w="95" w:type="dxa"/>
            <w:tcBorders/>
            <w:shd w:fill="FFFFFF" w:val="clear"/>
            <w:vAlign w:val="center"/>
          </w:tcPr>
          <w:p>
            <w:pPr>
              <w:pStyle w:val="TableContents"/>
              <w:bidi w:val="0"/>
              <w:spacing w:before="0" w:after="283"/>
              <w:jc w:val="left"/>
              <w:rPr>
                <w:rFonts w:ascii="Symbol" w:hAnsi="Symbol"/>
                <w:sz w:val="20"/>
              </w:rPr>
            </w:pPr>
            <w:r>
              <w:rPr>
                <w:rFonts w:ascii="Symbol" w:hAnsi="Symbol"/>
                <w:sz w:val="20"/>
              </w:rPr>
              <w:t>·</w:t>
            </w:r>
          </w:p>
        </w:tc>
        <w:tc>
          <w:tcPr>
            <w:tcW w:w="5045" w:type="dxa"/>
            <w:tcBorders/>
            <w:shd w:fill="FFFFFF" w:val="clear"/>
            <w:vAlign w:val="center"/>
          </w:tcPr>
          <w:p>
            <w:pPr>
              <w:pStyle w:val="TableContents"/>
              <w:bidi w:val="0"/>
              <w:spacing w:before="0" w:after="283"/>
              <w:jc w:val="left"/>
              <w:rPr>
                <w:rFonts w:ascii="Times New Roman;Times;Serif" w:hAnsi="Times New Roman;Times;Serif"/>
                <w:b/>
                <w:sz w:val="20"/>
                <w:shd w:fill="FFFFFF" w:val="clear"/>
              </w:rPr>
            </w:pPr>
            <w:r>
              <w:rPr>
                <w:rFonts w:ascii="Times New Roman;Times;Serif" w:hAnsi="Times New Roman;Times;Serif"/>
                <w:b/>
                <w:sz w:val="20"/>
                <w:shd w:fill="FFFFFF" w:val="clear"/>
              </w:rPr>
              <w:t>Ongoing patient recruitment in the Phase I GD2-SADA trial</w:t>
            </w:r>
          </w:p>
        </w:tc>
      </w:tr>
    </w:tbl>
    <w:tbl>
      <w:tblPr>
        <w:tblW w:w="8388" w:type="dxa"/>
        <w:jc w:val="left"/>
        <w:tblInd w:w="0" w:type="dxa"/>
        <w:shd w:fill="FFFFFF" w:val="clear"/>
        <w:tblLayout w:type="fixed"/>
        <w:tblCellMar>
          <w:top w:w="0" w:type="dxa"/>
          <w:left w:w="0" w:type="dxa"/>
          <w:bottom w:w="0" w:type="dxa"/>
          <w:right w:w="0" w:type="dxa"/>
        </w:tblCellMar>
      </w:tblPr>
      <w:tblGrid>
        <w:gridCol w:w="38"/>
        <w:gridCol w:w="95"/>
        <w:gridCol w:w="8255"/>
      </w:tblGrid>
      <w:tr>
        <w:trPr/>
        <w:tc>
          <w:tcPr>
            <w:tcW w:w="38" w:type="dxa"/>
            <w:tcBorders/>
            <w:shd w:fill="FFFFFF" w:val="clear"/>
            <w:vAlign w:val="center"/>
          </w:tcPr>
          <w:p>
            <w:pPr>
              <w:pStyle w:val="TableContents"/>
              <w:bidi w:val="0"/>
              <w:spacing w:before="0" w:after="283"/>
              <w:jc w:val="left"/>
              <w:rPr>
                <w:sz w:val="4"/>
                <w:szCs w:val="4"/>
              </w:rPr>
            </w:pPr>
            <w:r>
              <w:rPr>
                <w:sz w:val="4"/>
                <w:szCs w:val="4"/>
              </w:rPr>
            </w:r>
          </w:p>
        </w:tc>
        <w:tc>
          <w:tcPr>
            <w:tcW w:w="95" w:type="dxa"/>
            <w:tcBorders/>
            <w:shd w:fill="FFFFFF" w:val="clear"/>
            <w:vAlign w:val="center"/>
          </w:tcPr>
          <w:p>
            <w:pPr>
              <w:pStyle w:val="TableContents"/>
              <w:bidi w:val="0"/>
              <w:spacing w:before="0" w:after="283"/>
              <w:jc w:val="left"/>
              <w:rPr>
                <w:rFonts w:ascii="Symbol" w:hAnsi="Symbol"/>
                <w:sz w:val="20"/>
              </w:rPr>
            </w:pPr>
            <w:r>
              <w:rPr>
                <w:rFonts w:ascii="Symbol" w:hAnsi="Symbol"/>
                <w:sz w:val="20"/>
              </w:rPr>
              <w:t>·</w:t>
            </w:r>
          </w:p>
        </w:tc>
        <w:tc>
          <w:tcPr>
            <w:tcW w:w="8255" w:type="dxa"/>
            <w:tcBorders/>
            <w:shd w:fill="FFFFFF" w:val="clear"/>
            <w:vAlign w:val="center"/>
          </w:tcPr>
          <w:p>
            <w:pPr>
              <w:pStyle w:val="TableContents"/>
              <w:bidi w:val="0"/>
              <w:spacing w:before="0" w:after="283"/>
              <w:jc w:val="left"/>
              <w:rPr>
                <w:rFonts w:ascii="Times New Roman;Times;Serif" w:hAnsi="Times New Roman;Times;Serif"/>
                <w:b/>
                <w:sz w:val="20"/>
                <w:shd w:fill="FFFFFF" w:val="clear"/>
              </w:rPr>
            </w:pPr>
            <w:r>
              <w:rPr>
                <w:rFonts w:ascii="Times New Roman;Times;Serif" w:hAnsi="Times New Roman;Times;Serif"/>
                <w:b/>
                <w:sz w:val="20"/>
                <w:shd w:fill="FFFFFF" w:val="clear"/>
              </w:rPr>
              <w:t>Cash and cash equivalents of $87.9 million as of June 30, 2023, anticipated cash runway into 2026</w:t>
            </w:r>
          </w:p>
        </w:tc>
      </w:tr>
    </w:tbl>
    <w:tbl>
      <w:tblPr>
        <w:tblW w:w="7443" w:type="dxa"/>
        <w:jc w:val="left"/>
        <w:tblInd w:w="0" w:type="dxa"/>
        <w:shd w:fill="FFFFFF" w:val="clear"/>
        <w:tblLayout w:type="fixed"/>
        <w:tblCellMar>
          <w:top w:w="0" w:type="dxa"/>
          <w:left w:w="0" w:type="dxa"/>
          <w:bottom w:w="0" w:type="dxa"/>
          <w:right w:w="0" w:type="dxa"/>
        </w:tblCellMar>
      </w:tblPr>
      <w:tblGrid>
        <w:gridCol w:w="38"/>
        <w:gridCol w:w="95"/>
        <w:gridCol w:w="7310"/>
      </w:tblGrid>
      <w:tr>
        <w:trPr/>
        <w:tc>
          <w:tcPr>
            <w:tcW w:w="38" w:type="dxa"/>
            <w:tcBorders/>
            <w:shd w:fill="FFFFFF" w:val="clear"/>
            <w:vAlign w:val="center"/>
          </w:tcPr>
          <w:p>
            <w:pPr>
              <w:pStyle w:val="TableContents"/>
              <w:bidi w:val="0"/>
              <w:spacing w:before="0" w:after="283"/>
              <w:jc w:val="left"/>
              <w:rPr>
                <w:sz w:val="4"/>
                <w:szCs w:val="4"/>
              </w:rPr>
            </w:pPr>
            <w:r>
              <w:rPr>
                <w:sz w:val="4"/>
                <w:szCs w:val="4"/>
              </w:rPr>
            </w:r>
          </w:p>
        </w:tc>
        <w:tc>
          <w:tcPr>
            <w:tcW w:w="95" w:type="dxa"/>
            <w:tcBorders/>
            <w:shd w:fill="FFFFFF" w:val="clear"/>
            <w:vAlign w:val="center"/>
          </w:tcPr>
          <w:p>
            <w:pPr>
              <w:pStyle w:val="TableContents"/>
              <w:bidi w:val="0"/>
              <w:spacing w:before="0" w:after="283"/>
              <w:jc w:val="left"/>
              <w:rPr>
                <w:rFonts w:ascii="Symbol" w:hAnsi="Symbol"/>
                <w:sz w:val="20"/>
              </w:rPr>
            </w:pPr>
            <w:r>
              <w:rPr>
                <w:rFonts w:ascii="Symbol" w:hAnsi="Symbol"/>
                <w:sz w:val="20"/>
              </w:rPr>
              <w:t>·</w:t>
            </w:r>
          </w:p>
        </w:tc>
        <w:tc>
          <w:tcPr>
            <w:tcW w:w="7310" w:type="dxa"/>
            <w:tcBorders/>
            <w:shd w:fill="FFFFFF" w:val="clear"/>
            <w:vAlign w:val="center"/>
          </w:tcPr>
          <w:p>
            <w:pPr>
              <w:pStyle w:val="TableContents"/>
              <w:bidi w:val="0"/>
              <w:spacing w:before="0" w:after="283"/>
              <w:jc w:val="left"/>
              <w:rPr>
                <w:rFonts w:ascii="Times New Roman;Times;Serif" w:hAnsi="Times New Roman;Times;Serif"/>
                <w:b/>
                <w:sz w:val="20"/>
                <w:shd w:fill="FFFFFF" w:val="clear"/>
              </w:rPr>
            </w:pPr>
            <w:r>
              <w:rPr>
                <w:rFonts w:ascii="Times New Roman;Times;Serif" w:hAnsi="Times New Roman;Times;Serif"/>
                <w:b/>
                <w:sz w:val="20"/>
                <w:shd w:fill="FFFFFF" w:val="clear"/>
              </w:rPr>
              <w:t>The Company will host a conference call on Friday, August 11, 2023, at 9:00 a.m. EDT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shd w:fill="FFFFFF" w:val="clear"/>
        </w:rPr>
        <w:t>New York, NY, August 10, 2023 (GLOBE NEWSWIRE) – Y-mAbs Therapeutics, Inc. (the “Company” or “Y-mAbs”) (Nasdaq: YMAB), a commercial-stage biopharmaceutical company focused on the development and commercialization of novel, antibody-based therapeutic products for the treatment of cancer,</w:t>
      </w:r>
      <w:r>
        <w:rPr>
          <w:rFonts w:ascii="Times New Roman;Times;Serif" w:hAnsi="Times New Roman;Times;Serif"/>
          <w:b w:val="false"/>
          <w:i w:val="false"/>
          <w:caps w:val="false"/>
          <w:smallCaps w:val="false"/>
          <w:sz w:val="20"/>
        </w:rPr>
        <w:t xml:space="preserve"> today reported financial results for the second quarter of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second quarter of 2023 marked another period of progress for DANYELZA with continued revenue growth and international expansion with regulatory approval in Brazil,” said Thomas Gad, Founder, President, and Interim Chief Executive Officer. “As we continue patient enrollment in the Phase I GD2-SADA study, we are pleased to report that we have closed Cohort 1 and Cohort 2 and are now dosing Cohort 3, and we have administered a 200 mCi dose of 177Lu-DOTA and an interval between dosing of the protein and the payload of between two to five days. We look forward to presenting pk and imaging data from this study later this year at our R&amp;D Day. Upon completion of our reorganization, we estimate our existing cash and cash equivalents to support our business operations as currently planned into 2026, positioning us well to deliver our therapies to more patients both in the U.S. and worldwide.”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36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Second Quarter 2023 and Recent Corporate Developments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95"/>
        <w:gridCol w:w="10072"/>
      </w:tblGrid>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7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On July 2, 2023, the Company’s partner in China, SciClone Pharmaceuticals, announced that they had officially launched DANYELZA.</w:t>
            </w:r>
          </w:p>
        </w:tc>
      </w:tr>
    </w:tbl>
    <w:tbl>
      <w:tblPr>
        <w:tblW w:w="10205" w:type="dxa"/>
        <w:jc w:val="left"/>
        <w:tblInd w:w="0" w:type="dxa"/>
        <w:tblLayout w:type="fixed"/>
        <w:tblCellMar>
          <w:top w:w="0" w:type="dxa"/>
          <w:left w:w="0" w:type="dxa"/>
          <w:bottom w:w="0" w:type="dxa"/>
          <w:right w:w="0" w:type="dxa"/>
        </w:tblCellMar>
      </w:tblPr>
      <w:tblGrid>
        <w:gridCol w:w="38"/>
        <w:gridCol w:w="95"/>
        <w:gridCol w:w="10072"/>
      </w:tblGrid>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7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On May 26, 2023, Y-mAbs announced interim clinical data from study 201 with naxitamab in combination with granulocyte-macrophage colony-stimulating factor (“GM-CSF”) in patients with relapsed or refractory high-risk neuroblastoma and presented such interim clinical data at the American Society of Clinical Oncology (“ASCO”) Annual Meeting on June 2-6, 2023.</w:t>
            </w:r>
          </w:p>
        </w:tc>
      </w:tr>
    </w:tbl>
    <w:tbl>
      <w:tblPr>
        <w:tblW w:w="10205" w:type="dxa"/>
        <w:jc w:val="left"/>
        <w:tblInd w:w="0" w:type="dxa"/>
        <w:tblLayout w:type="fixed"/>
        <w:tblCellMar>
          <w:top w:w="0" w:type="dxa"/>
          <w:left w:w="0" w:type="dxa"/>
          <w:bottom w:w="0" w:type="dxa"/>
          <w:right w:w="0" w:type="dxa"/>
        </w:tblCellMar>
      </w:tblPr>
      <w:tblGrid>
        <w:gridCol w:w="38"/>
        <w:gridCol w:w="95"/>
        <w:gridCol w:w="10072"/>
      </w:tblGrid>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7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Also at ASCO, Y-mAbs presented the design of its Phase I clinical study evaluating the Company’s Self-Assembly DisAssembly Pre-targeted Radioimmunotherapy (“SADA Y-PRIT”) Theranostic Platform for the treatment of certain GD2-positive solid tumors, including small cell lung cancer, sarcoma, and malignant melanoma.</w:t>
            </w:r>
          </w:p>
        </w:tc>
      </w:tr>
    </w:tbl>
    <w:tbl>
      <w:tblPr>
        <w:tblW w:w="10205" w:type="dxa"/>
        <w:jc w:val="left"/>
        <w:tblInd w:w="0" w:type="dxa"/>
        <w:tblLayout w:type="fixed"/>
        <w:tblCellMar>
          <w:top w:w="0" w:type="dxa"/>
          <w:left w:w="0" w:type="dxa"/>
          <w:bottom w:w="0" w:type="dxa"/>
          <w:right w:w="0" w:type="dxa"/>
        </w:tblCellMar>
      </w:tblPr>
      <w:tblGrid>
        <w:gridCol w:w="38"/>
        <w:gridCol w:w="95"/>
        <w:gridCol w:w="10072"/>
      </w:tblGrid>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7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On May 23, 2023, Y-mAbs announced that the Brazilian Health Regulatory Agency, Agência Nacional de Vigilância Sanitária (“ANVISA”) granted marketing authorization for DANYELZA (naxitamab-gqgk).</w:t>
            </w:r>
          </w:p>
        </w:tc>
      </w:tr>
    </w:tbl>
    <w:tbl>
      <w:tblPr>
        <w:tblW w:w="10205" w:type="dxa"/>
        <w:jc w:val="left"/>
        <w:tblInd w:w="0" w:type="dxa"/>
        <w:tblLayout w:type="fixed"/>
        <w:tblCellMar>
          <w:top w:w="0" w:type="dxa"/>
          <w:left w:w="0" w:type="dxa"/>
          <w:bottom w:w="0" w:type="dxa"/>
          <w:right w:w="0" w:type="dxa"/>
        </w:tblCellMar>
      </w:tblPr>
      <w:tblGrid>
        <w:gridCol w:w="38"/>
        <w:gridCol w:w="95"/>
        <w:gridCol w:w="10072"/>
      </w:tblGrid>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7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On April 18, 2023, Y-mAbs announced that positive preclinical data had been presented on naxitamab in triple-negative breast cancer at the American Association for Cancer Research (“AACR”) Annual Meeting.</w:t>
            </w:r>
          </w:p>
        </w:tc>
      </w:tr>
    </w:tbl>
    <w:tbl>
      <w:tblPr>
        <w:tblW w:w="10205" w:type="dxa"/>
        <w:jc w:val="left"/>
        <w:tblInd w:w="0" w:type="dxa"/>
        <w:tblLayout w:type="fixed"/>
        <w:tblCellMar>
          <w:top w:w="0" w:type="dxa"/>
          <w:left w:w="0" w:type="dxa"/>
          <w:bottom w:w="0" w:type="dxa"/>
          <w:right w:w="0" w:type="dxa"/>
        </w:tblCellMar>
      </w:tblPr>
      <w:tblGrid>
        <w:gridCol w:w="38"/>
        <w:gridCol w:w="95"/>
        <w:gridCol w:w="10072"/>
      </w:tblGrid>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7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On April 5, 2023, Y-mAbs announced that the first patient had been dosed in the Phase I clinical study evaluating the Company’s SADA Y-PRIT Theranostic Platform for the treatment of certain GD2-positive solid tumors.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caps w:val="false"/>
          <w:smallCaps w:val="false"/>
        </w:rPr>
      </w:pPr>
      <w:r>
        <w:rPr>
          <w:caps w:val="false"/>
          <w:smallCaps w:val="false"/>
        </w:rPr>
        <w:drawing>
          <wp:inline distT="0" distB="0" distL="0" distR="0">
            <wp:extent cx="3219450" cy="5810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3219450" cy="581025"/>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Financial Results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Revenues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Y-mAbs reported DANYELZA net product revenues of $</w:t>
      </w:r>
      <w:r>
        <w:rPr>
          <w:rFonts w:ascii="Times New Roman;Times;Serif" w:hAnsi="Times New Roman;Times;Serif"/>
          <w:b w:val="false"/>
          <w:i w:val="false"/>
          <w:caps w:val="false"/>
          <w:smallCaps w:val="false"/>
          <w:sz w:val="20"/>
          <w:shd w:fill="FFFFFF" w:val="clear"/>
        </w:rPr>
        <w:t xml:space="preserve">20.8 </w:t>
      </w:r>
      <w:r>
        <w:rPr>
          <w:rFonts w:ascii="Times New Roman;Times;Serif" w:hAnsi="Times New Roman;Times;Serif"/>
          <w:b w:val="false"/>
          <w:i w:val="false"/>
          <w:caps w:val="false"/>
          <w:smallCaps w:val="false"/>
          <w:sz w:val="20"/>
        </w:rPr>
        <w:t>million and $</w:t>
      </w:r>
      <w:r>
        <w:rPr>
          <w:rFonts w:ascii="Times New Roman;Times;Serif" w:hAnsi="Times New Roman;Times;Serif"/>
          <w:b w:val="false"/>
          <w:i w:val="false"/>
          <w:caps w:val="false"/>
          <w:smallCaps w:val="false"/>
          <w:sz w:val="20"/>
          <w:shd w:fill="FFFFFF" w:val="clear"/>
        </w:rPr>
        <w:t xml:space="preserve">41.0 </w:t>
      </w:r>
      <w:r>
        <w:rPr>
          <w:rFonts w:ascii="Times New Roman;Times;Serif" w:hAnsi="Times New Roman;Times;Serif"/>
          <w:b w:val="false"/>
          <w:i w:val="false"/>
          <w:caps w:val="false"/>
          <w:smallCaps w:val="false"/>
          <w:sz w:val="20"/>
        </w:rPr>
        <w:t xml:space="preserve">million for the quarter and six months ended June 30, 2023, which represented increases of </w:t>
      </w:r>
      <w:r>
        <w:rPr>
          <w:rFonts w:ascii="Times New Roman;Times;Serif" w:hAnsi="Times New Roman;Times;Serif"/>
          <w:b w:val="false"/>
          <w:i w:val="false"/>
          <w:caps w:val="false"/>
          <w:smallCaps w:val="false"/>
          <w:sz w:val="20"/>
          <w:shd w:fill="FFFFFF" w:val="clear"/>
        </w:rPr>
        <w:t>112</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shd w:fill="FFFFFF" w:val="clear"/>
        </w:rPr>
        <w:t>102</w:t>
      </w:r>
      <w:r>
        <w:rPr>
          <w:rFonts w:ascii="Times New Roman;Times;Serif" w:hAnsi="Times New Roman;Times;Serif"/>
          <w:b w:val="false"/>
          <w:i w:val="false"/>
          <w:caps w:val="false"/>
          <w:smallCaps w:val="false"/>
          <w:sz w:val="20"/>
        </w:rPr>
        <w:t>%, respectively, over $9.8 million and $20.3 million in the comparable periods of 2022.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DANYELZA net product revenues for the quarter ended June 30, 2023 represents an increase of </w:t>
      </w:r>
      <w:r>
        <w:rPr>
          <w:rFonts w:ascii="Times New Roman;Times;Serif" w:hAnsi="Times New Roman;Times;Serif"/>
          <w:b w:val="false"/>
          <w:i w:val="false"/>
          <w:caps w:val="false"/>
          <w:smallCaps w:val="false"/>
          <w:sz w:val="20"/>
          <w:shd w:fill="FFFFFF" w:val="clear"/>
        </w:rPr>
        <w:t>3</w:t>
      </w:r>
      <w:r>
        <w:rPr>
          <w:rFonts w:ascii="Times New Roman;Times;Serif" w:hAnsi="Times New Roman;Times;Serif"/>
          <w:b w:val="false"/>
          <w:i w:val="false"/>
          <w:caps w:val="false"/>
          <w:smallCaps w:val="false"/>
          <w:sz w:val="20"/>
        </w:rPr>
        <w:t>% compared to the first quarter of 2023. The $</w:t>
      </w:r>
      <w:r>
        <w:rPr>
          <w:rFonts w:ascii="Times New Roman;Times;Serif" w:hAnsi="Times New Roman;Times;Serif"/>
          <w:b w:val="false"/>
          <w:i w:val="false"/>
          <w:caps w:val="false"/>
          <w:smallCaps w:val="false"/>
          <w:sz w:val="20"/>
          <w:shd w:fill="FFFFFF" w:val="clear"/>
        </w:rPr>
        <w:t>0.5</w:t>
      </w:r>
      <w:r>
        <w:rPr>
          <w:rFonts w:ascii="Times New Roman;Times;Serif" w:hAnsi="Times New Roman;Times;Serif"/>
          <w:b w:val="false"/>
          <w:i w:val="false"/>
          <w:caps w:val="false"/>
          <w:smallCaps w:val="false"/>
          <w:sz w:val="20"/>
        </w:rPr>
        <w:t xml:space="preserve"> million sequential increase was driven by international revenues and related royalties, which included $3.5 million of revenues and related royalties for the China commercial launch inventory stocking order from SciClone, which Y-mAbs does not anticipate recurring at this level each quarter. This increase was partly offset by a softening in new U.S. patients in the second quarter and the Company’s $2.5 million inventory stocking order from WEP in the first quarter.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2023, Y-mAbs has delivered DANYELZA to 56 centers across the U.S., a sequential increase of 6% in the number of centers since the first quarter of 2023. During the second quarter of 2023, approximately 61% of the vials sold in the U.S. were sold outside of Memorial Sloan Kettering Cancer Center (“MSKCC”), which is in line with the first quarter of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Operating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Cost of Goods Sold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goods sold was $4.6 million and $1.1 million for the three months ended June 30, 2023 and 2022, respectively. The increased cost of goods sold was driven by increased product revenue in the three months ended June 30, 2023 and an inventory write-down of $0.5 million in the three months ended June 30, 2023. Cost of goods sold was $6.7 million and $3.0 million for the six months ended June 30, 2023 and 2022, respectively. The increase in cost of goods sold was primarily driven by increased product revenue.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gross margin decreased in the three and six months ended June 30, 2023, compared to the same periods in 2022, as a result of increased revenues from geographic areas outside of the United States, which were at a lower gross margin. The Company’s cost of goods sold includes amounts related to materials, third-party contract manufacturing, third-party packaging services, freight, labor costs for personnel involved in the manufacturing process, third-party royalties for approved products, and indirect overhead costs.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Research and Development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 expenses were $</w:t>
      </w:r>
      <w:r>
        <w:rPr>
          <w:rFonts w:ascii="Times New Roman;Times;Serif" w:hAnsi="Times New Roman;Times;Serif"/>
          <w:b w:val="false"/>
          <w:i w:val="false"/>
          <w:caps w:val="false"/>
          <w:smallCaps w:val="false"/>
          <w:sz w:val="20"/>
          <w:shd w:fill="FFFFFF" w:val="clear"/>
        </w:rPr>
        <w:t xml:space="preserve">12.1 </w:t>
      </w:r>
      <w:r>
        <w:rPr>
          <w:rFonts w:ascii="Times New Roman;Times;Serif" w:hAnsi="Times New Roman;Times;Serif"/>
          <w:b w:val="false"/>
          <w:i w:val="false"/>
          <w:caps w:val="false"/>
          <w:smallCaps w:val="false"/>
          <w:sz w:val="20"/>
        </w:rPr>
        <w:t>million for the three months ended June 30, 2023, a reduction of 54% compared to $26.4 million for the three months ended June 30, 2022. The $</w:t>
      </w:r>
      <w:r>
        <w:rPr>
          <w:rFonts w:ascii="Times New Roman;Times;Serif" w:hAnsi="Times New Roman;Times;Serif"/>
          <w:b w:val="false"/>
          <w:i w:val="false"/>
          <w:caps w:val="false"/>
          <w:smallCaps w:val="false"/>
          <w:sz w:val="20"/>
          <w:shd w:fill="FFFFFF" w:val="clear"/>
        </w:rPr>
        <w:t xml:space="preserve">14.3 </w:t>
      </w:r>
      <w:r>
        <w:rPr>
          <w:rFonts w:ascii="Times New Roman;Times;Serif" w:hAnsi="Times New Roman;Times;Serif"/>
          <w:b w:val="false"/>
          <w:i w:val="false"/>
          <w:caps w:val="false"/>
          <w:smallCaps w:val="false"/>
          <w:sz w:val="20"/>
        </w:rPr>
        <w:t>million decrease was primarily due to decreased spending on deprioritized programs in connection with the Company’s previously announced restructuring plan, resulting in a $</w:t>
      </w:r>
      <w:r>
        <w:rPr>
          <w:rFonts w:ascii="Times New Roman;Times;Serif" w:hAnsi="Times New Roman;Times;Serif"/>
          <w:b w:val="false"/>
          <w:i w:val="false"/>
          <w:caps w:val="false"/>
          <w:smallCaps w:val="false"/>
          <w:sz w:val="20"/>
          <w:shd w:fill="FFFFFF" w:val="clear"/>
        </w:rPr>
        <w:t xml:space="preserve">6.6 </w:t>
      </w:r>
      <w:r>
        <w:rPr>
          <w:rFonts w:ascii="Times New Roman;Times;Serif" w:hAnsi="Times New Roman;Times;Serif"/>
          <w:b w:val="false"/>
          <w:i w:val="false"/>
          <w:caps w:val="false"/>
          <w:smallCaps w:val="false"/>
          <w:sz w:val="20"/>
        </w:rPr>
        <w:t>million decrease related to outsourced manufacturing, a $</w:t>
      </w:r>
      <w:r>
        <w:rPr>
          <w:rFonts w:ascii="Times New Roman;Times;Serif" w:hAnsi="Times New Roman;Times;Serif"/>
          <w:b w:val="false"/>
          <w:i w:val="false"/>
          <w:caps w:val="false"/>
          <w:smallCaps w:val="false"/>
          <w:sz w:val="20"/>
          <w:shd w:fill="FFFFFF" w:val="clear"/>
        </w:rPr>
        <w:t xml:space="preserve">3.2 </w:t>
      </w:r>
      <w:r>
        <w:rPr>
          <w:rFonts w:ascii="Times New Roman;Times;Serif" w:hAnsi="Times New Roman;Times;Serif"/>
          <w:b w:val="false"/>
          <w:i w:val="false"/>
          <w:caps w:val="false"/>
          <w:smallCaps w:val="false"/>
          <w:sz w:val="20"/>
        </w:rPr>
        <w:t>million decrease in personnel-related costs, and a $</w:t>
      </w:r>
      <w:r>
        <w:rPr>
          <w:rFonts w:ascii="Times New Roman;Times;Serif" w:hAnsi="Times New Roman;Times;Serif"/>
          <w:b w:val="false"/>
          <w:i w:val="false"/>
          <w:caps w:val="false"/>
          <w:smallCaps w:val="false"/>
          <w:sz w:val="20"/>
          <w:shd w:fill="FFFFFF" w:val="clear"/>
        </w:rPr>
        <w:t xml:space="preserve">2.5 </w:t>
      </w:r>
      <w:r>
        <w:rPr>
          <w:rFonts w:ascii="Times New Roman;Times;Serif" w:hAnsi="Times New Roman;Times;Serif"/>
          <w:b w:val="false"/>
          <w:i w:val="false"/>
          <w:caps w:val="false"/>
          <w:smallCaps w:val="false"/>
          <w:sz w:val="20"/>
        </w:rPr>
        <w:t>million decrease in outsourced research and supplies.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six months ended June 30, 2023, research and development expenses were $</w:t>
      </w:r>
      <w:r>
        <w:rPr>
          <w:rFonts w:ascii="Times New Roman;Times;Serif" w:hAnsi="Times New Roman;Times;Serif"/>
          <w:b w:val="false"/>
          <w:i w:val="false"/>
          <w:caps w:val="false"/>
          <w:smallCaps w:val="false"/>
          <w:sz w:val="20"/>
          <w:shd w:fill="FFFFFF" w:val="clear"/>
        </w:rPr>
        <w:t xml:space="preserve">25.5 </w:t>
      </w:r>
      <w:r>
        <w:rPr>
          <w:rFonts w:ascii="Times New Roman;Times;Serif" w:hAnsi="Times New Roman;Times;Serif"/>
          <w:b w:val="false"/>
          <w:i w:val="false"/>
          <w:caps w:val="false"/>
          <w:smallCaps w:val="false"/>
          <w:sz w:val="20"/>
        </w:rPr>
        <w:t>million, a reduction of 48% compared to $49.3 million for the six months ended June 30, 2022. The $</w:t>
      </w:r>
      <w:r>
        <w:rPr>
          <w:rFonts w:ascii="Times New Roman;Times;Serif" w:hAnsi="Times New Roman;Times;Serif"/>
          <w:b w:val="false"/>
          <w:i w:val="false"/>
          <w:caps w:val="false"/>
          <w:smallCaps w:val="false"/>
          <w:sz w:val="20"/>
          <w:shd w:fill="FFFFFF" w:val="clear"/>
        </w:rPr>
        <w:t xml:space="preserve">23.8 </w:t>
      </w:r>
      <w:r>
        <w:rPr>
          <w:rFonts w:ascii="Times New Roman;Times;Serif" w:hAnsi="Times New Roman;Times;Serif"/>
          <w:b w:val="false"/>
          <w:i w:val="false"/>
          <w:caps w:val="false"/>
          <w:smallCaps w:val="false"/>
          <w:sz w:val="20"/>
        </w:rPr>
        <w:t>million decrease was primarily due to decreased spending on deprioritized programs as described above, resulting in a $</w:t>
      </w:r>
      <w:r>
        <w:rPr>
          <w:rFonts w:ascii="Times New Roman;Times;Serif" w:hAnsi="Times New Roman;Times;Serif"/>
          <w:b w:val="false"/>
          <w:i w:val="false"/>
          <w:caps w:val="false"/>
          <w:smallCaps w:val="false"/>
          <w:sz w:val="20"/>
          <w:shd w:fill="FFFFFF" w:val="clear"/>
        </w:rPr>
        <w:t xml:space="preserve">12.3 </w:t>
      </w:r>
      <w:r>
        <w:rPr>
          <w:rFonts w:ascii="Times New Roman;Times;Serif" w:hAnsi="Times New Roman;Times;Serif"/>
          <w:b w:val="false"/>
          <w:i w:val="false"/>
          <w:caps w:val="false"/>
          <w:smallCaps w:val="false"/>
          <w:sz w:val="20"/>
        </w:rPr>
        <w:t>million decrease related to outsourced manufacturing, a $</w:t>
      </w:r>
      <w:r>
        <w:rPr>
          <w:rFonts w:ascii="Times New Roman;Times;Serif" w:hAnsi="Times New Roman;Times;Serif"/>
          <w:b w:val="false"/>
          <w:i w:val="false"/>
          <w:caps w:val="false"/>
          <w:smallCaps w:val="false"/>
          <w:sz w:val="20"/>
          <w:shd w:fill="FFFFFF" w:val="clear"/>
        </w:rPr>
        <w:t xml:space="preserve">4.8 </w:t>
      </w:r>
      <w:r>
        <w:rPr>
          <w:rFonts w:ascii="Times New Roman;Times;Serif" w:hAnsi="Times New Roman;Times;Serif"/>
          <w:b w:val="false"/>
          <w:i w:val="false"/>
          <w:caps w:val="false"/>
          <w:smallCaps w:val="false"/>
          <w:sz w:val="20"/>
        </w:rPr>
        <w:t>million decrease in outsourced research and supplies, a $</w:t>
      </w:r>
      <w:r>
        <w:rPr>
          <w:rFonts w:ascii="Times New Roman;Times;Serif" w:hAnsi="Times New Roman;Times;Serif"/>
          <w:b w:val="false"/>
          <w:i w:val="false"/>
          <w:caps w:val="false"/>
          <w:smallCaps w:val="false"/>
          <w:sz w:val="20"/>
          <w:shd w:fill="FFFFFF" w:val="clear"/>
        </w:rPr>
        <w:t xml:space="preserve">2.9 </w:t>
      </w:r>
      <w:r>
        <w:rPr>
          <w:rFonts w:ascii="Times New Roman;Times;Serif" w:hAnsi="Times New Roman;Times;Serif"/>
          <w:b w:val="false"/>
          <w:i w:val="false"/>
          <w:caps w:val="false"/>
          <w:smallCaps w:val="false"/>
          <w:sz w:val="20"/>
        </w:rPr>
        <w:t xml:space="preserve">million decrease in clinical trials and a </w:t>
      </w:r>
      <w:r>
        <w:rPr>
          <w:rFonts w:ascii="Times New Roman;Times;Serif" w:hAnsi="Times New Roman;Times;Serif"/>
          <w:b w:val="false"/>
          <w:i w:val="false"/>
          <w:caps w:val="false"/>
          <w:smallCaps w:val="false"/>
          <w:sz w:val="20"/>
          <w:shd w:fill="FFFFFF" w:val="clear"/>
        </w:rPr>
        <w:t xml:space="preserve">$2.1 </w:t>
      </w:r>
      <w:r>
        <w:rPr>
          <w:rFonts w:ascii="Times New Roman;Times;Serif" w:hAnsi="Times New Roman;Times;Serif"/>
          <w:b w:val="false"/>
          <w:i w:val="false"/>
          <w:caps w:val="false"/>
          <w:smallCaps w:val="false"/>
          <w:sz w:val="20"/>
        </w:rPr>
        <w:t>million decrease in personnel-related costs.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caps w:val="false"/>
          <w:smallCaps w:val="false"/>
        </w:rPr>
      </w:pPr>
      <w:r>
        <w:rPr>
          <w:caps w:val="false"/>
          <w:smallCaps w:val="false"/>
        </w:rPr>
        <w:drawing>
          <wp:inline distT="0" distB="0" distL="0" distR="0">
            <wp:extent cx="3219450" cy="5810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3219450" cy="581025"/>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Y-mAbs recorded a restructuring charge of $</w:t>
      </w:r>
      <w:r>
        <w:rPr>
          <w:rFonts w:ascii="Times New Roman;Times;Serif" w:hAnsi="Times New Roman;Times;Serif"/>
          <w:b w:val="false"/>
          <w:i w:val="false"/>
          <w:caps w:val="false"/>
          <w:smallCaps w:val="false"/>
          <w:sz w:val="20"/>
          <w:shd w:fill="FFFFFF" w:val="clear"/>
        </w:rPr>
        <w:t xml:space="preserve">3.4 </w:t>
      </w:r>
      <w:r>
        <w:rPr>
          <w:rFonts w:ascii="Times New Roman;Times;Serif" w:hAnsi="Times New Roman;Times;Serif"/>
          <w:b w:val="false"/>
          <w:i w:val="false"/>
          <w:caps w:val="false"/>
          <w:smallCaps w:val="false"/>
          <w:sz w:val="20"/>
        </w:rPr>
        <w:t>million in research and development expenses during the six months ended June 30, 2023, in connection with the restructuring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Selling, General, and Administration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Selling, general, and administrative expenses were $</w:t>
      </w:r>
      <w:r>
        <w:rPr>
          <w:rFonts w:ascii="Times New Roman;Times;Serif" w:hAnsi="Times New Roman;Times;Serif"/>
          <w:b w:val="false"/>
          <w:i w:val="false"/>
          <w:caps w:val="false"/>
          <w:smallCaps w:val="false"/>
          <w:sz w:val="20"/>
          <w:shd w:fill="FFFFFF" w:val="clear"/>
        </w:rPr>
        <w:t xml:space="preserve">11.3 </w:t>
      </w:r>
      <w:r>
        <w:rPr>
          <w:rFonts w:ascii="Times New Roman;Times;Serif" w:hAnsi="Times New Roman;Times;Serif"/>
          <w:b w:val="false"/>
          <w:i w:val="false"/>
          <w:caps w:val="false"/>
          <w:smallCaps w:val="false"/>
          <w:sz w:val="20"/>
        </w:rPr>
        <w:t>million for the three months ended June 30, 2023, a reduction of 51.1% compared to $23.1 million for the three months ended June 30, 2022. The $</w:t>
      </w:r>
      <w:r>
        <w:rPr>
          <w:rFonts w:ascii="Times New Roman;Times;Serif" w:hAnsi="Times New Roman;Times;Serif"/>
          <w:b w:val="false"/>
          <w:i w:val="false"/>
          <w:caps w:val="false"/>
          <w:smallCaps w:val="false"/>
          <w:sz w:val="20"/>
          <w:shd w:fill="FFFFFF" w:val="clear"/>
        </w:rPr>
        <w:t xml:space="preserve">11.8 </w:t>
      </w:r>
      <w:r>
        <w:rPr>
          <w:rFonts w:ascii="Times New Roman;Times;Serif" w:hAnsi="Times New Roman;Times;Serif"/>
          <w:b w:val="false"/>
          <w:i w:val="false"/>
          <w:caps w:val="false"/>
          <w:smallCaps w:val="false"/>
          <w:sz w:val="20"/>
        </w:rPr>
        <w:t>million decrease in selling, general and administrative expenses was primarily attributable to a $10.9 million charge related to contractual severance related benefits for the Company’s former Chief Executive Officer in connection with his departure in the second quarter of 2022.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six months ended June 30, 2023, selling, general, and administrative expenses were $</w:t>
      </w:r>
      <w:r>
        <w:rPr>
          <w:rFonts w:ascii="Times New Roman;Times;Serif" w:hAnsi="Times New Roman;Times;Serif"/>
          <w:b w:val="false"/>
          <w:i w:val="false"/>
          <w:caps w:val="false"/>
          <w:smallCaps w:val="false"/>
          <w:sz w:val="20"/>
          <w:shd w:fill="FFFFFF" w:val="clear"/>
        </w:rPr>
        <w:t>23.5</w:t>
      </w:r>
      <w:r>
        <w:rPr>
          <w:rFonts w:ascii="Times New Roman;Times;Serif" w:hAnsi="Times New Roman;Times;Serif"/>
          <w:b w:val="false"/>
          <w:i w:val="false"/>
          <w:caps w:val="false"/>
          <w:smallCaps w:val="false"/>
          <w:sz w:val="20"/>
        </w:rPr>
        <w:t xml:space="preserve"> million, a reduction of 35.6% compared to $36.5 million for the six months ended June 30, 2022. The $13.0 million decrease in SG&amp;A expenses was primarily attributable to the contractual severance-related benefits described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Y-mAbs recorded a restructuring charge of $1.1 million in selling, general, and administrative expenses during the six months ended June 30, 2023, in connection with the restructuring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Loss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Y-mAbs reported a net loss for the second quarter ended June 30, 2023, of $</w:t>
      </w:r>
      <w:r>
        <w:rPr>
          <w:rFonts w:ascii="Times New Roman;Times;Serif" w:hAnsi="Times New Roman;Times;Serif"/>
          <w:b w:val="false"/>
          <w:i w:val="false"/>
          <w:caps w:val="false"/>
          <w:smallCaps w:val="false"/>
          <w:sz w:val="20"/>
          <w:shd w:fill="FFFFFF" w:val="clear"/>
        </w:rPr>
        <w:t>6.3</w:t>
      </w:r>
      <w:r>
        <w:rPr>
          <w:rFonts w:ascii="Times New Roman;Times;Serif" w:hAnsi="Times New Roman;Times;Serif"/>
          <w:b w:val="false"/>
          <w:i w:val="false"/>
          <w:caps w:val="false"/>
          <w:smallCaps w:val="false"/>
          <w:sz w:val="20"/>
        </w:rPr>
        <w:t xml:space="preserve"> million, or ($</w:t>
      </w:r>
      <w:r>
        <w:rPr>
          <w:rFonts w:ascii="Times New Roman;Times;Serif" w:hAnsi="Times New Roman;Times;Serif"/>
          <w:b w:val="false"/>
          <w:i w:val="false"/>
          <w:caps w:val="false"/>
          <w:smallCaps w:val="false"/>
          <w:sz w:val="20"/>
          <w:shd w:fill="FFFFFF" w:val="clear"/>
        </w:rPr>
        <w:t xml:space="preserve">0.14) </w:t>
      </w:r>
      <w:r>
        <w:rPr>
          <w:rFonts w:ascii="Times New Roman;Times;Serif" w:hAnsi="Times New Roman;Times;Serif"/>
          <w:b w:val="false"/>
          <w:i w:val="false"/>
          <w:caps w:val="false"/>
          <w:smallCaps w:val="false"/>
          <w:sz w:val="20"/>
        </w:rPr>
        <w:t>per basic and diluted share, compared to a net loss of $</w:t>
      </w:r>
      <w:r>
        <w:rPr>
          <w:rFonts w:ascii="Times New Roman;Times;Serif" w:hAnsi="Times New Roman;Times;Serif"/>
          <w:b w:val="false"/>
          <w:i w:val="false"/>
          <w:caps w:val="false"/>
          <w:smallCaps w:val="false"/>
          <w:sz w:val="20"/>
          <w:shd w:fill="FFFFFF" w:val="clear"/>
        </w:rPr>
        <w:t>41.1</w:t>
      </w:r>
      <w:r>
        <w:rPr>
          <w:rFonts w:ascii="Times New Roman;Times;Serif" w:hAnsi="Times New Roman;Times;Serif"/>
          <w:b w:val="false"/>
          <w:i w:val="false"/>
          <w:caps w:val="false"/>
          <w:smallCaps w:val="false"/>
          <w:sz w:val="20"/>
        </w:rPr>
        <w:t xml:space="preserve"> million, or ($</w:t>
      </w:r>
      <w:r>
        <w:rPr>
          <w:rFonts w:ascii="Times New Roman;Times;Serif" w:hAnsi="Times New Roman;Times;Serif"/>
          <w:b w:val="false"/>
          <w:i w:val="false"/>
          <w:caps w:val="false"/>
          <w:smallCaps w:val="false"/>
          <w:sz w:val="20"/>
          <w:shd w:fill="FFFFFF" w:val="clear"/>
        </w:rPr>
        <w:t xml:space="preserve">0.94) </w:t>
      </w:r>
      <w:r>
        <w:rPr>
          <w:rFonts w:ascii="Times New Roman;Times;Serif" w:hAnsi="Times New Roman;Times;Serif"/>
          <w:b w:val="false"/>
          <w:i w:val="false"/>
          <w:caps w:val="false"/>
          <w:smallCaps w:val="false"/>
          <w:sz w:val="20"/>
        </w:rPr>
        <w:t>per basic and diluted share, for the quarter ended June 30, 2022. For the six months ended June 30, 2023, the Company reported a net loss of $</w:t>
      </w:r>
      <w:r>
        <w:rPr>
          <w:rFonts w:ascii="Times New Roman;Times;Serif" w:hAnsi="Times New Roman;Times;Serif"/>
          <w:b w:val="false"/>
          <w:i w:val="false"/>
          <w:caps w:val="false"/>
          <w:smallCaps w:val="false"/>
          <w:sz w:val="20"/>
          <w:shd w:fill="FFFFFF" w:val="clear"/>
        </w:rPr>
        <w:t>12.7</w:t>
      </w:r>
      <w:r>
        <w:rPr>
          <w:rFonts w:ascii="Times New Roman;Times;Serif" w:hAnsi="Times New Roman;Times;Serif"/>
          <w:b w:val="false"/>
          <w:i w:val="false"/>
          <w:caps w:val="false"/>
          <w:smallCaps w:val="false"/>
          <w:sz w:val="20"/>
        </w:rPr>
        <w:t xml:space="preserve"> million, or $</w:t>
      </w:r>
      <w:r>
        <w:rPr>
          <w:rFonts w:ascii="Times New Roman;Times;Serif" w:hAnsi="Times New Roman;Times;Serif"/>
          <w:b w:val="false"/>
          <w:i w:val="false"/>
          <w:caps w:val="false"/>
          <w:smallCaps w:val="false"/>
          <w:sz w:val="20"/>
          <w:shd w:fill="FFFFFF" w:val="clear"/>
        </w:rPr>
        <w:t xml:space="preserve">0.29 </w:t>
      </w:r>
      <w:r>
        <w:rPr>
          <w:rFonts w:ascii="Times New Roman;Times;Serif" w:hAnsi="Times New Roman;Times;Serif"/>
          <w:b w:val="false"/>
          <w:i w:val="false"/>
          <w:caps w:val="false"/>
          <w:smallCaps w:val="false"/>
          <w:sz w:val="20"/>
        </w:rPr>
        <w:t>per basic and diluted share, compared to a net loss of $69.2 million, or $1.58 per basic and diluted share, for the six months ended June 30, 2022. The favorable decrease in net loss was primarily driven by an increase in DANYELZA U.S. product revenues in the second quarter and six months ended June 30, 2023, an incremental benefit from expanding into international markets, decreased research and development cost, and decreased selling, general and administration cost, partially offset by the unfavorable impact of restructuring charges, all as noted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Cash and Cash Equivalents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2023, Y-mAbs had approximately $87.9 million in cash and cash equivalents which, together with anticipated DANYELZA product revenues, is expected to support operations as currently planned into 2026. This estimate reflects the Company’s current business plan that is supported by assumptions that may prove to be inaccurate, such that Y-mAbs could use its available capital resources sooner than it currently expects.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Financial Guidance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reiterates its full year 2023 financial guidance, as updated on May 8, 2023:</w:t>
      </w:r>
    </w:p>
    <w:p>
      <w:pPr>
        <w:pStyle w:val="TextBody"/>
        <w:bidi w:val="0"/>
        <w:spacing w:before="0" w:after="0"/>
        <w:ind w:left="0" w:right="0" w:hanging="0"/>
        <w:jc w:val="left"/>
        <w:rPr>
          <w:caps w:val="false"/>
          <w:smallCaps w:val="false"/>
        </w:rPr>
      </w:pPr>
      <w:r>
        <w:rPr>
          <w:caps w:val="false"/>
          <w:smallCaps w:val="false"/>
        </w:rPr>
        <w:t> </w:t>
      </w:r>
    </w:p>
    <w:tbl>
      <w:tblPr>
        <w:tblW w:w="8463" w:type="dxa"/>
        <w:jc w:val="left"/>
        <w:tblInd w:w="0" w:type="dxa"/>
        <w:tblLayout w:type="fixed"/>
        <w:tblCellMar>
          <w:top w:w="0" w:type="dxa"/>
          <w:left w:w="0" w:type="dxa"/>
          <w:bottom w:w="0" w:type="dxa"/>
          <w:right w:w="0" w:type="dxa"/>
        </w:tblCellMar>
      </w:tblPr>
      <w:tblGrid>
        <w:gridCol w:w="38"/>
        <w:gridCol w:w="95"/>
        <w:gridCol w:w="8330"/>
      </w:tblGrid>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83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Anticipated DANYELZA</w:t>
            </w:r>
            <w:r>
              <w:rPr>
                <w:rFonts w:ascii="Times New Roman;Times;Serif" w:hAnsi="Times New Roman;Times;Serif"/>
                <w:sz w:val="20"/>
                <w:shd w:fill="FFFFFF" w:val="clear"/>
              </w:rPr>
              <w:t>® net product revenues expected to be between $80 million and $85 million;</w:t>
            </w:r>
          </w:p>
        </w:tc>
      </w:tr>
    </w:tbl>
    <w:tbl>
      <w:tblPr>
        <w:tblW w:w="7308" w:type="dxa"/>
        <w:jc w:val="left"/>
        <w:tblInd w:w="0" w:type="dxa"/>
        <w:tblLayout w:type="fixed"/>
        <w:tblCellMar>
          <w:top w:w="0" w:type="dxa"/>
          <w:left w:w="0" w:type="dxa"/>
          <w:bottom w:w="0" w:type="dxa"/>
          <w:right w:w="0" w:type="dxa"/>
        </w:tblCellMar>
      </w:tblPr>
      <w:tblGrid>
        <w:gridCol w:w="38"/>
        <w:gridCol w:w="95"/>
        <w:gridCol w:w="7175"/>
      </w:tblGrid>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71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Anticipated operating expenses expected to be between $115 million and $120 million;</w:t>
            </w:r>
          </w:p>
        </w:tc>
      </w:tr>
    </w:tbl>
    <w:tbl>
      <w:tblPr>
        <w:tblW w:w="7683" w:type="dxa"/>
        <w:jc w:val="left"/>
        <w:tblInd w:w="0" w:type="dxa"/>
        <w:tblLayout w:type="fixed"/>
        <w:tblCellMar>
          <w:top w:w="0" w:type="dxa"/>
          <w:left w:w="0" w:type="dxa"/>
          <w:bottom w:w="0" w:type="dxa"/>
          <w:right w:w="0" w:type="dxa"/>
        </w:tblCellMar>
      </w:tblPr>
      <w:tblGrid>
        <w:gridCol w:w="38"/>
        <w:gridCol w:w="95"/>
        <w:gridCol w:w="7550"/>
      </w:tblGrid>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75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Anticipated total annual cash burn expected to be between $40 million and $50 million; and</w:t>
            </w:r>
          </w:p>
        </w:tc>
      </w:tr>
    </w:tbl>
    <w:tbl>
      <w:tblPr>
        <w:tblW w:w="7623" w:type="dxa"/>
        <w:jc w:val="left"/>
        <w:tblInd w:w="0" w:type="dxa"/>
        <w:tblLayout w:type="fixed"/>
        <w:tblCellMar>
          <w:top w:w="0" w:type="dxa"/>
          <w:left w:w="0" w:type="dxa"/>
          <w:bottom w:w="0" w:type="dxa"/>
          <w:right w:w="0" w:type="dxa"/>
        </w:tblCellMar>
      </w:tblPr>
      <w:tblGrid>
        <w:gridCol w:w="38"/>
        <w:gridCol w:w="95"/>
        <w:gridCol w:w="7490"/>
      </w:tblGrid>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74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Cash and cash equivalents anticipated to support operations as currently planned into 2026.</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Webcast and Conference Call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Y-mAbs will host a conference call on Friday, August 11, 2023, at 9:00 a.m. EDT. To participate in the call, please use the following dial-in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right"/>
        <w:rPr>
          <w:caps w:val="false"/>
          <w:smallCaps w:val="false"/>
        </w:rPr>
      </w:pPr>
      <w:r>
        <w:rPr>
          <w:caps w:val="false"/>
          <w:smallCaps w:val="false"/>
        </w:rPr>
        <w:drawing>
          <wp:inline distT="0" distB="0" distL="0" distR="0">
            <wp:extent cx="3219450" cy="58102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3219450" cy="581025"/>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tbl>
      <w:tblPr>
        <w:tblW w:w="3715" w:type="dxa"/>
        <w:jc w:val="left"/>
        <w:tblInd w:w="0" w:type="dxa"/>
        <w:tblLayout w:type="fixed"/>
        <w:tblCellMar>
          <w:top w:w="0" w:type="dxa"/>
          <w:left w:w="0" w:type="dxa"/>
          <w:bottom w:w="0" w:type="dxa"/>
          <w:right w:w="0" w:type="dxa"/>
        </w:tblCellMar>
      </w:tblPr>
      <w:tblGrid>
        <w:gridCol w:w="2330"/>
        <w:gridCol w:w="1385"/>
      </w:tblGrid>
      <w:tr>
        <w:trPr/>
        <w:tc>
          <w:tcPr>
            <w:tcW w:w="2330" w:type="dxa"/>
            <w:tcBorders/>
            <w:vAlign w:val="center"/>
          </w:tcPr>
          <w:p>
            <w:pPr>
              <w:pStyle w:val="TableContents"/>
              <w:bidi w:val="0"/>
              <w:spacing w:before="0" w:after="283"/>
              <w:jc w:val="left"/>
              <w:rPr/>
            </w:pPr>
            <w:r>
              <w:rPr/>
              <w:t>Investors (domestic):</w:t>
            </w:r>
          </w:p>
        </w:tc>
        <w:tc>
          <w:tcPr>
            <w:tcW w:w="1385" w:type="dxa"/>
            <w:tcBorders/>
            <w:vAlign w:val="center"/>
          </w:tcPr>
          <w:p>
            <w:pPr>
              <w:pStyle w:val="TableContents"/>
              <w:bidi w:val="0"/>
              <w:spacing w:before="0" w:after="283"/>
              <w:jc w:val="left"/>
              <w:rPr/>
            </w:pPr>
            <w:r>
              <w:rPr/>
              <w:t>877-407-0792</w:t>
            </w:r>
          </w:p>
        </w:tc>
      </w:tr>
      <w:tr>
        <w:trPr/>
        <w:tc>
          <w:tcPr>
            <w:tcW w:w="2330" w:type="dxa"/>
            <w:tcBorders/>
            <w:vAlign w:val="center"/>
          </w:tcPr>
          <w:p>
            <w:pPr>
              <w:pStyle w:val="TableContents"/>
              <w:bidi w:val="0"/>
              <w:spacing w:before="0" w:after="283"/>
              <w:jc w:val="left"/>
              <w:rPr/>
            </w:pPr>
            <w:r>
              <w:rPr/>
              <w:t>Investors (international):</w:t>
            </w:r>
          </w:p>
        </w:tc>
        <w:tc>
          <w:tcPr>
            <w:tcW w:w="1385" w:type="dxa"/>
            <w:tcBorders/>
            <w:vAlign w:val="center"/>
          </w:tcPr>
          <w:p>
            <w:pPr>
              <w:pStyle w:val="TableContents"/>
              <w:bidi w:val="0"/>
              <w:spacing w:before="0" w:after="283"/>
              <w:jc w:val="left"/>
              <w:rPr/>
            </w:pPr>
            <w:r>
              <w:rPr/>
              <w:t>201-689-8263</w:t>
            </w:r>
          </w:p>
        </w:tc>
      </w:tr>
      <w:tr>
        <w:trPr/>
        <w:tc>
          <w:tcPr>
            <w:tcW w:w="2330" w:type="dxa"/>
            <w:tcBorders/>
            <w:vAlign w:val="center"/>
          </w:tcPr>
          <w:p>
            <w:pPr>
              <w:pStyle w:val="TableContents"/>
              <w:bidi w:val="0"/>
              <w:spacing w:before="0" w:after="283"/>
              <w:jc w:val="left"/>
              <w:rPr/>
            </w:pPr>
            <w:r>
              <w:rPr/>
              <w:t>Conference ID:</w:t>
            </w:r>
          </w:p>
        </w:tc>
        <w:tc>
          <w:tcPr>
            <w:tcW w:w="1385" w:type="dxa"/>
            <w:tcBorders/>
            <w:vAlign w:val="center"/>
          </w:tcPr>
          <w:p>
            <w:pPr>
              <w:pStyle w:val="TableContents"/>
              <w:bidi w:val="0"/>
              <w:spacing w:before="0" w:after="283"/>
              <w:jc w:val="left"/>
              <w:rPr/>
            </w:pPr>
            <w:r>
              <w:rPr/>
              <w:t>13739908</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To access a live webcast of the update, please use this link.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Y-mAbs</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Y-mAbs is a commercial-stage biopharmaceutical company focused on the development and commercialization of novel, antibody-based therapeutic cancer products. In addition to conventional antibodies, the Company’s technologies include bispecific antibodies generated using the Y-BiClone platform and the SADA platform. The Company’s broad and advanced product pipeline includes one FDA-approved product, DANYELZA® (naxitamab-gqgk), which targets tumors that express GD2, and one product candidate at the registration stage, OMBLASTYS</w:t>
      </w:r>
      <w:r>
        <w:rPr>
          <w:rFonts w:ascii="Times New Roman;Times;Serif" w:hAnsi="Times New Roman;Times;Serif"/>
          <w:b w:val="false"/>
          <w:i w:val="false"/>
          <w:caps w:val="false"/>
          <w:smallCaps w:val="false"/>
          <w:sz w:val="20"/>
          <w:shd w:fill="FFFFFF" w:val="clear"/>
        </w:rPr>
        <w:t xml:space="preserve">® </w:t>
      </w:r>
      <w:r>
        <w:rPr>
          <w:rFonts w:ascii="Times New Roman;Times;Serif" w:hAnsi="Times New Roman;Times;Serif"/>
          <w:b w:val="false"/>
          <w:i w:val="false"/>
          <w:caps w:val="false"/>
          <w:smallCaps w:val="false"/>
          <w:sz w:val="20"/>
        </w:rPr>
        <w:t>(omburtamab), which targets tumors that express B7-H3.</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shd w:fill="FFFFFF" w:val="clear"/>
        </w:rPr>
      </w:pPr>
      <w:r>
        <w:rPr>
          <w:rFonts w:ascii="Times New Roman;Times;Serif" w:hAnsi="Times New Roman;Times;Serif"/>
          <w:b/>
          <w:i w:val="false"/>
          <w:caps w:val="false"/>
          <w:smallCaps w:val="false"/>
          <w:sz w:val="20"/>
          <w:shd w:fill="FFFFFF" w:val="clear"/>
        </w:rPr>
        <w:t>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Statements in this press release about future expectations, plans and prospects, as well as any other statements regarding matters that are not historical facts, may constitute “forward-looking statements” within the meaning of Section 27A of the Securities Act of 1933 and Section 21E of the Securities Exchange Act of 1934. Such statements include, but are not limited to, statements about our business model, including financial outlook for 2023 and beyond, including estimated operating expenses, total cash burn and DANYELZA product revenue and sufficiency of cash resources and related assumptions; the restructuring, including the reduction in workforce and revised business plan, and the expected impacts, expenses and benefits thereof, including potential cost-savings from the reduction in force, expected reduction of operating expenses and any expectations with respect to cost savings to be derived therefrom; implied and express statements regarding the future of the Company’s business, including with respect to expansion and its goals; the Company’s plans and strategies, development, commercialization and product distribution plans, including potential partnerships; expectations with respect to omburtamab; expectations with respect to our products and product candidates, including potential territory and label expansion of DANYELZA and the potential market opportunity related thereto and potential benefits thereof, and the potential of the SADA Technology, including the development of the first tumor binding dataset, and potential benefits and applications thereof; expectations relating to key anticipated development milestones, including potential expansion of international commercialization efforts with respect to DANYELZA development efforts and the SADA Technology, including potential indications and applications, and the timing thereof; expectations with respect to current and future clinical and pre-clinical studies and our research and development programs, including with respect to timing and results; expectations related to the timing of the initiation and completion of regulatory submissions; regulatory, marketing and reimbursement approvals; including satisfaction of conditions to approvals; additional product candidates and technologies; expectations regarding collaborations or strategic partnerships and the potential benefits thereof; expectations related to the use of cash and cash equivalents, and the need for, timing and amount of any future financing transaction; expectations with respect to the Company’s future financial performance; and other statements that are not historical facts. Words such as ‘‘anticipate,’’ ‘‘believe,’’ “contemplate,” ‘‘continue,’’ ‘‘could,’’ ‘‘estimate,’’ ‘‘expect,’’ “hope,” ‘‘intend,’’ ‘‘may,’’ ‘‘might,’’ ‘‘plan,’’ ‘‘potential,’’ ‘‘predict,’’ ‘‘project,’’ ‘‘should,’’ ‘‘target,’’ “will”, ‘‘would’’, “guidance,” and similar expressions are intended to identify forward-looking statements, although not all forward-looking statements contain these identifying words. Our product candidates and related technologies are novel approaches to cancer treatment that present significant challenges. Actual results may differ materially from those indicated by such forward-looking statements as a result of various factors, including but not limited to: risks associated with our financial condition and need for additional capital; the risks that actual results of our restructuring plan and revised business plan will not be as expected; risks associated with our development work; cost and success of our product development activities and clinical trials; the risks of delay in the timing of our regulatory submissions or failure to receive approval of our drug candidates; the risks related to commercializing any approved pharmaceutical product including the rate and degree of market acceptance of our product candidates; development of our sales and marketing capabilities and risks associated with failure to obtain sufficient reimbursement for our products; the risks related to our dependence on third parties including for conduct of clinical testing and product manufacture; our inability to enter into partnerships; the risks related to government regulation; risks related to market approval, risks associated with protection of our intellectual property rights; risks related to employee matters and managing growth; risks related to our common stock, risks associated with macroeconomic conditions, including the conflict between Russia and Ukraine and sanctions related thereto, inflation, increased interest rates, uncertain global credit and capital markets and disruptions in banking systems; and other risks and uncertainties affecting the Company including those described in the "Risk Factors" section included in the Company’s Annual Report on Form 10-K for the fiscal year ending December 31, 2022, the Company’s Quarterly Report on Form 10-Q for the quarter ended March 31, 2023 and future filings and reports by the Company including the Company’s Quarterly Report on Form 10-Q for the quarter ended June 30, 2023. Any forward-looking statements contained in this press release speak only as of the date hereof, and the Company undertakes no obligation to update any forward-looking statement, whether as a result of new information, future events or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DANYELZA®, OMBLASTYS® and Y-mAbs® are registered trademarks of Y-mAbs Therapeutics,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Investor Contact: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Courtney Dugan</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VP, Head of Investor Relations</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cdu@ymabs.com</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caps w:val="false"/>
          <w:smallCaps w:val="false"/>
        </w:rPr>
      </w:pPr>
      <w:r>
        <w:rPr>
          <w:caps w:val="false"/>
          <w:smallCaps w:val="false"/>
        </w:rPr>
        <w:drawing>
          <wp:inline distT="0" distB="0" distL="0" distR="0">
            <wp:extent cx="3219450" cy="58102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3219450" cy="581025"/>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881"/>
        <w:gridCol w:w="60"/>
        <w:gridCol w:w="125"/>
        <w:gridCol w:w="755"/>
        <w:gridCol w:w="80"/>
        <w:gridCol w:w="60"/>
        <w:gridCol w:w="162"/>
        <w:gridCol w:w="985"/>
        <w:gridCol w:w="97"/>
      </w:tblGrid>
      <w:tr>
        <w:trPr/>
        <w:tc>
          <w:tcPr>
            <w:tcW w:w="10205" w:type="dxa"/>
            <w:gridSpan w:val="9"/>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Y-MABS THERAPEUTICS, INC.</w:t>
            </w:r>
          </w:p>
        </w:tc>
      </w:tr>
      <w:tr>
        <w:trPr/>
        <w:tc>
          <w:tcPr>
            <w:tcW w:w="10205" w:type="dxa"/>
            <w:gridSpan w:val="9"/>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Balance Sheets</w:t>
            </w:r>
          </w:p>
        </w:tc>
      </w:tr>
      <w:tr>
        <w:trPr/>
        <w:tc>
          <w:tcPr>
            <w:tcW w:w="10205" w:type="dxa"/>
            <w:gridSpan w:val="9"/>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tc>
      </w:tr>
      <w:tr>
        <w:trPr/>
        <w:tc>
          <w:tcPr>
            <w:tcW w:w="10205" w:type="dxa"/>
            <w:gridSpan w:val="9"/>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thousands, except share and per share data)</w:t>
            </w:r>
          </w:p>
        </w:tc>
      </w:tr>
      <w:tr>
        <w:trPr/>
        <w:tc>
          <w:tcPr>
            <w:tcW w:w="788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80" w:type="dxa"/>
            <w:gridSpan w:val="2"/>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47" w:type="dxa"/>
            <w:gridSpan w:val="2"/>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jc w:val="left"/>
              <w:rPr/>
            </w:pPr>
            <w:r>
              <w:rPr/>
              <w:t> </w:t>
            </w:r>
          </w:p>
        </w:tc>
      </w:tr>
      <w:tr>
        <w:trPr/>
        <w:tc>
          <w:tcPr>
            <w:tcW w:w="788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8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47"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w:t>
            </w:r>
          </w:p>
        </w:tc>
        <w:tc>
          <w:tcPr>
            <w:tcW w:w="97"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88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8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2023</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47"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2022</w:t>
            </w:r>
          </w:p>
        </w:tc>
        <w:tc>
          <w:tcPr>
            <w:tcW w:w="97"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88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ASSETS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 </w:t>
            </w:r>
          </w:p>
        </w:tc>
        <w:tc>
          <w:tcPr>
            <w:tcW w:w="985" w:type="dxa"/>
            <w:tcBorders/>
            <w:shd w:fill="CCEEFF" w:val="clear"/>
            <w:vAlign w:val="center"/>
          </w:tcPr>
          <w:p>
            <w:pPr>
              <w:pStyle w:val="TableContents"/>
              <w:bidi w:val="0"/>
              <w:spacing w:before="0" w:after="283"/>
              <w:jc w:val="right"/>
              <w:rPr/>
            </w:pPr>
            <w:r>
              <w:rPr/>
              <w:t> </w:t>
            </w:r>
          </w:p>
        </w:tc>
        <w:tc>
          <w:tcPr>
            <w:tcW w:w="97" w:type="dxa"/>
            <w:tcBorders/>
            <w:shd w:fill="CCEEFF" w:val="clear"/>
            <w:vAlign w:val="center"/>
          </w:tcPr>
          <w:p>
            <w:pPr>
              <w:pStyle w:val="TableContents"/>
              <w:bidi w:val="0"/>
              <w:spacing w:before="0" w:after="283"/>
              <w:jc w:val="left"/>
              <w:rPr/>
            </w:pPr>
            <w:r>
              <w:rPr/>
              <w:t> </w:t>
            </w:r>
          </w:p>
        </w:tc>
      </w:tr>
      <w:tr>
        <w:trPr/>
        <w:tc>
          <w:tcPr>
            <w:tcW w:w="788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 ASSETS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985" w:type="dxa"/>
            <w:tcBorders/>
            <w:shd w:fill="FFFFFF" w:val="clear"/>
            <w:vAlign w:val="center"/>
          </w:tcPr>
          <w:p>
            <w:pPr>
              <w:pStyle w:val="TableContents"/>
              <w:bidi w:val="0"/>
              <w:spacing w:before="0" w:after="283"/>
              <w:jc w:val="right"/>
              <w:rPr/>
            </w:pPr>
            <w:r>
              <w:rPr/>
              <w:t> </w:t>
            </w:r>
          </w:p>
        </w:tc>
        <w:tc>
          <w:tcPr>
            <w:tcW w:w="97" w:type="dxa"/>
            <w:tcBorders/>
            <w:shd w:fill="FFFFFF" w:val="clear"/>
            <w:vAlign w:val="center"/>
          </w:tcPr>
          <w:p>
            <w:pPr>
              <w:pStyle w:val="TableContents"/>
              <w:bidi w:val="0"/>
              <w:spacing w:before="0" w:after="283"/>
              <w:jc w:val="left"/>
              <w:rPr/>
            </w:pPr>
            <w:r>
              <w:rPr/>
              <w:t> </w:t>
            </w:r>
          </w:p>
        </w:tc>
      </w:tr>
      <w:tr>
        <w:trPr/>
        <w:tc>
          <w:tcPr>
            <w:tcW w:w="788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and cash equivalents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87,909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105,762</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88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receivable, net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19,118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12,531</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88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Inventories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5,187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6,702</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88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current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3,570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2"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8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5,452</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88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current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115,784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130,447</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88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Property and equipment, net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604</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88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lease right-of-use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1,178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1,739</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88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Intangible assets, net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2,809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2,986</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88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12,250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2"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8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5,680</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88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5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132,396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2"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8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141,456</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88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LIABILITIES AND STOCKHOLDERS’ EQUITY</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 </w:t>
            </w:r>
          </w:p>
        </w:tc>
        <w:tc>
          <w:tcPr>
            <w:tcW w:w="985" w:type="dxa"/>
            <w:tcBorders/>
            <w:shd w:fill="CCEEFF" w:val="clear"/>
            <w:vAlign w:val="center"/>
          </w:tcPr>
          <w:p>
            <w:pPr>
              <w:pStyle w:val="TableContents"/>
              <w:bidi w:val="0"/>
              <w:spacing w:before="0" w:after="283"/>
              <w:jc w:val="right"/>
              <w:rPr/>
            </w:pPr>
            <w:r>
              <w:rPr/>
              <w:t> </w:t>
            </w:r>
          </w:p>
        </w:tc>
        <w:tc>
          <w:tcPr>
            <w:tcW w:w="97" w:type="dxa"/>
            <w:tcBorders/>
            <w:shd w:fill="CCEEFF" w:val="clear"/>
            <w:vAlign w:val="center"/>
          </w:tcPr>
          <w:p>
            <w:pPr>
              <w:pStyle w:val="TableContents"/>
              <w:bidi w:val="0"/>
              <w:spacing w:before="0" w:after="283"/>
              <w:jc w:val="left"/>
              <w:rPr/>
            </w:pPr>
            <w:r>
              <w:rPr/>
              <w:t> </w:t>
            </w:r>
          </w:p>
        </w:tc>
      </w:tr>
      <w:tr>
        <w:trPr/>
        <w:tc>
          <w:tcPr>
            <w:tcW w:w="788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LIABILITIES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985" w:type="dxa"/>
            <w:tcBorders/>
            <w:shd w:fill="FFFFFF" w:val="clear"/>
            <w:vAlign w:val="center"/>
          </w:tcPr>
          <w:p>
            <w:pPr>
              <w:pStyle w:val="TableContents"/>
              <w:bidi w:val="0"/>
              <w:spacing w:before="0" w:after="283"/>
              <w:jc w:val="right"/>
              <w:rPr/>
            </w:pPr>
            <w:r>
              <w:rPr/>
              <w:t> </w:t>
            </w:r>
          </w:p>
        </w:tc>
        <w:tc>
          <w:tcPr>
            <w:tcW w:w="97" w:type="dxa"/>
            <w:tcBorders/>
            <w:shd w:fill="FFFFFF" w:val="clear"/>
            <w:vAlign w:val="center"/>
          </w:tcPr>
          <w:p>
            <w:pPr>
              <w:pStyle w:val="TableContents"/>
              <w:bidi w:val="0"/>
              <w:spacing w:before="0" w:after="283"/>
              <w:jc w:val="left"/>
              <w:rPr/>
            </w:pPr>
            <w:r>
              <w:rPr/>
              <w:t> </w:t>
            </w:r>
          </w:p>
        </w:tc>
      </w:tr>
      <w:tr>
        <w:trPr/>
        <w:tc>
          <w:tcPr>
            <w:tcW w:w="788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payable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7,252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14,175</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88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Accrued liabilities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16,152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13,241</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88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lease liabilities, current portion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829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2"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8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868</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88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current liabilities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24,233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28,284</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88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Accrued milestones and royalty payments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2,250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2,250</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88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lease liabilities, long-term portion</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899</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88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liabilities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2"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8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802</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88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LIABILITIES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27,715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2"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8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32,235</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88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 </w:t>
            </w:r>
          </w:p>
        </w:tc>
        <w:tc>
          <w:tcPr>
            <w:tcW w:w="985" w:type="dxa"/>
            <w:tcBorders/>
            <w:shd w:fill="CCEEFF" w:val="clear"/>
            <w:vAlign w:val="center"/>
          </w:tcPr>
          <w:p>
            <w:pPr>
              <w:pStyle w:val="TableContents"/>
              <w:bidi w:val="0"/>
              <w:spacing w:before="0" w:after="283"/>
              <w:jc w:val="right"/>
              <w:rPr/>
            </w:pPr>
            <w:r>
              <w:rPr/>
              <w:t> </w:t>
            </w:r>
          </w:p>
        </w:tc>
        <w:tc>
          <w:tcPr>
            <w:tcW w:w="97" w:type="dxa"/>
            <w:tcBorders/>
            <w:shd w:fill="CCEEFF" w:val="clear"/>
            <w:vAlign w:val="center"/>
          </w:tcPr>
          <w:p>
            <w:pPr>
              <w:pStyle w:val="TableContents"/>
              <w:bidi w:val="0"/>
              <w:spacing w:before="0" w:after="283"/>
              <w:jc w:val="left"/>
              <w:rPr/>
            </w:pPr>
            <w:r>
              <w:rPr/>
              <w:t> </w:t>
            </w:r>
          </w:p>
        </w:tc>
      </w:tr>
      <w:tr>
        <w:trPr/>
        <w:tc>
          <w:tcPr>
            <w:tcW w:w="788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STOCKHOLDERS’ EQUITY</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985" w:type="dxa"/>
            <w:tcBorders/>
            <w:shd w:fill="FFFFFF" w:val="clear"/>
            <w:vAlign w:val="center"/>
          </w:tcPr>
          <w:p>
            <w:pPr>
              <w:pStyle w:val="TableContents"/>
              <w:bidi w:val="0"/>
              <w:spacing w:before="0" w:after="283"/>
              <w:jc w:val="right"/>
              <w:rPr/>
            </w:pPr>
            <w:r>
              <w:rPr/>
              <w:t> </w:t>
            </w:r>
          </w:p>
        </w:tc>
        <w:tc>
          <w:tcPr>
            <w:tcW w:w="97" w:type="dxa"/>
            <w:tcBorders/>
            <w:shd w:fill="FFFFFF" w:val="clear"/>
            <w:vAlign w:val="center"/>
          </w:tcPr>
          <w:p>
            <w:pPr>
              <w:pStyle w:val="TableContents"/>
              <w:bidi w:val="0"/>
              <w:spacing w:before="0" w:after="283"/>
              <w:jc w:val="left"/>
              <w:rPr/>
            </w:pPr>
            <w:r>
              <w:rPr/>
              <w:t> </w:t>
            </w:r>
          </w:p>
        </w:tc>
      </w:tr>
      <w:tr>
        <w:trPr/>
        <w:tc>
          <w:tcPr>
            <w:tcW w:w="788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Preferred stock, $0.0001 par value, 5,500,000 shares authorized and none issued at June 30, 2023 and December 31, 2022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88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Common stock, $0.0001 par value, 100,000,000 shares authorized at June 30, 2023 and December 31, 2022; 43,620,192 and 43,670,109 shares issued at June 30, 2023 and December 31, 2022, respectively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88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 paid-in capital</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552,369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543,929</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88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Accumulated other comprehensive income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1,331</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88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Accumulated deficit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(448,735</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2"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8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(436,043</w:t>
            </w:r>
          </w:p>
        </w:tc>
        <w:tc>
          <w:tcPr>
            <w:tcW w:w="9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788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STOCKHOLDERS’ EQUITY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104,681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2"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8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109,221</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88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LIABILITIES AND STOCKHOLDERS’ EQUITY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5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132,396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2"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8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141,456</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caps w:val="false"/>
          <w:smallCaps w:val="false"/>
        </w:rPr>
      </w:pPr>
      <w:r>
        <w:rPr>
          <w:caps w:val="false"/>
          <w:smallCaps w:val="false"/>
        </w:rPr>
        <w:drawing>
          <wp:inline distT="0" distB="0" distL="0" distR="0">
            <wp:extent cx="3219450" cy="58102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3219450" cy="581025"/>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177"/>
        <w:gridCol w:w="60"/>
        <w:gridCol w:w="133"/>
        <w:gridCol w:w="1013"/>
        <w:gridCol w:w="84"/>
        <w:gridCol w:w="63"/>
        <w:gridCol w:w="133"/>
        <w:gridCol w:w="1013"/>
        <w:gridCol w:w="80"/>
        <w:gridCol w:w="60"/>
        <w:gridCol w:w="125"/>
        <w:gridCol w:w="950"/>
        <w:gridCol w:w="80"/>
        <w:gridCol w:w="60"/>
        <w:gridCol w:w="125"/>
        <w:gridCol w:w="950"/>
        <w:gridCol w:w="99"/>
      </w:tblGrid>
      <w:tr>
        <w:trPr/>
        <w:tc>
          <w:tcPr>
            <w:tcW w:w="10205" w:type="dxa"/>
            <w:gridSpan w:val="17"/>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Y-MABS THERAPEUTICS, INC.</w:t>
            </w:r>
          </w:p>
        </w:tc>
      </w:tr>
      <w:tr>
        <w:trPr/>
        <w:tc>
          <w:tcPr>
            <w:tcW w:w="10205" w:type="dxa"/>
            <w:gridSpan w:val="17"/>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Statements of Net Loss and Comprehensive Loss</w:t>
            </w:r>
          </w:p>
        </w:tc>
      </w:tr>
      <w:tr>
        <w:trPr/>
        <w:tc>
          <w:tcPr>
            <w:tcW w:w="10205" w:type="dxa"/>
            <w:gridSpan w:val="17"/>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tc>
      </w:tr>
      <w:tr>
        <w:trPr/>
        <w:tc>
          <w:tcPr>
            <w:tcW w:w="10205" w:type="dxa"/>
            <w:gridSpan w:val="17"/>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thousands, except share and per share data)</w:t>
            </w:r>
          </w:p>
        </w:tc>
      </w:tr>
      <w:tr>
        <w:trPr/>
        <w:tc>
          <w:tcPr>
            <w:tcW w:w="517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46" w:type="dxa"/>
            <w:gridSpan w:val="2"/>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1146" w:type="dxa"/>
            <w:gridSpan w:val="2"/>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75" w:type="dxa"/>
            <w:gridSpan w:val="2"/>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75" w:type="dxa"/>
            <w:gridSpan w:val="2"/>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r>
      <w:tr>
        <w:trPr/>
        <w:tc>
          <w:tcPr>
            <w:tcW w:w="517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439"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ended June 30,</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290"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Six months ended June 30,</w:t>
            </w:r>
          </w:p>
        </w:tc>
        <w:tc>
          <w:tcPr>
            <w:tcW w:w="99"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17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46"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2023</w:t>
            </w:r>
          </w:p>
        </w:tc>
        <w:tc>
          <w:tcPr>
            <w:tcW w:w="84" w:type="dxa"/>
            <w:tcBorders/>
            <w:vAlign w:val="center"/>
          </w:tcPr>
          <w:p>
            <w:pPr>
              <w:pStyle w:val="TableContents"/>
              <w:bidi w:val="0"/>
              <w:spacing w:before="0" w:after="283"/>
              <w:jc w:val="left"/>
              <w:rPr>
                <w:caps w:val="false"/>
                <w:smallCaps w:val="false"/>
              </w:rPr>
            </w:pPr>
            <w:r>
              <w:rPr>
                <w:caps w:val="false"/>
                <w:smallCaps w:val="false"/>
              </w:rPr>
              <w:t> </w:t>
            </w:r>
          </w:p>
        </w:tc>
        <w:tc>
          <w:tcPr>
            <w:tcW w:w="63" w:type="dxa"/>
            <w:tcBorders/>
            <w:vAlign w:val="center"/>
          </w:tcPr>
          <w:p>
            <w:pPr>
              <w:pStyle w:val="TableContents"/>
              <w:bidi w:val="0"/>
              <w:spacing w:before="0" w:after="283"/>
              <w:jc w:val="left"/>
              <w:rPr>
                <w:caps w:val="false"/>
                <w:smallCaps w:val="false"/>
              </w:rPr>
            </w:pPr>
            <w:r>
              <w:rPr>
                <w:caps w:val="false"/>
                <w:smallCaps w:val="false"/>
              </w:rPr>
              <w:t> </w:t>
            </w:r>
          </w:p>
        </w:tc>
        <w:tc>
          <w:tcPr>
            <w:tcW w:w="1146"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2022</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7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2023</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7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2022</w:t>
            </w:r>
          </w:p>
        </w:tc>
        <w:tc>
          <w:tcPr>
            <w:tcW w:w="99"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17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REVENUES</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1013" w:type="dxa"/>
            <w:tcBorders/>
            <w:shd w:fill="CCEEFF" w:val="clear"/>
            <w:vAlign w:val="center"/>
          </w:tcPr>
          <w:p>
            <w:pPr>
              <w:pStyle w:val="TableContents"/>
              <w:bidi w:val="0"/>
              <w:spacing w:before="0" w:after="283"/>
              <w:jc w:val="right"/>
              <w:rPr/>
            </w:pPr>
            <w:r>
              <w:rPr/>
              <w:t> </w:t>
            </w:r>
          </w:p>
        </w:tc>
        <w:tc>
          <w:tcPr>
            <w:tcW w:w="84"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1013"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99" w:type="dxa"/>
            <w:tcBorders/>
            <w:shd w:fill="CCEEFF" w:val="clear"/>
            <w:vAlign w:val="center"/>
          </w:tcPr>
          <w:p>
            <w:pPr>
              <w:pStyle w:val="TableContents"/>
              <w:bidi w:val="0"/>
              <w:spacing w:before="0" w:after="283"/>
              <w:jc w:val="left"/>
              <w:rPr/>
            </w:pPr>
            <w:r>
              <w:rPr/>
              <w:t> </w:t>
            </w:r>
          </w:p>
        </w:tc>
      </w:tr>
      <w:tr>
        <w:trPr/>
        <w:tc>
          <w:tcPr>
            <w:tcW w:w="517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Product revenue, net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1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20,751</w:t>
            </w:r>
          </w:p>
        </w:tc>
        <w:tc>
          <w:tcPr>
            <w:tcW w:w="8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1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9,797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41,002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20,283</w:t>
            </w:r>
          </w:p>
        </w:tc>
        <w:tc>
          <w:tcPr>
            <w:tcW w:w="9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17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License revenue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3"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3"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3"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1,000</w:t>
            </w:r>
          </w:p>
        </w:tc>
        <w:tc>
          <w:tcPr>
            <w:tcW w:w="9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17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revenues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3"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3"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20,751</w:t>
            </w:r>
          </w:p>
        </w:tc>
        <w:tc>
          <w:tcPr>
            <w:tcW w:w="8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3"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3"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10,797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41,002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21,283</w:t>
            </w:r>
          </w:p>
        </w:tc>
        <w:tc>
          <w:tcPr>
            <w:tcW w:w="9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17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COSTS AND EXPENSES</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1013" w:type="dxa"/>
            <w:tcBorders/>
            <w:shd w:fill="CCEEFF" w:val="clear"/>
            <w:vAlign w:val="center"/>
          </w:tcPr>
          <w:p>
            <w:pPr>
              <w:pStyle w:val="TableContents"/>
              <w:bidi w:val="0"/>
              <w:spacing w:before="0" w:after="283"/>
              <w:jc w:val="right"/>
              <w:rPr/>
            </w:pPr>
            <w:r>
              <w:rPr/>
              <w:t> </w:t>
            </w:r>
          </w:p>
        </w:tc>
        <w:tc>
          <w:tcPr>
            <w:tcW w:w="84"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3"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99" w:type="dxa"/>
            <w:tcBorders/>
            <w:shd w:fill="CCEEFF" w:val="clear"/>
            <w:vAlign w:val="center"/>
          </w:tcPr>
          <w:p>
            <w:pPr>
              <w:pStyle w:val="TableContents"/>
              <w:bidi w:val="0"/>
              <w:spacing w:before="0" w:after="283"/>
              <w:jc w:val="left"/>
              <w:rPr/>
            </w:pPr>
            <w:r>
              <w:rPr/>
              <w:t> </w:t>
            </w:r>
          </w:p>
        </w:tc>
      </w:tr>
      <w:tr>
        <w:trPr/>
        <w:tc>
          <w:tcPr>
            <w:tcW w:w="517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goods sold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4,649</w:t>
            </w:r>
          </w:p>
        </w:tc>
        <w:tc>
          <w:tcPr>
            <w:tcW w:w="8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1,140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6,732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2,972</w:t>
            </w:r>
          </w:p>
        </w:tc>
        <w:tc>
          <w:tcPr>
            <w:tcW w:w="9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17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License royalties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3"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w:t>
            </w:r>
          </w:p>
        </w:tc>
        <w:tc>
          <w:tcPr>
            <w:tcW w:w="9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17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12,055</w:t>
            </w:r>
          </w:p>
        </w:tc>
        <w:tc>
          <w:tcPr>
            <w:tcW w:w="8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26,420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25,473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49,332</w:t>
            </w:r>
          </w:p>
        </w:tc>
        <w:tc>
          <w:tcPr>
            <w:tcW w:w="9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17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Selling, general, and administrative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3"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11,270</w:t>
            </w:r>
          </w:p>
        </w:tc>
        <w:tc>
          <w:tcPr>
            <w:tcW w:w="8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3"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23,082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23,521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36,520</w:t>
            </w:r>
          </w:p>
        </w:tc>
        <w:tc>
          <w:tcPr>
            <w:tcW w:w="9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17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operating costs and expenses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3"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3"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27,974</w:t>
            </w:r>
          </w:p>
        </w:tc>
        <w:tc>
          <w:tcPr>
            <w:tcW w:w="8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3"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3"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50,742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55,726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88,924</w:t>
            </w:r>
          </w:p>
        </w:tc>
        <w:tc>
          <w:tcPr>
            <w:tcW w:w="9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17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 from operations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3"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(7,223</w:t>
            </w:r>
          </w:p>
        </w:tc>
        <w:tc>
          <w:tcPr>
            <w:tcW w:w="8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3"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(39,945</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(14,724</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(67,641</w:t>
            </w:r>
          </w:p>
        </w:tc>
        <w:tc>
          <w:tcPr>
            <w:tcW w:w="9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17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INCOME/(LOSS), NET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3"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3"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9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17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and other income/(loss)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3"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1,100</w:t>
            </w:r>
          </w:p>
        </w:tc>
        <w:tc>
          <w:tcPr>
            <w:tcW w:w="8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3"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(1,186</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2,211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(1,558</w:t>
            </w:r>
          </w:p>
        </w:tc>
        <w:tc>
          <w:tcPr>
            <w:tcW w:w="9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17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 BEFORE INCOME TAXES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(6,123</w:t>
            </w:r>
          </w:p>
        </w:tc>
        <w:tc>
          <w:tcPr>
            <w:tcW w:w="8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(41,131</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(12,513</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(69,199</w:t>
            </w:r>
          </w:p>
        </w:tc>
        <w:tc>
          <w:tcPr>
            <w:tcW w:w="9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17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Provision for income taxes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3"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179</w:t>
            </w:r>
          </w:p>
        </w:tc>
        <w:tc>
          <w:tcPr>
            <w:tcW w:w="8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3"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3"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9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17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LOSS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3"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13"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(6,302</w:t>
            </w:r>
          </w:p>
        </w:tc>
        <w:tc>
          <w:tcPr>
            <w:tcW w:w="8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3"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13"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(41,131</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(12,692</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(69,199</w:t>
            </w:r>
          </w:p>
        </w:tc>
        <w:tc>
          <w:tcPr>
            <w:tcW w:w="9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17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comprehensive income/(loss)</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1013" w:type="dxa"/>
            <w:tcBorders/>
            <w:shd w:fill="CCEEFF" w:val="clear"/>
            <w:vAlign w:val="center"/>
          </w:tcPr>
          <w:p>
            <w:pPr>
              <w:pStyle w:val="TableContents"/>
              <w:bidi w:val="0"/>
              <w:spacing w:before="0" w:after="283"/>
              <w:jc w:val="right"/>
              <w:rPr/>
            </w:pPr>
            <w:r>
              <w:rPr/>
              <w:t> </w:t>
            </w:r>
          </w:p>
        </w:tc>
        <w:tc>
          <w:tcPr>
            <w:tcW w:w="84"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1013"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99" w:type="dxa"/>
            <w:tcBorders/>
            <w:shd w:fill="CCEEFF" w:val="clear"/>
            <w:vAlign w:val="center"/>
          </w:tcPr>
          <w:p>
            <w:pPr>
              <w:pStyle w:val="TableContents"/>
              <w:bidi w:val="0"/>
              <w:spacing w:before="0" w:after="283"/>
              <w:jc w:val="left"/>
              <w:rPr/>
            </w:pPr>
            <w:r>
              <w:rPr/>
              <w:t> </w:t>
            </w:r>
          </w:p>
        </w:tc>
      </w:tr>
      <w:tr>
        <w:trPr/>
        <w:tc>
          <w:tcPr>
            <w:tcW w:w="517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Foreign currency translation</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3"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3"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w:t>
            </w:r>
          </w:p>
        </w:tc>
        <w:tc>
          <w:tcPr>
            <w:tcW w:w="8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3"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3"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1,422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(288</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1,733</w:t>
            </w:r>
          </w:p>
        </w:tc>
        <w:tc>
          <w:tcPr>
            <w:tcW w:w="9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17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COMPREHENSIVE LOSS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3"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13"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(6,284</w:t>
            </w:r>
          </w:p>
        </w:tc>
        <w:tc>
          <w:tcPr>
            <w:tcW w:w="8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3"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13"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(39,709</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(12,980</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(67,466</w:t>
            </w:r>
          </w:p>
        </w:tc>
        <w:tc>
          <w:tcPr>
            <w:tcW w:w="9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17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loss per share attributable to common stockholders, basic and diluted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3"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13"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(0.14</w:t>
            </w:r>
          </w:p>
        </w:tc>
        <w:tc>
          <w:tcPr>
            <w:tcW w:w="8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3"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13"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(0.94</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(0.29</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(1.58</w:t>
            </w:r>
          </w:p>
        </w:tc>
        <w:tc>
          <w:tcPr>
            <w:tcW w:w="9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17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Weighted average common shares outstanding, basic and diluted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3"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43,663,112</w:t>
            </w:r>
          </w:p>
        </w:tc>
        <w:tc>
          <w:tcPr>
            <w:tcW w:w="8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3"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43,718,748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43,667,385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43,713,967</w:t>
            </w:r>
          </w:p>
        </w:tc>
        <w:tc>
          <w:tcPr>
            <w:tcW w:w="9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Symbo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image" Target="media/image1.jpeg"/><Relationship Id="rId5" Type="http://schemas.openxmlformats.org/officeDocument/2006/relationships/image" Target="media/image1.jpeg"/><Relationship Id="rId6" Type="http://schemas.openxmlformats.org/officeDocument/2006/relationships/image" Target="media/image1.jpeg"/><Relationship Id="rId7" Type="http://schemas.openxmlformats.org/officeDocument/2006/relationships/image" Target="media/image1.jpeg"/><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3350</Words>
  <Characters>19109</Characters>
  <CharactersWithSpaces>22700</CharactersWithSpaces>
  <Paragraphs>977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