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6, 2019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Y-MABS THERAPEUTICS,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001-38650</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10169</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(646) 885-8505</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Title of each class:</w:t>
            </w:r>
          </w:p>
        </w:tc>
        <w:tc>
          <w:tcPr>
            <w:tcW w:w="3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Trading Symbol</w:t>
            </w: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Pr>
          <w:p>
            <w:pPr>
              <w:spacing w:after="0"/>
              <w:rPr>
                <w:sz w:val="14"/>
                <w:szCs w:val="14"/>
                <w:color w:val="auto"/>
              </w:rPr>
            </w:pPr>
          </w:p>
        </w:tc>
      </w:tr>
      <w:tr>
        <w:trPr>
          <w:trHeight w:val="224"/>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2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20" w:type="dxa"/>
            <w:vAlign w:val="bottom"/>
          </w:tcPr>
          <w:p>
            <w:pPr>
              <w:spacing w:after="0"/>
              <w:rPr>
                <w:sz w:val="19"/>
                <w:szCs w:val="19"/>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40" w:type="dxa"/>
            <w:vAlign w:val="bottom"/>
          </w:tcPr>
          <w:p>
            <w:pPr>
              <w:spacing w:after="0"/>
              <w:rPr>
                <w:sz w:val="19"/>
                <w:szCs w:val="19"/>
                <w:color w:val="auto"/>
              </w:rPr>
            </w:pPr>
          </w:p>
        </w:tc>
      </w:tr>
      <w:tr>
        <w:trPr>
          <w:trHeight w:val="202"/>
        </w:trPr>
        <w:tc>
          <w:tcPr>
            <w:tcW w:w="3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37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3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7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June 6, 2019, Y-mAbs Therapeutics, Inc., (the “Company”) held its annual meeting of stockholders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proposals were submitted to the stockholders at the Annual Meeting:</w:t>
      </w:r>
    </w:p>
    <w:p>
      <w:pPr>
        <w:spacing w:after="0" w:line="225" w:lineRule="exact"/>
        <w:rPr>
          <w:sz w:val="20"/>
          <w:szCs w:val="20"/>
          <w:color w:val="auto"/>
        </w:rPr>
      </w:pPr>
    </w:p>
    <w:p>
      <w:pPr>
        <w:ind w:left="660" w:right="10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Class I directors, Dr. Gérard Ber and David N. Gill, nominated by the Company’s board of directors, each to serve for a three-year term to expire at the 2022 annual meeting of stockholders and one Class II director, Ashutosh Tyagi, M.D., nominated by the Company’s board of directors, to serve for a one-year term to expire at the 2020 annual meeting of stockholders, each such nominee to hold office until his successor has been duly elected and qualified or until his earlier death, resignation or removal; and</w:t>
      </w:r>
    </w:p>
    <w:p>
      <w:pPr>
        <w:spacing w:after="0" w:line="186" w:lineRule="exact"/>
        <w:rPr>
          <w:rFonts w:ascii="Arial" w:cs="Arial" w:eastAsia="Arial" w:hAnsi="Arial"/>
          <w:sz w:val="18"/>
          <w:szCs w:val="18"/>
          <w:color w:val="auto"/>
        </w:rPr>
      </w:pPr>
    </w:p>
    <w:p>
      <w:pPr>
        <w:ind w:left="660" w:right="70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the Company’s independent registered public accounting firm for the Company’s fiscal year ending December 31, 2019.</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proposals are described in detail in the Company’s Proxy Statement filed with the Securities and Exchange Commission on April 30, 2019. No other proposals were submitted to the stockholders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entitled to vote at the Annual Meeting was 34,193,666.</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All matters submitted to a vote of the Company’s stockholders at the Annual Meeting were approved and all director nominees were elected. The number of votes cast for and against and the number of abstentions and broker non-votes with respect to each matter voted upon are set forth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Election of two Class I directors and one Class II director.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Director Nominee</w:t>
            </w:r>
          </w:p>
        </w:tc>
        <w:tc>
          <w:tcPr>
            <w:tcW w:w="2340" w:type="dxa"/>
            <w:vAlign w:val="bottom"/>
            <w:gridSpan w:val="2"/>
          </w:tcPr>
          <w:p>
            <w:pPr>
              <w:ind w:left="920"/>
              <w:spacing w:after="0"/>
              <w:rPr>
                <w:sz w:val="20"/>
                <w:szCs w:val="20"/>
                <w:color w:val="auto"/>
              </w:rPr>
            </w:pPr>
            <w:r>
              <w:rPr>
                <w:rFonts w:ascii="Arial" w:cs="Arial" w:eastAsia="Arial" w:hAnsi="Arial"/>
                <w:sz w:val="14"/>
                <w:szCs w:val="14"/>
                <w:b w:val="1"/>
                <w:bCs w:val="1"/>
                <w:color w:val="auto"/>
              </w:rPr>
              <w:t>For</w:t>
            </w:r>
          </w:p>
        </w:tc>
        <w:tc>
          <w:tcPr>
            <w:tcW w:w="2340" w:type="dxa"/>
            <w:vAlign w:val="bottom"/>
            <w:gridSpan w:val="2"/>
          </w:tcPr>
          <w:p>
            <w:pPr>
              <w:ind w:left="740"/>
              <w:spacing w:after="0"/>
              <w:rPr>
                <w:sz w:val="20"/>
                <w:szCs w:val="20"/>
                <w:color w:val="auto"/>
              </w:rPr>
            </w:pPr>
            <w:r>
              <w:rPr>
                <w:rFonts w:ascii="Arial" w:cs="Arial" w:eastAsia="Arial" w:hAnsi="Arial"/>
                <w:sz w:val="14"/>
                <w:szCs w:val="14"/>
                <w:b w:val="1"/>
                <w:bCs w:val="1"/>
                <w:color w:val="auto"/>
              </w:rPr>
              <w:t>Withheld</w:t>
            </w:r>
          </w:p>
        </w:tc>
        <w:tc>
          <w:tcPr>
            <w:tcW w:w="2160" w:type="dxa"/>
            <w:vAlign w:val="bottom"/>
            <w:gridSpan w:val="2"/>
          </w:tcPr>
          <w:p>
            <w:pPr>
              <w:ind w:left="480"/>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4280" w:type="dxa"/>
            <w:vAlign w:val="bottom"/>
            <w:tcBorders>
              <w:top w:val="single" w:sz="8" w:color="auto"/>
            </w:tcBorders>
            <w:shd w:val="clear" w:color="auto" w:fill="CCEEFF"/>
          </w:tcPr>
          <w:p>
            <w:pPr>
              <w:ind w:left="1540"/>
              <w:spacing w:after="0"/>
              <w:rPr>
                <w:sz w:val="20"/>
                <w:szCs w:val="20"/>
                <w:color w:val="auto"/>
              </w:rPr>
            </w:pPr>
            <w:r>
              <w:rPr>
                <w:rFonts w:ascii="Arial" w:cs="Arial" w:eastAsia="Arial" w:hAnsi="Arial"/>
                <w:sz w:val="18"/>
                <w:szCs w:val="18"/>
                <w:i w:val="1"/>
                <w:iCs w:val="1"/>
                <w:color w:val="auto"/>
              </w:rPr>
              <w:t>Class I Directors</w:t>
            </w:r>
          </w:p>
        </w:tc>
        <w:tc>
          <w:tcPr>
            <w:tcW w:w="3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Gérard Ber, Ph.D.</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22,792,548</w:t>
            </w:r>
          </w:p>
        </w:tc>
        <w:tc>
          <w:tcPr>
            <w:tcW w:w="2340" w:type="dxa"/>
            <w:vAlign w:val="bottom"/>
            <w:gridSpan w:val="2"/>
          </w:tcPr>
          <w:p>
            <w:pPr>
              <w:jc w:val="right"/>
              <w:ind w:right="280"/>
              <w:spacing w:after="0"/>
              <w:rPr>
                <w:sz w:val="20"/>
                <w:szCs w:val="20"/>
                <w:color w:val="auto"/>
              </w:rPr>
            </w:pPr>
            <w:r>
              <w:rPr>
                <w:rFonts w:ascii="Arial" w:cs="Arial" w:eastAsia="Arial" w:hAnsi="Arial"/>
                <w:sz w:val="18"/>
                <w:szCs w:val="18"/>
                <w:color w:val="auto"/>
              </w:rPr>
              <w:t>87,645</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3,603,425</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N. Gill</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21,537,899</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1,342,294</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3,603,425</w:t>
            </w:r>
          </w:p>
        </w:tc>
      </w:tr>
      <w:tr>
        <w:trPr>
          <w:trHeight w:val="216"/>
        </w:trPr>
        <w:tc>
          <w:tcPr>
            <w:tcW w:w="4580" w:type="dxa"/>
            <w:vAlign w:val="bottom"/>
            <w:gridSpan w:val="2"/>
          </w:tcPr>
          <w:p>
            <w:pPr>
              <w:ind w:left="1540"/>
              <w:spacing w:after="0"/>
              <w:rPr>
                <w:sz w:val="20"/>
                <w:szCs w:val="20"/>
                <w:color w:val="auto"/>
              </w:rPr>
            </w:pPr>
            <w:r>
              <w:rPr>
                <w:rFonts w:ascii="Arial" w:cs="Arial" w:eastAsia="Arial" w:hAnsi="Arial"/>
                <w:sz w:val="18"/>
                <w:szCs w:val="18"/>
                <w:i w:val="1"/>
                <w:iCs w:val="1"/>
                <w:color w:val="auto"/>
              </w:rPr>
              <w:t>Class II Director</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Ashutosh Tyagi, M.D.</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20,912,894</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1,967,299</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3,603,425</w:t>
            </w:r>
          </w:p>
        </w:tc>
      </w:tr>
    </w:tbl>
    <w:p>
      <w:pPr>
        <w:spacing w:after="0" w:line="20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Company’s stockholders elected Dr. Gérard Ber and David N. Gill as Class I directors to serve for a three-year term to expire at the 2022 annual meeting of stockholders and Ashutosh Tyagi, M.D. as a Class I director to serve for a one-year term to expire at the 2020 annual meeting of stockholders, each such nominee to hold office until his successor has been duly elected and qualified or until his earlier death, resignation or removal.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Ratification of appointment of independent registered public accounting firm.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2"/>
          </w:tcPr>
          <w:p>
            <w:pPr>
              <w:ind w:left="1400"/>
              <w:spacing w:after="0"/>
              <w:rPr>
                <w:sz w:val="20"/>
                <w:szCs w:val="20"/>
                <w:color w:val="auto"/>
              </w:rPr>
            </w:pPr>
            <w:r>
              <w:rPr>
                <w:rFonts w:ascii="Arial" w:cs="Arial" w:eastAsia="Arial" w:hAnsi="Arial"/>
                <w:sz w:val="14"/>
                <w:szCs w:val="14"/>
                <w:b w:val="1"/>
                <w:bCs w:val="1"/>
                <w:color w:val="auto"/>
              </w:rPr>
              <w:t>For</w:t>
            </w:r>
          </w:p>
        </w:tc>
        <w:tc>
          <w:tcPr>
            <w:tcW w:w="740" w:type="dxa"/>
            <w:vAlign w:val="bottom"/>
          </w:tcPr>
          <w:p>
            <w:pPr>
              <w:spacing w:after="0"/>
              <w:rPr>
                <w:sz w:val="14"/>
                <w:szCs w:val="14"/>
                <w:color w:val="auto"/>
              </w:rPr>
            </w:pPr>
          </w:p>
        </w:tc>
        <w:tc>
          <w:tcPr>
            <w:tcW w:w="2600" w:type="dxa"/>
            <w:vAlign w:val="bottom"/>
            <w:gridSpan w:val="3"/>
          </w:tcPr>
          <w:p>
            <w:pPr>
              <w:jc w:val="right"/>
              <w:ind w:right="1785"/>
              <w:spacing w:after="0"/>
              <w:rPr>
                <w:sz w:val="20"/>
                <w:szCs w:val="20"/>
                <w:color w:val="auto"/>
              </w:rPr>
            </w:pPr>
            <w:r>
              <w:rPr>
                <w:rFonts w:ascii="Arial" w:cs="Arial" w:eastAsia="Arial" w:hAnsi="Arial"/>
                <w:sz w:val="14"/>
                <w:szCs w:val="14"/>
                <w:b w:val="1"/>
                <w:bCs w:val="1"/>
                <w:color w:val="auto"/>
              </w:rPr>
              <w:t>Against</w:t>
            </w:r>
          </w:p>
        </w:tc>
        <w:tc>
          <w:tcPr>
            <w:tcW w:w="1960" w:type="dxa"/>
            <w:vAlign w:val="bottom"/>
          </w:tcPr>
          <w:p>
            <w:pPr>
              <w:ind w:left="460"/>
              <w:spacing w:after="0"/>
              <w:rPr>
                <w:sz w:val="20"/>
                <w:szCs w:val="20"/>
                <w:color w:val="auto"/>
              </w:rPr>
            </w:pPr>
            <w:r>
              <w:rPr>
                <w:rFonts w:ascii="Arial" w:cs="Arial" w:eastAsia="Arial" w:hAnsi="Arial"/>
                <w:sz w:val="14"/>
                <w:szCs w:val="14"/>
                <w:b w:val="1"/>
                <w:bCs w:val="1"/>
                <w:color w:val="auto"/>
              </w:rPr>
              <w:t>Abstain</w:t>
            </w:r>
          </w:p>
        </w:tc>
        <w:tc>
          <w:tcPr>
            <w:tcW w:w="280" w:type="dxa"/>
            <w:vAlign w:val="bottom"/>
          </w:tcPr>
          <w:p>
            <w:pPr>
              <w:spacing w:after="0"/>
              <w:rPr>
                <w:sz w:val="14"/>
                <w:szCs w:val="14"/>
                <w:color w:val="auto"/>
              </w:rPr>
            </w:pPr>
          </w:p>
        </w:tc>
        <w:tc>
          <w:tcPr>
            <w:tcW w:w="2500" w:type="dxa"/>
            <w:vAlign w:val="bottom"/>
          </w:tcPr>
          <w:p>
            <w:pPr>
              <w:jc w:val="right"/>
              <w:ind w:right="619"/>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3040" w:type="dxa"/>
            <w:vAlign w:val="bottom"/>
            <w:tcBorders>
              <w:top w:val="single" w:sz="8" w:color="auto"/>
            </w:tcBorders>
            <w:shd w:val="clear" w:color="auto" w:fill="CCEEFF"/>
          </w:tcPr>
          <w:p>
            <w:pPr>
              <w:jc w:val="right"/>
              <w:ind w:right="2139"/>
              <w:spacing w:after="0"/>
              <w:rPr>
                <w:sz w:val="20"/>
                <w:szCs w:val="20"/>
                <w:color w:val="auto"/>
              </w:rPr>
            </w:pPr>
            <w:r>
              <w:rPr>
                <w:rFonts w:ascii="Arial" w:cs="Arial" w:eastAsia="Arial" w:hAnsi="Arial"/>
                <w:sz w:val="18"/>
                <w:szCs w:val="18"/>
                <w:color w:val="auto"/>
                <w:w w:val="88"/>
              </w:rPr>
              <w:t>26,471,363</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83"/>
              </w:rPr>
              <w:t>12,255</w:t>
            </w:r>
          </w:p>
        </w:tc>
        <w:tc>
          <w:tcPr>
            <w:tcW w:w="1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0</w:t>
            </w:r>
          </w:p>
        </w:tc>
        <w:tc>
          <w:tcPr>
            <w:tcW w:w="1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ind w:right="2319"/>
              <w:spacing w:after="0"/>
              <w:rPr>
                <w:sz w:val="20"/>
                <w:szCs w:val="20"/>
                <w:color w:val="auto"/>
              </w:rPr>
            </w:pPr>
            <w:r>
              <w:rPr>
                <w:rFonts w:ascii="Arial" w:cs="Arial" w:eastAsia="Arial" w:hAnsi="Arial"/>
                <w:sz w:val="18"/>
                <w:szCs w:val="18"/>
                <w:color w:val="auto"/>
                <w:w w:val="79"/>
              </w:rPr>
              <w:t>0</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stockholders ratified the appointment of PricewaterhouseCoopers LLP as the Company’s independent registered public accounting firm for the fiscal year ending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2"/>
          </w:tcPr>
          <w:p>
            <w:pPr>
              <w:ind w:left="2200"/>
              <w:spacing w:after="0"/>
              <w:rPr>
                <w:sz w:val="20"/>
                <w:szCs w:val="20"/>
                <w:color w:val="auto"/>
              </w:rPr>
            </w:pPr>
            <w:r>
              <w:rPr>
                <w:rFonts w:ascii="Arial" w:cs="Arial" w:eastAsia="Arial" w:hAnsi="Arial"/>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June 6, 2019</w:t>
            </w:r>
          </w:p>
        </w:tc>
        <w:tc>
          <w:tcPr>
            <w:tcW w:w="7900" w:type="dxa"/>
            <w:vAlign w:val="bottom"/>
            <w:gridSpan w:val="2"/>
          </w:tcPr>
          <w:p>
            <w:pPr>
              <w:ind w:left="2200"/>
              <w:spacing w:after="0"/>
              <w:rPr>
                <w:sz w:val="20"/>
                <w:szCs w:val="20"/>
                <w:color w:val="auto"/>
              </w:rPr>
            </w:pPr>
            <w:r>
              <w:rPr>
                <w:rFonts w:ascii="Arial" w:cs="Arial" w:eastAsia="Arial" w:hAnsi="Arial"/>
                <w:sz w:val="18"/>
                <w:szCs w:val="18"/>
                <w:color w:val="auto"/>
              </w:rPr>
              <w:t>By:   /s/ Thomas Gad</w:t>
            </w:r>
          </w:p>
        </w:tc>
        <w:tc>
          <w:tcPr>
            <w:tcW w:w="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c>
          <w:tcPr>
            <w:tcW w:w="4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7"/>
              </w:rPr>
              <w:t>Founder, Chairman, President and Head of Business Development</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2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2019-12-01T23:18:30Z</dcterms:created>
  <dcterms:modified xsi:type="dcterms:W3CDTF">2019-12-01T23:18:30Z</dcterms:modified>
</cp:coreProperties>
</file>