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22, 2021 (February 22, 2021)</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640" w:type="dxa"/>
        <w:tblCellMar>
          <w:top w:w="0" w:type="dxa"/>
          <w:left w:w="0" w:type="dxa"/>
          <w:bottom w:w="0" w:type="dxa"/>
          <w:right w:w="0" w:type="dxa"/>
        </w:tblCellMar>
      </w:tblPr>
      <w:tr>
        <w:trPr>
          <w:trHeight w:val="216"/>
        </w:trPr>
        <w:tc>
          <w:tcPr>
            <w:tcW w:w="26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001-38650</w:t>
            </w:r>
          </w:p>
        </w:tc>
        <w:tc>
          <w:tcPr>
            <w:tcW w:w="198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47-4619612</w:t>
            </w:r>
          </w:p>
        </w:tc>
      </w:tr>
      <w:tr>
        <w:trPr>
          <w:trHeight w:val="216"/>
        </w:trPr>
        <w:tc>
          <w:tcPr>
            <w:tcW w:w="26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4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98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6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4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98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680" w:type="dxa"/>
            <w:vAlign w:val="bottom"/>
          </w:tcPr>
          <w:p>
            <w:pPr>
              <w:spacing w:after="0"/>
              <w:rPr>
                <w:sz w:val="24"/>
                <w:szCs w:val="24"/>
                <w:color w:val="auto"/>
              </w:rPr>
            </w:pPr>
          </w:p>
        </w:tc>
        <w:tc>
          <w:tcPr>
            <w:tcW w:w="48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230 Park Avenue</w:t>
            </w:r>
          </w:p>
        </w:tc>
        <w:tc>
          <w:tcPr>
            <w:tcW w:w="1980" w:type="dxa"/>
            <w:vAlign w:val="bottom"/>
          </w:tcPr>
          <w:p>
            <w:pPr>
              <w:spacing w:after="0"/>
              <w:rPr>
                <w:sz w:val="24"/>
                <w:szCs w:val="24"/>
                <w:color w:val="auto"/>
              </w:rPr>
            </w:pPr>
          </w:p>
        </w:tc>
      </w:tr>
      <w:tr>
        <w:trPr>
          <w:trHeight w:val="216"/>
        </w:trPr>
        <w:tc>
          <w:tcPr>
            <w:tcW w:w="2680" w:type="dxa"/>
            <w:vAlign w:val="bottom"/>
          </w:tcPr>
          <w:p>
            <w:pPr>
              <w:spacing w:after="0"/>
              <w:rPr>
                <w:sz w:val="18"/>
                <w:szCs w:val="18"/>
                <w:color w:val="auto"/>
              </w:rPr>
            </w:pPr>
          </w:p>
        </w:tc>
        <w:tc>
          <w:tcPr>
            <w:tcW w:w="48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Suite 3350</w:t>
            </w:r>
          </w:p>
        </w:tc>
        <w:tc>
          <w:tcPr>
            <w:tcW w:w="198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48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New York, New York 10169</w:t>
            </w:r>
          </w:p>
        </w:tc>
        <w:tc>
          <w:tcPr>
            <w:tcW w:w="1980" w:type="dxa"/>
            <w:vAlign w:val="bottom"/>
          </w:tcPr>
          <w:p>
            <w:pPr>
              <w:spacing w:after="0"/>
              <w:rPr>
                <w:sz w:val="18"/>
                <w:szCs w:val="18"/>
                <w:color w:val="auto"/>
              </w:rPr>
            </w:pPr>
          </w:p>
        </w:tc>
      </w:tr>
      <w:tr>
        <w:trPr>
          <w:trHeight w:val="238"/>
        </w:trPr>
        <w:tc>
          <w:tcPr>
            <w:tcW w:w="2680" w:type="dxa"/>
            <w:vAlign w:val="bottom"/>
          </w:tcPr>
          <w:p>
            <w:pPr>
              <w:spacing w:after="0"/>
              <w:rPr>
                <w:sz w:val="20"/>
                <w:szCs w:val="20"/>
                <w:color w:val="auto"/>
              </w:rPr>
            </w:pPr>
          </w:p>
        </w:tc>
        <w:tc>
          <w:tcPr>
            <w:tcW w:w="48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980" w:type="dxa"/>
            <w:vAlign w:val="bottom"/>
          </w:tcPr>
          <w:p>
            <w:pPr>
              <w:spacing w:after="0"/>
              <w:rPr>
                <w:sz w:val="20"/>
                <w:szCs w:val="20"/>
                <w:color w:val="auto"/>
              </w:rPr>
            </w:pPr>
          </w:p>
        </w:tc>
      </w:tr>
      <w:tr>
        <w:trPr>
          <w:trHeight w:val="410"/>
        </w:trPr>
        <w:tc>
          <w:tcPr>
            <w:tcW w:w="2680" w:type="dxa"/>
            <w:vAlign w:val="bottom"/>
          </w:tcPr>
          <w:p>
            <w:pPr>
              <w:spacing w:after="0"/>
              <w:rPr>
                <w:sz w:val="24"/>
                <w:szCs w:val="24"/>
                <w:color w:val="auto"/>
              </w:rPr>
            </w:pPr>
          </w:p>
        </w:tc>
        <w:tc>
          <w:tcPr>
            <w:tcW w:w="48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(646) 885-8505</w:t>
            </w:r>
          </w:p>
        </w:tc>
        <w:tc>
          <w:tcPr>
            <w:tcW w:w="1980" w:type="dxa"/>
            <w:vAlign w:val="bottom"/>
          </w:tcPr>
          <w:p>
            <w:pPr>
              <w:spacing w:after="0"/>
              <w:rPr>
                <w:sz w:val="24"/>
                <w:szCs w:val="24"/>
                <w:color w:val="auto"/>
              </w:rPr>
            </w:pPr>
          </w:p>
        </w:tc>
      </w:tr>
      <w:tr>
        <w:trPr>
          <w:trHeight w:val="238"/>
        </w:trPr>
        <w:tc>
          <w:tcPr>
            <w:tcW w:w="2680" w:type="dxa"/>
            <w:vAlign w:val="bottom"/>
          </w:tcPr>
          <w:p>
            <w:pPr>
              <w:spacing w:after="0"/>
              <w:rPr>
                <w:sz w:val="20"/>
                <w:szCs w:val="20"/>
                <w:color w:val="auto"/>
              </w:rPr>
            </w:pPr>
          </w:p>
        </w:tc>
        <w:tc>
          <w:tcPr>
            <w:tcW w:w="48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include area code)</w:t>
            </w:r>
          </w:p>
        </w:tc>
        <w:tc>
          <w:tcPr>
            <w:tcW w:w="198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YMAB</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22, 2021, the Company issued a press release announcing the closing of its public offering of 2,804,878 shares of its common stock, at a public offering price of $41.00 per share, which includes the exercise in full of the underwriters’ option to purchase 365,853 additional shares of common stock. Copy of this press release is attached as Exhibit 99.1 hereto.</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Item 7.01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7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280" w:type="dxa"/>
            <w:vAlign w:val="bottom"/>
          </w:tcPr>
          <w:p>
            <w:pPr>
              <w:spacing w:after="0"/>
              <w:rPr>
                <w:sz w:val="18"/>
                <w:szCs w:val="18"/>
                <w:color w:val="auto"/>
              </w:rPr>
            </w:pPr>
          </w:p>
        </w:tc>
      </w:tr>
      <w:tr>
        <w:trPr>
          <w:trHeight w:val="238"/>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28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14"/>
        </w:trPr>
        <w:tc>
          <w:tcPr>
            <w:tcW w:w="960" w:type="dxa"/>
            <w:vAlign w:val="bottom"/>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99.1</w:t>
              </w:r>
            </w:hyperlink>
          </w:p>
        </w:tc>
        <w:tc>
          <w:tcPr>
            <w:tcW w:w="10280" w:type="dxa"/>
            <w:vAlign w:val="bottom"/>
          </w:tcPr>
          <w:p>
            <w:pPr>
              <w:ind w:left="40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Press Release, dated February 22, 2021</w:t>
              </w:r>
            </w:hyperlink>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960" w:type="dxa"/>
            <w:vAlign w:val="bottom"/>
            <w:tcBorders>
              <w:bottom w:val="single" w:sz="8" w:color="auto"/>
            </w:tcBorders>
          </w:tcPr>
          <w:p>
            <w:pPr>
              <w:spacing w:after="0"/>
              <w:rPr>
                <w:sz w:val="24"/>
                <w:szCs w:val="24"/>
                <w:color w:val="auto"/>
              </w:rPr>
            </w:pPr>
          </w:p>
        </w:tc>
        <w:tc>
          <w:tcPr>
            <w:tcW w:w="10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4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Y-MABS THERAPEUTICS, INC.</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22, 2021</w:t>
            </w:r>
          </w:p>
        </w:tc>
        <w:tc>
          <w:tcPr>
            <w:tcW w:w="74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Thomas Gad</w:t>
            </w:r>
          </w:p>
        </w:tc>
      </w:tr>
      <w:tr>
        <w:trPr>
          <w:trHeight w:val="191"/>
        </w:trPr>
        <w:tc>
          <w:tcPr>
            <w:tcW w:w="37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Thomas Gad</w:t>
            </w:r>
          </w:p>
        </w:tc>
      </w:tr>
      <w:tr>
        <w:trPr>
          <w:trHeight w:val="216"/>
        </w:trPr>
        <w:tc>
          <w:tcPr>
            <w:tcW w:w="3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Founder, Chairman, President and Head of Business Development &amp;</w:t>
            </w:r>
          </w:p>
        </w:tc>
      </w:tr>
      <w:tr>
        <w:trPr>
          <w:trHeight w:val="234"/>
        </w:trPr>
        <w:tc>
          <w:tcPr>
            <w:tcW w:w="37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Strategy</w:t>
            </w:r>
          </w:p>
        </w:tc>
      </w:tr>
      <w:tr>
        <w:trPr>
          <w:trHeight w:val="675"/>
        </w:trPr>
        <w:tc>
          <w:tcPr>
            <w:tcW w:w="37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168275</wp:posOffset>
            </wp:positionV>
            <wp:extent cx="2486025" cy="436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8602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Y-mAbs Therapeutics, Inc. Announces Closing of Public Offering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6459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645920"/>
                    </a:xfrm>
                    <a:prstGeom prst="rect">
                      <a:avLst/>
                    </a:prstGeom>
                    <a:noFill/>
                  </pic:spPr>
                </pic:pic>
              </a:graphicData>
            </a:graphic>
          </wp:anchor>
        </w:drawing>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New York, NY, February 22, 2021 (GLOBE NEWSWIRE) — Y-mAbs Therapeutics, Inc. (the “Company” or “Y-mAbs”) (Nasdaq: YMAB), a commercial-stage biopharmaceutical company focused on the development and commercialization of novel, antibody-based therapeutic products for the treatment of cancer, today announced the closing of its public offering of 2,804,878 shares of its common stock, at a public offering price of $41.00 per share, which includes the exercise in full of the underwriters' option to purchase 365,853 additional shares of common stock. The aggregate gross proceeds to Y-mAbs, before deducting underwriting discounts and commissions and estimated offering expenses payable by the Company, were approximately $115 million. All of the shares of common stock were offered by the Company. Y-mAbs’ common stock is listed on The Nasdaq Global Select Market under the ticker symbol "YMAB."</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J.P. Morgan, Morgan Stanley and BofA Securities acted as the joint book-running managers for the offering. H.C. Wainwright &amp; Co. and Kempen &amp; Co acted as lead co-managers for the offering.</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F2F2F"/>
        </w:rPr>
        <w:t xml:space="preserve">A preliminary prospectus supplement relating to and describing the terms of the offering was filed with the </w:t>
      </w:r>
      <w:r>
        <w:rPr>
          <w:rFonts w:ascii="Times New Roman" w:cs="Times New Roman" w:eastAsia="Times New Roman" w:hAnsi="Times New Roman"/>
          <w:sz w:val="18"/>
          <w:szCs w:val="18"/>
          <w:color w:val="000000"/>
        </w:rPr>
        <w:t>Securities and Exchange Commission</w:t>
      </w:r>
      <w:r>
        <w:rPr>
          <w:rFonts w:ascii="Times New Roman" w:cs="Times New Roman" w:eastAsia="Times New Roman" w:hAnsi="Times New Roman"/>
          <w:sz w:val="18"/>
          <w:szCs w:val="18"/>
          <w:color w:val="2F2F2F"/>
        </w:rPr>
        <w:t xml:space="preserve"> (“</w:t>
      </w:r>
      <w:r>
        <w:rPr>
          <w:rFonts w:ascii="Times New Roman" w:cs="Times New Roman" w:eastAsia="Times New Roman" w:hAnsi="Times New Roman"/>
          <w:sz w:val="18"/>
          <w:szCs w:val="18"/>
          <w:color w:val="000000"/>
        </w:rPr>
        <w:t>SEC”</w:t>
      </w:r>
      <w:r>
        <w:rPr>
          <w:rFonts w:ascii="Times New Roman" w:cs="Times New Roman" w:eastAsia="Times New Roman" w:hAnsi="Times New Roman"/>
          <w:sz w:val="18"/>
          <w:szCs w:val="18"/>
          <w:color w:val="2F2F2F"/>
        </w:rPr>
        <w:t xml:space="preserve">) on </w:t>
      </w:r>
      <w:r>
        <w:rPr>
          <w:rFonts w:ascii="Times New Roman" w:cs="Times New Roman" w:eastAsia="Times New Roman" w:hAnsi="Times New Roman"/>
          <w:sz w:val="18"/>
          <w:szCs w:val="18"/>
          <w:color w:val="000000"/>
        </w:rPr>
        <w:t>February 16</w:t>
      </w:r>
      <w:r>
        <w:rPr>
          <w:rFonts w:ascii="Times New Roman" w:cs="Times New Roman" w:eastAsia="Times New Roman" w:hAnsi="Times New Roman"/>
          <w:sz w:val="18"/>
          <w:szCs w:val="18"/>
          <w:color w:val="2F2F2F"/>
        </w:rPr>
        <w:t xml:space="preserve">, 2021. A final prospectus supplement relating to the offering was filed with the </w:t>
      </w:r>
      <w:r>
        <w:rPr>
          <w:rFonts w:ascii="Times New Roman" w:cs="Times New Roman" w:eastAsia="Times New Roman" w:hAnsi="Times New Roman"/>
          <w:sz w:val="18"/>
          <w:szCs w:val="18"/>
          <w:color w:val="000000"/>
        </w:rPr>
        <w:t>SEC</w:t>
      </w:r>
      <w:r>
        <w:rPr>
          <w:rFonts w:ascii="Times New Roman" w:cs="Times New Roman" w:eastAsia="Times New Roman" w:hAnsi="Times New Roman"/>
          <w:sz w:val="18"/>
          <w:szCs w:val="18"/>
          <w:color w:val="2F2F2F"/>
        </w:rPr>
        <w:t xml:space="preserve"> on </w:t>
      </w:r>
      <w:r>
        <w:rPr>
          <w:rFonts w:ascii="Times New Roman" w:cs="Times New Roman" w:eastAsia="Times New Roman" w:hAnsi="Times New Roman"/>
          <w:sz w:val="18"/>
          <w:szCs w:val="18"/>
          <w:color w:val="000000"/>
        </w:rPr>
        <w:t>February 18</w:t>
      </w:r>
      <w:r>
        <w:rPr>
          <w:rFonts w:ascii="Times New Roman" w:cs="Times New Roman" w:eastAsia="Times New Roman" w:hAnsi="Times New Roman"/>
          <w:sz w:val="18"/>
          <w:szCs w:val="18"/>
          <w:color w:val="2F2F2F"/>
        </w:rPr>
        <w:t xml:space="preserve">, 2021. Copies of the final prospectus supplement relating to the offering are available on the SEC’s website at </w:t>
      </w:r>
      <w:r>
        <w:rPr>
          <w:rFonts w:ascii="Times New Roman" w:cs="Times New Roman" w:eastAsia="Times New Roman" w:hAnsi="Times New Roman"/>
          <w:sz w:val="18"/>
          <w:szCs w:val="18"/>
          <w:color w:val="000000"/>
        </w:rPr>
        <w:t>www.sec.gov</w:t>
      </w:r>
      <w:r>
        <w:rPr>
          <w:rFonts w:ascii="Times New Roman" w:cs="Times New Roman" w:eastAsia="Times New Roman" w:hAnsi="Times New Roman"/>
          <w:sz w:val="18"/>
          <w:szCs w:val="18"/>
          <w:color w:val="2F2F2F"/>
        </w:rPr>
        <w:t xml:space="preserve">. </w:t>
      </w:r>
      <w:r>
        <w:rPr>
          <w:rFonts w:ascii="Times New Roman" w:cs="Times New Roman" w:eastAsia="Times New Roman" w:hAnsi="Times New Roman"/>
          <w:sz w:val="18"/>
          <w:szCs w:val="18"/>
          <w:color w:val="000000"/>
        </w:rPr>
        <w:t>The final prospectus supplement and prospectus relating to the</w:t>
      </w:r>
      <w:r>
        <w:rPr>
          <w:rFonts w:ascii="Times New Roman" w:cs="Times New Roman" w:eastAsia="Times New Roman" w:hAnsi="Times New Roman"/>
          <w:sz w:val="18"/>
          <w:szCs w:val="18"/>
          <w:color w:val="2F2F2F"/>
        </w:rPr>
        <w:t xml:space="preserve"> </w:t>
      </w:r>
      <w:r>
        <w:rPr>
          <w:rFonts w:ascii="Times New Roman" w:cs="Times New Roman" w:eastAsia="Times New Roman" w:hAnsi="Times New Roman"/>
          <w:sz w:val="18"/>
          <w:szCs w:val="18"/>
          <w:color w:val="000000"/>
        </w:rPr>
        <w:t>offering may be obtained from: J.P. Morgan, c/o Broadridge Financial Solutions, 1155 Long Island Avenue, Edgewood, NY, 11717, or by telephone at</w:t>
      </w:r>
    </w:p>
    <w:p>
      <w:pPr>
        <w:spacing w:after="0" w:line="3" w:lineRule="exact"/>
        <w:rPr>
          <w:sz w:val="20"/>
          <w:szCs w:val="20"/>
          <w:color w:val="auto"/>
        </w:rPr>
      </w:pPr>
    </w:p>
    <w:p>
      <w:pPr>
        <w:jc w:val="both"/>
        <w:ind w:firstLine="8"/>
        <w:spacing w:after="0" w:line="255" w:lineRule="auto"/>
        <w:tabs>
          <w:tab w:leader="none" w:pos="44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803-9204; Morgan Stanley &amp; Co. LLC, Attention: Prospectus Department, 180 Varick Street, Second Floor, New York, New York 10014 or BofA Securities, NC1-004-03-43, 200 North College Street, 3rd Floor, Charlotte, NC 28255-0001, Attn: Prospectus Department, or by emailing dg.prospectus_requests@bofa.com.</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shares of common stock described above are being offered by Y-mAbs pursuant to its shelf registration statement on Form S-3 (Reg. No. 333-234034), including a base prospectus, that was filed with the SEC on October 1, 2019 and declared effective by the SEC on October 15, 2019. The securities are being offered only by means of a prospectus supplement and accompanying prospectus forming a part of the effective registration statement. This press release shall not constitute an offer to sell or the solicitation of an offer to buy, nor shall there be any sale of these securities in any state or jurisdiction in which such an offer, solicitation or sale would be unlawful prior to registration or qualification under the securities laws of any such state or jurisdiction.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Y-mAbs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Y-mAbs is a commercial-stage biopharmaceutical company focused on the development and commercialization of novel, antibody-based therapeutic products for the treatment of cancer. The Company has a broad and advanced product pipeline, including one FDA approved product, DANYELZA® (naxitamab-gqgk), which targets tumors that express GD2, and one pivotal-stage product candidate, omburtamab, which targets tumors that express B7-H3.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4828540</wp:posOffset>
            </wp:positionH>
            <wp:positionV relativeFrom="page">
              <wp:posOffset>586105</wp:posOffset>
            </wp:positionV>
            <wp:extent cx="2486025" cy="436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486025" cy="43688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Such statements include, but are not limited to, statements about our business model and development, commercialization and product distribution plans; current and future clinical and pre-clinical studies and our research and development programs; expectations related to the timing of the initiation and completion of regulatory submissions; regulatory, marketing and reimbursement approvals; rate and degree of market acceptance and clinical utility as well as pricing and reimbursement levels; retaining and hiring key employees; our commercialization, marketing and manufacturing capabilities and strategy; our intellectual property position and strategy; additional product candidates and technologies; collaborations or strategic partnerships and the potential benefits thereof; expectations related to the use of our cash and cash equivalents, and the need for, timing and amount of any future financing transaction; our financial performance, including our estimates regarding revenues, expenses, capital expenditure requirements; developments relating to our competitors and our industry; and other statements that are not historical facts. Words such as ‘‘anticipate,’’ ‘‘believe,’’ “contemplate,” ‘‘continue,’’ ‘‘could,’’ ‘‘estimate,’’ ‘‘expect,’’ “hope,” ‘‘intend,’’ ‘‘may,’’ ‘‘might,’’ ‘‘plan,’’ ‘‘potential,’’ ‘‘predict,’’ ‘‘project,’’ ‘‘should,’’ ‘‘target,’’ “will”,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the uncertainties related to market conditions and the completion of the public offering on the anticipated terms or at all; risks associated with our financial condition and need for additional capital; risks associated with our development work; cost and success of our product development activities and clinical trials; the risks of delay in the timing of our regulatory submissions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risks associated with the pandemic caused by the novel coronavirus known as COVID-19 and other risks and uncertainties affecting the Company including those described in the "Risk Factors" section included in our Annual Report on Form 10-K and in our other SEC filings.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“Y-mAbs®” and “DANYELZA®” are registered trademarks of Y-mAbs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Y-mAbs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962785" cy="11144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62785" cy="111442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230 Park Avenue, Suite 3350</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York, NY 10169</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USA</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+1 646 885 8505</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E-mail: info@ymabs.com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86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2021-02-22T15:17:11Z</dcterms:created>
  <dcterms:modified xsi:type="dcterms:W3CDTF">2021-02-22T15:17:11Z</dcterms:modified>
</cp:coreProperties>
</file>