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134620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157480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ind w:left="5008"/>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1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5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Section 13 or 15(d) of</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the Securities Exchange Act of 1934</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January 8, 2024</w:t>
      </w:r>
    </w:p>
    <w:p>
      <w:pPr>
        <w:spacing w:after="0" w:line="13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Y-MABS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134" w:lineRule="exact"/>
        <w:rPr>
          <w:sz w:val="24"/>
          <w:szCs w:val="24"/>
          <w:color w:val="auto"/>
        </w:rPr>
      </w:pPr>
    </w:p>
    <w:tbl>
      <w:tblPr>
        <w:tblLayout w:type="fixed"/>
        <w:tblInd w:w="1028" w:type="dxa"/>
        <w:tblCellMar>
          <w:top w:w="0" w:type="dxa"/>
          <w:left w:w="0" w:type="dxa"/>
          <w:bottom w:w="0" w:type="dxa"/>
          <w:right w:w="0" w:type="dxa"/>
        </w:tblCellMar>
      </w:tblPr>
      <w:tr>
        <w:trPr>
          <w:trHeight w:val="144"/>
        </w:trPr>
        <w:tc>
          <w:tcPr>
            <w:tcW w:w="2300" w:type="dxa"/>
            <w:vAlign w:val="bottom"/>
          </w:tcPr>
          <w:p>
            <w:pPr>
              <w:jc w:val="center"/>
              <w:ind w:right="68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480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001-38650</w:t>
            </w:r>
          </w:p>
        </w:tc>
        <w:tc>
          <w:tcPr>
            <w:tcW w:w="1840" w:type="dxa"/>
            <w:vAlign w:val="bottom"/>
          </w:tcPr>
          <w:p>
            <w:pPr>
              <w:jc w:val="center"/>
              <w:ind w:left="840"/>
              <w:spacing w:after="0"/>
              <w:rPr>
                <w:sz w:val="20"/>
                <w:szCs w:val="20"/>
                <w:color w:val="auto"/>
              </w:rPr>
            </w:pPr>
            <w:r>
              <w:rPr>
                <w:rFonts w:ascii="Times New Roman" w:cs="Times New Roman" w:eastAsia="Times New Roman" w:hAnsi="Times New Roman"/>
                <w:sz w:val="12"/>
                <w:szCs w:val="12"/>
                <w:b w:val="1"/>
                <w:bCs w:val="1"/>
                <w:color w:val="auto"/>
                <w:w w:val="99"/>
              </w:rPr>
              <w:t>47-4619612</w:t>
            </w:r>
          </w:p>
        </w:tc>
      </w:tr>
      <w:tr>
        <w:trPr>
          <w:trHeight w:val="144"/>
        </w:trPr>
        <w:tc>
          <w:tcPr>
            <w:tcW w:w="2300" w:type="dxa"/>
            <w:vAlign w:val="bottom"/>
          </w:tcPr>
          <w:p>
            <w:pPr>
              <w:jc w:val="center"/>
              <w:ind w:right="660"/>
              <w:spacing w:after="0"/>
              <w:rPr>
                <w:sz w:val="20"/>
                <w:szCs w:val="20"/>
                <w:color w:val="auto"/>
              </w:rPr>
            </w:pPr>
            <w:r>
              <w:rPr>
                <w:rFonts w:ascii="Times New Roman" w:cs="Times New Roman" w:eastAsia="Times New Roman" w:hAnsi="Times New Roman"/>
                <w:sz w:val="12"/>
                <w:szCs w:val="12"/>
                <w:b w:val="1"/>
                <w:bCs w:val="1"/>
                <w:color w:val="auto"/>
                <w:w w:val="99"/>
              </w:rPr>
              <w:t>(State or other jurisdiction of</w:t>
            </w:r>
          </w:p>
        </w:tc>
        <w:tc>
          <w:tcPr>
            <w:tcW w:w="480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(Commission</w:t>
            </w:r>
          </w:p>
        </w:tc>
        <w:tc>
          <w:tcPr>
            <w:tcW w:w="1840" w:type="dxa"/>
            <w:vAlign w:val="bottom"/>
          </w:tcPr>
          <w:p>
            <w:pPr>
              <w:jc w:val="center"/>
              <w:ind w:left="840"/>
              <w:spacing w:after="0"/>
              <w:rPr>
                <w:sz w:val="20"/>
                <w:szCs w:val="20"/>
                <w:color w:val="auto"/>
              </w:rPr>
            </w:pPr>
            <w:r>
              <w:rPr>
                <w:rFonts w:ascii="Times New Roman" w:cs="Times New Roman" w:eastAsia="Times New Roman" w:hAnsi="Times New Roman"/>
                <w:sz w:val="12"/>
                <w:szCs w:val="12"/>
                <w:b w:val="1"/>
                <w:bCs w:val="1"/>
                <w:color w:val="auto"/>
                <w:w w:val="99"/>
              </w:rPr>
              <w:t>(I.R.S. Employer</w:t>
            </w:r>
          </w:p>
        </w:tc>
      </w:tr>
      <w:tr>
        <w:trPr>
          <w:trHeight w:val="159"/>
        </w:trPr>
        <w:tc>
          <w:tcPr>
            <w:tcW w:w="2300" w:type="dxa"/>
            <w:vAlign w:val="bottom"/>
          </w:tcPr>
          <w:p>
            <w:pPr>
              <w:jc w:val="center"/>
              <w:ind w:right="680"/>
              <w:spacing w:after="0"/>
              <w:rPr>
                <w:sz w:val="20"/>
                <w:szCs w:val="20"/>
                <w:color w:val="auto"/>
              </w:rPr>
            </w:pPr>
            <w:r>
              <w:rPr>
                <w:rFonts w:ascii="Times New Roman" w:cs="Times New Roman" w:eastAsia="Times New Roman" w:hAnsi="Times New Roman"/>
                <w:sz w:val="12"/>
                <w:szCs w:val="12"/>
                <w:b w:val="1"/>
                <w:bCs w:val="1"/>
                <w:color w:val="auto"/>
                <w:w w:val="99"/>
              </w:rPr>
              <w:t>incorporation or organization)</w:t>
            </w:r>
          </w:p>
        </w:tc>
        <w:tc>
          <w:tcPr>
            <w:tcW w:w="480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File Number)</w:t>
            </w:r>
          </w:p>
        </w:tc>
        <w:tc>
          <w:tcPr>
            <w:tcW w:w="1840" w:type="dxa"/>
            <w:vAlign w:val="bottom"/>
          </w:tcPr>
          <w:p>
            <w:pPr>
              <w:jc w:val="center"/>
              <w:ind w:left="840"/>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273"/>
        </w:trPr>
        <w:tc>
          <w:tcPr>
            <w:tcW w:w="2300" w:type="dxa"/>
            <w:vAlign w:val="bottom"/>
          </w:tcPr>
          <w:p>
            <w:pPr>
              <w:spacing w:after="0"/>
              <w:rPr>
                <w:sz w:val="23"/>
                <w:szCs w:val="23"/>
                <w:color w:val="auto"/>
              </w:rPr>
            </w:pPr>
          </w:p>
        </w:tc>
        <w:tc>
          <w:tcPr>
            <w:tcW w:w="4800" w:type="dxa"/>
            <w:vAlign w:val="bottom"/>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230 Park Avenue</w:t>
            </w:r>
          </w:p>
        </w:tc>
        <w:tc>
          <w:tcPr>
            <w:tcW w:w="1840" w:type="dxa"/>
            <w:vAlign w:val="bottom"/>
          </w:tcPr>
          <w:p>
            <w:pPr>
              <w:spacing w:after="0"/>
              <w:rPr>
                <w:sz w:val="23"/>
                <w:szCs w:val="23"/>
                <w:color w:val="auto"/>
              </w:rPr>
            </w:pPr>
          </w:p>
        </w:tc>
      </w:tr>
      <w:tr>
        <w:trPr>
          <w:trHeight w:val="144"/>
        </w:trPr>
        <w:tc>
          <w:tcPr>
            <w:tcW w:w="2300" w:type="dxa"/>
            <w:vAlign w:val="bottom"/>
          </w:tcPr>
          <w:p>
            <w:pPr>
              <w:spacing w:after="0"/>
              <w:rPr>
                <w:sz w:val="12"/>
                <w:szCs w:val="12"/>
                <w:color w:val="auto"/>
              </w:rPr>
            </w:pPr>
          </w:p>
        </w:tc>
        <w:tc>
          <w:tcPr>
            <w:tcW w:w="4800" w:type="dxa"/>
            <w:vAlign w:val="bottom"/>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Suite 3350</w:t>
            </w:r>
          </w:p>
        </w:tc>
        <w:tc>
          <w:tcPr>
            <w:tcW w:w="1840" w:type="dxa"/>
            <w:vAlign w:val="bottom"/>
          </w:tcPr>
          <w:p>
            <w:pPr>
              <w:spacing w:after="0"/>
              <w:rPr>
                <w:sz w:val="12"/>
                <w:szCs w:val="12"/>
                <w:color w:val="auto"/>
              </w:rPr>
            </w:pPr>
          </w:p>
        </w:tc>
      </w:tr>
      <w:tr>
        <w:trPr>
          <w:trHeight w:val="144"/>
        </w:trPr>
        <w:tc>
          <w:tcPr>
            <w:tcW w:w="2300" w:type="dxa"/>
            <w:vAlign w:val="bottom"/>
          </w:tcPr>
          <w:p>
            <w:pPr>
              <w:spacing w:after="0"/>
              <w:rPr>
                <w:sz w:val="12"/>
                <w:szCs w:val="12"/>
                <w:color w:val="auto"/>
              </w:rPr>
            </w:pPr>
          </w:p>
        </w:tc>
        <w:tc>
          <w:tcPr>
            <w:tcW w:w="4800" w:type="dxa"/>
            <w:vAlign w:val="bottom"/>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7"/>
              </w:rPr>
              <w:t>New York, New York 10169</w:t>
            </w:r>
          </w:p>
        </w:tc>
        <w:tc>
          <w:tcPr>
            <w:tcW w:w="1840" w:type="dxa"/>
            <w:vAlign w:val="bottom"/>
          </w:tcPr>
          <w:p>
            <w:pPr>
              <w:spacing w:after="0"/>
              <w:rPr>
                <w:sz w:val="12"/>
                <w:szCs w:val="12"/>
                <w:color w:val="auto"/>
              </w:rPr>
            </w:pPr>
          </w:p>
        </w:tc>
      </w:tr>
      <w:tr>
        <w:trPr>
          <w:trHeight w:val="159"/>
        </w:trPr>
        <w:tc>
          <w:tcPr>
            <w:tcW w:w="2300" w:type="dxa"/>
            <w:vAlign w:val="bottom"/>
          </w:tcPr>
          <w:p>
            <w:pPr>
              <w:spacing w:after="0"/>
              <w:rPr>
                <w:sz w:val="13"/>
                <w:szCs w:val="13"/>
                <w:color w:val="auto"/>
              </w:rPr>
            </w:pPr>
          </w:p>
        </w:tc>
        <w:tc>
          <w:tcPr>
            <w:tcW w:w="4800" w:type="dxa"/>
            <w:vAlign w:val="bottom"/>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(Address of principal executive offices) (Zip Code)</w:t>
            </w:r>
          </w:p>
        </w:tc>
        <w:tc>
          <w:tcPr>
            <w:tcW w:w="1840" w:type="dxa"/>
            <w:vAlign w:val="bottom"/>
          </w:tcPr>
          <w:p>
            <w:pPr>
              <w:spacing w:after="0"/>
              <w:rPr>
                <w:sz w:val="13"/>
                <w:szCs w:val="13"/>
                <w:color w:val="auto"/>
              </w:rPr>
            </w:pPr>
          </w:p>
        </w:tc>
      </w:tr>
      <w:tr>
        <w:trPr>
          <w:trHeight w:val="273"/>
        </w:trPr>
        <w:tc>
          <w:tcPr>
            <w:tcW w:w="2300" w:type="dxa"/>
            <w:vAlign w:val="bottom"/>
          </w:tcPr>
          <w:p>
            <w:pPr>
              <w:spacing w:after="0"/>
              <w:rPr>
                <w:sz w:val="23"/>
                <w:szCs w:val="23"/>
                <w:color w:val="auto"/>
              </w:rPr>
            </w:pPr>
          </w:p>
        </w:tc>
        <w:tc>
          <w:tcPr>
            <w:tcW w:w="4800" w:type="dxa"/>
            <w:vAlign w:val="bottom"/>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(646) 885-8505</w:t>
            </w:r>
          </w:p>
        </w:tc>
        <w:tc>
          <w:tcPr>
            <w:tcW w:w="1840" w:type="dxa"/>
            <w:vAlign w:val="bottom"/>
          </w:tcPr>
          <w:p>
            <w:pPr>
              <w:spacing w:after="0"/>
              <w:rPr>
                <w:sz w:val="23"/>
                <w:szCs w:val="23"/>
                <w:color w:val="auto"/>
              </w:rPr>
            </w:pPr>
          </w:p>
        </w:tc>
      </w:tr>
      <w:tr>
        <w:trPr>
          <w:trHeight w:val="159"/>
        </w:trPr>
        <w:tc>
          <w:tcPr>
            <w:tcW w:w="2300" w:type="dxa"/>
            <w:vAlign w:val="bottom"/>
          </w:tcPr>
          <w:p>
            <w:pPr>
              <w:spacing w:after="0"/>
              <w:rPr>
                <w:sz w:val="13"/>
                <w:szCs w:val="13"/>
                <w:color w:val="auto"/>
              </w:rPr>
            </w:pPr>
          </w:p>
        </w:tc>
        <w:tc>
          <w:tcPr>
            <w:tcW w:w="4800" w:type="dxa"/>
            <w:vAlign w:val="bottom"/>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(Registrant’s telephone number, include area code)</w:t>
            </w:r>
          </w:p>
        </w:tc>
        <w:tc>
          <w:tcPr>
            <w:tcW w:w="1840" w:type="dxa"/>
            <w:vAlign w:val="bottom"/>
          </w:tcPr>
          <w:p>
            <w:pPr>
              <w:spacing w:after="0"/>
              <w:rPr>
                <w:sz w:val="13"/>
                <w:szCs w:val="13"/>
                <w:color w:val="auto"/>
              </w:rPr>
            </w:pPr>
          </w:p>
        </w:tc>
      </w:tr>
      <w:tr>
        <w:trPr>
          <w:trHeight w:val="273"/>
        </w:trPr>
        <w:tc>
          <w:tcPr>
            <w:tcW w:w="2300" w:type="dxa"/>
            <w:vAlign w:val="bottom"/>
          </w:tcPr>
          <w:p>
            <w:pPr>
              <w:spacing w:after="0"/>
              <w:rPr>
                <w:sz w:val="23"/>
                <w:szCs w:val="23"/>
                <w:color w:val="auto"/>
              </w:rPr>
            </w:pPr>
          </w:p>
        </w:tc>
        <w:tc>
          <w:tcPr>
            <w:tcW w:w="4800" w:type="dxa"/>
            <w:vAlign w:val="bottom"/>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6"/>
              </w:rPr>
              <w:t>N/A</w:t>
            </w:r>
          </w:p>
        </w:tc>
        <w:tc>
          <w:tcPr>
            <w:tcW w:w="1840" w:type="dxa"/>
            <w:vAlign w:val="bottom"/>
          </w:tcPr>
          <w:p>
            <w:pPr>
              <w:spacing w:after="0"/>
              <w:rPr>
                <w:sz w:val="23"/>
                <w:szCs w:val="23"/>
                <w:color w:val="auto"/>
              </w:rPr>
            </w:pPr>
          </w:p>
        </w:tc>
      </w:tr>
      <w:tr>
        <w:trPr>
          <w:trHeight w:val="159"/>
        </w:trPr>
        <w:tc>
          <w:tcPr>
            <w:tcW w:w="2300" w:type="dxa"/>
            <w:vAlign w:val="bottom"/>
          </w:tcPr>
          <w:p>
            <w:pPr>
              <w:spacing w:after="0"/>
              <w:rPr>
                <w:sz w:val="13"/>
                <w:szCs w:val="13"/>
                <w:color w:val="auto"/>
              </w:rPr>
            </w:pPr>
          </w:p>
        </w:tc>
        <w:tc>
          <w:tcPr>
            <w:tcW w:w="480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tc>
        <w:tc>
          <w:tcPr>
            <w:tcW w:w="1840" w:type="dxa"/>
            <w:vAlign w:val="bottom"/>
          </w:tcPr>
          <w:p>
            <w:pPr>
              <w:spacing w:after="0"/>
              <w:rPr>
                <w:sz w:val="13"/>
                <w:szCs w:val="13"/>
                <w:color w:val="auto"/>
              </w:rPr>
            </w:pPr>
          </w:p>
        </w:tc>
      </w:tr>
    </w:tbl>
    <w:p>
      <w:pPr>
        <w:spacing w:after="0" w:line="133"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50" w:lineRule="exact"/>
        <w:rPr>
          <w:sz w:val="24"/>
          <w:szCs w:val="24"/>
          <w:color w:val="auto"/>
        </w:rPr>
      </w:pPr>
    </w:p>
    <w:p>
      <w:pPr>
        <w:ind w:left="448" w:hanging="448"/>
        <w:spacing w:after="0"/>
        <w:tabs>
          <w:tab w:leader="none" w:pos="4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448" w:hanging="448"/>
        <w:spacing w:after="0"/>
        <w:tabs>
          <w:tab w:leader="none" w:pos="4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448" w:hanging="448"/>
        <w:spacing w:after="0"/>
        <w:tabs>
          <w:tab w:leader="none" w:pos="4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8" w:right="5500" w:hanging="8"/>
        <w:spacing w:after="0" w:line="497" w:lineRule="auto"/>
        <w:tabs>
          <w:tab w:leader="none" w:pos="45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 Securities registered pursuant to Section 12(b) of the Act:</w:t>
      </w:r>
    </w:p>
    <w:tbl>
      <w:tblPr>
        <w:tblLayout w:type="fixed"/>
        <w:tblInd w:w="8" w:type="dxa"/>
        <w:tblCellMar>
          <w:top w:w="0" w:type="dxa"/>
          <w:left w:w="0" w:type="dxa"/>
          <w:bottom w:w="0" w:type="dxa"/>
          <w:right w:w="0" w:type="dxa"/>
        </w:tblCellMar>
      </w:tblPr>
      <w:tr>
        <w:trPr>
          <w:trHeight w:val="159"/>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38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Trading Symbol(s)</w:t>
            </w:r>
          </w:p>
        </w:tc>
        <w:tc>
          <w:tcPr>
            <w:tcW w:w="3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144"/>
        </w:trPr>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Common Stock, $0.0001 par value</w:t>
            </w:r>
          </w:p>
        </w:tc>
        <w:tc>
          <w:tcPr>
            <w:tcW w:w="240" w:type="dxa"/>
            <w:vAlign w:val="bottom"/>
          </w:tcPr>
          <w:p>
            <w:pPr>
              <w:spacing w:after="0"/>
              <w:rPr>
                <w:sz w:val="12"/>
                <w:szCs w:val="12"/>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YMAB</w:t>
            </w:r>
          </w:p>
        </w:tc>
        <w:tc>
          <w:tcPr>
            <w:tcW w:w="220" w:type="dxa"/>
            <w:vAlign w:val="bottom"/>
          </w:tcPr>
          <w:p>
            <w:pPr>
              <w:spacing w:after="0"/>
              <w:rPr>
                <w:sz w:val="12"/>
                <w:szCs w:val="12"/>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Nasdaq Global Select Market</w:t>
            </w:r>
          </w:p>
        </w:tc>
      </w:tr>
    </w:tbl>
    <w:p>
      <w:pPr>
        <w:spacing w:after="0" w:line="122" w:lineRule="exact"/>
        <w:rPr>
          <w:sz w:val="24"/>
          <w:szCs w:val="24"/>
          <w:color w:val="auto"/>
        </w:rPr>
      </w:pPr>
    </w:p>
    <w:p>
      <w:pPr>
        <w:ind w:left="8"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4"/>
          <w:szCs w:val="24"/>
          <w:color w:val="auto"/>
        </w:rPr>
      </w:pPr>
    </w:p>
    <w:p>
      <w:pPr>
        <w:ind w:left="8"/>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8" w:lineRule="exact"/>
        <w:rPr>
          <w:sz w:val="24"/>
          <w:szCs w:val="24"/>
          <w:color w:val="auto"/>
        </w:rPr>
      </w:pPr>
    </w:p>
    <w:p>
      <w:pPr>
        <w:ind w:left="8"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97790</wp:posOffset>
            </wp:positionV>
            <wp:extent cx="7178040" cy="1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297815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87"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2.02 Results of Operations and Financial Condition.</w:t>
      </w:r>
    </w:p>
    <w:p>
      <w:pPr>
        <w:spacing w:after="0" w:line="15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2"/>
          <w:szCs w:val="12"/>
          <w:color w:val="auto"/>
        </w:rPr>
        <w:t xml:space="preserve">On January 8, 2024, Y-mAbs Therapeutics, Inc. (the “Company”) made available in the investor relations portion of its website, </w:t>
      </w:r>
      <w:r>
        <w:rPr>
          <w:rFonts w:ascii="Times New Roman" w:cs="Times New Roman" w:eastAsia="Times New Roman" w:hAnsi="Times New Roman"/>
          <w:sz w:val="12"/>
          <w:szCs w:val="12"/>
          <w:i w:val="1"/>
          <w:iCs w:val="1"/>
          <w:color w:val="auto"/>
        </w:rPr>
        <w:t>https://ir.ymabs.com</w:t>
      </w:r>
      <w:r>
        <w:rPr>
          <w:rFonts w:ascii="Times New Roman" w:cs="Times New Roman" w:eastAsia="Times New Roman" w:hAnsi="Times New Roman"/>
          <w:sz w:val="12"/>
          <w:szCs w:val="12"/>
          <w:color w:val="auto"/>
        </w:rPr>
        <w:t>, a corporate overview presentation that the Company plans to use in investor meetings and in its podium presentation at the J.P. Morgan Healthcare Conference. The presentation includes the Company’s statement that it is maintaining its previously announced financial guidance for the year ended December 31, 2023. The presentation also includes the Company’s expectations with respect to its financial runway and presents corporate updates, including updates with respect to the Company’s business, clinical trials and development pipeline. A copy of the presentation is attached hereto as Exhibit 99.1.</w:t>
      </w:r>
    </w:p>
    <w:p>
      <w:pPr>
        <w:spacing w:after="0" w:line="122"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2"/>
          <w:szCs w:val="12"/>
          <w:color w:val="auto"/>
        </w:rPr>
        <w:t>The information furnished pursuant to Item 2.02 on this Form 8-K, including Exhibit 99.1 attached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0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 Exhibits.</w:t>
            </w:r>
          </w:p>
        </w:tc>
        <w:tc>
          <w:tcPr>
            <w:tcW w:w="1560" w:type="dxa"/>
            <w:vAlign w:val="bottom"/>
          </w:tcPr>
          <w:p>
            <w:pPr>
              <w:spacing w:after="0"/>
              <w:rPr>
                <w:sz w:val="13"/>
                <w:szCs w:val="13"/>
                <w:color w:val="auto"/>
              </w:rPr>
            </w:pPr>
          </w:p>
        </w:tc>
        <w:tc>
          <w:tcPr>
            <w:tcW w:w="8720" w:type="dxa"/>
            <w:vAlign w:val="bottom"/>
          </w:tcPr>
          <w:p>
            <w:pPr>
              <w:spacing w:after="0"/>
              <w:rPr>
                <w:sz w:val="13"/>
                <w:szCs w:val="13"/>
                <w:color w:val="auto"/>
              </w:rPr>
            </w:pPr>
          </w:p>
        </w:tc>
      </w:tr>
      <w:tr>
        <w:trPr>
          <w:trHeight w:val="273"/>
        </w:trPr>
        <w:tc>
          <w:tcPr>
            <w:tcW w:w="10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1560" w:type="dxa"/>
            <w:vAlign w:val="bottom"/>
          </w:tcPr>
          <w:p>
            <w:pPr>
              <w:spacing w:after="0"/>
              <w:rPr>
                <w:sz w:val="23"/>
                <w:szCs w:val="23"/>
                <w:color w:val="auto"/>
              </w:rPr>
            </w:pPr>
          </w:p>
        </w:tc>
        <w:tc>
          <w:tcPr>
            <w:tcW w:w="8720" w:type="dxa"/>
            <w:vAlign w:val="bottom"/>
          </w:tcPr>
          <w:p>
            <w:pPr>
              <w:spacing w:after="0"/>
              <w:rPr>
                <w:sz w:val="23"/>
                <w:szCs w:val="23"/>
                <w:color w:val="auto"/>
              </w:rPr>
            </w:pPr>
          </w:p>
        </w:tc>
      </w:tr>
      <w:tr>
        <w:trPr>
          <w:trHeight w:val="148"/>
        </w:trPr>
        <w:tc>
          <w:tcPr>
            <w:tcW w:w="10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No.</w:t>
            </w:r>
          </w:p>
        </w:tc>
        <w:tc>
          <w:tcPr>
            <w:tcW w:w="102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28"/>
        </w:trPr>
        <w:tc>
          <w:tcPr>
            <w:tcW w:w="1020" w:type="dxa"/>
            <w:vAlign w:val="bottom"/>
            <w:gridSpan w:val="2"/>
          </w:tcPr>
          <w:p>
            <w:pPr>
              <w:spacing w:after="0" w:line="128" w:lineRule="exact"/>
              <w:rPr>
                <w:sz w:val="20"/>
                <w:szCs w:val="20"/>
                <w:color w:val="auto"/>
              </w:rPr>
            </w:pPr>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1</w:t>
            </w:r>
          </w:p>
        </w:tc>
        <w:tc>
          <w:tcPr>
            <w:tcW w:w="10280" w:type="dxa"/>
            <w:vAlign w:val="bottom"/>
            <w:gridSpan w:val="2"/>
          </w:tcPr>
          <w:p>
            <w:pPr>
              <w:spacing w:after="0" w:line="128" w:lineRule="exact"/>
              <w:rPr>
                <w:sz w:val="20"/>
                <w:szCs w:val="20"/>
                <w:color w:val="auto"/>
              </w:rPr>
            </w:pPr>
            <w:r>
              <w:rPr>
                <w:rFonts w:ascii="Times New Roman" w:cs="Times New Roman" w:eastAsia="Times New Roman" w:hAnsi="Times New Roman"/>
                <w:sz w:val="12"/>
                <w:szCs w:val="12"/>
                <w:color w:val="0000EE"/>
              </w:rPr>
              <w:t>Presentation dated January 2024</w:t>
            </w:r>
          </w:p>
        </w:tc>
      </w:tr>
      <w:tr>
        <w:trPr>
          <w:trHeight w:val="20"/>
        </w:trPr>
        <w:tc>
          <w:tcPr>
            <w:tcW w:w="20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r>
      <w:tr>
        <w:trPr>
          <w:trHeight w:val="151"/>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w w:val="99"/>
              </w:rPr>
              <w:t>104</w:t>
            </w:r>
          </w:p>
        </w:tc>
        <w:tc>
          <w:tcPr>
            <w:tcW w:w="820" w:type="dxa"/>
            <w:vAlign w:val="bottom"/>
          </w:tcPr>
          <w:p>
            <w:pPr>
              <w:spacing w:after="0"/>
              <w:rPr>
                <w:sz w:val="13"/>
                <w:szCs w:val="13"/>
                <w:color w:val="auto"/>
              </w:rPr>
            </w:pPr>
          </w:p>
        </w:tc>
        <w:tc>
          <w:tcPr>
            <w:tcW w:w="10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Interactive Data File (embedded within the Inline XBRL document)</w:t>
            </w:r>
          </w:p>
        </w:tc>
      </w:tr>
      <w:tr>
        <w:trPr>
          <w:trHeight w:val="450"/>
        </w:trPr>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87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269" w:right="29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Pursuant to the requirements of the Exchange Act, the registrant has duly caused this report to be signed on its behalf by the undersigned hereunto duly authorized.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340" w:type="dxa"/>
            <w:vAlign w:val="bottom"/>
          </w:tcPr>
          <w:p>
            <w:pPr>
              <w:spacing w:after="0"/>
              <w:rPr>
                <w:sz w:val="13"/>
                <w:szCs w:val="13"/>
                <w:color w:val="auto"/>
              </w:rPr>
            </w:pPr>
          </w:p>
        </w:tc>
        <w:tc>
          <w:tcPr>
            <w:tcW w:w="7960" w:type="dxa"/>
            <w:vAlign w:val="bottom"/>
            <w:gridSpan w:val="2"/>
          </w:tcPr>
          <w:p>
            <w:pPr>
              <w:ind w:left="2320"/>
              <w:spacing w:after="0"/>
              <w:rPr>
                <w:sz w:val="20"/>
                <w:szCs w:val="20"/>
                <w:color w:val="auto"/>
              </w:rPr>
            </w:pPr>
            <w:r>
              <w:rPr>
                <w:rFonts w:ascii="Times New Roman" w:cs="Times New Roman" w:eastAsia="Times New Roman" w:hAnsi="Times New Roman"/>
                <w:sz w:val="12"/>
                <w:szCs w:val="12"/>
                <w:color w:val="auto"/>
              </w:rPr>
              <w:t>Y-MABS THERAPEUTICS, INC.</w:t>
            </w:r>
          </w:p>
        </w:tc>
      </w:tr>
      <w:tr>
        <w:trPr>
          <w:trHeight w:val="288"/>
        </w:trPr>
        <w:tc>
          <w:tcPr>
            <w:tcW w:w="3340" w:type="dxa"/>
            <w:vAlign w:val="bottom"/>
          </w:tcPr>
          <w:p>
            <w:pPr>
              <w:spacing w:after="0"/>
              <w:rPr>
                <w:sz w:val="20"/>
                <w:szCs w:val="20"/>
                <w:color w:val="auto"/>
              </w:rPr>
            </w:pPr>
            <w:r>
              <w:rPr>
                <w:rFonts w:ascii="Times New Roman" w:cs="Times New Roman" w:eastAsia="Times New Roman" w:hAnsi="Times New Roman"/>
                <w:sz w:val="12"/>
                <w:szCs w:val="12"/>
                <w:color w:val="auto"/>
              </w:rPr>
              <w:t>Date: January 9, 2024</w:t>
            </w:r>
          </w:p>
        </w:tc>
        <w:tc>
          <w:tcPr>
            <w:tcW w:w="7960" w:type="dxa"/>
            <w:vAlign w:val="bottom"/>
            <w:gridSpan w:val="2"/>
          </w:tcPr>
          <w:p>
            <w:pPr>
              <w:ind w:left="2320"/>
              <w:spacing w:after="0"/>
              <w:rPr>
                <w:sz w:val="20"/>
                <w:szCs w:val="20"/>
                <w:color w:val="auto"/>
              </w:rPr>
            </w:pPr>
            <w:r>
              <w:rPr>
                <w:rFonts w:ascii="Times New Roman" w:cs="Times New Roman" w:eastAsia="Times New Roman" w:hAnsi="Times New Roman"/>
                <w:sz w:val="12"/>
                <w:szCs w:val="12"/>
                <w:color w:val="auto"/>
              </w:rPr>
              <w:t>By:   /s/ Michael Rossi</w:t>
            </w:r>
          </w:p>
        </w:tc>
      </w:tr>
      <w:tr>
        <w:trPr>
          <w:trHeight w:val="122"/>
        </w:trPr>
        <w:tc>
          <w:tcPr>
            <w:tcW w:w="334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532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Michael Rossi</w:t>
            </w:r>
          </w:p>
        </w:tc>
      </w:tr>
      <w:tr>
        <w:trPr>
          <w:trHeight w:val="155"/>
        </w:trPr>
        <w:tc>
          <w:tcPr>
            <w:tcW w:w="334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2"/>
                <w:szCs w:val="12"/>
                <w:color w:val="auto"/>
              </w:rPr>
              <w:t>President and Chief Executive Officer</w:t>
            </w:r>
          </w:p>
        </w:tc>
      </w:tr>
      <w:tr>
        <w:trPr>
          <w:trHeight w:val="450"/>
        </w:trPr>
        <w:tc>
          <w:tcPr>
            <w:tcW w:w="33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3" w:name="page4"/>
    <w:bookmarkEnd w:id="3"/>
    <w:p>
      <w:pPr>
        <w:ind w:left="9420"/>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116205</wp:posOffset>
            </wp:positionV>
            <wp:extent cx="7218680" cy="50292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0" w:num="1">
            <w:col w:w="10160"/>
          </w:cols>
          <w:pgMar w:left="1440" w:top="120" w:right="29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406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8680" cy="5040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2024-01-09T05:49:24Z</dcterms:created>
  <dcterms:modified xsi:type="dcterms:W3CDTF">2024-01-09T05:49:24Z</dcterms:modified>
</cp:coreProperties>
</file>