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gridSpan w:val="6"/>
            <w:vMerge w:val="restart"/>
          </w:tcPr>
          <w:p>
            <w:pPr>
              <w:jc w:val="center"/>
              <w:ind w:right="416"/>
              <w:spacing w:after="0" w:line="143" w:lineRule="exact"/>
              <w:rPr>
                <w:sz w:val="20"/>
                <w:szCs w:val="20"/>
                <w:color w:val="auto"/>
              </w:rPr>
            </w:pPr>
            <w:r>
              <w:rPr>
                <w:rFonts w:ascii="Arial" w:cs="Arial" w:eastAsia="Arial" w:hAnsi="Arial"/>
                <w:sz w:val="13"/>
                <w:szCs w:val="13"/>
                <w:color w:val="auto"/>
              </w:rPr>
              <w:t>Washington, D.C. 20549</w:t>
            </w: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20"/>
            <w:vMerge w:val="restart"/>
          </w:tcPr>
          <w:p>
            <w:pPr>
              <w:jc w:val="center"/>
              <w:ind w:left="46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0" w:type="dxa"/>
            <w:vAlign w:val="bottom"/>
            <w:gridSpan w:val="20"/>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20"/>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1"/>
          </w:tcPr>
          <w:p>
            <w:pPr>
              <w:jc w:val="center"/>
              <w:spacing w:after="0"/>
              <w:rPr>
                <w:sz w:val="20"/>
                <w:szCs w:val="20"/>
                <w:color w:val="auto"/>
              </w:rPr>
            </w:pPr>
            <w:r>
              <w:rPr>
                <w:rFonts w:ascii="Arial" w:cs="Arial" w:eastAsia="Arial" w:hAnsi="Arial"/>
                <w:sz w:val="13"/>
                <w:szCs w:val="13"/>
                <w:color w:val="auto"/>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TYAGI ASHU</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Y-mAbs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YMAB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5"/>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06/08/2023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Y-MABS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2"/>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w w:val="94"/>
              </w:rPr>
              <w:t>230 PARK AVENUE SUITE 3350</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NEW YORK</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NY</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10169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3"/>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3"/>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w w:val="93"/>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ind w:right="80"/>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06/08/2023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20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2,330</w:t>
            </w:r>
            <w:r>
              <w:rPr>
                <w:rFonts w:ascii="Arial" w:cs="Arial" w:eastAsia="Arial" w:hAnsi="Arial"/>
                <w:sz w:val="21"/>
                <w:szCs w:val="21"/>
                <w:color w:val="008000"/>
                <w:vertAlign w:val="superscript"/>
              </w:rPr>
              <w:t>(1)</w:t>
            </w:r>
          </w:p>
        </w:tc>
        <w:tc>
          <w:tcPr>
            <w:tcW w:w="2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w w:val="84"/>
              </w:rPr>
              <w:t>2,330</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2"/>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20"/>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13,950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11"/>
              <w:spacing w:after="0" w:line="139" w:lineRule="exact"/>
              <w:rPr>
                <w:sz w:val="20"/>
                <w:szCs w:val="20"/>
                <w:color w:val="auto"/>
              </w:rPr>
            </w:pPr>
            <w:r>
              <w:rPr>
                <w:rFonts w:ascii="Arial" w:cs="Arial" w:eastAsia="Arial" w:hAnsi="Arial"/>
                <w:sz w:val="13"/>
                <w:szCs w:val="13"/>
                <w:color w:val="0000FF"/>
              </w:rPr>
              <w:t>06/08/2023</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ind w:left="40"/>
              <w:spacing w:after="0" w:line="139"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2"/>
                <w:szCs w:val="12"/>
                <w:color w:val="auto"/>
              </w:rPr>
            </w:pPr>
          </w:p>
        </w:tc>
        <w:tc>
          <w:tcPr>
            <w:tcW w:w="82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13,950</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008000"/>
              </w:rPr>
              <w:t>(3)</w:t>
            </w:r>
          </w:p>
        </w:tc>
        <w:tc>
          <w:tcPr>
            <w:tcW w:w="820" w:type="dxa"/>
            <w:vAlign w:val="bottom"/>
            <w:gridSpan w:val="3"/>
          </w:tcPr>
          <w:p>
            <w:pPr>
              <w:ind w:left="140"/>
              <w:spacing w:after="0" w:line="139" w:lineRule="exact"/>
              <w:rPr>
                <w:sz w:val="20"/>
                <w:szCs w:val="20"/>
                <w:color w:val="auto"/>
              </w:rPr>
            </w:pPr>
            <w:r>
              <w:rPr>
                <w:rFonts w:ascii="Arial" w:cs="Arial" w:eastAsia="Arial" w:hAnsi="Arial"/>
                <w:sz w:val="13"/>
                <w:szCs w:val="13"/>
                <w:color w:val="0000FF"/>
              </w:rPr>
              <w:t>06/08/2033</w:t>
            </w:r>
          </w:p>
        </w:tc>
        <w:tc>
          <w:tcPr>
            <w:tcW w:w="6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line="139" w:lineRule="exact"/>
              <w:rPr>
                <w:sz w:val="20"/>
                <w:szCs w:val="20"/>
                <w:color w:val="auto"/>
              </w:rPr>
            </w:pPr>
            <w:r>
              <w:rPr>
                <w:rFonts w:ascii="Arial" w:cs="Arial" w:eastAsia="Arial" w:hAnsi="Arial"/>
                <w:sz w:val="13"/>
                <w:szCs w:val="13"/>
                <w:color w:val="0000FF"/>
                <w:w w:val="90"/>
              </w:rPr>
              <w:t>13,950</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140"/>
              <w:spacing w:after="0" w:line="131" w:lineRule="exact"/>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-5969000</wp:posOffset>
            </wp:positionV>
            <wp:extent cx="7045960" cy="6146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1461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460" w:firstLine="4"/>
        <w:spacing w:after="0" w:line="272"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restricted stock units ("RSUs") granted to the Reporting Person as a non-employee director pursuant to the 2018 Equity Incentive Plan of Y-mAbs Therapeutics, Inc. Each RSU represents a contingent right to receive one share of the Issuer's common stock on the vesting date of the RSUs. The RSUs vest in full on the earlier of the first anniversary of the date of grant or the date immediately preceding the date of the Issuer's annual meeting of stockholders held in 2024, subject to the Reporting Person's continued service to Y-mAbs Therapeutics, Inc. on the vesting date.</w:t>
      </w:r>
    </w:p>
    <w:p>
      <w:pPr>
        <w:spacing w:after="0" w:line="14"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options granted to the Reporting Person as a non-employee director pursuant to the 2018 Equity Incentive Plan of Y-mAbs Therapeutics, Inc.</w:t>
      </w:r>
    </w:p>
    <w:p>
      <w:pPr>
        <w:spacing w:after="0" w:line="46" w:lineRule="exact"/>
        <w:rPr>
          <w:rFonts w:ascii="Arial" w:cs="Arial" w:eastAsia="Arial" w:hAnsi="Arial"/>
          <w:sz w:val="13"/>
          <w:szCs w:val="13"/>
          <w:color w:val="008000"/>
        </w:rPr>
      </w:pPr>
    </w:p>
    <w:p>
      <w:pPr>
        <w:ind w:left="40" w:right="2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vest in equal monthly installments during the first year following the date of grant, subject to the Reporting Person's continued service to Y-mAbs Therapeutics, Inc. on each vesting date and are exercisable immediately upon vesting.</w:t>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Sune Reinholth Nyland,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168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Ashutosh</w:t>
      </w:r>
      <w:r>
        <w:rPr>
          <w:sz w:val="20"/>
          <w:szCs w:val="20"/>
          <w:color w:val="auto"/>
        </w:rPr>
        <w:tab/>
      </w:r>
      <w:r>
        <w:rPr>
          <w:rFonts w:ascii="Arial" w:cs="Arial" w:eastAsia="Arial" w:hAnsi="Arial"/>
          <w:sz w:val="15"/>
          <w:szCs w:val="15"/>
          <w:color w:val="0000FF"/>
        </w:rPr>
        <w:t>06/09/2023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Tyagi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243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384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52467" TargetMode="External"/><Relationship Id="rId9"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2023-06-09T17:04:36Z</dcterms:created>
  <dcterms:modified xsi:type="dcterms:W3CDTF">2023-06-09T17:04:36Z</dcterms:modified>
</cp:coreProperties>
</file>