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ymab-20230930x10q.htm"/>
        <w:bookmarkStart w:id="1" w:name="ksymab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9b944170_cdc8_4a33_af9b_0bf6a05bc954"/>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100"/>
        <w:ind w:left="0" w:right="0" w:hanging="0"/>
        <w:jc w:val="center"/>
        <w:rPr>
          <w:rFonts w:ascii="Times New Roman;Times;serif" w:hAnsi="Times New Roman;Times;serif"/>
          <w:b/>
          <w:sz w:val="24"/>
        </w:rPr>
      </w:pPr>
      <w:r>
        <w:rPr>
          <w:rFonts w:ascii="Times New Roman;Times;serif" w:hAnsi="Times New Roman;Times;serif"/>
          <w:b/>
          <w:sz w:val="24"/>
        </w:rPr>
        <w:t>FORM 10-Q</w:t>
      </w:r>
    </w:p>
    <w:p>
      <w:pPr>
        <w:pStyle w:val="TextBody"/>
        <w:pBdr/>
        <w:bidi w:val="0"/>
        <w:spacing w:before="0" w:after="100"/>
        <w:ind w:left="0" w:right="0" w:hanging="504"/>
        <w:jc w:val="left"/>
        <w:rPr/>
      </w:pPr>
      <w:r>
        <w:rPr/>
        <w:t>☒      </w:t>
      </w:r>
      <w:r>
        <w:rPr>
          <w:rFonts w:ascii="Times New Roman;Times;serif" w:hAnsi="Times New Roman;Times;serif"/>
          <w:b/>
          <w:sz w:val="16"/>
        </w:rPr>
        <w:t>QUARTERLY REPORT PURSUANT TO SECTION 13 OR 15(d) OF THE SECURITIES EXCHANGE ACT OF 1934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September 30, 2023</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pBdr/>
        <w:bidi w:val="0"/>
        <w:spacing w:before="0" w:after="100"/>
        <w:ind w:left="0" w:right="0" w:hanging="504"/>
        <w:jc w:val="left"/>
        <w:rPr/>
      </w:pPr>
      <w:r>
        <w:rPr/>
        <w:t>☐      </w:t>
      </w:r>
      <w:r>
        <w:rPr>
          <w:rFonts w:ascii="Times New Roman;Times;serif" w:hAnsi="Times New Roman;Times;serif"/>
          <w:b/>
          <w:sz w:val="16"/>
        </w:rPr>
        <w:t>TRANSITION REPORT PURSUANT TO SECTION 13 OR 15(d) OF THE SECURITIES EXCHANGE ACT OF 1934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Commission file number 001-38650</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Y-mAbs Therapeutics, Inc.</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3" w:name="Tc_w6S-sQjr802JFUyCxdA1fw_4_2"/>
      <w:bookmarkStart w:id="4" w:name="Tc_xncwb-zhfEW76cEgq8RaRw_4_0"/>
      <w:bookmarkStart w:id="5" w:name="Tc_Fcgcp57jiEuaBvURCa0oNQ_3_2"/>
      <w:bookmarkStart w:id="6" w:name="Tc_5C1Fc6KyQE-Mi_lAs1KKOg_3_0"/>
      <w:bookmarkStart w:id="7" w:name="_f3451a90_d97b_4df5_b779_83e0aa601804"/>
      <w:bookmarkStart w:id="8" w:name="Tc_w6S-sQjr802JFUyCxdA1fw_4_2"/>
      <w:bookmarkStart w:id="9" w:name="Tc_xncwb-zhfEW76cEgq8RaRw_4_0"/>
      <w:bookmarkStart w:id="10" w:name="Tc_Fcgcp57jiEuaBvURCa0oNQ_3_2"/>
      <w:bookmarkStart w:id="11" w:name="Tc_5C1Fc6KyQE-Mi_lAs1KKOg_3_0"/>
      <w:bookmarkStart w:id="12" w:name="_f3451a90_d97b_4df5_b779_83e0aa601804"/>
      <w:bookmarkEnd w:id="8"/>
      <w:bookmarkEnd w:id="9"/>
      <w:bookmarkEnd w:id="10"/>
      <w:bookmarkEnd w:id="11"/>
      <w:bookmarkEnd w:id="12"/>
    </w:p>
    <w:tbl>
      <w:tblPr>
        <w:tblW w:w="4003" w:type="dxa"/>
        <w:jc w:val="left"/>
        <w:tblInd w:w="0" w:type="dxa"/>
        <w:tblLayout w:type="fixed"/>
        <w:tblCellMar>
          <w:top w:w="0" w:type="dxa"/>
          <w:left w:w="0" w:type="dxa"/>
          <w:bottom w:w="0" w:type="dxa"/>
          <w:right w:w="0" w:type="dxa"/>
        </w:tblCellMar>
      </w:tblPr>
      <w:tblGrid>
        <w:gridCol w:w="2236"/>
        <w:gridCol w:w="326"/>
        <w:gridCol w:w="1441"/>
      </w:tblGrid>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47-4619612</w:t>
            </w:r>
          </w:p>
        </w:tc>
      </w:tr>
      <w:tr>
        <w:trPr/>
        <w:tc>
          <w:tcPr>
            <w:tcW w:w="2236"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left"/>
              <w:rPr/>
            </w:pPr>
            <w:r>
              <w:rPr/>
              <w:t>​</w:t>
            </w:r>
          </w:p>
        </w:tc>
        <w:tc>
          <w:tcPr>
            <w:tcW w:w="1441" w:type="dxa"/>
            <w:tcBorders/>
            <w:vAlign w:val="center"/>
          </w:tcPr>
          <w:p>
            <w:pPr>
              <w:pStyle w:val="TableContents"/>
              <w:bidi w:val="0"/>
              <w:spacing w:before="0" w:after="240"/>
              <w:ind w:left="0" w:right="0" w:hanging="0"/>
              <w:jc w:val="left"/>
              <w:rPr/>
            </w:pPr>
            <w:r>
              <w:rPr/>
              <w:t>​</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tc>
        <w:tc>
          <w:tcPr>
            <w:tcW w:w="326" w:type="dxa"/>
            <w:tcBorders/>
            <w:vAlign w:val="center"/>
          </w:tcPr>
          <w:p>
            <w:pPr>
              <w:pStyle w:val="TableContents"/>
              <w:bidi w:val="0"/>
              <w:spacing w:before="0" w:after="24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230 Park Avenue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3350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New York, NY</w:t>
      </w:r>
      <w:r>
        <w:rPr>
          <w:rFonts w:ascii="Times New Roman;Times;serif" w:hAnsi="Times New Roman;Times;serif"/>
          <w:sz w:val="20"/>
        </w:rPr>
        <w:t> </w:t>
      </w:r>
      <w:r>
        <w:rPr>
          <w:rFonts w:ascii="Times New Roman;Times;serif" w:hAnsi="Times New Roman;Times;serif"/>
          <w:b/>
          <w:sz w:val="16"/>
        </w:rPr>
        <w:t>10169</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(Zip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(646)</w:t>
      </w:r>
      <w:r>
        <w:rPr>
          <w:rFonts w:ascii="Times New Roman;Times;serif" w:hAnsi="Times New Roman;Times;serif"/>
          <w:sz w:val="20"/>
        </w:rPr>
        <w:t xml:space="preserve"> </w:t>
      </w:r>
      <w:r>
        <w:rPr>
          <w:rFonts w:ascii="Times New Roman;Times;serif" w:hAnsi="Times New Roman;Times;serif"/>
          <w:b/>
          <w:sz w:val="16"/>
        </w:rPr>
        <w:t>885-8505</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24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3" w:name="Tc_w7f-_JuFhEiunjThXebUYQ_2_0"/>
      <w:bookmarkStart w:id="14" w:name="Tc_Tq2pg2f9UEOuZjD-R25mzw_1_4"/>
      <w:bookmarkStart w:id="15" w:name="Tc_1_19ALgXskWBp3c9JZ102w_1_2"/>
      <w:bookmarkStart w:id="16" w:name="Tc_CzPlO4yb3Eud0BmYFlGoXg_1_0"/>
      <w:bookmarkStart w:id="17" w:name="_Hlk6809099"/>
      <w:bookmarkStart w:id="18" w:name="_0adbbcd4_c8f9_400a_91de_fa855f870733"/>
      <w:bookmarkStart w:id="19" w:name="Tc_w7f-_JuFhEiunjThXebUYQ_2_0"/>
      <w:bookmarkStart w:id="20" w:name="Tc_Tq2pg2f9UEOuZjD-R25mzw_1_4"/>
      <w:bookmarkStart w:id="21" w:name="Tc_1_19ALgXskWBp3c9JZ102w_1_2"/>
      <w:bookmarkStart w:id="22" w:name="Tc_CzPlO4yb3Eud0BmYFlGoXg_1_0"/>
      <w:bookmarkStart w:id="23" w:name="_Hlk6809099"/>
      <w:bookmarkStart w:id="24" w:name="_0adbbcd4_c8f9_400a_91de_fa855f870733"/>
      <w:bookmarkEnd w:id="19"/>
      <w:bookmarkEnd w:id="20"/>
      <w:bookmarkEnd w:id="21"/>
      <w:bookmarkEnd w:id="22"/>
      <w:bookmarkEnd w:id="23"/>
      <w:bookmarkEnd w:id="24"/>
    </w:p>
    <w:tbl>
      <w:tblPr>
        <w:tblW w:w="6610" w:type="dxa"/>
        <w:jc w:val="left"/>
        <w:tblInd w:w="0" w:type="dxa"/>
        <w:tblLayout w:type="fixed"/>
        <w:tblCellMar>
          <w:top w:w="0" w:type="dxa"/>
          <w:left w:w="0" w:type="dxa"/>
          <w:bottom w:w="0" w:type="dxa"/>
          <w:right w:w="0" w:type="dxa"/>
        </w:tblCellMar>
      </w:tblPr>
      <w:tblGrid>
        <w:gridCol w:w="2566"/>
        <w:gridCol w:w="326"/>
        <w:gridCol w:w="916"/>
        <w:gridCol w:w="326"/>
        <w:gridCol w:w="247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1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256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each class:</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Name of each exchange on which registered:</w:t>
            </w:r>
          </w:p>
        </w:tc>
      </w:tr>
      <w:tr>
        <w:trPr/>
        <w:tc>
          <w:tcPr>
            <w:tcW w:w="2566"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$0.0001 par value</w:t>
            </w:r>
          </w:p>
        </w:tc>
        <w:tc>
          <w:tcPr>
            <w:tcW w:w="326" w:type="dxa"/>
            <w:tcBorders/>
            <w:vAlign w:val="center"/>
          </w:tcPr>
          <w:p>
            <w:pPr>
              <w:pStyle w:val="TableContents"/>
              <w:bidi w:val="0"/>
              <w:spacing w:before="0" w:after="0"/>
              <w:ind w:left="0" w:right="0" w:hanging="0"/>
              <w:jc w:val="left"/>
              <w:rPr/>
            </w:pPr>
            <w:r>
              <w:rPr/>
              <w:t>​</w:t>
            </w:r>
          </w:p>
        </w:tc>
        <w:tc>
          <w:tcPr>
            <w:tcW w:w="9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YMAB</w:t>
            </w:r>
          </w:p>
        </w:tc>
        <w:tc>
          <w:tcPr>
            <w:tcW w:w="32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Select Market</w:t>
            </w:r>
          </w:p>
        </w:tc>
      </w:tr>
    </w:tbl>
    <w:p>
      <w:pPr>
        <w:pStyle w:val="TextBody"/>
        <w:bidi w:val="0"/>
        <w:spacing w:before="0" w:after="24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528" w:type="dxa"/>
        <w:jc w:val="left"/>
        <w:tblInd w:w="0" w:type="dxa"/>
        <w:tblLayout w:type="fixed"/>
        <w:tblCellMar>
          <w:top w:w="0" w:type="dxa"/>
          <w:left w:w="0" w:type="dxa"/>
          <w:bottom w:w="0" w:type="dxa"/>
          <w:right w:w="0" w:type="dxa"/>
        </w:tblCellMar>
      </w:tblPr>
      <w:tblGrid>
        <w:gridCol w:w="1861"/>
        <w:gridCol w:w="326"/>
        <w:gridCol w:w="2341"/>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326" w:type="dxa"/>
            <w:tcBorders/>
            <w:vAlign w:val="center"/>
          </w:tcPr>
          <w:p>
            <w:pPr>
              <w:pStyle w:val="TableContents"/>
              <w:bidi w:val="0"/>
              <w:spacing w:before="0" w:after="0"/>
              <w:ind w:left="0" w:right="0" w:hanging="0"/>
              <w:jc w:val="left"/>
              <w:rPr/>
            </w:pPr>
            <w:r>
              <w:rPr/>
              <w:t>    </w:t>
            </w:r>
          </w:p>
        </w:tc>
        <w:tc>
          <w:tcPr>
            <w:tcW w:w="2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r>
      <w:tr>
        <w:trPr/>
        <w:tc>
          <w:tcPr>
            <w:tcW w:w="1861"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left"/>
              <w:rPr/>
            </w:pPr>
            <w:r>
              <w:rPr/>
              <w:t>​</w:t>
            </w:r>
          </w:p>
        </w:tc>
        <w:tc>
          <w:tcPr>
            <w:tcW w:w="2341" w:type="dxa"/>
            <w:tcBorders/>
            <w:vAlign w:val="center"/>
          </w:tcPr>
          <w:p>
            <w:pPr>
              <w:pStyle w:val="TableContents"/>
              <w:bidi w:val="0"/>
              <w:spacing w:before="0" w:after="240"/>
              <w:ind w:left="0" w:right="0" w:hanging="0"/>
              <w:jc w:val="center"/>
              <w:rPr/>
            </w:pPr>
            <w:r>
              <w:rPr/>
              <w:t>​</w:t>
            </w:r>
          </w:p>
        </w:tc>
      </w:tr>
      <w:tr>
        <w:trPr/>
        <w:tc>
          <w:tcPr>
            <w:tcW w:w="18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w:t>
            </w:r>
          </w:p>
        </w:tc>
        <w:tc>
          <w:tcPr>
            <w:tcW w:w="326" w:type="dxa"/>
            <w:tcBorders/>
            <w:vAlign w:val="center"/>
          </w:tcPr>
          <w:p>
            <w:pPr>
              <w:pStyle w:val="TableContents"/>
              <w:bidi w:val="0"/>
              <w:spacing w:before="0" w:after="240"/>
              <w:ind w:left="0" w:right="0" w:hanging="0"/>
              <w:jc w:val="left"/>
              <w:rPr/>
            </w:pPr>
            <w:r>
              <w:rPr/>
              <w:t>​</w:t>
            </w:r>
          </w:p>
        </w:tc>
        <w:tc>
          <w:tcPr>
            <w:tcW w:w="23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r>
      <w:tr>
        <w:trPr/>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40"/>
              <w:ind w:left="0" w:right="0" w:hanging="0"/>
              <w:jc w:val="left"/>
              <w:rPr/>
            </w:pPr>
            <w:r>
              <w:rPr/>
              <w:t>​</w:t>
            </w:r>
          </w:p>
        </w:tc>
        <w:tc>
          <w:tcPr>
            <w:tcW w:w="23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No  </w:t>
      </w:r>
      <w:r>
        <w:rPr>
          <w:rFonts w:ascii="Times New Roman;Times;serif" w:hAnsi="Times New Roman;Times;serif"/>
          <w:sz w:val="20"/>
        </w:rPr>
        <w:t>☒</w:t>
      </w:r>
      <w:r>
        <w:rPr>
          <w:rFonts w:ascii="Times New Roman;Times;serif" w:hAnsi="Times New Roman;Times;serif"/>
          <w:sz w:val="16"/>
        </w:rPr>
        <w:t>.</w:t>
      </w:r>
    </w:p>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There were 43,621,618 shares of Common Stock ($0.0001 par value) outstanding as of November 6, 2023.</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240"/>
        <w:ind w:left="0" w:right="14" w:firstLine="421"/>
        <w:jc w:val="center"/>
        <w:rPr>
          <w:rFonts w:ascii="Times New Roman;Times;serif" w:hAnsi="Times New Roman;Times;serif"/>
          <w:b/>
          <w:sz w:val="20"/>
        </w:rPr>
      </w:pPr>
      <w:bookmarkStart w:id="25" w:name="_658e5f9c_1f4b_4838_a5e6_cf9133dda8f1"/>
      <w:bookmarkEnd w:id="25"/>
      <w:r>
        <w:rPr>
          <w:rFonts w:ascii="Times New Roman;Times;serif" w:hAnsi="Times New Roman;Times;serif"/>
          <w:b/>
          <w:sz w:val="20"/>
        </w:rPr>
        <w:t>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about us and our industry that involve substantial risks and uncertainties. All statements, other than statements of historical facts, contained in this Quarterly Report on Form 10-Q,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on Form 10-Q.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dispositions, licensing agreements, collaborations, joint ventures, or investments that we may make.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forward-looking statements contained in this Quarterly Report on Form 10-Q are made as of the date of this Quarterly Report on Form 10-Q, and we undertake no obligation to publicly update or review any forward-looking statement, whether as a result of new information, future developments or otherwise, except as required by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Unless expressly indicated or the context requires otherwise, the terms “Y-mAbs,” “Company,” “we,” “us,” and “our” in this document refer to Y-mAbs Therapeutics, Inc., a Delaware corporation, and, where appropriate, its subsidiaries.</w:t>
      </w:r>
    </w:p>
    <w:p>
      <w:pPr>
        <w:pStyle w:val="TextBody"/>
        <w:bidi w:val="0"/>
        <w:spacing w:before="0" w:after="240"/>
        <w:ind w:left="0" w:right="0" w:firstLine="720"/>
        <w:jc w:val="center"/>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is subject to a number of risks, including risks that may prevent us from achieving our business objectives or may adversely affect our business, financial condition, results of operations, cash flows, and prospects.</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risks are discussed more fully below and include, but are not limited to, risks related to, the following:</w:t>
      </w:r>
    </w:p>
    <w:p>
      <w:pPr>
        <w:pStyle w:val="TextBody"/>
        <w:bidi w:val="0"/>
        <w:spacing w:before="0" w:after="24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be able to successfully implement our business model, including our plans to expand the commercialization of DANYELZA® (naxitamab-gqgk), referred to as DANYELZA, and to develop, obtain regulatory approval of and commercialize our other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the rate and degree of market acceptance and clinical utility for DANYELZA or any current or future product candidate for which we may receive marketing approval may not be realized;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the commercial value of any of our product candidates may not be realized;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may not be successful in implementing our business strategy, including our ability and plans in continuing to build out our commercial infrastructure and successfully launching, marketing,</w:t>
            </w:r>
            <w:r>
              <w:rPr>
                <w:caps w:val="false"/>
                <w:smallCaps w:val="false"/>
              </w:rPr>
              <w:t xml:space="preserve"> </w:t>
            </w:r>
            <w:r>
              <w:rPr>
                <w:rFonts w:ascii="Times New Roman;Times;serif" w:hAnsi="Times New Roman;Times;serif"/>
                <w:b w:val="false"/>
                <w:i w:val="false"/>
                <w:caps w:val="false"/>
                <w:smallCaps w:val="false"/>
                <w:sz w:val="20"/>
              </w:rPr>
              <w:t>expanding the indications for, and selling DANYELZA and any current or future product candidate for which we may receive marketing approval. This includes our plans with respect to the focus and activities of our sales force, the nature of our marketing, market access and patient support activities of DANYELZA and related assumptions;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the pricing, coverage and reimbursement of, and the extent to which patient assistance programs are utilized for DANYELZA or other product candidates for which we may receive marketing approval may not be realized;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our ongoing and future clinical trials whether conducted by us or by any of our collaborators, may not be realized, including the timing of initiation of these trials, the pace of enrollment, the completion of enrollment, the availability of data from, and the outcome of, these trials, and expectations with respect to regulatory submissions and potential regulatory approvals may not be realized on the anticipated timing or at all;</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attract, integrate, manage and retain qualified personnel or key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the timing of and our ability to obtain and maintain regulatory, marketing and reimbursement approvals for our product candidates may not be realized;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implement our commercialization, marketing and manufacturing capabilities and strategy;</w:t>
            </w:r>
          </w:p>
        </w:tc>
      </w:tr>
    </w:tbl>
    <w:p>
      <w:pPr>
        <w:pStyle w:val="Normal"/>
        <w:bidi w:val="0"/>
        <w:spacing w:before="0" w:after="0"/>
        <w:jc w:val="left"/>
        <w:rPr>
          <w:sz w:val="4"/>
          <w:szCs w:val="4"/>
        </w:rPr>
      </w:pPr>
      <w:r>
        <w:rPr>
          <w:sz w:val="4"/>
          <w:szCs w:val="4"/>
        </w:rPr>
      </w:r>
      <w:bookmarkStart w:id="26" w:name="_Hlk121148646"/>
      <w:bookmarkStart w:id="27" w:name="_Hlk121148646"/>
      <w:bookmarkEnd w:id="27"/>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establish and maintain sufficient intellectual property position, strategy and scope of protection for the intellectual property rights covering our product candidates and technology, or if the scope of the intellectual property protection obtained is not sufficiently broad, our competitors could develop and commercialize products similar or identical to ours and our ability to successfully commercialize our products, product candidates and other proprietary technologies, if approved,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identify and develop additional product candidates and technologies with significant commercial potential;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enter into collaborations or strategic partnerships for the development and commercialization of our product candidates and future operations, and the potential benefits of any such collaboration or partnership may not be realized;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our relationship with Memorial Sloan Kettering Cancer Center, or MSK, including our ability to maintain our exclusive rights under the 2015 MSK License Agreement (as amended), or MSK License, the 2020 SADA Technology License Agreement, or SADA License Agreement as well as our relationship with MSK as a user of DANYELZA and any future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related to the use of our cash and cash equivalents, and how long our cash resources are expected to last, may be inaccurate and we may require additional funding sooner than we expect;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funding to finance our operations, complete the development and commercialization of our product and product candidates, evaluate future product candidates, programs or other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any future financing transaction and our common stock price and other factors may impact our ability to raise additional capital on favorable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our financial performance, including our estimates regarding revenues, expenses, cash flow, and capital expenditure requirements may not be realized;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in an environment of rapid technological and scientific change, and there is a possibility that our competitors may achieve regulatory approval before us or develop therapies that are safer or more effective than ours;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business, financial condition and results of operations have been and may in the future be adversely affected by health crises, macroeconomic conditions, such as inflation, uncertain global financial markets, supply-chain disruptions, and by geopolitical events, including the invasion of Ukraine by Russia, and sanctions related thereto, which resulted in the suspension of our clinical trial and regulatory activities in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099" w:type="dxa"/>
        <w:jc w:val="left"/>
        <w:tblInd w:w="0" w:type="dxa"/>
        <w:tblLayout w:type="fixed"/>
        <w:tblCellMar>
          <w:top w:w="28" w:type="dxa"/>
          <w:left w:w="28" w:type="dxa"/>
          <w:bottom w:w="28" w:type="dxa"/>
          <w:right w:w="28" w:type="dxa"/>
        </w:tblCellMar>
      </w:tblPr>
      <w:tblGrid>
        <w:gridCol w:w="124"/>
        <w:gridCol w:w="109"/>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Russia;</w:t>
            </w:r>
            <w:r>
              <w:rPr>
                <w:caps w:val="false"/>
                <w:smallCaps w:val="false"/>
              </w:rPr>
              <w:t xml:space="preserve"> </w:t>
            </w:r>
            <w:r>
              <w:rPr>
                <w:rFonts w:ascii="Times New Roman;Times;serif" w:hAnsi="Times New Roman;Times;serif"/>
                <w:b w:val="false"/>
                <w:i w:val="false"/>
                <w:caps w:val="false"/>
                <w:smallCaps w:val="false"/>
                <w:sz w:val="20"/>
              </w:rPr>
              <w:t>as well as the state of war between Israel and Hamas and the related risk of a larger regional conflict;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depend on a small number of third-party contract manufacturing organizations, or CMOs, and expect it would be difficult to find a suitable replacement for the complex and difficult manufacture of DANYELZA and our product candidates. The loss of any of these CMOs or the failure of any of them to meet their obligations to us could affect our ability to continue to sell DANYELZA or to develop our other product candidates in a timely manner;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government laws and regulations, and we may be unable to comply with healthcare laws and regulations in the United States and any applicable foreign countries, including, without limitation, those applying to the marketing and sale of pharmaceutical products.</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8" w:name="TOC"/>
      <w:bookmarkStart w:id="29" w:name="_0cf3c0e8_84c4_495a_a34d_94fc0a8e163b"/>
      <w:bookmarkEnd w:id="28"/>
      <w:bookmarkEnd w:id="29"/>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4438"/>
        <w:gridCol w:w="4444"/>
        <w:gridCol w:w="512"/>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4438" w:type="dxa"/>
            <w:tcBorders/>
            <w:vAlign w:val="center"/>
          </w:tcPr>
          <w:p>
            <w:pPr>
              <w:pStyle w:val="TableContents"/>
              <w:bidi w:val="0"/>
              <w:spacing w:before="0" w:after="283"/>
              <w:ind w:left="0" w:right="0" w:hanging="0"/>
              <w:jc w:val="left"/>
              <w:rPr>
                <w:sz w:val="4"/>
                <w:szCs w:val="4"/>
              </w:rPr>
            </w:pPr>
            <w:r>
              <w:rPr>
                <w:sz w:val="4"/>
                <w:szCs w:val="4"/>
              </w:rPr>
            </w:r>
          </w:p>
        </w:tc>
        <w:tc>
          <w:tcPr>
            <w:tcW w:w="4444" w:type="dxa"/>
            <w:tcBorders/>
            <w:vAlign w:val="center"/>
          </w:tcPr>
          <w:p>
            <w:pPr>
              <w:pStyle w:val="TableContents"/>
              <w:bidi w:val="0"/>
              <w:spacing w:before="0" w:after="283"/>
              <w:ind w:left="0" w:right="0" w:hanging="0"/>
              <w:jc w:val="left"/>
              <w:rPr>
                <w:sz w:val="4"/>
                <w:szCs w:val="4"/>
              </w:rPr>
            </w:pPr>
            <w:r>
              <w:rPr>
                <w:sz w:val="4"/>
                <w:szCs w:val="4"/>
              </w:rPr>
            </w:r>
          </w:p>
        </w:tc>
        <w:tc>
          <w:tcPr>
            <w:tcW w:w="512"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88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88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1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82" w:type="dxa"/>
            <w:gridSpan w:val="2"/>
            <w:tcBorders/>
            <w:vAlign w:val="center"/>
          </w:tcPr>
          <w:p>
            <w:pPr>
              <w:pStyle w:val="TableContents"/>
              <w:bidi w:val="0"/>
              <w:spacing w:before="0" w:after="0"/>
              <w:ind w:left="0" w:right="0" w:hanging="0"/>
              <w:jc w:val="center"/>
              <w:rPr/>
            </w:pPr>
            <w:hyperlink w:anchor="PARTIFINANCIALINFORMATION_86147">
              <w:r>
                <w:rPr>
                  <w:rStyle w:val="InternetLink"/>
                  <w:rFonts w:ascii="Times New Roman;Times;serif" w:hAnsi="Times New Roman;Times;serif"/>
                  <w:b/>
                  <w:i w:val="false"/>
                  <w:caps w:val="false"/>
                  <w:smallCaps w:val="false"/>
                  <w:sz w:val="20"/>
                </w:rPr>
                <w:t>PART I — FINANCIAL INFORMATION</w:t>
              </w:r>
            </w:hyperlink>
          </w:p>
        </w:tc>
        <w:tc>
          <w:tcPr>
            <w:tcW w:w="512"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r>
              <w:rPr/>
              <w:t>​</w:t>
            </w:r>
          </w:p>
        </w:tc>
        <w:tc>
          <w:tcPr>
            <w:tcW w:w="8882" w:type="dxa"/>
            <w:gridSpan w:val="2"/>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FinancialStatements_772788">
              <w:r>
                <w:rPr>
                  <w:rStyle w:val="InternetLink"/>
                  <w:rFonts w:ascii="Times New Roman;Times;serif" w:hAnsi="Times New Roman;Times;serif"/>
                  <w:b w:val="false"/>
                  <w:i w:val="false"/>
                  <w:caps w:val="false"/>
                  <w:smallCaps w:val="false"/>
                  <w:sz w:val="20"/>
                </w:rPr>
                <w:t>Item 1.</w:t>
              </w:r>
            </w:hyperlink>
          </w:p>
        </w:tc>
        <w:tc>
          <w:tcPr>
            <w:tcW w:w="8882" w:type="dxa"/>
            <w:gridSpan w:val="2"/>
            <w:tcBorders/>
            <w:vAlign w:val="center"/>
          </w:tcPr>
          <w:p>
            <w:pPr>
              <w:pStyle w:val="TableContents"/>
              <w:pBdr/>
              <w:bidi w:val="0"/>
              <w:spacing w:before="0" w:after="0"/>
              <w:ind w:left="0" w:right="0" w:hanging="0"/>
              <w:jc w:val="left"/>
              <w:rPr/>
            </w:pPr>
            <w:hyperlink w:anchor="Item1FinancialStatements_772788">
              <w:r>
                <w:rPr>
                  <w:rStyle w:val="InternetLink"/>
                  <w:rFonts w:ascii="Times New Roman;Times;serif" w:hAnsi="Times New Roman;Times;serif"/>
                  <w:b w:val="false"/>
                  <w:i w:val="false"/>
                  <w:caps w:val="false"/>
                  <w:smallCaps w:val="false"/>
                  <w:sz w:val="20"/>
                </w:rPr>
                <w:t>Consolidated Financial Statements: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before="0" w:after="0"/>
              <w:ind w:left="0" w:right="0" w:hanging="0"/>
              <w:jc w:val="left"/>
              <w:rPr/>
            </w:pPr>
            <w:r>
              <w:rPr/>
              <w:t>​</w:t>
            </w:r>
          </w:p>
        </w:tc>
        <w:tc>
          <w:tcPr>
            <w:tcW w:w="8882" w:type="dxa"/>
            <w:gridSpan w:val="2"/>
            <w:tcBorders/>
            <w:vAlign w:val="center"/>
          </w:tcPr>
          <w:p>
            <w:pPr>
              <w:pStyle w:val="TableContents"/>
              <w:pBdr/>
              <w:bidi w:val="0"/>
              <w:spacing w:before="0" w:after="0"/>
              <w:ind w:left="0" w:right="0" w:hanging="0"/>
              <w:jc w:val="left"/>
              <w:rPr/>
            </w:pPr>
            <w:hyperlink w:anchor="ConsolidatedBalanceSheets_233342">
              <w:r>
                <w:rPr>
                  <w:rStyle w:val="InternetLink"/>
                  <w:rFonts w:ascii="Times New Roman;Times;serif" w:hAnsi="Times New Roman;Times;serif"/>
                  <w:b w:val="false"/>
                  <w:i w:val="false"/>
                  <w:caps w:val="false"/>
                  <w:smallCaps w:val="false"/>
                  <w:sz w:val="20"/>
                </w:rPr>
                <w:t>Consolidated Balance Sheets (unaudited) as of September 30, 2023 and December 31, 2022</w:t>
              </w:r>
            </w:hyperlink>
            <w:r>
              <w:rPr>
                <w:rFonts w:ascii="Times New Roman;Times;serif" w:hAnsi="Times New Roman;Times;serif"/>
                <w:sz w:val="20"/>
              </w:rPr>
              <w:t xml:space="preserve"> </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882" w:type="dxa"/>
            <w:gridSpan w:val="2"/>
            <w:tcBorders/>
            <w:vAlign w:val="center"/>
          </w:tcPr>
          <w:p>
            <w:pPr>
              <w:pStyle w:val="TableContents"/>
              <w:bidi w:val="0"/>
              <w:spacing w:before="0" w:after="0"/>
              <w:ind w:left="0" w:right="0" w:hanging="0"/>
              <w:jc w:val="left"/>
              <w:rPr/>
            </w:pPr>
            <w:hyperlink w:anchor="ConsolidatedStatementsofNetLossandCompre">
              <w:r>
                <w:rPr>
                  <w:rStyle w:val="InternetLink"/>
                  <w:rFonts w:ascii="Times New Roman;Times;serif" w:hAnsi="Times New Roman;Times;serif"/>
                  <w:b w:val="false"/>
                  <w:i w:val="false"/>
                  <w:caps w:val="false"/>
                  <w:smallCaps w:val="false"/>
                  <w:sz w:val="20"/>
                </w:rPr>
                <w:t>Consolidated Statements of Net Loss and Comprehensive Loss (unaudited) for the three and nine months ended September 30, 2023 and 2022</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pBdr/>
              <w:bidi w:val="0"/>
              <w:spacing w:before="0" w:after="0"/>
              <w:ind w:left="0" w:right="0" w:hanging="0"/>
              <w:jc w:val="left"/>
              <w:rPr/>
            </w:pPr>
            <w:r>
              <w:rPr/>
              <w:t>​</w:t>
            </w:r>
          </w:p>
        </w:tc>
        <w:tc>
          <w:tcPr>
            <w:tcW w:w="8882" w:type="dxa"/>
            <w:gridSpan w:val="2"/>
            <w:tcBorders/>
            <w:vAlign w:val="center"/>
          </w:tcPr>
          <w:p>
            <w:pPr>
              <w:pStyle w:val="TableContents"/>
              <w:bidi w:val="0"/>
              <w:spacing w:before="0" w:after="0"/>
              <w:ind w:left="0" w:right="0" w:hanging="0"/>
              <w:jc w:val="left"/>
              <w:rPr/>
            </w:pPr>
            <w:hyperlink w:anchor="ConsolidatedStatementsofChangesinStockho">
              <w:r>
                <w:rPr>
                  <w:rStyle w:val="InternetLink"/>
                  <w:rFonts w:ascii="Times New Roman;Times;serif" w:hAnsi="Times New Roman;Times;serif"/>
                  <w:b w:val="false"/>
                  <w:i w:val="false"/>
                  <w:caps w:val="false"/>
                  <w:smallCaps w:val="false"/>
                  <w:sz w:val="20"/>
                </w:rPr>
                <w:t>Consolidated Statements of Changes in Stockholders’ Equity (unaudited) for the three and nine months ended September 30, 2023 and 2022</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pBdr/>
              <w:bidi w:val="0"/>
              <w:spacing w:before="0" w:after="0"/>
              <w:ind w:left="0" w:right="0" w:hanging="0"/>
              <w:jc w:val="left"/>
              <w:rPr/>
            </w:pPr>
            <w:r>
              <w:rPr/>
              <w:t>​</w:t>
            </w:r>
          </w:p>
        </w:tc>
        <w:tc>
          <w:tcPr>
            <w:tcW w:w="8882" w:type="dxa"/>
            <w:gridSpan w:val="2"/>
            <w:tcBorders/>
            <w:vAlign w:val="center"/>
          </w:tcPr>
          <w:p>
            <w:pPr>
              <w:pStyle w:val="TableContents"/>
              <w:bidi w:val="0"/>
              <w:spacing w:before="0" w:after="0"/>
              <w:ind w:left="0" w:right="0" w:hanging="0"/>
              <w:jc w:val="left"/>
              <w:rPr/>
            </w:pPr>
            <w:hyperlink w:anchor="ConsolidatedStatementsofCashFlows_181194">
              <w:r>
                <w:rPr>
                  <w:rStyle w:val="InternetLink"/>
                  <w:rFonts w:ascii="Times New Roman;Times;serif" w:hAnsi="Times New Roman;Times;serif"/>
                  <w:b w:val="false"/>
                  <w:i w:val="false"/>
                  <w:caps w:val="false"/>
                  <w:smallCaps w:val="false"/>
                  <w:sz w:val="20"/>
                </w:rPr>
                <w:t>Consolidated Statements of Cash Flows (unaudited) for the nine months ended September 30, 2023 and 2022</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pBdr/>
              <w:bidi w:val="0"/>
              <w:spacing w:before="0" w:after="0"/>
              <w:ind w:left="0" w:right="0" w:hanging="0"/>
              <w:jc w:val="left"/>
              <w:rPr/>
            </w:pPr>
            <w:r>
              <w:rPr/>
              <w:t>​</w:t>
            </w:r>
          </w:p>
        </w:tc>
        <w:tc>
          <w:tcPr>
            <w:tcW w:w="8882" w:type="dxa"/>
            <w:gridSpan w:val="2"/>
            <w:tcBorders/>
            <w:vAlign w:val="center"/>
          </w:tcPr>
          <w:p>
            <w:pPr>
              <w:pStyle w:val="TableContents"/>
              <w:pBdr/>
              <w:bidi w:val="0"/>
              <w:spacing w:before="0" w:after="0"/>
              <w:ind w:left="0" w:right="0" w:hanging="0"/>
              <w:jc w:val="left"/>
              <w:rPr/>
            </w:pPr>
            <w:hyperlink w:anchor="NOTESTOCONSOLIDATEDFINANCIALSTATEMENTS_1">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82" w:type="dxa"/>
            <w:gridSpan w:val="2"/>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82" w:type="dxa"/>
            <w:gridSpan w:val="2"/>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pBdr/>
              <w:bidi w:val="0"/>
              <w:spacing w:before="0" w:after="0"/>
              <w:ind w:left="0" w:right="0" w:hanging="0"/>
              <w:jc w:val="left"/>
              <w:rPr/>
            </w:pPr>
            <w:hyperlink w:anchor="Item4ControlsandProcedures_863456">
              <w:r>
                <w:rPr>
                  <w:rStyle w:val="InternetLink"/>
                  <w:rFonts w:ascii="Times New Roman;Times;serif" w:hAnsi="Times New Roman;Times;serif"/>
                  <w:b w:val="false"/>
                  <w:i w:val="false"/>
                  <w:caps w:val="false"/>
                  <w:smallCaps w:val="false"/>
                  <w:sz w:val="20"/>
                </w:rPr>
                <w:t>Item 4.</w:t>
              </w:r>
            </w:hyperlink>
          </w:p>
        </w:tc>
        <w:tc>
          <w:tcPr>
            <w:tcW w:w="8882" w:type="dxa"/>
            <w:gridSpan w:val="2"/>
            <w:tcBorders/>
            <w:vAlign w:val="center"/>
          </w:tcPr>
          <w:p>
            <w:pPr>
              <w:pStyle w:val="TableContents"/>
              <w:pBdr/>
              <w:bidi w:val="0"/>
              <w:spacing w:before="0" w:after="0"/>
              <w:ind w:left="0" w:right="0" w:hanging="0"/>
              <w:jc w:val="left"/>
              <w:rPr/>
            </w:pPr>
            <w:hyperlink w:anchor="Item4ControlsandProcedures_863456">
              <w:r>
                <w:rPr>
                  <w:rStyle w:val="InternetLink"/>
                  <w:rFonts w:ascii="Times New Roman;Times;serif" w:hAnsi="Times New Roman;Times;serif"/>
                  <w:b w:val="false"/>
                  <w:i w:val="false"/>
                  <w:caps w:val="false"/>
                  <w:smallCaps w:val="false"/>
                  <w:sz w:val="20"/>
                </w:rPr>
                <w:t>Controls and Procedures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before="0" w:after="0"/>
              <w:ind w:left="0" w:right="0" w:hanging="0"/>
              <w:jc w:val="left"/>
              <w:rPr/>
            </w:pPr>
            <w:r>
              <w:rPr/>
              <w:t>​</w:t>
            </w:r>
          </w:p>
        </w:tc>
        <w:tc>
          <w:tcPr>
            <w:tcW w:w="8882" w:type="dxa"/>
            <w:gridSpan w:val="2"/>
            <w:tcBorders/>
            <w:vAlign w:val="center"/>
          </w:tcPr>
          <w:p>
            <w:pPr>
              <w:pStyle w:val="TableContents"/>
              <w:bidi w:val="0"/>
              <w:spacing w:before="0" w:after="283"/>
              <w:ind w:left="0" w:right="0" w:hanging="0"/>
              <w:jc w:val="left"/>
              <w:rPr>
                <w:sz w:val="4"/>
                <w:szCs w:val="4"/>
              </w:rPr>
            </w:pPr>
            <w:r>
              <w:rPr>
                <w:sz w:val="4"/>
                <w:szCs w:val="4"/>
              </w:rPr>
            </w:r>
          </w:p>
        </w:tc>
        <w:tc>
          <w:tcPr>
            <w:tcW w:w="512"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82" w:type="dxa"/>
            <w:gridSpan w:val="2"/>
            <w:tcBorders/>
            <w:vAlign w:val="center"/>
          </w:tcPr>
          <w:p>
            <w:pPr>
              <w:pStyle w:val="TableContents"/>
              <w:bidi w:val="0"/>
              <w:spacing w:before="0" w:after="0"/>
              <w:ind w:left="0" w:right="0" w:hanging="0"/>
              <w:jc w:val="center"/>
              <w:rPr/>
            </w:pPr>
            <w:hyperlink w:anchor="PARTIIOTHERINFORMATION_339740">
              <w:r>
                <w:rPr>
                  <w:rStyle w:val="InternetLink"/>
                  <w:rFonts w:ascii="Times New Roman;Times;serif" w:hAnsi="Times New Roman;Times;serif"/>
                  <w:b/>
                  <w:i w:val="false"/>
                  <w:caps w:val="false"/>
                  <w:smallCaps w:val="false"/>
                  <w:sz w:val="20"/>
                </w:rPr>
                <w:t>PART II — OTHER INFORMATION</w:t>
              </w:r>
            </w:hyperlink>
          </w:p>
        </w:tc>
        <w:tc>
          <w:tcPr>
            <w:tcW w:w="512"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r>
              <w:rPr/>
              <w:t>​</w:t>
            </w:r>
          </w:p>
        </w:tc>
        <w:tc>
          <w:tcPr>
            <w:tcW w:w="8882" w:type="dxa"/>
            <w:gridSpan w:val="2"/>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LegalProceedings_419220">
              <w:r>
                <w:rPr>
                  <w:rStyle w:val="InternetLink"/>
                  <w:rFonts w:ascii="Times New Roman;Times;serif" w:hAnsi="Times New Roman;Times;serif"/>
                  <w:b w:val="false"/>
                  <w:i w:val="false"/>
                  <w:caps w:val="false"/>
                  <w:smallCaps w:val="false"/>
                  <w:sz w:val="20"/>
                </w:rPr>
                <w:t>Item 1.</w:t>
              </w:r>
            </w:hyperlink>
          </w:p>
        </w:tc>
        <w:tc>
          <w:tcPr>
            <w:tcW w:w="8882" w:type="dxa"/>
            <w:gridSpan w:val="2"/>
            <w:tcBorders/>
            <w:vAlign w:val="center"/>
          </w:tcPr>
          <w:p>
            <w:pPr>
              <w:pStyle w:val="TableContents"/>
              <w:pBdr/>
              <w:bidi w:val="0"/>
              <w:spacing w:before="0" w:after="0"/>
              <w:ind w:left="0" w:right="0" w:hanging="0"/>
              <w:jc w:val="left"/>
              <w:rPr/>
            </w:pPr>
            <w:hyperlink w:anchor="Item1LegalProceedings_419220">
              <w:r>
                <w:rPr>
                  <w:rStyle w:val="InternetLink"/>
                  <w:rFonts w:ascii="Times New Roman;Times;serif" w:hAnsi="Times New Roman;Times;serif"/>
                  <w:b w:val="false"/>
                  <w:i w:val="false"/>
                  <w:caps w:val="false"/>
                  <w:smallCaps w:val="false"/>
                  <w:sz w:val="20"/>
                </w:rPr>
                <w:t>Legal Proceedings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pBdr/>
              <w:bidi w:val="0"/>
              <w:spacing w:before="0" w:after="0"/>
              <w:ind w:left="0" w:right="0" w:hanging="0"/>
              <w:jc w:val="left"/>
              <w:rPr/>
            </w:pPr>
            <w:hyperlink w:anchor="Item1ARiskFactors_474954">
              <w:r>
                <w:rPr>
                  <w:rStyle w:val="InternetLink"/>
                  <w:rFonts w:ascii="Times New Roman;Times;serif" w:hAnsi="Times New Roman;Times;serif"/>
                  <w:b w:val="false"/>
                  <w:i w:val="false"/>
                  <w:caps w:val="false"/>
                  <w:smallCaps w:val="false"/>
                  <w:sz w:val="20"/>
                </w:rPr>
                <w:t>Item 1A.</w:t>
              </w:r>
            </w:hyperlink>
          </w:p>
        </w:tc>
        <w:tc>
          <w:tcPr>
            <w:tcW w:w="8882" w:type="dxa"/>
            <w:gridSpan w:val="2"/>
            <w:tcBorders/>
            <w:vAlign w:val="center"/>
          </w:tcPr>
          <w:p>
            <w:pPr>
              <w:pStyle w:val="TableContents"/>
              <w:pBdr/>
              <w:bidi w:val="0"/>
              <w:spacing w:before="0" w:after="0"/>
              <w:ind w:left="0" w:right="0" w:hanging="0"/>
              <w:jc w:val="left"/>
              <w:rPr/>
            </w:pPr>
            <w:hyperlink w:anchor="Item1ARiskFactors_474954">
              <w:r>
                <w:rPr>
                  <w:rStyle w:val="InternetLink"/>
                  <w:rFonts w:ascii="Times New Roman;Times;serif" w:hAnsi="Times New Roman;Times;serif"/>
                  <w:b w:val="false"/>
                  <w:i w:val="false"/>
                  <w:caps w:val="false"/>
                  <w:smallCaps w:val="false"/>
                  <w:sz w:val="20"/>
                </w:rPr>
                <w:t>Risk Factors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82" w:type="dxa"/>
            <w:gridSpan w:val="2"/>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811" w:type="dxa"/>
            <w:tcBorders/>
            <w:vAlign w:val="center"/>
          </w:tcPr>
          <w:p>
            <w:pPr>
              <w:pStyle w:val="TableContents"/>
              <w:pBdr/>
              <w:bidi w:val="0"/>
              <w:spacing w:before="0" w:after="0"/>
              <w:ind w:left="0" w:right="0" w:hanging="0"/>
              <w:jc w:val="left"/>
              <w:rPr/>
            </w:pPr>
            <w:hyperlink w:anchor="Item3DefaultsonSeniorSecurities_18311">
              <w:r>
                <w:rPr>
                  <w:rStyle w:val="InternetLink"/>
                  <w:rFonts w:ascii="Times New Roman;Times;serif" w:hAnsi="Times New Roman;Times;serif"/>
                  <w:b w:val="false"/>
                  <w:i w:val="false"/>
                  <w:caps w:val="false"/>
                  <w:smallCaps w:val="false"/>
                  <w:sz w:val="20"/>
                </w:rPr>
                <w:t>Item 3.</w:t>
              </w:r>
            </w:hyperlink>
          </w:p>
        </w:tc>
        <w:tc>
          <w:tcPr>
            <w:tcW w:w="8882" w:type="dxa"/>
            <w:gridSpan w:val="2"/>
            <w:tcBorders/>
            <w:vAlign w:val="center"/>
          </w:tcPr>
          <w:p>
            <w:pPr>
              <w:pStyle w:val="TableContents"/>
              <w:pBdr/>
              <w:bidi w:val="0"/>
              <w:spacing w:before="0" w:after="0"/>
              <w:ind w:left="0" w:right="0" w:hanging="0"/>
              <w:jc w:val="left"/>
              <w:rPr/>
            </w:pPr>
            <w:hyperlink w:anchor="Item3DefaultsonSeniorSecurities_18311">
              <w:r>
                <w:rPr>
                  <w:rStyle w:val="InternetLink"/>
                  <w:rFonts w:ascii="Times New Roman;Times;serif" w:hAnsi="Times New Roman;Times;serif"/>
                  <w:b w:val="false"/>
                  <w:i w:val="false"/>
                  <w:caps w:val="false"/>
                  <w:smallCaps w:val="false"/>
                  <w:sz w:val="20"/>
                </w:rPr>
                <w:t>Defaults on Senior Securities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811" w:type="dxa"/>
            <w:tcBorders/>
            <w:vAlign w:val="center"/>
          </w:tcPr>
          <w:p>
            <w:pPr>
              <w:pStyle w:val="TableContents"/>
              <w:pBdr/>
              <w:bidi w:val="0"/>
              <w:spacing w:before="0" w:after="0"/>
              <w:ind w:left="0" w:right="0" w:hanging="0"/>
              <w:jc w:val="left"/>
              <w:rPr/>
            </w:pPr>
            <w:hyperlink w:anchor="Item4MineSafetyDisclosures_32372">
              <w:r>
                <w:rPr>
                  <w:rStyle w:val="InternetLink"/>
                  <w:rFonts w:ascii="Times New Roman;Times;serif" w:hAnsi="Times New Roman;Times;serif"/>
                  <w:b w:val="false"/>
                  <w:i w:val="false"/>
                  <w:caps w:val="false"/>
                  <w:smallCaps w:val="false"/>
                  <w:sz w:val="20"/>
                </w:rPr>
                <w:t>Item 4.</w:t>
              </w:r>
            </w:hyperlink>
          </w:p>
        </w:tc>
        <w:tc>
          <w:tcPr>
            <w:tcW w:w="8882" w:type="dxa"/>
            <w:gridSpan w:val="2"/>
            <w:tcBorders/>
            <w:vAlign w:val="center"/>
          </w:tcPr>
          <w:p>
            <w:pPr>
              <w:pStyle w:val="TableContents"/>
              <w:pBdr/>
              <w:bidi w:val="0"/>
              <w:spacing w:before="0" w:after="0"/>
              <w:ind w:left="0" w:right="0" w:hanging="0"/>
              <w:jc w:val="left"/>
              <w:rPr/>
            </w:pPr>
            <w:hyperlink w:anchor="Item4MineSafetyDisclosures_32372">
              <w:r>
                <w:rPr>
                  <w:rStyle w:val="InternetLink"/>
                  <w:rFonts w:ascii="Times New Roman;Times;serif" w:hAnsi="Times New Roman;Times;serif"/>
                  <w:b w:val="false"/>
                  <w:i w:val="false"/>
                  <w:caps w:val="false"/>
                  <w:smallCaps w:val="false"/>
                  <w:sz w:val="20"/>
                </w:rPr>
                <w:t>Mine Safety Disclosures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811" w:type="dxa"/>
            <w:tcBorders/>
            <w:vAlign w:val="center"/>
          </w:tcPr>
          <w:p>
            <w:pPr>
              <w:pStyle w:val="TableContents"/>
              <w:pBdr/>
              <w:bidi w:val="0"/>
              <w:spacing w:before="0" w:after="0"/>
              <w:ind w:left="0" w:right="0" w:hanging="0"/>
              <w:jc w:val="left"/>
              <w:rPr/>
            </w:pPr>
            <w:hyperlink w:anchor="Item5OtherInformation_485886">
              <w:r>
                <w:rPr>
                  <w:rStyle w:val="InternetLink"/>
                  <w:rFonts w:ascii="Times New Roman;Times;serif" w:hAnsi="Times New Roman;Times;serif"/>
                  <w:b w:val="false"/>
                  <w:i w:val="false"/>
                  <w:caps w:val="false"/>
                  <w:smallCaps w:val="false"/>
                  <w:sz w:val="20"/>
                </w:rPr>
                <w:t>Item 5.</w:t>
              </w:r>
            </w:hyperlink>
          </w:p>
        </w:tc>
        <w:tc>
          <w:tcPr>
            <w:tcW w:w="8882" w:type="dxa"/>
            <w:gridSpan w:val="2"/>
            <w:tcBorders/>
            <w:vAlign w:val="center"/>
          </w:tcPr>
          <w:p>
            <w:pPr>
              <w:pStyle w:val="TableContents"/>
              <w:pBdr/>
              <w:bidi w:val="0"/>
              <w:spacing w:before="0" w:after="0"/>
              <w:ind w:left="0" w:right="0" w:hanging="0"/>
              <w:jc w:val="left"/>
              <w:rPr/>
            </w:pPr>
            <w:hyperlink w:anchor="Item5OtherInformation_485886">
              <w:r>
                <w:rPr>
                  <w:rStyle w:val="InternetLink"/>
                  <w:rFonts w:ascii="Times New Roman;Times;serif" w:hAnsi="Times New Roman;Times;serif"/>
                  <w:b w:val="false"/>
                  <w:i w:val="false"/>
                  <w:caps w:val="false"/>
                  <w:smallCaps w:val="false"/>
                  <w:sz w:val="20"/>
                </w:rPr>
                <w:t>Other Information</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811" w:type="dxa"/>
            <w:tcBorders/>
            <w:vAlign w:val="center"/>
          </w:tcPr>
          <w:p>
            <w:pPr>
              <w:pStyle w:val="TableContents"/>
              <w:pBdr/>
              <w:bidi w:val="0"/>
              <w:spacing w:before="0" w:after="0"/>
              <w:ind w:left="0" w:right="0" w:hanging="0"/>
              <w:jc w:val="left"/>
              <w:rPr/>
            </w:pPr>
            <w:hyperlink w:anchor="Item6Exhibits_681099">
              <w:r>
                <w:rPr>
                  <w:rStyle w:val="InternetLink"/>
                  <w:rFonts w:ascii="Times New Roman;Times;serif" w:hAnsi="Times New Roman;Times;serif"/>
                  <w:b w:val="false"/>
                  <w:i w:val="false"/>
                  <w:caps w:val="false"/>
                  <w:smallCaps w:val="false"/>
                  <w:sz w:val="20"/>
                </w:rPr>
                <w:t>Item 6.</w:t>
              </w:r>
            </w:hyperlink>
          </w:p>
        </w:tc>
        <w:tc>
          <w:tcPr>
            <w:tcW w:w="8882" w:type="dxa"/>
            <w:gridSpan w:val="2"/>
            <w:tcBorders/>
            <w:vAlign w:val="center"/>
          </w:tcPr>
          <w:p>
            <w:pPr>
              <w:pStyle w:val="TableContents"/>
              <w:pBdr/>
              <w:bidi w:val="0"/>
              <w:spacing w:before="0" w:after="0"/>
              <w:ind w:left="0" w:right="0" w:hanging="0"/>
              <w:jc w:val="left"/>
              <w:rPr/>
            </w:pPr>
            <w:hyperlink w:anchor="Item6Exhibits_681099">
              <w:r>
                <w:rPr>
                  <w:rStyle w:val="InternetLink"/>
                  <w:rFonts w:ascii="Times New Roman;Times;serif" w:hAnsi="Times New Roman;Times;serif"/>
                  <w:b w:val="false"/>
                  <w:i w:val="false"/>
                  <w:caps w:val="false"/>
                  <w:smallCaps w:val="false"/>
                  <w:sz w:val="20"/>
                </w:rPr>
                <w:t>Exhibits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You should read this Quarterly Report and the documents we have filed as exhibits to this Quarterly Report on Form 10-Q completely and with the understanding that our actual future results may be materially different from the plans, intentions, and expectations disclosed in the forward-looking statements we may make.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0" w:name="PARTIFINANCIALINFORMATION_86147"/>
      <w:bookmarkStart w:id="31" w:name="_782e40a9_4985_48d3_90b2_f7020c048551"/>
      <w:bookmarkEnd w:id="30"/>
      <w:bookmarkEnd w:id="31"/>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32" w:name="Item1FinancialStatements_772788"/>
      <w:bookmarkEnd w:id="32"/>
      <w:r>
        <w:rPr>
          <w:rFonts w:ascii="Times New Roman;Times;serif" w:hAnsi="Times New Roman;Times;serif"/>
          <w:b/>
          <w:sz w:val="20"/>
        </w:rPr>
        <w:t>Item 1.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Y-MABS THERAPEUTICS, INC.</w:t>
      </w:r>
    </w:p>
    <w:p>
      <w:pPr>
        <w:pStyle w:val="TextBody"/>
        <w:bidi w:val="0"/>
        <w:spacing w:before="0" w:after="240"/>
        <w:ind w:left="0" w:right="0" w:hanging="0"/>
        <w:jc w:val="center"/>
        <w:rPr>
          <w:rFonts w:ascii="Times New Roman;Times;serif" w:hAnsi="Times New Roman;Times;serif"/>
          <w:b/>
          <w:sz w:val="20"/>
        </w:rPr>
      </w:pPr>
      <w:bookmarkStart w:id="33" w:name="ConsolidatedBalanceSheets_233342"/>
      <w:bookmarkEnd w:id="33"/>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 and per share data)</w:t>
      </w:r>
    </w:p>
    <w:p>
      <w:pPr>
        <w:pStyle w:val="Normal"/>
        <w:bidi w:val="0"/>
        <w:spacing w:before="0" w:after="0"/>
        <w:jc w:val="left"/>
        <w:rPr>
          <w:sz w:val="4"/>
          <w:szCs w:val="4"/>
        </w:rPr>
      </w:pPr>
      <w:r>
        <w:rPr>
          <w:sz w:val="4"/>
          <w:szCs w:val="4"/>
        </w:rPr>
      </w:r>
      <w:bookmarkStart w:id="34" w:name="Tc_EyN_QzTGtkayTTM2FWntxg_35_5"/>
      <w:bookmarkStart w:id="35" w:name="Tc_9q1c-l60akiEfj0rs6eumg_35_2"/>
      <w:bookmarkStart w:id="36" w:name="Tc_hw17_-DxmUydjxV-dGldtg_35_0"/>
      <w:bookmarkStart w:id="37" w:name="Tc_yJqtJGW85EeM7GMgCGbLxA_34_0"/>
      <w:bookmarkStart w:id="38" w:name="Tc_C_UyR_-t-EOeivKgNIUsiA_33_0"/>
      <w:bookmarkStart w:id="39" w:name="Tc_ydSinSNTwEiPO-zRSuD6GA_32_0"/>
      <w:bookmarkStart w:id="40" w:name="Tc_P_EGL2qO7EWzzDmNKpReCg_31_0"/>
      <w:bookmarkStart w:id="41" w:name="Tc_IJt9S1oggkWLKTIzOLpcOg_30_0"/>
      <w:bookmarkStart w:id="42" w:name="Tc_eP5hyyAKZEyn5wdQ39n64w_29_0"/>
      <w:bookmarkStart w:id="43" w:name="Tc_7H2LyPPEn0y7Svf9T9ad3A_28_0"/>
      <w:bookmarkStart w:id="44" w:name="Tc_lboHMjmejkebjvYWa4vvzQ_27_0"/>
      <w:bookmarkStart w:id="45" w:name="Tc_h3aUgxLnCUyN92hzVo7lZw_26_0"/>
      <w:bookmarkStart w:id="46" w:name="Tc_RySP0-po202YlVYUlLm6fw_25_0"/>
      <w:bookmarkStart w:id="47" w:name="Tc_wgIrTGaP6km2wyhAAoMlNw_24_0"/>
      <w:bookmarkStart w:id="48" w:name="Tc__o9e-DHP7Ua5cQ2WrzMLnA_23_0"/>
      <w:bookmarkStart w:id="49" w:name="Tc_PCLyVpDTV0ef5mMUT-pt-g_22_0"/>
      <w:bookmarkStart w:id="50" w:name="Tc_ZemjdXiKrE-M7xyx2V5sSw_21_0"/>
      <w:bookmarkStart w:id="51" w:name="Tc_TnO0j7W4902frquCIVZKfA_20_0"/>
      <w:bookmarkStart w:id="52" w:name="Tc_PT_m_Fg1p0qjP124LQxLKA_19_5"/>
      <w:bookmarkStart w:id="53" w:name="Tc_K9i6m4QRG0iWXqZFPtpb9A_19_2"/>
      <w:bookmarkStart w:id="54" w:name="Tc_Wc01J89fwUq2yOtwGBz99Q_19_0"/>
      <w:bookmarkStart w:id="55" w:name="Tc_mLpdALqxm02GgnxMW5JTWw_18_0"/>
      <w:bookmarkStart w:id="56" w:name="Tc_9z0B2pgXnEK81cJQJvP-QQ_17_0"/>
      <w:bookmarkStart w:id="57" w:name="Tc_WyI2KM943kmDeftnYSwxmA_16_5"/>
      <w:bookmarkStart w:id="58" w:name="Tc_FrqOx6kxhU-BHwTSSL8VJA_16_2"/>
      <w:bookmarkStart w:id="59" w:name="Tc_K7YMzkfZe0miJoLxsTLH6w_16_0"/>
      <w:bookmarkStart w:id="60" w:name="Tc_lHe43tnMPk2EtGbQuBEHmw_15_0"/>
      <w:bookmarkStart w:id="61" w:name="Tc_GE8yerlQp0K5W0tTZYsA4w_14_0"/>
      <w:bookmarkStart w:id="62" w:name="Tc_LhFT2F1Z-U-HMW2HNPnhkA_13_0"/>
      <w:bookmarkStart w:id="63" w:name="Tc_mj8l1TS6s0e9Vf7W105QUA_12_0"/>
      <w:bookmarkStart w:id="64" w:name="Tc_N-sqiyCcPE6xFCgeZf5FnQ_11_0"/>
      <w:bookmarkStart w:id="65" w:name="Tc_7B1wzAef5k-QZHHH7QIkcg_10_0"/>
      <w:bookmarkStart w:id="66" w:name="Tc_2JiL2mKLXkS1n3fTTSzavA_9_0"/>
      <w:bookmarkStart w:id="67" w:name="Tc_PgSgMSZTw0W0MqJlw0iS1A_8_0"/>
      <w:bookmarkStart w:id="68" w:name="Tc_cWLs9Wr6pEG17nrCVAblLg_7_5"/>
      <w:bookmarkStart w:id="69" w:name="Tc_K9h2-ixgOEebsQCa1NLVXg_7_2"/>
      <w:bookmarkStart w:id="70" w:name="Tc_dSFya_aAKUeAgkQkbw9dQQ_7_0"/>
      <w:bookmarkStart w:id="71" w:name="Tc_wlM3s2HJLUyAW7bbLzAgSw_6_0"/>
      <w:bookmarkStart w:id="72" w:name="Tc_XufMGTSoV0a1787ft3qTLw_5_0"/>
      <w:bookmarkStart w:id="73" w:name="Tc_ICOWELoh3UuNv6K9qqxBnQ_3_5"/>
      <w:bookmarkStart w:id="74" w:name="Tc_0wwSIVuVX0Wty46stULmRg_3_2"/>
      <w:bookmarkStart w:id="75" w:name="Tc_KopPyH5_WEOtNtegCueWIA_2_5"/>
      <w:bookmarkStart w:id="76" w:name="Tc_KfvOlJ6WxkmmnMlhA5VXMQ_2_2"/>
      <w:bookmarkStart w:id="77" w:name="Tc_ua69i-gaVkirGcPAZ-psAw_1_2"/>
      <w:bookmarkStart w:id="78" w:name="_e465c6df_a5d5_4e66_b06b_af833987affe"/>
      <w:bookmarkStart w:id="79" w:name="Tc_EyN_QzTGtkayTTM2FWntxg_35_5"/>
      <w:bookmarkStart w:id="80" w:name="Tc_9q1c-l60akiEfj0rs6eumg_35_2"/>
      <w:bookmarkStart w:id="81" w:name="Tc_hw17_-DxmUydjxV-dGldtg_35_0"/>
      <w:bookmarkStart w:id="82" w:name="Tc_yJqtJGW85EeM7GMgCGbLxA_34_0"/>
      <w:bookmarkStart w:id="83" w:name="Tc_C_UyR_-t-EOeivKgNIUsiA_33_0"/>
      <w:bookmarkStart w:id="84" w:name="Tc_ydSinSNTwEiPO-zRSuD6GA_32_0"/>
      <w:bookmarkStart w:id="85" w:name="Tc_P_EGL2qO7EWzzDmNKpReCg_31_0"/>
      <w:bookmarkStart w:id="86" w:name="Tc_IJt9S1oggkWLKTIzOLpcOg_30_0"/>
      <w:bookmarkStart w:id="87" w:name="Tc_eP5hyyAKZEyn5wdQ39n64w_29_0"/>
      <w:bookmarkStart w:id="88" w:name="Tc_7H2LyPPEn0y7Svf9T9ad3A_28_0"/>
      <w:bookmarkStart w:id="89" w:name="Tc_lboHMjmejkebjvYWa4vvzQ_27_0"/>
      <w:bookmarkStart w:id="90" w:name="Tc_h3aUgxLnCUyN92hzVo7lZw_26_0"/>
      <w:bookmarkStart w:id="91" w:name="Tc_RySP0-po202YlVYUlLm6fw_25_0"/>
      <w:bookmarkStart w:id="92" w:name="Tc_wgIrTGaP6km2wyhAAoMlNw_24_0"/>
      <w:bookmarkStart w:id="93" w:name="Tc__o9e-DHP7Ua5cQ2WrzMLnA_23_0"/>
      <w:bookmarkStart w:id="94" w:name="Tc_PCLyVpDTV0ef5mMUT-pt-g_22_0"/>
      <w:bookmarkStart w:id="95" w:name="Tc_ZemjdXiKrE-M7xyx2V5sSw_21_0"/>
      <w:bookmarkStart w:id="96" w:name="Tc_TnO0j7W4902frquCIVZKfA_20_0"/>
      <w:bookmarkStart w:id="97" w:name="Tc_PT_m_Fg1p0qjP124LQxLKA_19_5"/>
      <w:bookmarkStart w:id="98" w:name="Tc_K9i6m4QRG0iWXqZFPtpb9A_19_2"/>
      <w:bookmarkStart w:id="99" w:name="Tc_Wc01J89fwUq2yOtwGBz99Q_19_0"/>
      <w:bookmarkStart w:id="100" w:name="Tc_mLpdALqxm02GgnxMW5JTWw_18_0"/>
      <w:bookmarkStart w:id="101" w:name="Tc_9z0B2pgXnEK81cJQJvP-QQ_17_0"/>
      <w:bookmarkStart w:id="102" w:name="Tc_WyI2KM943kmDeftnYSwxmA_16_5"/>
      <w:bookmarkStart w:id="103" w:name="Tc_FrqOx6kxhU-BHwTSSL8VJA_16_2"/>
      <w:bookmarkStart w:id="104" w:name="Tc_K7YMzkfZe0miJoLxsTLH6w_16_0"/>
      <w:bookmarkStart w:id="105" w:name="Tc_lHe43tnMPk2EtGbQuBEHmw_15_0"/>
      <w:bookmarkStart w:id="106" w:name="Tc_GE8yerlQp0K5W0tTZYsA4w_14_0"/>
      <w:bookmarkStart w:id="107" w:name="Tc_LhFT2F1Z-U-HMW2HNPnhkA_13_0"/>
      <w:bookmarkStart w:id="108" w:name="Tc_mj8l1TS6s0e9Vf7W105QUA_12_0"/>
      <w:bookmarkStart w:id="109" w:name="Tc_N-sqiyCcPE6xFCgeZf5FnQ_11_0"/>
      <w:bookmarkStart w:id="110" w:name="Tc_7B1wzAef5k-QZHHH7QIkcg_10_0"/>
      <w:bookmarkStart w:id="111" w:name="Tc_2JiL2mKLXkS1n3fTTSzavA_9_0"/>
      <w:bookmarkStart w:id="112" w:name="Tc_PgSgMSZTw0W0MqJlw0iS1A_8_0"/>
      <w:bookmarkStart w:id="113" w:name="Tc_cWLs9Wr6pEG17nrCVAblLg_7_5"/>
      <w:bookmarkStart w:id="114" w:name="Tc_K9h2-ixgOEebsQCa1NLVXg_7_2"/>
      <w:bookmarkStart w:id="115" w:name="Tc_dSFya_aAKUeAgkQkbw9dQQ_7_0"/>
      <w:bookmarkStart w:id="116" w:name="Tc_wlM3s2HJLUyAW7bbLzAgSw_6_0"/>
      <w:bookmarkStart w:id="117" w:name="Tc_XufMGTSoV0a1787ft3qTLw_5_0"/>
      <w:bookmarkStart w:id="118" w:name="Tc_ICOWELoh3UuNv6K9qqxBnQ_3_5"/>
      <w:bookmarkStart w:id="119" w:name="Tc_0wwSIVuVX0Wty46stULmRg_3_2"/>
      <w:bookmarkStart w:id="120" w:name="Tc_KopPyH5_WEOtNtegCueWIA_2_5"/>
      <w:bookmarkStart w:id="121" w:name="Tc_KfvOlJ6WxkmmnMlhA5VXMQ_2_2"/>
      <w:bookmarkStart w:id="122" w:name="Tc_ua69i-gaVkirGcPAZ-psAw_1_2"/>
      <w:bookmarkStart w:id="123" w:name="_e465c6df_a5d5_4e66_b06b_af833987affe"/>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tbl>
      <w:tblPr>
        <w:tblW w:w="10205" w:type="dxa"/>
        <w:jc w:val="left"/>
        <w:tblInd w:w="0" w:type="dxa"/>
        <w:tblLayout w:type="fixed"/>
        <w:tblCellMar>
          <w:top w:w="0" w:type="dxa"/>
          <w:left w:w="0" w:type="dxa"/>
          <w:bottom w:w="0" w:type="dxa"/>
          <w:right w:w="0" w:type="dxa"/>
        </w:tblCellMar>
      </w:tblPr>
      <w:tblGrid>
        <w:gridCol w:w="7290"/>
        <w:gridCol w:w="326"/>
        <w:gridCol w:w="215"/>
        <w:gridCol w:w="911"/>
        <w:gridCol w:w="326"/>
        <w:gridCol w:w="212"/>
        <w:gridCol w:w="925"/>
      </w:tblGrid>
      <w:tr>
        <w:trPr/>
        <w:tc>
          <w:tcPr>
            <w:tcW w:w="7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29150" cy="175260"/>
                      <wp:effectExtent l="0" t="0" r="0" b="0"/>
                      <wp:wrapNone/>
                      <wp:docPr id="1" name="Frame1"/>
                      <a:graphic xmlns:a="http://schemas.openxmlformats.org/drawingml/2006/main">
                        <a:graphicData uri="http://schemas.microsoft.com/office/word/2010/wordprocessingShape">
                          <wps:wsp>
                            <wps:cNvSpPr txBox="1"/>
                            <wps:spPr>
                              <a:xfrm>
                                <a:off x="0" y="0"/>
                                <a:ext cx="4629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6525" cy="175260"/>
                      <wp:effectExtent l="0" t="0" r="0" b="0"/>
                      <wp:wrapNone/>
                      <wp:docPr id="3" name="Frame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78485" cy="175260"/>
                      <wp:effectExtent l="0" t="0" r="0" b="0"/>
                      <wp:wrapNone/>
                      <wp:docPr id="4" name="Frame4"/>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4620" cy="175260"/>
                      <wp:effectExtent l="0" t="0" r="0" b="0"/>
                      <wp:wrapNone/>
                      <wp:docPr id="6" name="Frame6"/>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87375" cy="175260"/>
                      <wp:effectExtent l="0" t="0" r="0" b="0"/>
                      <wp:wrapNone/>
                      <wp:docPr id="7" name="Frame7"/>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58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72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    </w:t>
            </w:r>
          </w:p>
        </w:tc>
        <w:tc>
          <w:tcPr>
            <w:tcW w:w="11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11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9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26" w:type="dxa"/>
            <w:gridSpan w:val="2"/>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center"/>
              <w:rPr/>
            </w:pPr>
            <w:r>
              <w:rPr/>
              <w:t>​</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vAlign w:val="center"/>
          </w:tcPr>
          <w:p>
            <w:pPr>
              <w:pStyle w:val="TableContents"/>
              <w:bidi w:val="0"/>
              <w:spacing w:before="0" w:after="1"/>
              <w:ind w:left="0" w:right="0" w:hanging="0"/>
              <w:jc w:val="left"/>
              <w:rPr/>
            </w:pPr>
            <w:r>
              <w:rPr/>
              <w:t> </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pPr>
            <w:r>
              <w:rPr/>
              <w:t>  </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right"/>
              <w:rPr/>
            </w:pPr>
            <w:r>
              <w:rPr/>
              <w:t>  </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86,571</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105,762</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18,874</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12,531</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7,113</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6,702</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2,302</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5,452</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114,860</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130,447</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2,720</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2,986</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9,415</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5,680</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128,884</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141,456</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pPr>
            <w:r>
              <w:rPr/>
              <w:t>  </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pPr>
            <w:r>
              <w:rPr/>
              <w:t>  </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7,610</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14,175</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13,304</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13,241</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 portion</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21,812</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right"/>
              <w:rPr/>
            </w:pPr>
            <w:r>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28,284</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milestone payments</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long-term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28,734</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32,235</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9)</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pPr>
            <w:r>
              <w:rPr/>
              <w:t>  </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pPr>
            <w:r>
              <w:rPr/>
              <w:t>  </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$0.0001 par value, 5,500,000 shares authorized and none issued at September 30, 2023 and December 31, 2022</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$0.0001 par value, 100,000,000 shares authorized at September 30, 2023 and December 31, 2022; 43,621,618 and 43,670,109 shares issued at September 30, 2023 and December 31, 2022,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554,779</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543,929</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(456,482)</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(436,043)</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100,150</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109,221</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128,884</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141,456</w:t>
            </w:r>
          </w:p>
        </w:tc>
      </w:tr>
    </w:tbl>
    <w:p>
      <w:pPr>
        <w:pStyle w:val="TextBody"/>
        <w:bidi w:val="0"/>
        <w:spacing w:before="24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4" w:name="Consol_Stmnt_Net_Loss"/>
      <w:bookmarkStart w:id="125" w:name="_eecf0876_e389_4d98_a668_0ba67726c503"/>
      <w:bookmarkEnd w:id="124"/>
      <w:bookmarkEnd w:id="125"/>
      <w:r>
        <w:rPr>
          <w:rFonts w:ascii="Times New Roman;Times;serif" w:hAnsi="Times New Roman;Times;serif"/>
          <w:b/>
          <w:sz w:val="20"/>
        </w:rPr>
        <w:t>Y-MABS THERAPEUTICS, INC.</w:t>
      </w:r>
    </w:p>
    <w:p>
      <w:pPr>
        <w:pStyle w:val="TextBody"/>
        <w:bidi w:val="0"/>
        <w:spacing w:before="0" w:after="240"/>
        <w:ind w:left="0" w:right="0" w:hanging="0"/>
        <w:jc w:val="center"/>
        <w:rPr>
          <w:rFonts w:ascii="Times New Roman;Times;serif" w:hAnsi="Times New Roman;Times;serif"/>
          <w:b/>
          <w:sz w:val="20"/>
        </w:rPr>
      </w:pPr>
      <w:bookmarkStart w:id="126" w:name="ConsolidatedStatementsofNetLossandCompre"/>
      <w:bookmarkStart w:id="127" w:name="_Hlk527622469"/>
      <w:bookmarkEnd w:id="126"/>
      <w:bookmarkEnd w:id="127"/>
      <w:r>
        <w:rPr>
          <w:rFonts w:ascii="Times New Roman;Times;serif" w:hAnsi="Times New Roman;Times;serif"/>
          <w:b/>
          <w:sz w:val="20"/>
        </w:rPr>
        <w:t>Consolidated Statements of Net Loss and Comprehensive 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128" w:name="Tc_Zfu1KDAWnUuOxSkRXR6pZg_24_0"/>
      <w:bookmarkStart w:id="129" w:name="Tc_ftXVrkSTJUaZuU3djL11HA_23_11"/>
      <w:bookmarkStart w:id="130" w:name="Tc_DFUSVCbmtEaDshQIj_ujoQ_23_8"/>
      <w:bookmarkStart w:id="131" w:name="Tc_AzjxhDszn0uTdV1NX9Dh8g_23_5"/>
      <w:bookmarkStart w:id="132" w:name="Tc_oW01qgSV7UeyNzDsVEliOg_23_2"/>
      <w:bookmarkStart w:id="133" w:name="Tc_P6_fStm5202vw6zBjWkTqQ_23_0"/>
      <w:bookmarkStart w:id="134" w:name="Tc_CVDa5gh7xUCV5tZXez8QBw_22_11"/>
      <w:bookmarkStart w:id="135" w:name="Tc_FbEpGRdJckevP8TQJ_csGA_22_8"/>
      <w:bookmarkStart w:id="136" w:name="Tc_8DI-QLXThEuhga2abdQJqg_22_5"/>
      <w:bookmarkStart w:id="137" w:name="Tc_p6rPefdfcEe8ORub6YhHIA_22_2"/>
      <w:bookmarkStart w:id="138" w:name="Tc_5PcvaqhbEUeU5D9B4-vMEw_22_0"/>
      <w:bookmarkStart w:id="139" w:name="Tc_IhkACmSmQkCNwWirXN86vQ_21_0"/>
      <w:bookmarkStart w:id="140" w:name="Tc_GchhMbnowUOXcofLuFiXKw_20_0"/>
      <w:bookmarkStart w:id="141" w:name="Tc_To_u-xBlNUW2_cp3SEJa9w_19_11"/>
      <w:bookmarkStart w:id="142" w:name="Tc_jWisnsQiska2Yz1wN1eIfA_19_8"/>
      <w:bookmarkStart w:id="143" w:name="Tc_F1sQtJFKHkuZSNcSf-UwvQ_19_5"/>
      <w:bookmarkStart w:id="144" w:name="Tc_-CLSdPTrd0uUe3Zf7ksITA_19_2"/>
      <w:bookmarkStart w:id="145" w:name="Tc_d42pRLVEe0yc6aMZA88F2g_19_0"/>
      <w:bookmarkStart w:id="146" w:name="Tc_5SgHAD4Y8Ua1iiNXnIjHmQ_18_12"/>
      <w:bookmarkStart w:id="147" w:name="Tc_il5KjipUiUiG9NoYACLCzA_18_6"/>
      <w:bookmarkStart w:id="148" w:name="Tc_ZgQz0pLLqkmGxx7xpB1AOA_18_0"/>
      <w:bookmarkStart w:id="149" w:name="Tc_q-ZFPrCuiEG78Y6NlXzT_A_17_0"/>
      <w:bookmarkStart w:id="150" w:name="Tc_fi3CHLoNBkGTCzew6pezYA_16_0"/>
      <w:bookmarkStart w:id="151" w:name="Tc_O3eTxWa8ZEKYh-_QfTxRIQ_15_0"/>
      <w:bookmarkStart w:id="152" w:name="Tc_5mZ4bXSsk0uKr225pg8K0w_14_0"/>
      <w:bookmarkStart w:id="153" w:name="Tc_nES3eI_hXUqT2mCwy2N4-A_13_0"/>
      <w:bookmarkStart w:id="154" w:name="Tc_-7zVkyX0U0KaPH3X5KltAg_12_0"/>
      <w:bookmarkStart w:id="155" w:name="Tc_TMHskMAz0EeRrg1PX3W0xA_11_0"/>
      <w:bookmarkStart w:id="156" w:name="Tc_MN7h3fkb70afWxvLGhor5A_10_6"/>
      <w:bookmarkStart w:id="157" w:name="Tc_oNBo5874NU2Yz7OYRGoe6g_10_0"/>
      <w:bookmarkStart w:id="158" w:name="Tc_gVYBsBazF0uaElFj8rHWKA_9_0"/>
      <w:bookmarkStart w:id="159" w:name="Tc_haOAEWCJu0qDm0oMHrAtpA_8_0"/>
      <w:bookmarkStart w:id="160" w:name="Tc_R8Tc-1RnvEGT32Ad2KEVKw_7_0"/>
      <w:bookmarkStart w:id="161" w:name="Tc_rp0oTjZrHUSJxgFhRhXy_Q_6_6"/>
      <w:bookmarkStart w:id="162" w:name="Tc_j1-VksWTVkeexVtmDx0NEw_6_0"/>
      <w:bookmarkStart w:id="163" w:name="Tc_a2Qx8KQWg0mYAjPNaToIyQ_5_11"/>
      <w:bookmarkStart w:id="164" w:name="Tc_oKwfhvuy3kaXpqUzWQwvKw_5_8"/>
      <w:bookmarkStart w:id="165" w:name="Tc_n2TmZqM2hU2KwnwocIwDPw_5_5"/>
      <w:bookmarkStart w:id="166" w:name="Tc_yVWzk66ydUW5P0-1Og685w_5_2"/>
      <w:bookmarkStart w:id="167" w:name="Tc_nPUHFUXqbEifnYgqk5hcGA_5_0"/>
      <w:bookmarkStart w:id="168" w:name="Tc_AM8_rVNoMkirpZ9tu-VaSQ_4_0"/>
      <w:bookmarkStart w:id="169" w:name="Tc_MN8TLlzad0KDDGaHHFQskA_2_11"/>
      <w:bookmarkStart w:id="170" w:name="Tc_EWgSY7y7ek-G372mT1-Crw_2_8"/>
      <w:bookmarkStart w:id="171" w:name="Tc_Vo1W0BL5P0iFZAg0A9yS_A_2_5"/>
      <w:bookmarkStart w:id="172" w:name="Tc_A5CuKLYg206_UGWn6DQ1vg_2_2"/>
      <w:bookmarkStart w:id="173" w:name="Tc_0afKFvbRhkWAxSYh1aBmdw_1_8"/>
      <w:bookmarkStart w:id="174" w:name="Tc_xg1gX6INxk6e0tsmiInE-A_1_2"/>
      <w:bookmarkStart w:id="175" w:name="_bfe374f0_598d_4a11_b0c4_a50257a5813f"/>
      <w:bookmarkStart w:id="176" w:name="_faddd66e_82a4_4dd5_959b_97da7323cafd"/>
      <w:bookmarkStart w:id="177" w:name="Tc_Zfu1KDAWnUuOxSkRXR6pZg_24_0"/>
      <w:bookmarkStart w:id="178" w:name="Tc_ftXVrkSTJUaZuU3djL11HA_23_11"/>
      <w:bookmarkStart w:id="179" w:name="Tc_DFUSVCbmtEaDshQIj_ujoQ_23_8"/>
      <w:bookmarkStart w:id="180" w:name="Tc_AzjxhDszn0uTdV1NX9Dh8g_23_5"/>
      <w:bookmarkStart w:id="181" w:name="Tc_oW01qgSV7UeyNzDsVEliOg_23_2"/>
      <w:bookmarkStart w:id="182" w:name="Tc_P6_fStm5202vw6zBjWkTqQ_23_0"/>
      <w:bookmarkStart w:id="183" w:name="Tc_CVDa5gh7xUCV5tZXez8QBw_22_11"/>
      <w:bookmarkStart w:id="184" w:name="Tc_FbEpGRdJckevP8TQJ_csGA_22_8"/>
      <w:bookmarkStart w:id="185" w:name="Tc_8DI-QLXThEuhga2abdQJqg_22_5"/>
      <w:bookmarkStart w:id="186" w:name="Tc_p6rPefdfcEe8ORub6YhHIA_22_2"/>
      <w:bookmarkStart w:id="187" w:name="Tc_5PcvaqhbEUeU5D9B4-vMEw_22_0"/>
      <w:bookmarkStart w:id="188" w:name="Tc_IhkACmSmQkCNwWirXN86vQ_21_0"/>
      <w:bookmarkStart w:id="189" w:name="Tc_GchhMbnowUOXcofLuFiXKw_20_0"/>
      <w:bookmarkStart w:id="190" w:name="Tc_To_u-xBlNUW2_cp3SEJa9w_19_11"/>
      <w:bookmarkStart w:id="191" w:name="Tc_jWisnsQiska2Yz1wN1eIfA_19_8"/>
      <w:bookmarkStart w:id="192" w:name="Tc_F1sQtJFKHkuZSNcSf-UwvQ_19_5"/>
      <w:bookmarkStart w:id="193" w:name="Tc_-CLSdPTrd0uUe3Zf7ksITA_19_2"/>
      <w:bookmarkStart w:id="194" w:name="Tc_d42pRLVEe0yc6aMZA88F2g_19_0"/>
      <w:bookmarkStart w:id="195" w:name="Tc_5SgHAD4Y8Ua1iiNXnIjHmQ_18_12"/>
      <w:bookmarkStart w:id="196" w:name="Tc_il5KjipUiUiG9NoYACLCzA_18_6"/>
      <w:bookmarkStart w:id="197" w:name="Tc_ZgQz0pLLqkmGxx7xpB1AOA_18_0"/>
      <w:bookmarkStart w:id="198" w:name="Tc_q-ZFPrCuiEG78Y6NlXzT_A_17_0"/>
      <w:bookmarkStart w:id="199" w:name="Tc_fi3CHLoNBkGTCzew6pezYA_16_0"/>
      <w:bookmarkStart w:id="200" w:name="Tc_O3eTxWa8ZEKYh-_QfTxRIQ_15_0"/>
      <w:bookmarkStart w:id="201" w:name="Tc_5mZ4bXSsk0uKr225pg8K0w_14_0"/>
      <w:bookmarkStart w:id="202" w:name="Tc_nES3eI_hXUqT2mCwy2N4-A_13_0"/>
      <w:bookmarkStart w:id="203" w:name="Tc_-7zVkyX0U0KaPH3X5KltAg_12_0"/>
      <w:bookmarkStart w:id="204" w:name="Tc_TMHskMAz0EeRrg1PX3W0xA_11_0"/>
      <w:bookmarkStart w:id="205" w:name="Tc_MN7h3fkb70afWxvLGhor5A_10_6"/>
      <w:bookmarkStart w:id="206" w:name="Tc_oNBo5874NU2Yz7OYRGoe6g_10_0"/>
      <w:bookmarkStart w:id="207" w:name="Tc_gVYBsBazF0uaElFj8rHWKA_9_0"/>
      <w:bookmarkStart w:id="208" w:name="Tc_haOAEWCJu0qDm0oMHrAtpA_8_0"/>
      <w:bookmarkStart w:id="209" w:name="Tc_R8Tc-1RnvEGT32Ad2KEVKw_7_0"/>
      <w:bookmarkStart w:id="210" w:name="Tc_rp0oTjZrHUSJxgFhRhXy_Q_6_6"/>
      <w:bookmarkStart w:id="211" w:name="Tc_j1-VksWTVkeexVtmDx0NEw_6_0"/>
      <w:bookmarkStart w:id="212" w:name="Tc_a2Qx8KQWg0mYAjPNaToIyQ_5_11"/>
      <w:bookmarkStart w:id="213" w:name="Tc_oKwfhvuy3kaXpqUzWQwvKw_5_8"/>
      <w:bookmarkStart w:id="214" w:name="Tc_n2TmZqM2hU2KwnwocIwDPw_5_5"/>
      <w:bookmarkStart w:id="215" w:name="Tc_yVWzk66ydUW5P0-1Og685w_5_2"/>
      <w:bookmarkStart w:id="216" w:name="Tc_nPUHFUXqbEifnYgqk5hcGA_5_0"/>
      <w:bookmarkStart w:id="217" w:name="Tc_AM8_rVNoMkirpZ9tu-VaSQ_4_0"/>
      <w:bookmarkStart w:id="218" w:name="Tc_MN8TLlzad0KDDGaHHFQskA_2_11"/>
      <w:bookmarkStart w:id="219" w:name="Tc_EWgSY7y7ek-G372mT1-Crw_2_8"/>
      <w:bookmarkStart w:id="220" w:name="Tc_Vo1W0BL5P0iFZAg0A9yS_A_2_5"/>
      <w:bookmarkStart w:id="221" w:name="Tc_A5CuKLYg206_UGWn6DQ1vg_2_2"/>
      <w:bookmarkStart w:id="222" w:name="Tc_0afKFvbRhkWAxSYh1aBmdw_1_8"/>
      <w:bookmarkStart w:id="223" w:name="Tc_xg1gX6INxk6e0tsmiInE-A_1_2"/>
      <w:bookmarkStart w:id="224" w:name="_bfe374f0_598d_4a11_b0c4_a50257a5813f"/>
      <w:bookmarkStart w:id="225" w:name="_faddd66e_82a4_4dd5_959b_97da7323cafd"/>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W w:w="10205" w:type="dxa"/>
        <w:jc w:val="left"/>
        <w:tblInd w:w="0" w:type="dxa"/>
        <w:tblLayout w:type="fixed"/>
        <w:tblCellMar>
          <w:top w:w="0" w:type="dxa"/>
          <w:left w:w="0" w:type="dxa"/>
          <w:bottom w:w="0" w:type="dxa"/>
          <w:right w:w="0" w:type="dxa"/>
        </w:tblCellMar>
      </w:tblPr>
      <w:tblGrid>
        <w:gridCol w:w="4236"/>
        <w:gridCol w:w="146"/>
        <w:gridCol w:w="212"/>
        <w:gridCol w:w="1046"/>
        <w:gridCol w:w="147"/>
        <w:gridCol w:w="212"/>
        <w:gridCol w:w="1046"/>
        <w:gridCol w:w="326"/>
        <w:gridCol w:w="211"/>
        <w:gridCol w:w="1036"/>
        <w:gridCol w:w="146"/>
        <w:gridCol w:w="211"/>
        <w:gridCol w:w="1036"/>
        <w:gridCol w:w="194"/>
      </w:tblGrid>
      <w:tr>
        <w:trPr/>
        <w:tc>
          <w:tcPr>
            <w:tcW w:w="4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689860" cy="175260"/>
                      <wp:effectExtent l="0" t="0" r="0" b="0"/>
                      <wp:wrapNone/>
                      <wp:docPr id="8" name="Frame8"/>
                      <a:graphic xmlns:a="http://schemas.openxmlformats.org/drawingml/2006/main">
                        <a:graphicData uri="http://schemas.microsoft.com/office/word/2010/wordprocessingShape">
                          <wps:wsp>
                            <wps:cNvSpPr txBox="1"/>
                            <wps:spPr>
                              <a:xfrm>
                                <a:off x="0" y="0"/>
                                <a:ext cx="268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2710" cy="175260"/>
                      <wp:effectExtent l="0" t="0" r="0" b="0"/>
                      <wp:wrapNone/>
                      <wp:docPr id="9" name="Frame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4620" cy="175260"/>
                      <wp:effectExtent l="0" t="0" r="0" b="0"/>
                      <wp:wrapNone/>
                      <wp:docPr id="10" name="Frame1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4210" cy="175260"/>
                      <wp:effectExtent l="0" t="0" r="0" b="0"/>
                      <wp:wrapNone/>
                      <wp:docPr id="11" name="Frame11"/>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3345" cy="175260"/>
                      <wp:effectExtent l="0" t="0" r="0" b="0"/>
                      <wp:wrapNone/>
                      <wp:docPr id="12" name="Frame12"/>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4620" cy="175260"/>
                      <wp:effectExtent l="0" t="0" r="0" b="0"/>
                      <wp:wrapNone/>
                      <wp:docPr id="13" name="Frame13"/>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4210" cy="175260"/>
                      <wp:effectExtent l="0" t="0" r="0" b="0"/>
                      <wp:wrapNone/>
                      <wp:docPr id="14" name="Frame14"/>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7" name="Frame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2710" cy="175260"/>
                      <wp:effectExtent l="0" t="0" r="0" b="0"/>
                      <wp:wrapNone/>
                      <wp:docPr id="18" name="Frame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7860" cy="175260"/>
                      <wp:effectExtent l="0" t="0" r="0" b="0"/>
                      <wp:wrapNone/>
                      <wp:docPr id="20" name="Frame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3190" cy="175260"/>
                      <wp:effectExtent l="0" t="0" r="0" b="0"/>
                      <wp:wrapNone/>
                      <wp:docPr id="21" name="Frame21"/>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3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6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    </w:t>
            </w:r>
          </w:p>
        </w:tc>
        <w:tc>
          <w:tcPr>
            <w:tcW w:w="26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194" w:type="dxa"/>
            <w:tcBorders/>
            <w:vAlign w:val="center"/>
          </w:tcPr>
          <w:p>
            <w:pPr>
              <w:pStyle w:val="TableContents"/>
              <w:bidi w:val="0"/>
              <w:spacing w:before="0" w:after="1"/>
              <w:ind w:left="0" w:right="0" w:hanging="0"/>
              <w:jc w:val="left"/>
              <w:rPr/>
            </w:pPr>
            <w:r>
              <w:rPr/>
              <w:t>​</w:t>
            </w:r>
          </w:p>
        </w:tc>
      </w:tr>
      <w:tr>
        <w:trPr/>
        <w:tc>
          <w:tcPr>
            <w:tcW w:w="423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2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7" w:type="dxa"/>
            <w:tcBorders/>
            <w:vAlign w:val="center"/>
          </w:tcPr>
          <w:p>
            <w:pPr>
              <w:pStyle w:val="TableContents"/>
              <w:bidi w:val="0"/>
              <w:spacing w:before="0" w:after="1"/>
              <w:ind w:left="0" w:right="0" w:hanging="0"/>
              <w:jc w:val="left"/>
              <w:rPr/>
            </w:pPr>
            <w:r>
              <w:rPr/>
              <w:t>​</w:t>
            </w:r>
          </w:p>
        </w:tc>
        <w:tc>
          <w:tcPr>
            <w:tcW w:w="12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4" w:type="dxa"/>
            <w:tcBorders/>
            <w:vAlign w:val="center"/>
          </w:tcPr>
          <w:p>
            <w:pPr>
              <w:pStyle w:val="TableContents"/>
              <w:bidi w:val="0"/>
              <w:spacing w:before="0" w:after="1"/>
              <w:ind w:left="0" w:right="0" w:hanging="0"/>
              <w:jc w:val="left"/>
              <w:rPr/>
            </w:pPr>
            <w:r>
              <w:rPr/>
              <w:t>​</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23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29" w:type="dxa"/>
            <w:gridSpan w:val="11"/>
            <w:tcBorders/>
            <w:vAlign w:val="center"/>
          </w:tcPr>
          <w:p>
            <w:pPr>
              <w:pStyle w:val="TableContents"/>
              <w:bidi w:val="0"/>
              <w:spacing w:before="0" w:after="1"/>
              <w:ind w:left="0" w:right="0" w:hanging="0"/>
              <w:jc w:val="center"/>
              <w:rPr/>
            </w:pPr>
            <w:r>
              <w:rPr/>
              <w:t>​</w:t>
            </w:r>
          </w:p>
        </w:tc>
        <w:tc>
          <w:tcPr>
            <w:tcW w:w="194" w:type="dxa"/>
            <w:tcBorders/>
            <w:vAlign w:val="center"/>
          </w:tcPr>
          <w:p>
            <w:pPr>
              <w:pStyle w:val="TableContents"/>
              <w:bidi w:val="0"/>
              <w:spacing w:before="0" w:after="1"/>
              <w:ind w:left="0" w:right="0" w:hanging="0"/>
              <w:jc w:val="left"/>
              <w:rPr/>
            </w:pPr>
            <w:r>
              <w:rPr/>
              <w:t>​</w:t>
            </w:r>
          </w:p>
        </w:tc>
      </w:tr>
      <w:tr>
        <w:trPr/>
        <w:tc>
          <w:tcPr>
            <w:tcW w:w="4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center"/>
              <w:rPr/>
            </w:pPr>
            <w:r>
              <w:rPr/>
              <w:t>​</w:t>
            </w:r>
          </w:p>
        </w:tc>
        <w:tc>
          <w:tcPr>
            <w:tcW w:w="1046" w:type="dxa"/>
            <w:tcBorders/>
            <w:shd w:fill="CCEEFF" w:val="clear"/>
            <w:vAlign w:val="center"/>
          </w:tcPr>
          <w:p>
            <w:pPr>
              <w:pStyle w:val="TableContents"/>
              <w:bidi w:val="0"/>
              <w:spacing w:before="0" w:after="1"/>
              <w:ind w:left="0" w:right="0" w:hanging="0"/>
              <w:jc w:val="center"/>
              <w:rPr/>
            </w:pPr>
            <w:r>
              <w:rPr/>
              <w:t>​</w:t>
            </w:r>
          </w:p>
        </w:tc>
        <w:tc>
          <w:tcPr>
            <w:tcW w:w="147" w:type="dxa"/>
            <w:tcBorders/>
            <w:shd w:fill="CCEEFF" w:val="clear"/>
            <w:vAlign w:val="center"/>
          </w:tcPr>
          <w:p>
            <w:pPr>
              <w:pStyle w:val="TableContents"/>
              <w:bidi w:val="0"/>
              <w:spacing w:before="0" w:after="1"/>
              <w:ind w:left="0" w:right="0" w:hanging="0"/>
              <w:jc w:val="center"/>
              <w:rPr/>
            </w:pPr>
            <w:r>
              <w:rPr/>
              <w:t>​</w:t>
            </w:r>
          </w:p>
        </w:tc>
        <w:tc>
          <w:tcPr>
            <w:tcW w:w="212" w:type="dxa"/>
            <w:tcBorders/>
            <w:shd w:fill="CCEEFF" w:val="clear"/>
            <w:vAlign w:val="center"/>
          </w:tcPr>
          <w:p>
            <w:pPr>
              <w:pStyle w:val="TableContents"/>
              <w:bidi w:val="0"/>
              <w:spacing w:before="0" w:after="1"/>
              <w:ind w:left="0" w:right="0" w:hanging="0"/>
              <w:jc w:val="center"/>
              <w:rPr/>
            </w:pPr>
            <w:r>
              <w:rPr/>
              <w:t>​</w:t>
            </w:r>
          </w:p>
        </w:tc>
        <w:tc>
          <w:tcPr>
            <w:tcW w:w="104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4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19,954</w:t>
            </w:r>
          </w:p>
        </w:tc>
        <w:tc>
          <w:tcPr>
            <w:tcW w:w="147"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12,537</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60,956</w:t>
            </w:r>
          </w:p>
        </w:tc>
        <w:tc>
          <w:tcPr>
            <w:tcW w:w="1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32,820</w:t>
            </w:r>
          </w:p>
        </w:tc>
        <w:tc>
          <w:tcPr>
            <w:tcW w:w="194" w:type="dxa"/>
            <w:tcBorders/>
            <w:vAlign w:val="center"/>
          </w:tcPr>
          <w:p>
            <w:pPr>
              <w:pStyle w:val="TableContents"/>
              <w:bidi w:val="0"/>
              <w:spacing w:before="0" w:after="1"/>
              <w:ind w:left="0" w:right="0" w:hanging="0"/>
              <w:jc w:val="left"/>
              <w:rPr/>
            </w:pPr>
            <w:r>
              <w:rPr/>
              <w:t>​</w:t>
            </w:r>
          </w:p>
        </w:tc>
      </w:tr>
      <w:tr>
        <w:trPr/>
        <w:tc>
          <w:tcPr>
            <w:tcW w:w="4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revenue</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147" w:type="dxa"/>
            <w:tcBorders/>
            <w:shd w:fill="CCEEFF" w:val="clear"/>
            <w:vAlign w:val="center"/>
          </w:tcPr>
          <w:p>
            <w:pPr>
              <w:pStyle w:val="TableContents"/>
              <w:bidi w:val="0"/>
              <w:spacing w:before="0" w:after="1"/>
              <w:ind w:left="0" w:right="0" w:hanging="0"/>
              <w:jc w:val="center"/>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14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4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20,454</w:t>
            </w:r>
          </w:p>
        </w:tc>
        <w:tc>
          <w:tcPr>
            <w:tcW w:w="147"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12,537</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61,456</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33,820</w:t>
            </w:r>
          </w:p>
        </w:tc>
        <w:tc>
          <w:tcPr>
            <w:tcW w:w="194" w:type="dxa"/>
            <w:tcBorders/>
            <w:vAlign w:val="center"/>
          </w:tcPr>
          <w:p>
            <w:pPr>
              <w:pStyle w:val="TableContents"/>
              <w:bidi w:val="0"/>
              <w:spacing w:before="0" w:after="1"/>
              <w:ind w:left="0" w:right="0" w:hanging="0"/>
              <w:jc w:val="left"/>
              <w:rPr/>
            </w:pPr>
            <w:r>
              <w:rPr/>
              <w:t>​</w:t>
            </w:r>
          </w:p>
        </w:tc>
      </w:tr>
      <w:tr>
        <w:trPr/>
        <w:tc>
          <w:tcPr>
            <w:tcW w:w="4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1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147"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194" w:type="dxa"/>
            <w:tcBorders/>
            <w:shd w:fill="CCEEFF" w:val="clear"/>
            <w:vAlign w:val="center"/>
          </w:tcPr>
          <w:p>
            <w:pPr>
              <w:pStyle w:val="TableContents"/>
              <w:bidi w:val="0"/>
              <w:spacing w:before="0" w:after="1"/>
              <w:ind w:left="0" w:right="0" w:hanging="0"/>
              <w:jc w:val="left"/>
              <w:rPr/>
            </w:pPr>
            <w:r>
              <w:rPr/>
              <w:t> </w:t>
            </w:r>
          </w:p>
        </w:tc>
      </w:tr>
      <w:tr>
        <w:trPr/>
        <w:tc>
          <w:tcPr>
            <w:tcW w:w="4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2,595</w:t>
            </w:r>
          </w:p>
        </w:tc>
        <w:tc>
          <w:tcPr>
            <w:tcW w:w="147"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5,447</w:t>
            </w:r>
          </w:p>
        </w:tc>
        <w:tc>
          <w:tcPr>
            <w:tcW w:w="194" w:type="dxa"/>
            <w:tcBorders/>
            <w:vAlign w:val="center"/>
          </w:tcPr>
          <w:p>
            <w:pPr>
              <w:pStyle w:val="TableContents"/>
              <w:bidi w:val="0"/>
              <w:spacing w:before="0" w:after="1"/>
              <w:ind w:left="0" w:right="0" w:hanging="0"/>
              <w:jc w:val="left"/>
              <w:rPr/>
            </w:pPr>
            <w:r>
              <w:rPr/>
              <w:t>​</w:t>
            </w:r>
          </w:p>
        </w:tc>
      </w:tr>
      <w:tr>
        <w:trPr/>
        <w:tc>
          <w:tcPr>
            <w:tcW w:w="4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royalties</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47"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10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4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15,358</w:t>
            </w:r>
          </w:p>
        </w:tc>
        <w:tc>
          <w:tcPr>
            <w:tcW w:w="147"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40,831</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71,785</w:t>
            </w:r>
          </w:p>
        </w:tc>
        <w:tc>
          <w:tcPr>
            <w:tcW w:w="194" w:type="dxa"/>
            <w:tcBorders/>
            <w:vAlign w:val="center"/>
          </w:tcPr>
          <w:p>
            <w:pPr>
              <w:pStyle w:val="TableContents"/>
              <w:bidi w:val="0"/>
              <w:spacing w:before="0" w:after="1"/>
              <w:ind w:left="0" w:right="0" w:hanging="0"/>
              <w:jc w:val="left"/>
              <w:rPr/>
            </w:pPr>
            <w:r>
              <w:rPr/>
              <w:t>​</w:t>
            </w:r>
          </w:p>
        </w:tc>
      </w:tr>
      <w:tr>
        <w:trPr/>
        <w:tc>
          <w:tcPr>
            <w:tcW w:w="4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10,200</w:t>
            </w:r>
          </w:p>
        </w:tc>
        <w:tc>
          <w:tcPr>
            <w:tcW w:w="147"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33,721</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50,146</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4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28,203</w:t>
            </w:r>
          </w:p>
        </w:tc>
        <w:tc>
          <w:tcPr>
            <w:tcW w:w="147"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38,554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83,929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127,478</w:t>
            </w:r>
          </w:p>
        </w:tc>
        <w:tc>
          <w:tcPr>
            <w:tcW w:w="194" w:type="dxa"/>
            <w:tcBorders/>
            <w:vAlign w:val="center"/>
          </w:tcPr>
          <w:p>
            <w:pPr>
              <w:pStyle w:val="TableContents"/>
              <w:bidi w:val="0"/>
              <w:spacing w:before="0" w:after="1"/>
              <w:ind w:left="0" w:right="0" w:hanging="0"/>
              <w:jc w:val="left"/>
              <w:rPr/>
            </w:pPr>
            <w:r>
              <w:rPr/>
              <w:t>​</w:t>
            </w:r>
          </w:p>
        </w:tc>
      </w:tr>
      <w:tr>
        <w:trPr/>
        <w:tc>
          <w:tcPr>
            <w:tcW w:w="4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(7,749)</w:t>
            </w:r>
          </w:p>
        </w:tc>
        <w:tc>
          <w:tcPr>
            <w:tcW w:w="147"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(22,473)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(93,658)</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4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INCOME/(LOSS), NET</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pPr>
            <w:r>
              <w:rPr/>
              <w:t>  </w:t>
            </w:r>
          </w:p>
        </w:tc>
        <w:tc>
          <w:tcPr>
            <w:tcW w:w="147"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194" w:type="dxa"/>
            <w:tcBorders/>
            <w:vAlign w:val="center"/>
          </w:tcPr>
          <w:p>
            <w:pPr>
              <w:pStyle w:val="TableContents"/>
              <w:bidi w:val="0"/>
              <w:spacing w:before="0" w:after="1"/>
              <w:ind w:left="0" w:right="0" w:hanging="0"/>
              <w:jc w:val="left"/>
              <w:rPr/>
            </w:pPr>
            <w:r>
              <w:rPr/>
              <w:t>​</w:t>
            </w:r>
          </w:p>
        </w:tc>
      </w:tr>
      <w:tr>
        <w:trPr/>
        <w:tc>
          <w:tcPr>
            <w:tcW w:w="4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income/(loss)</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147"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(3,067)</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4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(7,560)</w:t>
            </w:r>
          </w:p>
        </w:tc>
        <w:tc>
          <w:tcPr>
            <w:tcW w:w="147"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(20,073)</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(96,725)</w:t>
            </w:r>
          </w:p>
        </w:tc>
        <w:tc>
          <w:tcPr>
            <w:tcW w:w="194" w:type="dxa"/>
            <w:tcBorders/>
            <w:vAlign w:val="center"/>
          </w:tcPr>
          <w:p>
            <w:pPr>
              <w:pStyle w:val="TableContents"/>
              <w:bidi w:val="0"/>
              <w:spacing w:before="0" w:after="1"/>
              <w:ind w:left="0" w:right="0" w:hanging="0"/>
              <w:jc w:val="left"/>
              <w:rPr/>
            </w:pPr>
            <w:r>
              <w:rPr/>
              <w:t>​</w:t>
            </w:r>
          </w:p>
        </w:tc>
      </w:tr>
      <w:tr>
        <w:trPr/>
        <w:tc>
          <w:tcPr>
            <w:tcW w:w="4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147"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4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(7,747)</w:t>
            </w:r>
          </w:p>
        </w:tc>
        <w:tc>
          <w:tcPr>
            <w:tcW w:w="147"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(96,725)</w:t>
            </w:r>
          </w:p>
        </w:tc>
        <w:tc>
          <w:tcPr>
            <w:tcW w:w="194" w:type="dxa"/>
            <w:tcBorders/>
            <w:vAlign w:val="center"/>
          </w:tcPr>
          <w:p>
            <w:pPr>
              <w:pStyle w:val="TableContents"/>
              <w:bidi w:val="0"/>
              <w:spacing w:before="0" w:after="1"/>
              <w:ind w:left="0" w:right="0" w:hanging="0"/>
              <w:jc w:val="left"/>
              <w:rPr/>
            </w:pPr>
            <w:r>
              <w:rPr/>
              <w:t>​</w:t>
            </w:r>
          </w:p>
        </w:tc>
      </w:tr>
      <w:tr>
        <w:trPr/>
        <w:tc>
          <w:tcPr>
            <w:tcW w:w="4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1046" w:type="dxa"/>
            <w:tcBorders/>
            <w:shd w:fill="CCEEFF" w:val="clear"/>
            <w:vAlign w:val="center"/>
          </w:tcPr>
          <w:p>
            <w:pPr>
              <w:pStyle w:val="TableContents"/>
              <w:bidi w:val="0"/>
              <w:spacing w:before="0" w:after="1"/>
              <w:ind w:left="0" w:right="0" w:hanging="0"/>
              <w:jc w:val="right"/>
              <w:rPr/>
            </w:pPr>
            <w:r>
              <w:rPr/>
              <w:t>  </w:t>
            </w:r>
          </w:p>
        </w:tc>
        <w:tc>
          <w:tcPr>
            <w:tcW w:w="147"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104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4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147"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3,331</w:t>
            </w:r>
          </w:p>
        </w:tc>
        <w:tc>
          <w:tcPr>
            <w:tcW w:w="194" w:type="dxa"/>
            <w:tcBorders/>
            <w:vAlign w:val="center"/>
          </w:tcPr>
          <w:p>
            <w:pPr>
              <w:pStyle w:val="TableContents"/>
              <w:bidi w:val="0"/>
              <w:spacing w:before="0" w:after="1"/>
              <w:ind w:left="0" w:right="0" w:hanging="0"/>
              <w:jc w:val="left"/>
              <w:rPr/>
            </w:pPr>
            <w:r>
              <w:rPr/>
              <w:t>​</w:t>
            </w:r>
          </w:p>
        </w:tc>
      </w:tr>
      <w:tr>
        <w:trPr/>
        <w:tc>
          <w:tcPr>
            <w:tcW w:w="4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(6,941)</w:t>
            </w:r>
          </w:p>
        </w:tc>
        <w:tc>
          <w:tcPr>
            <w:tcW w:w="147"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(19,921)</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(93,394)</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4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147"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194" w:type="dxa"/>
            <w:tcBorders/>
            <w:vAlign w:val="center"/>
          </w:tcPr>
          <w:p>
            <w:pPr>
              <w:pStyle w:val="TableContents"/>
              <w:bidi w:val="0"/>
              <w:spacing w:before="0" w:after="1"/>
              <w:ind w:left="0" w:right="0" w:hanging="0"/>
              <w:jc w:val="left"/>
              <w:rPr/>
            </w:pPr>
            <w:r>
              <w:rPr/>
              <w:t>​</w:t>
            </w:r>
          </w:p>
        </w:tc>
      </w:tr>
      <w:tr>
        <w:trPr/>
        <w:tc>
          <w:tcPr>
            <w:tcW w:w="4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basic and diluted</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43,620,532</w:t>
            </w:r>
          </w:p>
        </w:tc>
        <w:tc>
          <w:tcPr>
            <w:tcW w:w="147"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43,718,351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43,651,536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43,715,451</w:t>
            </w:r>
          </w:p>
        </w:tc>
        <w:tc>
          <w:tcPr>
            <w:tcW w:w="19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26" w:name="Consol_Stmnt_Change_Stockholders_Equity"/>
      <w:bookmarkStart w:id="227" w:name="_b13a869e_f9cb_4a94_8f4b_220f9c120612"/>
      <w:bookmarkEnd w:id="226"/>
      <w:bookmarkEnd w:id="227"/>
      <w:r>
        <w:rPr>
          <w:rFonts w:ascii="Times New Roman;Times;serif" w:hAnsi="Times New Roman;Times;serif"/>
          <w:b/>
          <w:sz w:val="20"/>
        </w:rPr>
        <w:t>Y-MABS THERAPEUTICS, INC.</w:t>
      </w:r>
    </w:p>
    <w:p>
      <w:pPr>
        <w:pStyle w:val="TextBody"/>
        <w:bidi w:val="0"/>
        <w:spacing w:before="0" w:after="120"/>
        <w:ind w:left="0" w:right="0" w:hanging="0"/>
        <w:jc w:val="center"/>
        <w:rPr>
          <w:rFonts w:ascii="Times New Roman;Times;serif" w:hAnsi="Times New Roman;Times;serif"/>
          <w:b/>
          <w:sz w:val="20"/>
        </w:rPr>
      </w:pPr>
      <w:bookmarkStart w:id="228" w:name="ConsolidatedStatementsofChangesinStockho"/>
      <w:bookmarkEnd w:id="228"/>
      <w:r>
        <w:rPr>
          <w:rFonts w:ascii="Times New Roman;Times;serif" w:hAnsi="Times New Roman;Times;serif"/>
          <w:b/>
          <w:sz w:val="20"/>
        </w:rPr>
        <w:t>Consolidated Statements of Changes in Stockholders’ Equity</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bidi w:val="0"/>
        <w:spacing w:before="0" w:after="0"/>
        <w:jc w:val="left"/>
        <w:rPr>
          <w:sz w:val="4"/>
          <w:szCs w:val="4"/>
        </w:rPr>
      </w:pPr>
      <w:r>
        <w:rPr>
          <w:sz w:val="4"/>
          <w:szCs w:val="4"/>
        </w:rPr>
      </w:r>
      <w:bookmarkStart w:id="229" w:name="Tc_wt1jVsKGzkOOLN9711h8Gw_39_16"/>
      <w:bookmarkStart w:id="230" w:name="Tc_kcGCsAmbP0aHjMp460zJ4Q_39_13"/>
      <w:bookmarkStart w:id="231" w:name="Tc_di2HISv7MUetGpXHSasj3Q_39_10"/>
      <w:bookmarkStart w:id="232" w:name="Tc_0PQORIw2bkOHMGGly6pYTQ_39_7"/>
      <w:bookmarkStart w:id="233" w:name="Tc_M1bNkoUY1U6AlcfPzNrvZw_39_4"/>
      <w:bookmarkStart w:id="234" w:name="Tc_r7WwJHSVfkOY4h8eXYje5A_39_0"/>
      <w:bookmarkStart w:id="235" w:name="Tc_hAf2z3tTKUG2vK1EooYcXQ_38_11"/>
      <w:bookmarkStart w:id="236" w:name="Tc_gYQgbxPUcUuhRTMPEweu4Q_38_8"/>
      <w:bookmarkStart w:id="237" w:name="Tc_TFRVR6gvbkmT5RdxbopG2A_38_5"/>
      <w:bookmarkStart w:id="238" w:name="Tc_lK4JDd4wU0GdOcfQpsi9tg_38_2"/>
      <w:bookmarkStart w:id="239" w:name="Tc_WX9SKUlfCk2BJzH8IBOKYA_38_0"/>
      <w:bookmarkStart w:id="240" w:name="Tc_TBvegDeUCUO_4gxtA_7-7Q_37_14"/>
      <w:bookmarkStart w:id="241" w:name="Tc_sj_LmmDVJ0qG1hYjfJ5-RQ_37_8"/>
      <w:bookmarkStart w:id="242" w:name="Tc_XBwq1MQYZEugvdr5PYN6lg_37_5"/>
      <w:bookmarkStart w:id="243" w:name="Tc_jp8OvUQcekKL8p7qX6dVOw_37_2"/>
      <w:bookmarkStart w:id="244" w:name="Tc_owHJeEz-wEeEv3RE-OCEig_37_0"/>
      <w:bookmarkStart w:id="245" w:name="Tc_uGKw4vf_DkOwWMEJsCMr5A_36_14"/>
      <w:bookmarkStart w:id="246" w:name="Tc_poZLnsyx6UyIZtYsJ9Knsg_36_11"/>
      <w:bookmarkStart w:id="247" w:name="Tc_NJ3HAmGre0OXgtc6n8b8kg_36_5"/>
      <w:bookmarkStart w:id="248" w:name="Tc_HGGecyxIU0ODJkoc140OuQ_36_0"/>
      <w:bookmarkStart w:id="249" w:name="Tc_JVZ0HLtDdkCZUOWRMCfGiA_35_16"/>
      <w:bookmarkStart w:id="250" w:name="Tc_3-AFmSM78UeyzHR6UDxTng_35_13"/>
      <w:bookmarkStart w:id="251" w:name="Tc_8soqpUDCWEO22G8t0QI0GA_35_10"/>
      <w:bookmarkStart w:id="252" w:name="Tc_IuAFLYXjgk2z-Y1YyfkdUA_35_7"/>
      <w:bookmarkStart w:id="253" w:name="Tc_i3e_aYmyBkquT66mhJDLuw_35_4"/>
      <w:bookmarkStart w:id="254" w:name="Tc_3xCCxMCUCkq11QQiqJMb3w_35_0"/>
      <w:bookmarkStart w:id="255" w:name="Tc_VFwkBVCmHEWvT0xAeiPd_A_34_11"/>
      <w:bookmarkStart w:id="256" w:name="Tc_6uArn3UIgEGjd9bMyd1I_w_34_8"/>
      <w:bookmarkStart w:id="257" w:name="Tc_5q1ktWpLckuTw6iQZQxP7Q_34_5"/>
      <w:bookmarkStart w:id="258" w:name="Tc_PqQRpNQM5k2_HV9UU9D98w_34_2"/>
      <w:bookmarkStart w:id="259" w:name="Tc__702p8qfEkWEiAh4SAN0Kw_34_0"/>
      <w:bookmarkStart w:id="260" w:name="Tc_nmM2PF5gBUK0m2T3sOF7Mw_33_14"/>
      <w:bookmarkStart w:id="261" w:name="Tc_ey6htmzNOUyo-KhQJQ83bA_33_8"/>
      <w:bookmarkStart w:id="262" w:name="Tc_SJduR7PKY0ul-jDjgR_SUw_33_5"/>
      <w:bookmarkStart w:id="263" w:name="Tc_j9jTOI2At0G0HBUplmsS-g_33_2"/>
      <w:bookmarkStart w:id="264" w:name="Tc_NCLMi-J4_0q_wj5T5s9_4w_33_0"/>
      <w:bookmarkStart w:id="265" w:name="Tc_4bJz6CycGkOj82rEEcX6yg_32_14"/>
      <w:bookmarkStart w:id="266" w:name="Tc_Ld3Qt7WAnEyOAPJSL8LFig_32_11"/>
      <w:bookmarkStart w:id="267" w:name="Tc_Y9LbyrjnDEy-QWBQ5gUEJQ_32_5"/>
      <w:bookmarkStart w:id="268" w:name="Tc_2P6tSXUXA0KDl8R4MbX7BQ_32_0"/>
      <w:bookmarkStart w:id="269" w:name="Tc_KQuPyVf0f0GEPS5sKCwlIA_31_14"/>
      <w:bookmarkStart w:id="270" w:name="Tc_42a93wgDQk-H0U7msbrEiQ_31_11"/>
      <w:bookmarkStart w:id="271" w:name="Tc_cxdYkORLHEKwj4aNDz7ngQ_31_5"/>
      <w:bookmarkStart w:id="272" w:name="Tc_c-Ne_nebu0SxVGGiRhYzJg_31_0"/>
      <w:bookmarkStart w:id="273" w:name="Tc_9WYLxBMNFU2ZdF3voIj9qw_30_16"/>
      <w:bookmarkStart w:id="274" w:name="Tc_mTdTgPi6D0W9a7Z0Ytisgw_30_13"/>
      <w:bookmarkStart w:id="275" w:name="Tc_weYszU1UpUaRJgaqZSEB2g_30_10"/>
      <w:bookmarkStart w:id="276" w:name="Tc_QE6oE3Z5CEOGNPdq6RrnYQ_30_7"/>
      <w:bookmarkStart w:id="277" w:name="Tc_JMLGEQeYAUWLy0rNQluUnA_30_4"/>
      <w:bookmarkStart w:id="278" w:name="Tc_sFQWA3UY1Em8rB09mvykbg_30_0"/>
      <w:bookmarkStart w:id="279" w:name="Tc_RCJE47k2ck2g331_hREyvA_29_11"/>
      <w:bookmarkStart w:id="280" w:name="Tc_pyov8vZM10KVpSnk9V72RA_29_8"/>
      <w:bookmarkStart w:id="281" w:name="Tc_mCMkPbSWEEWmz7H_sq4Xlw_29_5"/>
      <w:bookmarkStart w:id="282" w:name="Tc_eZzYDOnPAEuewyth8Fv1Iw_29_2"/>
      <w:bookmarkStart w:id="283" w:name="Tc_NZY2GSnoD0K5k-FXjYZI0w_29_0"/>
      <w:bookmarkStart w:id="284" w:name="Tc_-YpGd9J24EWMCF-ylrV5Iw_28_14"/>
      <w:bookmarkStart w:id="285" w:name="Tc_QbEOem6dUUW1pEU1KBqMmw_28_8"/>
      <w:bookmarkStart w:id="286" w:name="Tc_MkIquvw51UmVyill3O_S3A_28_5"/>
      <w:bookmarkStart w:id="287" w:name="Tc_tvn2tZxaKkut5b-J4u_XgQ_28_2"/>
      <w:bookmarkStart w:id="288" w:name="Tc_MronEfsZrECcgVwfSqRFkw_28_0"/>
      <w:bookmarkStart w:id="289" w:name="Tc_D7HSHn2FEEKhlUl6DdoIEA_27_14"/>
      <w:bookmarkStart w:id="290" w:name="Tc_lCDZpGzmNEqlR-0Nz2ebRw_27_11"/>
      <w:bookmarkStart w:id="291" w:name="Tc_ae-XH17c40ycDGY_Wbn-FQ_27_5"/>
      <w:bookmarkStart w:id="292" w:name="Tc_xjSl5R0bdUmXjx54rBggwg_27_0"/>
      <w:bookmarkStart w:id="293" w:name="Tc_IALPNda_pUqeLgUlk9q67w_26_16"/>
      <w:bookmarkStart w:id="294" w:name="Tc_3rkSjg171ke4IHPNInyc8g_26_13"/>
      <w:bookmarkStart w:id="295" w:name="Tc_p2j8z_yB50Ca_eZGeiiQgg_26_10"/>
      <w:bookmarkStart w:id="296" w:name="Tc_yccRzs9QS0yvcGFKRk3SMQ_26_7"/>
      <w:bookmarkStart w:id="297" w:name="Tc_po_8x9jrOEOBTVKKlDVtyg_26_4"/>
      <w:bookmarkStart w:id="298" w:name="Tc_y_xVOTENa0-qplyioZYIsQ_26_0"/>
      <w:bookmarkStart w:id="299" w:name="Tc_qScmjd99N0aUxEQQdGpW3Q_25_16"/>
      <w:bookmarkStart w:id="300" w:name="Tc_1_serA0ZEUC07fhafHJFqg_25_13"/>
      <w:bookmarkStart w:id="301" w:name="Tc_Ger83ShadUKD9uYvoXzttg_25_10"/>
      <w:bookmarkStart w:id="302" w:name="Tc_xrMA44fg3UKucdcxhvQUYw_25_7"/>
      <w:bookmarkStart w:id="303" w:name="Tc_7a3cYYYc60uaPbng6qG2Zg_25_4"/>
      <w:bookmarkStart w:id="304" w:name="Tc_eKOANAM3zkyY67KqB_uPmQ_25_2"/>
      <w:bookmarkStart w:id="305" w:name="Tc_SNyAU5agH0WwvojMaKwQhw_24_16"/>
      <w:bookmarkStart w:id="306" w:name="Tc_5kRxCtLih0m_NoXUDe-imw_24_13"/>
      <w:bookmarkStart w:id="307" w:name="Tc_9amv4CF_80K8IjT7cJzFsw_24_10"/>
      <w:bookmarkStart w:id="308" w:name="Tc_B3QscB3y1kuM4d1v836jmg_24_7"/>
      <w:bookmarkStart w:id="309" w:name="Tc_89PtgBVjH02rCdAWLeJbjA_24_2"/>
      <w:bookmarkStart w:id="310" w:name="Tc_Lp6SYKpgTUWARTMUPcGNEQ_23_10"/>
      <w:bookmarkStart w:id="311" w:name="Tc_vazKiPizrUuivDWXXsWdUw_22_10"/>
      <w:bookmarkStart w:id="312" w:name="Tc_T_z0wZxz70m_UunOl30y7w_20_16"/>
      <w:bookmarkStart w:id="313" w:name="Tc_2iJt7FYGLkSUcO0CroiCIg_20_13"/>
      <w:bookmarkStart w:id="314" w:name="Tc_B2g6S57FeECITmOxmkkLVw_20_10"/>
      <w:bookmarkStart w:id="315" w:name="Tc_pVSiiSnB3EqpKpHBkKbWcA_20_7"/>
      <w:bookmarkStart w:id="316" w:name="Tc_C418Xr3t90qplKIK0m2gWA_20_4"/>
      <w:bookmarkStart w:id="317" w:name="Tc_XujAz6unLky6j5UFpM7V7Q_20_0"/>
      <w:bookmarkStart w:id="318" w:name="Tc_rPe_5VkTk0m_HwaerlG2Dw_19_11"/>
      <w:bookmarkStart w:id="319" w:name="Tc_KnYU5ej01Ea_Nyht2B7gpg_19_8"/>
      <w:bookmarkStart w:id="320" w:name="Tc_FnVo79whD0mtUz4Pnp-Guw_19_5"/>
      <w:bookmarkStart w:id="321" w:name="Tc_ul_xeB7S8kyvpqTVZObkSA_19_2"/>
      <w:bookmarkStart w:id="322" w:name="Tc_17kFA247kEWApNS_D6qnHQ_19_0"/>
      <w:bookmarkStart w:id="323" w:name="Tc_2m9UMmb-I0aJ47FaSu3xyg_18_14"/>
      <w:bookmarkStart w:id="324" w:name="Tc_3LRlbmeEmUKDF2fLrvozBw_18_8"/>
      <w:bookmarkStart w:id="325" w:name="Tc_rVQ4imdKRkGPubNTOFYubg_18_5"/>
      <w:bookmarkStart w:id="326" w:name="Tc_n9l-5TXk8EqF2UFgOCiOKQ_18_2"/>
      <w:bookmarkStart w:id="327" w:name="Tc_-0HAV_oxFkWAVCi1lqNsDA_18_0"/>
      <w:bookmarkStart w:id="328" w:name="Tc_eyoxFrTAmEWheGKNIir1pA_17_14"/>
      <w:bookmarkStart w:id="329" w:name="Tc_UrthtLv9l0ubw3tWEVDCjA_17_11"/>
      <w:bookmarkStart w:id="330" w:name="Tc_0M_BwOgisky0zwktvi6Vzw_17_5"/>
      <w:bookmarkStart w:id="331" w:name="Tc_UuX9SbqRy0OwHbqc1N-osw_17_0"/>
      <w:bookmarkStart w:id="332" w:name="Tc__m5KnSuSNkig-9UlDuGoqw_16_14"/>
      <w:bookmarkStart w:id="333" w:name="Tc_34siGSoOekuif5xm-H4rQw_16_11"/>
      <w:bookmarkStart w:id="334" w:name="Tc_xcsqstz-A0SOqf6LDCUeMQ_16_5"/>
      <w:bookmarkStart w:id="335" w:name="Tc_tZEdRJceRUOHxAygHSeT0A_16_0"/>
      <w:bookmarkStart w:id="336" w:name="Tc_ExB35L9zZEahyAKINIb8Aw_15_14"/>
      <w:bookmarkStart w:id="337" w:name="Tc_szLzq9hirEumJcyPqJ6heQ_15_11"/>
      <w:bookmarkStart w:id="338" w:name="Tc_YrHBPhPwkUSx8tMORVtThg_15_5"/>
      <w:bookmarkStart w:id="339" w:name="Tc_hCuqWudx9USUL5eqfO1K-w_15_0"/>
      <w:bookmarkStart w:id="340" w:name="Tc_BGFe1R6UJUCMP90S9TyDrQ_14_16"/>
      <w:bookmarkStart w:id="341" w:name="Tc_bkh_46jCdEWNrzueM2ERvQ_14_13"/>
      <w:bookmarkStart w:id="342" w:name="Tc_An-A5Nn120eYyGaSelVJKw_14_10"/>
      <w:bookmarkStart w:id="343" w:name="Tc_5jg8tIJmgEWZdq8vZ8hvJQ_14_7"/>
      <w:bookmarkStart w:id="344" w:name="Tc_ZOzIE2BuTEyweIjVyAwdGw_14_4"/>
      <w:bookmarkStart w:id="345" w:name="Tc_zUK6NrICVkC-V9eV7FE-7w_14_0"/>
      <w:bookmarkStart w:id="346" w:name="Tc_-OX8ZL70nkmW-SmLDIvhsA_13_11"/>
      <w:bookmarkStart w:id="347" w:name="Tc_6Ih_sA1-vkmgl1ZMMMy96w_13_8"/>
      <w:bookmarkStart w:id="348" w:name="Tc_Gf0koP60-E2wvpfGhMQ53w_13_5"/>
      <w:bookmarkStart w:id="349" w:name="Tc_QhNZ1GjceECuadywwgmDrg_13_2"/>
      <w:bookmarkStart w:id="350" w:name="Tc_7aLiXYzHbEy8LsKUOKQXOg_13_0"/>
      <w:bookmarkStart w:id="351" w:name="Tc_QN8bgmoZ1EuGGnm4XTSxMg_12_14"/>
      <w:bookmarkStart w:id="352" w:name="Tc_oC3lEB8FmUWloHOc6sOyhQ_12_8"/>
      <w:bookmarkStart w:id="353" w:name="Tc_KT4Ml1JINEe8yAPe_FbO8A_12_5"/>
      <w:bookmarkStart w:id="354" w:name="Tc_3dWmBr3OiUOcoL3T9LIuhw_12_2"/>
      <w:bookmarkStart w:id="355" w:name="Tc_jlmzC7K7yUCreHij4XNPxg_12_0"/>
      <w:bookmarkStart w:id="356" w:name="Tc_7OxHGWAudkSOp8PywNEebw_11_14"/>
      <w:bookmarkStart w:id="357" w:name="Tc_RW2fA9A5VUyEMWmgdv53Mg_11_11"/>
      <w:bookmarkStart w:id="358" w:name="Tc_9AgxyTL9I02uaBfM-Pg0xg_11_5"/>
      <w:bookmarkStart w:id="359" w:name="Tc_xxzXovTehk-FNwdW4GHz0w_11_0"/>
      <w:bookmarkStart w:id="360" w:name="Tc_iN9AU5GCBkCnAA4T_3MDDg_10_16"/>
      <w:bookmarkStart w:id="361" w:name="Tc_-CkmORQuo0WFLg6VO_hD6Q_10_13"/>
      <w:bookmarkStart w:id="362" w:name="Tc_tJBT5VwjskKVs8VuCENJtw_10_10"/>
      <w:bookmarkStart w:id="363" w:name="Tc_zC2hScQoDk-Go7DPAq8pog_10_7"/>
      <w:bookmarkStart w:id="364" w:name="Tc_pfFqjWaBY02rAHVPO6sFsw_10_4"/>
      <w:bookmarkStart w:id="365" w:name="Tc_dU8IM3yoNECk5fjAnVQbBA_10_0"/>
      <w:bookmarkStart w:id="366" w:name="Tc_VnVR6EP_gEmgXavJBzO9EA_9_11"/>
      <w:bookmarkStart w:id="367" w:name="Tc_sd8seHhq20WR5J1HfSeaBA_9_8"/>
      <w:bookmarkStart w:id="368" w:name="Tc_9a2-ewXDI02anuwzcqtyCA_9_5"/>
      <w:bookmarkStart w:id="369" w:name="Tc_yA6KOncHoEusRV2lcJlGwQ_9_2"/>
      <w:bookmarkStart w:id="370" w:name="Tc_aApFbg10rk6mV3Z5H8Axuw_9_0"/>
      <w:bookmarkStart w:id="371" w:name="Tc_NilQhv83XkayD4DeA4dpgQ_8_14"/>
      <w:bookmarkStart w:id="372" w:name="Tc_ZbYS1ugUdEWgyRuKVLKIFA_8_8"/>
      <w:bookmarkStart w:id="373" w:name="Tc_V6qXruvvxEqP-_fkMC9NqQ_8_5"/>
      <w:bookmarkStart w:id="374" w:name="Tc_3ah-E0LZIk2Adr-Cejy2jQ_8_2"/>
      <w:bookmarkStart w:id="375" w:name="Tc_uaQkLVyreUa2pEkUxeiJnw_8_0"/>
      <w:bookmarkStart w:id="376" w:name="Tc_SJFMPhYeKkWBBfkgNmNFgA_7_14"/>
      <w:bookmarkStart w:id="377" w:name="Tc_7_jJZ5xAVE-B4o3ZlzzLRg_7_11"/>
      <w:bookmarkStart w:id="378" w:name="Tc_pIyT2ph730WzGwhoUXatew_7_5"/>
      <w:bookmarkStart w:id="379" w:name="Tc_eleiezj3TkqsLoQCWnjrBQ_7_0"/>
      <w:bookmarkStart w:id="380" w:name="Tc_eYSBq2DlvkOMQ23xJyyVcA_6_14"/>
      <w:bookmarkStart w:id="381" w:name="Tc_Y9nAgn2XJEq9jlDPgZX7Uw_6_11"/>
      <w:bookmarkStart w:id="382" w:name="Tc_cTrBFmPTVEqXvb7DA47-kQ_6_5"/>
      <w:bookmarkStart w:id="383" w:name="Tc_ZFmygd5Fb0GbiL8pri0ZPg_6_0"/>
      <w:bookmarkStart w:id="384" w:name="Tc_r2B4KbCByUmfsFbd3e-Qyg_5_16"/>
      <w:bookmarkStart w:id="385" w:name="Tc_K9p9Z1FbwESgAnTf-6Du3g_5_13"/>
      <w:bookmarkStart w:id="386" w:name="Tc_-WdLeWOaFkC92Y0BZCwACg_5_10"/>
      <w:bookmarkStart w:id="387" w:name="Tc_kqz0dGoV80am5Sd3RNWFdA_5_7"/>
      <w:bookmarkStart w:id="388" w:name="Tc_jz88Pk7I0Uq6uwSTf2Ej5g_5_4"/>
      <w:bookmarkStart w:id="389" w:name="Tc_MiRQ8viWkEm6WVzk4J-3IA_5_0"/>
      <w:bookmarkStart w:id="390" w:name="Tc_yMcQA_FEB0GLBuXZoQJRdw_4_16"/>
      <w:bookmarkStart w:id="391" w:name="Tc_UQyTKujAakKVKdVxVqjktw_4_13"/>
      <w:bookmarkStart w:id="392" w:name="Tc_HFO-B3PN6EO_j5VdstpsEA_4_10"/>
      <w:bookmarkStart w:id="393" w:name="Tc_2cEkhRFxnka9Jav2ws96Aw_4_7"/>
      <w:bookmarkStart w:id="394" w:name="Tc__BX3zJtAKUuIa0N52eD78Q_4_4"/>
      <w:bookmarkStart w:id="395" w:name="Tc_SxvpHH1FwEOd02rC7SeHjg_4_2"/>
      <w:bookmarkStart w:id="396" w:name="Tc_gxF-kEz_XUiCBfuhODUrBQ_3_16"/>
      <w:bookmarkStart w:id="397" w:name="Tc_Ok9Pl8m9DkaaytIYbWo8hg_3_13"/>
      <w:bookmarkStart w:id="398" w:name="Tc_0lpNEZX3YUiaMc_US9rPig_3_10"/>
      <w:bookmarkStart w:id="399" w:name="Tc_cFQDb9k8AkKmv00vcFjtgg_3_7"/>
      <w:bookmarkStart w:id="400" w:name="Tc_c-8eTDoT_EO3cOMDvf4Gdw_3_2"/>
      <w:bookmarkStart w:id="401" w:name="Tc_bG9Uu0FFY0W0wugVBHMClA_2_10"/>
      <w:bookmarkStart w:id="402" w:name="Tc_ngxNm4kUcEiFyxQZP0AdJg_1_10"/>
      <w:bookmarkStart w:id="403" w:name="_8ceef2c7_ac86_4128_b3fd_50c6c70d604c"/>
      <w:bookmarkStart w:id="404" w:name="Tc_wt1jVsKGzkOOLN9711h8Gw_39_16"/>
      <w:bookmarkStart w:id="405" w:name="Tc_kcGCsAmbP0aHjMp460zJ4Q_39_13"/>
      <w:bookmarkStart w:id="406" w:name="Tc_di2HISv7MUetGpXHSasj3Q_39_10"/>
      <w:bookmarkStart w:id="407" w:name="Tc_0PQORIw2bkOHMGGly6pYTQ_39_7"/>
      <w:bookmarkStart w:id="408" w:name="Tc_M1bNkoUY1U6AlcfPzNrvZw_39_4"/>
      <w:bookmarkStart w:id="409" w:name="Tc_r7WwJHSVfkOY4h8eXYje5A_39_0"/>
      <w:bookmarkStart w:id="410" w:name="Tc_hAf2z3tTKUG2vK1EooYcXQ_38_11"/>
      <w:bookmarkStart w:id="411" w:name="Tc_gYQgbxPUcUuhRTMPEweu4Q_38_8"/>
      <w:bookmarkStart w:id="412" w:name="Tc_TFRVR6gvbkmT5RdxbopG2A_38_5"/>
      <w:bookmarkStart w:id="413" w:name="Tc_lK4JDd4wU0GdOcfQpsi9tg_38_2"/>
      <w:bookmarkStart w:id="414" w:name="Tc_WX9SKUlfCk2BJzH8IBOKYA_38_0"/>
      <w:bookmarkStart w:id="415" w:name="Tc_TBvegDeUCUO_4gxtA_7-7Q_37_14"/>
      <w:bookmarkStart w:id="416" w:name="Tc_sj_LmmDVJ0qG1hYjfJ5-RQ_37_8"/>
      <w:bookmarkStart w:id="417" w:name="Tc_XBwq1MQYZEugvdr5PYN6lg_37_5"/>
      <w:bookmarkStart w:id="418" w:name="Tc_jp8OvUQcekKL8p7qX6dVOw_37_2"/>
      <w:bookmarkStart w:id="419" w:name="Tc_owHJeEz-wEeEv3RE-OCEig_37_0"/>
      <w:bookmarkStart w:id="420" w:name="Tc_uGKw4vf_DkOwWMEJsCMr5A_36_14"/>
      <w:bookmarkStart w:id="421" w:name="Tc_poZLnsyx6UyIZtYsJ9Knsg_36_11"/>
      <w:bookmarkStart w:id="422" w:name="Tc_NJ3HAmGre0OXgtc6n8b8kg_36_5"/>
      <w:bookmarkStart w:id="423" w:name="Tc_HGGecyxIU0ODJkoc140OuQ_36_0"/>
      <w:bookmarkStart w:id="424" w:name="Tc_JVZ0HLtDdkCZUOWRMCfGiA_35_16"/>
      <w:bookmarkStart w:id="425" w:name="Tc_3-AFmSM78UeyzHR6UDxTng_35_13"/>
      <w:bookmarkStart w:id="426" w:name="Tc_8soqpUDCWEO22G8t0QI0GA_35_10"/>
      <w:bookmarkStart w:id="427" w:name="Tc_IuAFLYXjgk2z-Y1YyfkdUA_35_7"/>
      <w:bookmarkStart w:id="428" w:name="Tc_i3e_aYmyBkquT66mhJDLuw_35_4"/>
      <w:bookmarkStart w:id="429" w:name="Tc_3xCCxMCUCkq11QQiqJMb3w_35_0"/>
      <w:bookmarkStart w:id="430" w:name="Tc_VFwkBVCmHEWvT0xAeiPd_A_34_11"/>
      <w:bookmarkStart w:id="431" w:name="Tc_6uArn3UIgEGjd9bMyd1I_w_34_8"/>
      <w:bookmarkStart w:id="432" w:name="Tc_5q1ktWpLckuTw6iQZQxP7Q_34_5"/>
      <w:bookmarkStart w:id="433" w:name="Tc_PqQRpNQM5k2_HV9UU9D98w_34_2"/>
      <w:bookmarkStart w:id="434" w:name="Tc__702p8qfEkWEiAh4SAN0Kw_34_0"/>
      <w:bookmarkStart w:id="435" w:name="Tc_nmM2PF5gBUK0m2T3sOF7Mw_33_14"/>
      <w:bookmarkStart w:id="436" w:name="Tc_ey6htmzNOUyo-KhQJQ83bA_33_8"/>
      <w:bookmarkStart w:id="437" w:name="Tc_SJduR7PKY0ul-jDjgR_SUw_33_5"/>
      <w:bookmarkStart w:id="438" w:name="Tc_j9jTOI2At0G0HBUplmsS-g_33_2"/>
      <w:bookmarkStart w:id="439" w:name="Tc_NCLMi-J4_0q_wj5T5s9_4w_33_0"/>
      <w:bookmarkStart w:id="440" w:name="Tc_4bJz6CycGkOj82rEEcX6yg_32_14"/>
      <w:bookmarkStart w:id="441" w:name="Tc_Ld3Qt7WAnEyOAPJSL8LFig_32_11"/>
      <w:bookmarkStart w:id="442" w:name="Tc_Y9LbyrjnDEy-QWBQ5gUEJQ_32_5"/>
      <w:bookmarkStart w:id="443" w:name="Tc_2P6tSXUXA0KDl8R4MbX7BQ_32_0"/>
      <w:bookmarkStart w:id="444" w:name="Tc_KQuPyVf0f0GEPS5sKCwlIA_31_14"/>
      <w:bookmarkStart w:id="445" w:name="Tc_42a93wgDQk-H0U7msbrEiQ_31_11"/>
      <w:bookmarkStart w:id="446" w:name="Tc_cxdYkORLHEKwj4aNDz7ngQ_31_5"/>
      <w:bookmarkStart w:id="447" w:name="Tc_c-Ne_nebu0SxVGGiRhYzJg_31_0"/>
      <w:bookmarkStart w:id="448" w:name="Tc_9WYLxBMNFU2ZdF3voIj9qw_30_16"/>
      <w:bookmarkStart w:id="449" w:name="Tc_mTdTgPi6D0W9a7Z0Ytisgw_30_13"/>
      <w:bookmarkStart w:id="450" w:name="Tc_weYszU1UpUaRJgaqZSEB2g_30_10"/>
      <w:bookmarkStart w:id="451" w:name="Tc_QE6oE3Z5CEOGNPdq6RrnYQ_30_7"/>
      <w:bookmarkStart w:id="452" w:name="Tc_JMLGEQeYAUWLy0rNQluUnA_30_4"/>
      <w:bookmarkStart w:id="453" w:name="Tc_sFQWA3UY1Em8rB09mvykbg_30_0"/>
      <w:bookmarkStart w:id="454" w:name="Tc_RCJE47k2ck2g331_hREyvA_29_11"/>
      <w:bookmarkStart w:id="455" w:name="Tc_pyov8vZM10KVpSnk9V72RA_29_8"/>
      <w:bookmarkStart w:id="456" w:name="Tc_mCMkPbSWEEWmz7H_sq4Xlw_29_5"/>
      <w:bookmarkStart w:id="457" w:name="Tc_eZzYDOnPAEuewyth8Fv1Iw_29_2"/>
      <w:bookmarkStart w:id="458" w:name="Tc_NZY2GSnoD0K5k-FXjYZI0w_29_0"/>
      <w:bookmarkStart w:id="459" w:name="Tc_-YpGd9J24EWMCF-ylrV5Iw_28_14"/>
      <w:bookmarkStart w:id="460" w:name="Tc_QbEOem6dUUW1pEU1KBqMmw_28_8"/>
      <w:bookmarkStart w:id="461" w:name="Tc_MkIquvw51UmVyill3O_S3A_28_5"/>
      <w:bookmarkStart w:id="462" w:name="Tc_tvn2tZxaKkut5b-J4u_XgQ_28_2"/>
      <w:bookmarkStart w:id="463" w:name="Tc_MronEfsZrECcgVwfSqRFkw_28_0"/>
      <w:bookmarkStart w:id="464" w:name="Tc_D7HSHn2FEEKhlUl6DdoIEA_27_14"/>
      <w:bookmarkStart w:id="465" w:name="Tc_lCDZpGzmNEqlR-0Nz2ebRw_27_11"/>
      <w:bookmarkStart w:id="466" w:name="Tc_ae-XH17c40ycDGY_Wbn-FQ_27_5"/>
      <w:bookmarkStart w:id="467" w:name="Tc_xjSl5R0bdUmXjx54rBggwg_27_0"/>
      <w:bookmarkStart w:id="468" w:name="Tc_IALPNda_pUqeLgUlk9q67w_26_16"/>
      <w:bookmarkStart w:id="469" w:name="Tc_3rkSjg171ke4IHPNInyc8g_26_13"/>
      <w:bookmarkStart w:id="470" w:name="Tc_p2j8z_yB50Ca_eZGeiiQgg_26_10"/>
      <w:bookmarkStart w:id="471" w:name="Tc_yccRzs9QS0yvcGFKRk3SMQ_26_7"/>
      <w:bookmarkStart w:id="472" w:name="Tc_po_8x9jrOEOBTVKKlDVtyg_26_4"/>
      <w:bookmarkStart w:id="473" w:name="Tc_y_xVOTENa0-qplyioZYIsQ_26_0"/>
      <w:bookmarkStart w:id="474" w:name="Tc_qScmjd99N0aUxEQQdGpW3Q_25_16"/>
      <w:bookmarkStart w:id="475" w:name="Tc_1_serA0ZEUC07fhafHJFqg_25_13"/>
      <w:bookmarkStart w:id="476" w:name="Tc_Ger83ShadUKD9uYvoXzttg_25_10"/>
      <w:bookmarkStart w:id="477" w:name="Tc_xrMA44fg3UKucdcxhvQUYw_25_7"/>
      <w:bookmarkStart w:id="478" w:name="Tc_7a3cYYYc60uaPbng6qG2Zg_25_4"/>
      <w:bookmarkStart w:id="479" w:name="Tc_eKOANAM3zkyY67KqB_uPmQ_25_2"/>
      <w:bookmarkStart w:id="480" w:name="Tc_SNyAU5agH0WwvojMaKwQhw_24_16"/>
      <w:bookmarkStart w:id="481" w:name="Tc_5kRxCtLih0m_NoXUDe-imw_24_13"/>
      <w:bookmarkStart w:id="482" w:name="Tc_9amv4CF_80K8IjT7cJzFsw_24_10"/>
      <w:bookmarkStart w:id="483" w:name="Tc_B3QscB3y1kuM4d1v836jmg_24_7"/>
      <w:bookmarkStart w:id="484" w:name="Tc_89PtgBVjH02rCdAWLeJbjA_24_2"/>
      <w:bookmarkStart w:id="485" w:name="Tc_Lp6SYKpgTUWARTMUPcGNEQ_23_10"/>
      <w:bookmarkStart w:id="486" w:name="Tc_vazKiPizrUuivDWXXsWdUw_22_10"/>
      <w:bookmarkStart w:id="487" w:name="Tc_T_z0wZxz70m_UunOl30y7w_20_16"/>
      <w:bookmarkStart w:id="488" w:name="Tc_2iJt7FYGLkSUcO0CroiCIg_20_13"/>
      <w:bookmarkStart w:id="489" w:name="Tc_B2g6S57FeECITmOxmkkLVw_20_10"/>
      <w:bookmarkStart w:id="490" w:name="Tc_pVSiiSnB3EqpKpHBkKbWcA_20_7"/>
      <w:bookmarkStart w:id="491" w:name="Tc_C418Xr3t90qplKIK0m2gWA_20_4"/>
      <w:bookmarkStart w:id="492" w:name="Tc_XujAz6unLky6j5UFpM7V7Q_20_0"/>
      <w:bookmarkStart w:id="493" w:name="Tc_rPe_5VkTk0m_HwaerlG2Dw_19_11"/>
      <w:bookmarkStart w:id="494" w:name="Tc_KnYU5ej01Ea_Nyht2B7gpg_19_8"/>
      <w:bookmarkStart w:id="495" w:name="Tc_FnVo79whD0mtUz4Pnp-Guw_19_5"/>
      <w:bookmarkStart w:id="496" w:name="Tc_ul_xeB7S8kyvpqTVZObkSA_19_2"/>
      <w:bookmarkStart w:id="497" w:name="Tc_17kFA247kEWApNS_D6qnHQ_19_0"/>
      <w:bookmarkStart w:id="498" w:name="Tc_2m9UMmb-I0aJ47FaSu3xyg_18_14"/>
      <w:bookmarkStart w:id="499" w:name="Tc_3LRlbmeEmUKDF2fLrvozBw_18_8"/>
      <w:bookmarkStart w:id="500" w:name="Tc_rVQ4imdKRkGPubNTOFYubg_18_5"/>
      <w:bookmarkStart w:id="501" w:name="Tc_n9l-5TXk8EqF2UFgOCiOKQ_18_2"/>
      <w:bookmarkStart w:id="502" w:name="Tc_-0HAV_oxFkWAVCi1lqNsDA_18_0"/>
      <w:bookmarkStart w:id="503" w:name="Tc_eyoxFrTAmEWheGKNIir1pA_17_14"/>
      <w:bookmarkStart w:id="504" w:name="Tc_UrthtLv9l0ubw3tWEVDCjA_17_11"/>
      <w:bookmarkStart w:id="505" w:name="Tc_0M_BwOgisky0zwktvi6Vzw_17_5"/>
      <w:bookmarkStart w:id="506" w:name="Tc_UuX9SbqRy0OwHbqc1N-osw_17_0"/>
      <w:bookmarkStart w:id="507" w:name="Tc__m5KnSuSNkig-9UlDuGoqw_16_14"/>
      <w:bookmarkStart w:id="508" w:name="Tc_34siGSoOekuif5xm-H4rQw_16_11"/>
      <w:bookmarkStart w:id="509" w:name="Tc_xcsqstz-A0SOqf6LDCUeMQ_16_5"/>
      <w:bookmarkStart w:id="510" w:name="Tc_tZEdRJceRUOHxAygHSeT0A_16_0"/>
      <w:bookmarkStart w:id="511" w:name="Tc_ExB35L9zZEahyAKINIb8Aw_15_14"/>
      <w:bookmarkStart w:id="512" w:name="Tc_szLzq9hirEumJcyPqJ6heQ_15_11"/>
      <w:bookmarkStart w:id="513" w:name="Tc_YrHBPhPwkUSx8tMORVtThg_15_5"/>
      <w:bookmarkStart w:id="514" w:name="Tc_hCuqWudx9USUL5eqfO1K-w_15_0"/>
      <w:bookmarkStart w:id="515" w:name="Tc_BGFe1R6UJUCMP90S9TyDrQ_14_16"/>
      <w:bookmarkStart w:id="516" w:name="Tc_bkh_46jCdEWNrzueM2ERvQ_14_13"/>
      <w:bookmarkStart w:id="517" w:name="Tc_An-A5Nn120eYyGaSelVJKw_14_10"/>
      <w:bookmarkStart w:id="518" w:name="Tc_5jg8tIJmgEWZdq8vZ8hvJQ_14_7"/>
      <w:bookmarkStart w:id="519" w:name="Tc_ZOzIE2BuTEyweIjVyAwdGw_14_4"/>
      <w:bookmarkStart w:id="520" w:name="Tc_zUK6NrICVkC-V9eV7FE-7w_14_0"/>
      <w:bookmarkStart w:id="521" w:name="Tc_-OX8ZL70nkmW-SmLDIvhsA_13_11"/>
      <w:bookmarkStart w:id="522" w:name="Tc_6Ih_sA1-vkmgl1ZMMMy96w_13_8"/>
      <w:bookmarkStart w:id="523" w:name="Tc_Gf0koP60-E2wvpfGhMQ53w_13_5"/>
      <w:bookmarkStart w:id="524" w:name="Tc_QhNZ1GjceECuadywwgmDrg_13_2"/>
      <w:bookmarkStart w:id="525" w:name="Tc_7aLiXYzHbEy8LsKUOKQXOg_13_0"/>
      <w:bookmarkStart w:id="526" w:name="Tc_QN8bgmoZ1EuGGnm4XTSxMg_12_14"/>
      <w:bookmarkStart w:id="527" w:name="Tc_oC3lEB8FmUWloHOc6sOyhQ_12_8"/>
      <w:bookmarkStart w:id="528" w:name="Tc_KT4Ml1JINEe8yAPe_FbO8A_12_5"/>
      <w:bookmarkStart w:id="529" w:name="Tc_3dWmBr3OiUOcoL3T9LIuhw_12_2"/>
      <w:bookmarkStart w:id="530" w:name="Tc_jlmzC7K7yUCreHij4XNPxg_12_0"/>
      <w:bookmarkStart w:id="531" w:name="Tc_7OxHGWAudkSOp8PywNEebw_11_14"/>
      <w:bookmarkStart w:id="532" w:name="Tc_RW2fA9A5VUyEMWmgdv53Mg_11_11"/>
      <w:bookmarkStart w:id="533" w:name="Tc_9AgxyTL9I02uaBfM-Pg0xg_11_5"/>
      <w:bookmarkStart w:id="534" w:name="Tc_xxzXovTehk-FNwdW4GHz0w_11_0"/>
      <w:bookmarkStart w:id="535" w:name="Tc_iN9AU5GCBkCnAA4T_3MDDg_10_16"/>
      <w:bookmarkStart w:id="536" w:name="Tc_-CkmORQuo0WFLg6VO_hD6Q_10_13"/>
      <w:bookmarkStart w:id="537" w:name="Tc_tJBT5VwjskKVs8VuCENJtw_10_10"/>
      <w:bookmarkStart w:id="538" w:name="Tc_zC2hScQoDk-Go7DPAq8pog_10_7"/>
      <w:bookmarkStart w:id="539" w:name="Tc_pfFqjWaBY02rAHVPO6sFsw_10_4"/>
      <w:bookmarkStart w:id="540" w:name="Tc_dU8IM3yoNECk5fjAnVQbBA_10_0"/>
      <w:bookmarkStart w:id="541" w:name="Tc_VnVR6EP_gEmgXavJBzO9EA_9_11"/>
      <w:bookmarkStart w:id="542" w:name="Tc_sd8seHhq20WR5J1HfSeaBA_9_8"/>
      <w:bookmarkStart w:id="543" w:name="Tc_9a2-ewXDI02anuwzcqtyCA_9_5"/>
      <w:bookmarkStart w:id="544" w:name="Tc_yA6KOncHoEusRV2lcJlGwQ_9_2"/>
      <w:bookmarkStart w:id="545" w:name="Tc_aApFbg10rk6mV3Z5H8Axuw_9_0"/>
      <w:bookmarkStart w:id="546" w:name="Tc_NilQhv83XkayD4DeA4dpgQ_8_14"/>
      <w:bookmarkStart w:id="547" w:name="Tc_ZbYS1ugUdEWgyRuKVLKIFA_8_8"/>
      <w:bookmarkStart w:id="548" w:name="Tc_V6qXruvvxEqP-_fkMC9NqQ_8_5"/>
      <w:bookmarkStart w:id="549" w:name="Tc_3ah-E0LZIk2Adr-Cejy2jQ_8_2"/>
      <w:bookmarkStart w:id="550" w:name="Tc_uaQkLVyreUa2pEkUxeiJnw_8_0"/>
      <w:bookmarkStart w:id="551" w:name="Tc_SJFMPhYeKkWBBfkgNmNFgA_7_14"/>
      <w:bookmarkStart w:id="552" w:name="Tc_7_jJZ5xAVE-B4o3ZlzzLRg_7_11"/>
      <w:bookmarkStart w:id="553" w:name="Tc_pIyT2ph730WzGwhoUXatew_7_5"/>
      <w:bookmarkStart w:id="554" w:name="Tc_eleiezj3TkqsLoQCWnjrBQ_7_0"/>
      <w:bookmarkStart w:id="555" w:name="Tc_eYSBq2DlvkOMQ23xJyyVcA_6_14"/>
      <w:bookmarkStart w:id="556" w:name="Tc_Y9nAgn2XJEq9jlDPgZX7Uw_6_11"/>
      <w:bookmarkStart w:id="557" w:name="Tc_cTrBFmPTVEqXvb7DA47-kQ_6_5"/>
      <w:bookmarkStart w:id="558" w:name="Tc_ZFmygd5Fb0GbiL8pri0ZPg_6_0"/>
      <w:bookmarkStart w:id="559" w:name="Tc_r2B4KbCByUmfsFbd3e-Qyg_5_16"/>
      <w:bookmarkStart w:id="560" w:name="Tc_K9p9Z1FbwESgAnTf-6Du3g_5_13"/>
      <w:bookmarkStart w:id="561" w:name="Tc_-WdLeWOaFkC92Y0BZCwACg_5_10"/>
      <w:bookmarkStart w:id="562" w:name="Tc_kqz0dGoV80am5Sd3RNWFdA_5_7"/>
      <w:bookmarkStart w:id="563" w:name="Tc_jz88Pk7I0Uq6uwSTf2Ej5g_5_4"/>
      <w:bookmarkStart w:id="564" w:name="Tc_MiRQ8viWkEm6WVzk4J-3IA_5_0"/>
      <w:bookmarkStart w:id="565" w:name="Tc_yMcQA_FEB0GLBuXZoQJRdw_4_16"/>
      <w:bookmarkStart w:id="566" w:name="Tc_UQyTKujAakKVKdVxVqjktw_4_13"/>
      <w:bookmarkStart w:id="567" w:name="Tc_HFO-B3PN6EO_j5VdstpsEA_4_10"/>
      <w:bookmarkStart w:id="568" w:name="Tc_2cEkhRFxnka9Jav2ws96Aw_4_7"/>
      <w:bookmarkStart w:id="569" w:name="Tc__BX3zJtAKUuIa0N52eD78Q_4_4"/>
      <w:bookmarkStart w:id="570" w:name="Tc_SxvpHH1FwEOd02rC7SeHjg_4_2"/>
      <w:bookmarkStart w:id="571" w:name="Tc_gxF-kEz_XUiCBfuhODUrBQ_3_16"/>
      <w:bookmarkStart w:id="572" w:name="Tc_Ok9Pl8m9DkaaytIYbWo8hg_3_13"/>
      <w:bookmarkStart w:id="573" w:name="Tc_0lpNEZX3YUiaMc_US9rPig_3_10"/>
      <w:bookmarkStart w:id="574" w:name="Tc_cFQDb9k8AkKmv00vcFjtgg_3_7"/>
      <w:bookmarkStart w:id="575" w:name="Tc_c-8eTDoT_EO3cOMDvf4Gdw_3_2"/>
      <w:bookmarkStart w:id="576" w:name="Tc_bG9Uu0FFY0W0wugVBHMClA_2_10"/>
      <w:bookmarkStart w:id="577" w:name="Tc_ngxNm4kUcEiFyxQZP0AdJg_1_10"/>
      <w:bookmarkStart w:id="578" w:name="_8ceef2c7_ac86_4128_b3fd_50c6c70d604c"/>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tbl>
      <w:tblPr>
        <w:tblW w:w="10205" w:type="dxa"/>
        <w:jc w:val="left"/>
        <w:tblInd w:w="0" w:type="dxa"/>
        <w:tblLayout w:type="fixed"/>
        <w:tblCellMar>
          <w:top w:w="0" w:type="dxa"/>
          <w:left w:w="0" w:type="dxa"/>
          <w:bottom w:w="0" w:type="dxa"/>
          <w:right w:w="0" w:type="dxa"/>
        </w:tblCellMar>
      </w:tblPr>
      <w:tblGrid>
        <w:gridCol w:w="1921"/>
        <w:gridCol w:w="326"/>
        <w:gridCol w:w="1036"/>
        <w:gridCol w:w="326"/>
        <w:gridCol w:w="261"/>
        <w:gridCol w:w="430"/>
        <w:gridCol w:w="326"/>
        <w:gridCol w:w="258"/>
        <w:gridCol w:w="958"/>
        <w:gridCol w:w="326"/>
        <w:gridCol w:w="327"/>
        <w:gridCol w:w="889"/>
        <w:gridCol w:w="326"/>
        <w:gridCol w:w="211"/>
        <w:gridCol w:w="845"/>
        <w:gridCol w:w="326"/>
        <w:gridCol w:w="211"/>
        <w:gridCol w:w="902"/>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19835" cy="175260"/>
                      <wp:effectExtent l="0" t="0" r="0" b="0"/>
                      <wp:wrapNone/>
                      <wp:docPr id="22" name="Frame22"/>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24" name="Frame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65735" cy="175260"/>
                      <wp:effectExtent l="0" t="0" r="0" b="0"/>
                      <wp:wrapNone/>
                      <wp:docPr id="26" name="Frame2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73050" cy="175260"/>
                      <wp:effectExtent l="0" t="0" r="0" b="0"/>
                      <wp:wrapNone/>
                      <wp:docPr id="27" name="Frame27"/>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63830" cy="175260"/>
                      <wp:effectExtent l="0" t="0" r="0" b="0"/>
                      <wp:wrapNone/>
                      <wp:docPr id="29" name="Frame2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08330" cy="175260"/>
                      <wp:effectExtent l="0" t="0" r="0" b="0"/>
                      <wp:wrapNone/>
                      <wp:docPr id="30" name="Frame30"/>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645" cy="175260"/>
                      <wp:effectExtent l="0" t="0" r="0" b="0"/>
                      <wp:wrapNone/>
                      <wp:docPr id="32" name="Frame32"/>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64515" cy="175260"/>
                      <wp:effectExtent l="0" t="0" r="0" b="0"/>
                      <wp:wrapNone/>
                      <wp:docPr id="33" name="Frame33"/>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36575" cy="175260"/>
                      <wp:effectExtent l="0" t="0" r="0" b="0"/>
                      <wp:wrapNone/>
                      <wp:docPr id="36" name="Frame36"/>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72770" cy="175260"/>
                      <wp:effectExtent l="0" t="0" r="0" b="0"/>
                      <wp:wrapNone/>
                      <wp:docPr id="39" name="Frame39"/>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02"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02"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1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 (Loss)</w:t>
            </w:r>
          </w:p>
        </w:tc>
        <w:tc>
          <w:tcPr>
            <w:tcW w:w="326" w:type="dxa"/>
            <w:tcBorders/>
            <w:vAlign w:val="center"/>
          </w:tcPr>
          <w:p>
            <w:pPr>
              <w:pStyle w:val="TableContents"/>
              <w:bidi w:val="0"/>
              <w:spacing w:before="0" w:after="0"/>
              <w:ind w:left="0" w:right="0" w:hanging="0"/>
              <w:jc w:val="left"/>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43,694,716</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519,206</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(340,475)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180,106</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16,000</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7,449</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5,091</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5,091</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(28,068)</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2022</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43,718,165</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524,329</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157,472</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13,633</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13,633</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(41,131)</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2022</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43,720,038</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537,962</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(409,674)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131,396</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 of treasury shares – refer to Note 10</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(57,887)</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(27,526)</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September 30, 2022</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43,668,130</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540,392</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107,898</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02"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02"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1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 (Loss)</w:t>
            </w:r>
          </w:p>
        </w:tc>
        <w:tc>
          <w:tcPr>
            <w:tcW w:w="326" w:type="dxa"/>
            <w:tcBorders/>
            <w:vAlign w:val="center"/>
          </w:tcPr>
          <w:p>
            <w:pPr>
              <w:pStyle w:val="TableContents"/>
              <w:bidi w:val="0"/>
              <w:spacing w:before="0" w:after="0"/>
              <w:ind w:left="0" w:right="0" w:hanging="0"/>
              <w:jc w:val="left"/>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43,670,109</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543,929</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(436,043)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109,221</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7,658</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5,304</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5,304</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(6,390)</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43,677,767</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549,233</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(442,433)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107,829</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 of treasury shares – refer to Note 10</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(58,763)</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(6,302)</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2023</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43,620,192</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552,369</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(448,735)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104,681</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(7,747)</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September 30, 2023</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43,621,618</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554,779</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100,150</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79" w:name="_72d9d076_da4f_46ec_bb58_da2422be352a"/>
      <w:bookmarkEnd w:id="579"/>
      <w:r>
        <w:rPr>
          <w:rFonts w:ascii="Times New Roman;Times;serif" w:hAnsi="Times New Roman;Times;serif"/>
          <w:b/>
          <w:sz w:val="20"/>
        </w:rPr>
        <w:t>Y-MABS THERAPEUTICS, INC.</w:t>
      </w:r>
    </w:p>
    <w:p>
      <w:pPr>
        <w:pStyle w:val="TextBody"/>
        <w:bidi w:val="0"/>
        <w:spacing w:before="0" w:after="240"/>
        <w:ind w:left="0" w:right="0" w:hanging="0"/>
        <w:jc w:val="center"/>
        <w:rPr>
          <w:rFonts w:ascii="Times New Roman;Times;serif" w:hAnsi="Times New Roman;Times;serif"/>
          <w:b/>
          <w:sz w:val="20"/>
        </w:rPr>
      </w:pPr>
      <w:bookmarkStart w:id="580" w:name="ConsolidatedStatementsofCashFlows_181194"/>
      <w:bookmarkEnd w:id="580"/>
      <w:r>
        <w:rPr>
          <w:rFonts w:ascii="Times New Roman;Times;serif" w:hAnsi="Times New Roman;Times;serif"/>
          <w:b/>
          <w:sz w:val="20"/>
        </w:rPr>
        <w:t>Consolidated 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581" w:name="Tc_faxv-c5RSUOChre3FdzXHQ_30_5"/>
      <w:bookmarkStart w:id="582" w:name="Tc_B0Heb0MbcEe0QuRK6CuhCw_30_2"/>
      <w:bookmarkStart w:id="583" w:name="Tc_FHzjz5_KSkmriAuWBYzQnw_30_0"/>
      <w:bookmarkStart w:id="584" w:name="Tc_1ngy9Y_xbkevuAwzKHBFgQ_29_5"/>
      <w:bookmarkStart w:id="585" w:name="Tc_-eCal-Kl1kGxUa3lC89XtQ_29_3"/>
      <w:bookmarkStart w:id="586" w:name="Tc_U8xcRIhYAk29_NQg05tWTw_29_2"/>
      <w:bookmarkStart w:id="587" w:name="Tc_0HgWoF4QE0iBOOjDupg1cw_29_0"/>
      <w:bookmarkStart w:id="588" w:name="Tc_Xg1DAAVlK0e_V4X5BsHDHw_28_5"/>
      <w:bookmarkStart w:id="589" w:name="Tc_6Iv-ZektCUukUSrUotd1-Q_28_2"/>
      <w:bookmarkStart w:id="590" w:name="Tc_lMwqeTGhSkirl8crRE1abQ_28_0"/>
      <w:bookmarkStart w:id="591" w:name="Tc_K_vCfI-Z20aL_o3m46WiWQ_27_0"/>
      <w:bookmarkStart w:id="592" w:name="Tc_TGyVGvkz-kK2-5YnG1VAjw_25_5"/>
      <w:bookmarkStart w:id="593" w:name="Tc_YorQra4m1Eeuw41iaDsK-g_25_2"/>
      <w:bookmarkStart w:id="594" w:name="Tc_ekixlmxc8EOCm0aHDo5Ikw_25_0"/>
      <w:bookmarkStart w:id="595" w:name="Tc_XTxcu-jTuke-ZVxP9_5oVw_24_0"/>
      <w:bookmarkStart w:id="596" w:name="Tc_fwA0pmUr_ky59VhRYcbmEA_23_0"/>
      <w:bookmarkStart w:id="597" w:name="Tc_zzTmPHb2zUmreC7v3VWavg_22_0"/>
      <w:bookmarkStart w:id="598" w:name="Tc_miLkiH5cDEywnJWjuuNCvA_21_3"/>
      <w:bookmarkStart w:id="599" w:name="Tc_2bYVGe9rwEaqafDKczFwbw_21_0"/>
      <w:bookmarkStart w:id="600" w:name="Tc_633wiPnEx0GOgwJy2eO6tA_20_3"/>
      <w:bookmarkStart w:id="601" w:name="Tc_5SRrKZdqI0aBKIIJeTGxLw_20_0"/>
      <w:bookmarkStart w:id="602" w:name="Tc_UP4qLbqJykm47z91LNr0ZQ_19_0"/>
      <w:bookmarkStart w:id="603" w:name="Tc_Hxv9vleZWkaiHAAXLy4pdg_18_0"/>
      <w:bookmarkStart w:id="604" w:name="Tc_tQDCqP81iUKoeWPSiCMdMg_17_0"/>
      <w:bookmarkStart w:id="605" w:name="Tc_UU87jjziIkWbl4dT2C-2kw_16_0"/>
      <w:bookmarkStart w:id="606" w:name="Tc_Egletvq_OkuukFeMfMYV5g_15_0"/>
      <w:bookmarkStart w:id="607" w:name="Tc_xRWOZewzDkOyfIP7Ari3mw_14_0"/>
      <w:bookmarkStart w:id="608" w:name="Tc_mbKgnX4qH0mC20A-l5U1qQ_13_0"/>
      <w:bookmarkStart w:id="609" w:name="Tc_4k5Hw3zuoku8SwqdHNDvtw_12_0"/>
      <w:bookmarkStart w:id="610" w:name="Tc_Vhv_FwD9VkeQd4L0yED_pA_11_0"/>
      <w:bookmarkStart w:id="611" w:name="Tc_p5b3119q40GlMpvFkHfiOQ_10_0"/>
      <w:bookmarkStart w:id="612" w:name="Tc_t8OmzL7V_EmGeUAhORl37g_9_0"/>
      <w:bookmarkStart w:id="613" w:name="Tc_iKyCxUVxfU-glRPTtBT8bw_8_0"/>
      <w:bookmarkStart w:id="614" w:name="Tc_z3ieRw4nEUOovaQbIhQNsg_7_0"/>
      <w:bookmarkStart w:id="615" w:name="Tc_EbfWGoBuCEKnEqzYKU6fXw_6_0"/>
      <w:bookmarkStart w:id="616" w:name="Tc_MksFtJC4DEmo8ItcEXB2EQ_5_5"/>
      <w:bookmarkStart w:id="617" w:name="Tc_su8bXzsyvUqMvj-88yVvNQ_5_2"/>
      <w:bookmarkStart w:id="618" w:name="Tc_5oI8lQ1MKUqz_W7oxTeo6w_5_0"/>
      <w:bookmarkStart w:id="619" w:name="Tc_D7zjXfLztUqZAmwF4YscyQ_4_0"/>
      <w:bookmarkStart w:id="620" w:name="Tc_otr7VuGRDUSTsOTjtf9ybQ_2_5"/>
      <w:bookmarkStart w:id="621" w:name="Tc_S3gZQ69o50Sq42LEKuAjBg_2_2"/>
      <w:bookmarkStart w:id="622" w:name="Tc_Sgv9U4HRs0KN9xOm1We5kA_1_2"/>
      <w:bookmarkStart w:id="623" w:name="_67a9dae2_90fe_43c4_b9e0_3813bf00192f"/>
      <w:bookmarkStart w:id="624" w:name="Tc_faxv-c5RSUOChre3FdzXHQ_30_5"/>
      <w:bookmarkStart w:id="625" w:name="Tc_B0Heb0MbcEe0QuRK6CuhCw_30_2"/>
      <w:bookmarkStart w:id="626" w:name="Tc_FHzjz5_KSkmriAuWBYzQnw_30_0"/>
      <w:bookmarkStart w:id="627" w:name="Tc_1ngy9Y_xbkevuAwzKHBFgQ_29_5"/>
      <w:bookmarkStart w:id="628" w:name="Tc_-eCal-Kl1kGxUa3lC89XtQ_29_3"/>
      <w:bookmarkStart w:id="629" w:name="Tc_U8xcRIhYAk29_NQg05tWTw_29_2"/>
      <w:bookmarkStart w:id="630" w:name="Tc_0HgWoF4QE0iBOOjDupg1cw_29_0"/>
      <w:bookmarkStart w:id="631" w:name="Tc_Xg1DAAVlK0e_V4X5BsHDHw_28_5"/>
      <w:bookmarkStart w:id="632" w:name="Tc_6Iv-ZektCUukUSrUotd1-Q_28_2"/>
      <w:bookmarkStart w:id="633" w:name="Tc_lMwqeTGhSkirl8crRE1abQ_28_0"/>
      <w:bookmarkStart w:id="634" w:name="Tc_K_vCfI-Z20aL_o3m46WiWQ_27_0"/>
      <w:bookmarkStart w:id="635" w:name="Tc_TGyVGvkz-kK2-5YnG1VAjw_25_5"/>
      <w:bookmarkStart w:id="636" w:name="Tc_YorQra4m1Eeuw41iaDsK-g_25_2"/>
      <w:bookmarkStart w:id="637" w:name="Tc_ekixlmxc8EOCm0aHDo5Ikw_25_0"/>
      <w:bookmarkStart w:id="638" w:name="Tc_XTxcu-jTuke-ZVxP9_5oVw_24_0"/>
      <w:bookmarkStart w:id="639" w:name="Tc_fwA0pmUr_ky59VhRYcbmEA_23_0"/>
      <w:bookmarkStart w:id="640" w:name="Tc_zzTmPHb2zUmreC7v3VWavg_22_0"/>
      <w:bookmarkStart w:id="641" w:name="Tc_miLkiH5cDEywnJWjuuNCvA_21_3"/>
      <w:bookmarkStart w:id="642" w:name="Tc_2bYVGe9rwEaqafDKczFwbw_21_0"/>
      <w:bookmarkStart w:id="643" w:name="Tc_633wiPnEx0GOgwJy2eO6tA_20_3"/>
      <w:bookmarkStart w:id="644" w:name="Tc_5SRrKZdqI0aBKIIJeTGxLw_20_0"/>
      <w:bookmarkStart w:id="645" w:name="Tc_UP4qLbqJykm47z91LNr0ZQ_19_0"/>
      <w:bookmarkStart w:id="646" w:name="Tc_Hxv9vleZWkaiHAAXLy4pdg_18_0"/>
      <w:bookmarkStart w:id="647" w:name="Tc_tQDCqP81iUKoeWPSiCMdMg_17_0"/>
      <w:bookmarkStart w:id="648" w:name="Tc_UU87jjziIkWbl4dT2C-2kw_16_0"/>
      <w:bookmarkStart w:id="649" w:name="Tc_Egletvq_OkuukFeMfMYV5g_15_0"/>
      <w:bookmarkStart w:id="650" w:name="Tc_xRWOZewzDkOyfIP7Ari3mw_14_0"/>
      <w:bookmarkStart w:id="651" w:name="Tc_mbKgnX4qH0mC20A-l5U1qQ_13_0"/>
      <w:bookmarkStart w:id="652" w:name="Tc_4k5Hw3zuoku8SwqdHNDvtw_12_0"/>
      <w:bookmarkStart w:id="653" w:name="Tc_Vhv_FwD9VkeQd4L0yED_pA_11_0"/>
      <w:bookmarkStart w:id="654" w:name="Tc_p5b3119q40GlMpvFkHfiOQ_10_0"/>
      <w:bookmarkStart w:id="655" w:name="Tc_t8OmzL7V_EmGeUAhORl37g_9_0"/>
      <w:bookmarkStart w:id="656" w:name="Tc_iKyCxUVxfU-glRPTtBT8bw_8_0"/>
      <w:bookmarkStart w:id="657" w:name="Tc_z3ieRw4nEUOovaQbIhQNsg_7_0"/>
      <w:bookmarkStart w:id="658" w:name="Tc_EbfWGoBuCEKnEqzYKU6fXw_6_0"/>
      <w:bookmarkStart w:id="659" w:name="Tc_MksFtJC4DEmo8ItcEXB2EQ_5_5"/>
      <w:bookmarkStart w:id="660" w:name="Tc_su8bXzsyvUqMvj-88yVvNQ_5_2"/>
      <w:bookmarkStart w:id="661" w:name="Tc_5oI8lQ1MKUqz_W7oxTeo6w_5_0"/>
      <w:bookmarkStart w:id="662" w:name="Tc_D7zjXfLztUqZAmwF4YscyQ_4_0"/>
      <w:bookmarkStart w:id="663" w:name="Tc_otr7VuGRDUSTsOTjtf9ybQ_2_5"/>
      <w:bookmarkStart w:id="664" w:name="Tc_S3gZQ69o50Sq42LEKuAjBg_2_2"/>
      <w:bookmarkStart w:id="665" w:name="Tc_Sgv9U4HRs0KN9xOm1We5kA_1_2"/>
      <w:bookmarkStart w:id="666" w:name="_67a9dae2_90fe_43c4_b9e0_3813bf00192f"/>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tbl>
      <w:tblPr>
        <w:tblW w:w="10205" w:type="dxa"/>
        <w:jc w:val="left"/>
        <w:tblInd w:w="0" w:type="dxa"/>
        <w:tblLayout w:type="fixed"/>
        <w:tblCellMar>
          <w:top w:w="0" w:type="dxa"/>
          <w:left w:w="0" w:type="dxa"/>
          <w:bottom w:w="0" w:type="dxa"/>
          <w:right w:w="0" w:type="dxa"/>
        </w:tblCellMar>
      </w:tblPr>
      <w:tblGrid>
        <w:gridCol w:w="7295"/>
        <w:gridCol w:w="146"/>
        <w:gridCol w:w="251"/>
        <w:gridCol w:w="948"/>
        <w:gridCol w:w="173"/>
        <w:gridCol w:w="251"/>
        <w:gridCol w:w="948"/>
        <w:gridCol w:w="193"/>
      </w:tblGrid>
      <w:tr>
        <w:trPr/>
        <w:tc>
          <w:tcPr>
            <w:tcW w:w="7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632325" cy="175260"/>
                      <wp:effectExtent l="0" t="0" r="0" b="0"/>
                      <wp:wrapNone/>
                      <wp:docPr id="40" name="Frame40"/>
                      <a:graphic xmlns:a="http://schemas.openxmlformats.org/drawingml/2006/main">
                        <a:graphicData uri="http://schemas.microsoft.com/office/word/2010/wordprocessingShape">
                          <wps:wsp>
                            <wps:cNvSpPr txBox="1"/>
                            <wps:spPr>
                              <a:xfrm>
                                <a:off x="0" y="0"/>
                                <a:ext cx="4632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92710" cy="175260"/>
                      <wp:effectExtent l="0" t="0" r="0" b="0"/>
                      <wp:wrapNone/>
                      <wp:docPr id="41" name="Frame4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9385" cy="175260"/>
                      <wp:effectExtent l="0" t="0" r="0" b="0"/>
                      <wp:wrapNone/>
                      <wp:docPr id="42" name="Frame42"/>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01980" cy="175260"/>
                      <wp:effectExtent l="0" t="0" r="0" b="0"/>
                      <wp:wrapNone/>
                      <wp:docPr id="43" name="Frame43"/>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09855" cy="175260"/>
                      <wp:effectExtent l="0" t="0" r="0" b="0"/>
                      <wp:wrapNone/>
                      <wp:docPr id="44" name="Frame44"/>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59385" cy="175260"/>
                      <wp:effectExtent l="0" t="0" r="0" b="0"/>
                      <wp:wrapNone/>
                      <wp:docPr id="45" name="Frame45"/>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01980" cy="175260"/>
                      <wp:effectExtent l="0" t="0" r="0" b="0"/>
                      <wp:wrapNone/>
                      <wp:docPr id="46" name="Frame46"/>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2555" cy="175260"/>
                      <wp:effectExtent l="0" t="0" r="0" b="0"/>
                      <wp:wrapNone/>
                      <wp:docPr id="47" name="Frame47"/>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9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57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73" w:type="dxa"/>
            <w:tcBorders/>
            <w:vAlign w:val="center"/>
          </w:tcPr>
          <w:p>
            <w:pPr>
              <w:pStyle w:val="TableContents"/>
              <w:bidi w:val="0"/>
              <w:spacing w:before="0" w:after="1"/>
              <w:ind w:left="0" w:right="0" w:hanging="0"/>
              <w:jc w:val="left"/>
              <w:rPr/>
            </w:pPr>
            <w:r>
              <w:rPr/>
              <w:t>​</w:t>
            </w:r>
          </w:p>
        </w:tc>
        <w:tc>
          <w:tcPr>
            <w:tcW w:w="11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3" w:type="dxa"/>
            <w:tcBorders/>
            <w:vAlign w:val="center"/>
          </w:tcPr>
          <w:p>
            <w:pPr>
              <w:pStyle w:val="TableContents"/>
              <w:bidi w:val="0"/>
              <w:spacing w:before="0" w:after="1"/>
              <w:ind w:left="0" w:right="0" w:hanging="0"/>
              <w:jc w:val="left"/>
              <w:rPr/>
            </w:pPr>
            <w:r>
              <w:rPr/>
              <w:t>​</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729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571" w:type="dxa"/>
            <w:gridSpan w:val="5"/>
            <w:tcBorders/>
            <w:vAlign w:val="center"/>
          </w:tcPr>
          <w:p>
            <w:pPr>
              <w:pStyle w:val="TableContents"/>
              <w:bidi w:val="0"/>
              <w:spacing w:before="0" w:after="1"/>
              <w:ind w:left="0" w:right="0" w:hanging="0"/>
              <w:jc w:val="center"/>
              <w:rPr/>
            </w:pPr>
            <w:r>
              <w:rPr/>
              <w:t>​</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146" w:type="dxa"/>
            <w:tcBorders/>
            <w:shd w:fill="CCEEFF" w:val="clear"/>
            <w:vAlign w:val="center"/>
          </w:tcPr>
          <w:p>
            <w:pPr>
              <w:pStyle w:val="TableContents"/>
              <w:bidi w:val="0"/>
              <w:spacing w:before="0" w:after="1"/>
              <w:ind w:left="0" w:right="0" w:hanging="0"/>
              <w:jc w:val="left"/>
              <w:rPr/>
            </w:pPr>
            <w:r>
              <w:rPr/>
              <w:t> </w:t>
            </w:r>
          </w:p>
        </w:tc>
        <w:tc>
          <w:tcPr>
            <w:tcW w:w="251"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pPr>
            <w:r>
              <w:rPr/>
              <w:t>  </w:t>
            </w:r>
          </w:p>
        </w:tc>
        <w:tc>
          <w:tcPr>
            <w:tcW w:w="173" w:type="dxa"/>
            <w:tcBorders/>
            <w:shd w:fill="CCEEFF" w:val="clear"/>
            <w:vAlign w:val="center"/>
          </w:tcPr>
          <w:p>
            <w:pPr>
              <w:pStyle w:val="TableContents"/>
              <w:bidi w:val="0"/>
              <w:spacing w:before="0" w:after="1"/>
              <w:ind w:left="0" w:right="0" w:hanging="0"/>
              <w:jc w:val="left"/>
              <w:rPr/>
            </w:pPr>
            <w:r>
              <w:rPr/>
              <w:t> </w:t>
            </w:r>
          </w:p>
        </w:tc>
        <w:tc>
          <w:tcPr>
            <w:tcW w:w="251"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pPr>
            <w:r>
              <w:rPr/>
              <w:t>  </w:t>
            </w:r>
          </w:p>
        </w:tc>
        <w:tc>
          <w:tcPr>
            <w:tcW w:w="193" w:type="dxa"/>
            <w:tcBorders/>
            <w:shd w:fill="CCEEFF" w:val="clear"/>
            <w:vAlign w:val="center"/>
          </w:tcPr>
          <w:p>
            <w:pPr>
              <w:pStyle w:val="TableContents"/>
              <w:bidi w:val="0"/>
              <w:spacing w:before="0" w:after="1"/>
              <w:ind w:left="0" w:right="0" w:hanging="0"/>
              <w:jc w:val="left"/>
              <w:rPr/>
            </w:pPr>
            <w:r>
              <w:rPr/>
              <w:t> </w:t>
            </w:r>
          </w:p>
        </w:tc>
      </w:tr>
      <w:tr>
        <w:trPr/>
        <w:tc>
          <w:tcPr>
            <w:tcW w:w="7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1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(20,439)</w:t>
            </w:r>
          </w:p>
        </w:tc>
        <w:tc>
          <w:tcPr>
            <w:tcW w:w="173"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(96,725)</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1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pPr>
            <w:r>
              <w:rPr/>
              <w:t>​</w:t>
            </w:r>
          </w:p>
        </w:tc>
        <w:tc>
          <w:tcPr>
            <w:tcW w:w="173"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pPr>
            <w:r>
              <w:rPr/>
              <w:t>  </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7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w:t>
            </w:r>
          </w:p>
        </w:tc>
        <w:tc>
          <w:tcPr>
            <w:tcW w:w="173"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11,330</w:t>
            </w:r>
          </w:p>
        </w:tc>
        <w:tc>
          <w:tcPr>
            <w:tcW w:w="173"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22,065</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7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transactions and other transactions</w:t>
            </w:r>
          </w:p>
        </w:tc>
        <w:tc>
          <w:tcPr>
            <w:tcW w:w="1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173"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3,698</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pPr>
            <w:r>
              <w:rPr/>
              <w:t>​</w:t>
            </w:r>
          </w:p>
        </w:tc>
        <w:tc>
          <w:tcPr>
            <w:tcW w:w="173"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7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(6,343)</w:t>
            </w:r>
          </w:p>
        </w:tc>
        <w:tc>
          <w:tcPr>
            <w:tcW w:w="173"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(1,539)</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c>
          <w:tcPr>
            <w:tcW w:w="173"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7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2,671</w:t>
            </w:r>
          </w:p>
        </w:tc>
        <w:tc>
          <w:tcPr>
            <w:tcW w:w="173"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2,919</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(3,735)</w:t>
            </w:r>
          </w:p>
        </w:tc>
        <w:tc>
          <w:tcPr>
            <w:tcW w:w="173"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(2,430)</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7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(6,196)</w:t>
            </w:r>
          </w:p>
        </w:tc>
        <w:tc>
          <w:tcPr>
            <w:tcW w:w="173"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 and other</w:t>
            </w:r>
          </w:p>
        </w:tc>
        <w:tc>
          <w:tcPr>
            <w:tcW w:w="1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3,722</w:t>
            </w:r>
          </w:p>
        </w:tc>
        <w:tc>
          <w:tcPr>
            <w:tcW w:w="173"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4,702</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7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1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(19,196)</w:t>
            </w:r>
          </w:p>
        </w:tc>
        <w:tc>
          <w:tcPr>
            <w:tcW w:w="173"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(67,260)</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1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173"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7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1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pPr>
            <w:r>
              <w:rPr/>
              <w:t>  </w:t>
            </w:r>
          </w:p>
        </w:tc>
        <w:tc>
          <w:tcPr>
            <w:tcW w:w="173"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pPr>
            <w:r>
              <w:rPr/>
              <w:t>  </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exercised stock options</w:t>
            </w:r>
          </w:p>
        </w:tc>
        <w:tc>
          <w:tcPr>
            <w:tcW w:w="1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73"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7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14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4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73"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rates on cash and cash equivalents</w:t>
            </w:r>
          </w:p>
        </w:tc>
        <w:tc>
          <w:tcPr>
            <w:tcW w:w="1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73"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7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1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(19,191)</w:t>
            </w:r>
          </w:p>
        </w:tc>
        <w:tc>
          <w:tcPr>
            <w:tcW w:w="173"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(67,038)</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at the beginning of period</w:t>
            </w:r>
          </w:p>
        </w:tc>
        <w:tc>
          <w:tcPr>
            <w:tcW w:w="1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105,762</w:t>
            </w:r>
          </w:p>
        </w:tc>
        <w:tc>
          <w:tcPr>
            <w:tcW w:w="173"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181,564</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7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at the end of period</w:t>
            </w:r>
          </w:p>
        </w:tc>
        <w:tc>
          <w:tcPr>
            <w:tcW w:w="14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86,571</w:t>
            </w:r>
          </w:p>
        </w:tc>
        <w:tc>
          <w:tcPr>
            <w:tcW w:w="173"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114,526</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pPr>
            <w:r>
              <w:rPr/>
              <w:t>​</w:t>
            </w:r>
          </w:p>
        </w:tc>
        <w:tc>
          <w:tcPr>
            <w:tcW w:w="173"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7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 OF NON-CASH ACTIVITIES</w:t>
            </w:r>
          </w:p>
        </w:tc>
        <w:tc>
          <w:tcPr>
            <w:tcW w:w="1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pPr>
            <w:r>
              <w:rPr/>
              <w:t>  </w:t>
            </w:r>
          </w:p>
        </w:tc>
        <w:tc>
          <w:tcPr>
            <w:tcW w:w="173"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pPr>
            <w:r>
              <w:rPr/>
              <w:t>  </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treasury shares upon repayment of secured promissory note – refer to Note 10</w:t>
            </w:r>
          </w:p>
        </w:tc>
        <w:tc>
          <w:tcPr>
            <w:tcW w:w="1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173"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7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acquisition in accrued milestones and royalty payments</w:t>
            </w:r>
          </w:p>
        </w:tc>
        <w:tc>
          <w:tcPr>
            <w:tcW w:w="1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vAlign w:val="center"/>
          </w:tcPr>
          <w:p>
            <w:pPr>
              <w:pStyle w:val="TableContents"/>
              <w:bidi w:val="0"/>
              <w:spacing w:before="0" w:after="1"/>
              <w:ind w:left="0" w:right="0" w:hanging="0"/>
              <w:jc w:val="right"/>
              <w:rPr/>
            </w:pPr>
            <w:r>
              <w:rPr/>
              <w:t>—</w:t>
            </w:r>
          </w:p>
        </w:tc>
        <w:tc>
          <w:tcPr>
            <w:tcW w:w="173"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193" w:type="dxa"/>
            <w:tcBorders/>
            <w:vAlign w:val="center"/>
          </w:tcPr>
          <w:p>
            <w:pPr>
              <w:pStyle w:val="TableContents"/>
              <w:bidi w:val="0"/>
              <w:spacing w:before="0" w:after="1"/>
              <w:ind w:left="0" w:right="0" w:hanging="0"/>
              <w:jc w:val="left"/>
              <w:rPr/>
            </w:pPr>
            <w:r>
              <w:rPr/>
              <w:t>​</w:t>
            </w:r>
          </w:p>
        </w:tc>
      </w:tr>
      <w:tr>
        <w:trPr/>
        <w:tc>
          <w:tcPr>
            <w:tcW w:w="7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obligations</w:t>
            </w:r>
          </w:p>
        </w:tc>
        <w:tc>
          <w:tcPr>
            <w:tcW w:w="1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c>
          <w:tcPr>
            <w:tcW w:w="173"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193"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67" w:name="NOTESTOCONSOLIDATEDFINANCIALSTATEMENTS_1"/>
      <w:bookmarkStart w:id="668" w:name="_2a92cfdf_46d5_42a1_9d90_e7a409ac54c5"/>
      <w:bookmarkEnd w:id="667"/>
      <w:bookmarkEnd w:id="668"/>
      <w:r>
        <w:rPr>
          <w:rFonts w:ascii="Times New Roman;Times;serif" w:hAnsi="Times New Roman;Times;serif"/>
          <w:b/>
          <w:sz w:val="20"/>
        </w:rPr>
        <w:t>NOTES TO CONSOLIDATED FINANCIAL STATEMENTS</w:t>
      </w:r>
    </w:p>
    <w:p>
      <w:pPr>
        <w:pStyle w:val="TextBody"/>
        <w:bidi w:val="0"/>
        <w:spacing w:before="0" w:after="240"/>
        <w:ind w:left="0" w:right="0" w:firstLine="72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1—ORGANIZATION AND DESCRIPTION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Y-mAbs Therapeutics, Inc. (“we,” “us,” “our,” the “Company,” or “Y-mAbs”) is a commercial stage biopharmaceutical company focused on the development and commercialization of novel, antibody-based therapeutic products for the treatment of cancer. The Company is leveraging its proprietary antibody platforms and deep expertise in the field of antibodies to develop a broad portfolio of innovative medicines.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headquartered in New York and was incorporated on April 30, 2015 under the laws of the State of Delaware.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incurred losses in almost all quarters since inception. Operations of the Company are subject to certain risks and uncertainties, including, among others, uncertainty of drug candidate development; technological uncertainty; uncertainty regarding patents and proprietary rights; uncertainty in obtaining the FDA approval in the United States and regulatory approval in other jurisdictions; marketing or sales capability or experience; uncertainty in getting adequate payor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drug candidates are in various stages of development. DANYELZA (naxitamab-gqgk) received accelerated approval by the FDA in November 2020, but there can be no assurance that the Company’s other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and commercialization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consolidated financial statements have been prepared on the basis of continuity of operations, realization of assets and the satisfaction of liabilities in the ordinary course of business. The Company has experienced negative cash flows from operations since inception, and had an accumulated deficit of $456,482,000 as of September 30, 2023, and $436,043,000 as of December 31, 2022. Through September 30, 2023, the Company has funded its operations primarily through proceeds from sales of shares of its common stock, including its initial public offering in September 2018 and its subsequent public offerings in November 2019 and February 2021, as well as additional funding from the sales of DANYELZA and from the sale of the Company’s Priority Review Voucher (“PRV”) obtained upon FDA approval of DANYELZA.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the Company had cash and cash equivalents of $86,571,000, and as of December 31, 2022, the Company had cash and cash equivalents of $105,762,000. As of the issuance date of the consolidated financial statements for the third quarter ended September 30, 2023, the Company expects that its cash and cash equivalents at September 30, 2023, will be sufficient to fund its operating expenses and capital expenditure requirements through at least the next 12 months.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may raise additional capital to fund future operations through the sale of its equity securities, incurring debt, entering into licensing or collaboration agreements with partners, grants or other sources of financing. These financing sources are in addition to successful commercialization of DANYELZA and our product candidates, for which the Company may obtain regulatory approval and marketing authorization. The Company’s commercialization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strategy may include working with a collaborator or distributor. Sufficient funds may not be available to the Company on attractive terms or at all when needed from equity or debt financing. If the Company is unable to obtain additional financing from these or other sources when needed, it will likely be necessary to take other actions to enhance the Company’s liquidity position which may include significantly reducing the current rate of spending through delaying or scaling back current operations, or suspending certain research and development programs and other operational programs.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unaudited consolidated financial statements reflect the accounts of the Company and its wholly-owned subsidiaries and have been prepared in accordance with accounting principles generally accepted in the United States of America (“GAAP”) for interim financial information, Accounting Standards Codification (“ASC”) Topic 270-10 and the instructions to Form 10-Q. Accordingly, these consolidated financial statements do not include all of the information and notes required by GAAP for complete financial statements. The unaudited interim consolidated financial statements include all adjustments (consisting only of normal recurring nature) necessary in the judgment of management for a fair statement of the results for the periods presented. All intercompany balances and transactions have been eliminated. The Company has evaluated subsequent events through the date of this filing. Operating results for the three- and nine-month periods ended September 30, 2023, are not necessarily indicative of the results that may be expected for the year ending December 31, 2023, any other interim periods, or any future year or period. The December 31, 2022, consolidated balance sheet data was derived from audited financial statements, but does not include all disclosures required by GAAP. You should read these unaudited interim consolidated financial statements in conjunction with the consolidated financial statements and notes included in the Company’s Annual Report on Form 10-K for the year ended December 31,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3—SUMMARY OF SIGNIFICANT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significant accounting policies are detailed in its Annual Report on Form 10-K for the year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considers all highly liquid instruments with original maturities of three months or less from date of purchase to be cash equivalents. All cash and cash equivalents are held in highly rated securities including a treasury money market fund, which is unrestricted as to withdrawal or use. To date, the Company has not experienced a loss on its cash and cash equivalents. The carrying amount of cash and cash equivalents approximates its fair value due to its short-term and liquid nature. The Company maintains cash balances in excess of insured limits. The Company monitors the financial performance, credit ratings and liquidity of the money market fund to timely assess and respond to any changes in the asset values of the fund. The Company does not anticipate any loss with respect to such cash balances.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accounts receivable, net balance consists of amounts due from sales of our approved product, DANYELZA. Receivables from product sales are recorded net of allowances which generally include chargebacks, doubtful accounts, rebates, returns, and discounts. The allowance is based primarily on assessment of specific identifiable customer accounts considered at risk or uncollectible, as well as an analysis of current receivables aging and expected future write-offs. The Company has not historically experienced any significant credit losses. All customer accounts are actively managed, and no losses are currently expected.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product sales are made through arrangements primarily with three national specialty distributors in the United States of America. As of September 30, 2023, the accounts receivable balances from such distributors totaled 69% of the Company’s outstanding accounts receivable. The remainder of the Company’s accounts receivable as of September 30, 2023 represented balances from international distribution partners. The Company has contractual payment terms with each of its customers and the Company monitors their financial performance, historical payment terms and credit worthiness to timely assess and respond to any changes in their credit profile.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669" w:name="Tc_8CfS7xAGEUq6HdvXg4RA5A_5_11"/>
      <w:bookmarkStart w:id="670" w:name="Tc_gBNzO1hlDUiMao6llIsdLg_5_9"/>
      <w:bookmarkStart w:id="671" w:name="Tc_rC0M1EUaQkqwtiQNfRShmQ_5_8"/>
      <w:bookmarkStart w:id="672" w:name="Tc_i4rVAYHuf0CQ9dcAvKtV_w_5_5"/>
      <w:bookmarkStart w:id="673" w:name="Tc_EMIGdQqeZEeyiFNkKYgedA_5_3"/>
      <w:bookmarkStart w:id="674" w:name="Tc_bwAv5TKYdUyHxq58a3AyXQ_5_2"/>
      <w:bookmarkStart w:id="675" w:name="Tc_Ic61CEsBwUmpyirP-6gYAg_5_0"/>
      <w:bookmarkStart w:id="676" w:name="Tc_o7nmwUWA80Kl0kcJq5RhKw_4_11"/>
      <w:bookmarkStart w:id="677" w:name="Tc_RMr9sPf3TU6gl38U2Sa4tA_4_9"/>
      <w:bookmarkStart w:id="678" w:name="Tc_XUC-yjiwK0aHydHM3Xq88w_4_8"/>
      <w:bookmarkStart w:id="679" w:name="Tc_bQOTdTj_10m7t8C6MtcwUA_4_5"/>
      <w:bookmarkStart w:id="680" w:name="Tc_A9TBme-WIE6Cl8Dsi9A0HA_4_3"/>
      <w:bookmarkStart w:id="681" w:name="Tc_-S4oC80WpkKnmfOnd9EzKA_4_2"/>
      <w:bookmarkStart w:id="682" w:name="Tc_NC7yQjGOHUK0GE1nNW6tLQ_4_0"/>
      <w:bookmarkStart w:id="683" w:name="Tc_lUJNd4W8M0mZSYoY04jZ5g_3_0"/>
      <w:bookmarkStart w:id="684" w:name="Tc_ihOOyjUJ0U-RRW_smMsQnQ_2_11"/>
      <w:bookmarkStart w:id="685" w:name="Tc_zs2_kdqmjEOX1FvNuwdFsA_2_8"/>
      <w:bookmarkStart w:id="686" w:name="Tc_Sesxx73ab06FydB1Oa1kdg_2_5"/>
      <w:bookmarkStart w:id="687" w:name="Tc_zcc56Vap9EmYxHjj-KRqkQ_2_2"/>
      <w:bookmarkStart w:id="688" w:name="Tc_qeLrxrWbFkSJ23vILwULkw_1_2"/>
      <w:bookmarkStart w:id="689" w:name="_63b7c2b0_4947_4d88_9847_8d34f2bfd44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Pr>
          <w:rFonts w:ascii="Times New Roman;Times;serif" w:hAnsi="Times New Roman;Times;serif"/>
          <w:b/>
          <w:i/>
          <w:sz w:val="20"/>
        </w:rPr>
        <w:t>Inventories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values its inventories at the lower of cost or net realizable value on a first-in, first-out basis. The Company’s inventory cost includes amounts related to materials, third-party contract manufacturing, third-party packaging services, freight, labor costs for personnel involved in the manufacturing process, and indirect overhead costs. Raw and intermediate materials that may be utilized for both commercial and clinical programs are identical and given the alternative future use such amounts are initially classified as inventory. Amounts in inventory associated with clinical development programs are charged to research and development expense when the product enters the research and development process and can no longer be used for commercial purposes and, therefore, does not have an alternative future use.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For DANYELZA, the Company commenced capitalization of inventory at the receipt of FDA approval.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performs an assessment of the recoverability of capitalized inventory during each reporting period, and writes down any excess and obsolete inventories to their estimated realizable value in the period in which the impairment occurs. Such impairment charges, should they occur, are recorded within cost of goods sold. The determination of whether inventory costs will be realizable requires estimates by management. The Company had inventory write-downs totaling $375,000 and $831,000 in the three and nine months ended September 30, 2023, respectively, and $1,200,000 in the three and nine months ended September 30, 2022, which were each recorded in cost of goods sold on the Consolidated Statements of Net Loss and Comprehensive Loss.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pStyle w:val="TextBody"/>
        <w:bidi w:val="0"/>
        <w:spacing w:before="0" w:after="0"/>
        <w:ind w:left="0" w:right="0" w:firstLine="720"/>
        <w:jc w:val="left"/>
        <w:rPr/>
      </w:pPr>
      <w:r>
        <w:rPr/>
        <w:t>​</w:t>
      </w:r>
    </w:p>
    <w:p>
      <w:pPr>
        <w:pStyle w:val="TextBody"/>
        <w:bidi w:val="0"/>
        <w:spacing w:before="0" w:after="240"/>
        <w:ind w:left="0" w:right="0" w:firstLine="720"/>
        <w:jc w:val="left"/>
        <w:rPr/>
      </w:pPr>
      <w:r>
        <w:rPr/>
        <w:t xml:space="preserve">• </w:t>
      </w:r>
      <w:r>
        <w:rPr>
          <w:rFonts w:ascii="Times New Roman;Times;serif" w:hAnsi="Times New Roman;Times;serif"/>
          <w:sz w:val="20"/>
        </w:rPr>
        <w:t>Level 1 — Unadjusted quoted prices for identical assets or liabilities in active markets;</w:t>
      </w:r>
    </w:p>
    <w:p>
      <w:pPr>
        <w:pStyle w:val="TextBody"/>
        <w:pBdr/>
        <w:bidi w:val="0"/>
        <w:spacing w:before="0" w:after="240"/>
        <w:ind w:left="720" w:right="0" w:hanging="1080"/>
        <w:jc w:val="left"/>
        <w:rPr/>
      </w:pPr>
      <w:r>
        <w:rPr/>
        <w:t xml:space="preserve">• </w:t>
      </w:r>
      <w:r>
        <w:rPr>
          <w:rFonts w:ascii="Times New Roman;Times;serif" w:hAnsi="Times New Roman;Times;serif"/>
          <w:sz w:val="20"/>
        </w:rPr>
        <w:t>Level 2 — Inputs other than quoted prices in active markets for identical assets and liabilities that are observable either directly or indirectly for substantially the full term of the asset or liability; and</w:t>
      </w:r>
    </w:p>
    <w:p>
      <w:pPr>
        <w:pStyle w:val="TextBody"/>
        <w:pBdr/>
        <w:bidi w:val="0"/>
        <w:spacing w:before="0" w:after="240"/>
        <w:ind w:left="720" w:right="0" w:hanging="1080"/>
        <w:jc w:val="left"/>
        <w:rPr/>
      </w:pPr>
      <w:r>
        <w:rPr/>
        <w:t xml:space="preserve">• </w:t>
      </w:r>
      <w:r>
        <w:rPr>
          <w:rFonts w:ascii="Times New Roman;Times;serif" w:hAnsi="Times New Roman;Times;serif"/>
          <w:sz w:val="20"/>
        </w:rPr>
        <w:t>Level 3 — Unobservable inputs for the asset or liability, which include management's own assumption about the assumptions market participants would use in pricing the asset or liability, including assumptions about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equivalents held in money market funds are valued using other significant observable inputs, which represent a Level 2 measurement within the fair value hierarchy. The Company has no other cash equivalents.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present the Company’s fair value hierarchy for its cash equivalents, which are measured at fair value on a recurring basis (in thousands):</w:t>
      </w:r>
    </w:p>
    <w:tbl>
      <w:tblPr>
        <w:tblW w:w="6618" w:type="dxa"/>
        <w:jc w:val="left"/>
        <w:tblInd w:w="0" w:type="dxa"/>
        <w:tblLayout w:type="fixed"/>
        <w:tblCellMar>
          <w:top w:w="0" w:type="dxa"/>
          <w:left w:w="0" w:type="dxa"/>
          <w:bottom w:w="0" w:type="dxa"/>
          <w:right w:w="0" w:type="dxa"/>
        </w:tblCellMar>
      </w:tblPr>
      <w:tblGrid>
        <w:gridCol w:w="1801"/>
        <w:gridCol w:w="326"/>
        <w:gridCol w:w="278"/>
        <w:gridCol w:w="457"/>
        <w:gridCol w:w="343"/>
        <w:gridCol w:w="222"/>
        <w:gridCol w:w="712"/>
        <w:gridCol w:w="343"/>
        <w:gridCol w:w="278"/>
        <w:gridCol w:w="457"/>
        <w:gridCol w:w="343"/>
        <w:gridCol w:w="222"/>
        <w:gridCol w:w="83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143635" cy="175260"/>
                      <wp:effectExtent l="0" t="0" r="0" b="0"/>
                      <wp:wrapNone/>
                      <wp:docPr id="48" name="Frame48"/>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76530" cy="175260"/>
                      <wp:effectExtent l="0" t="0" r="0" b="0"/>
                      <wp:wrapNone/>
                      <wp:docPr id="50" name="Frame5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90195" cy="175260"/>
                      <wp:effectExtent l="0" t="0" r="0" b="0"/>
                      <wp:wrapNone/>
                      <wp:docPr id="51" name="Frame51"/>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7805" cy="175260"/>
                      <wp:effectExtent l="0" t="0" r="0" b="0"/>
                      <wp:wrapNone/>
                      <wp:docPr id="52" name="Frame52"/>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0970" cy="175260"/>
                      <wp:effectExtent l="0" t="0" r="0" b="0"/>
                      <wp:wrapNone/>
                      <wp:docPr id="53" name="Frame5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52120" cy="175260"/>
                      <wp:effectExtent l="0" t="0" r="0" b="0"/>
                      <wp:wrapNone/>
                      <wp:docPr id="54" name="Frame54"/>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7805" cy="175260"/>
                      <wp:effectExtent l="0" t="0" r="0" b="0"/>
                      <wp:wrapNone/>
                      <wp:docPr id="55" name="Frame55"/>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76530" cy="175260"/>
                      <wp:effectExtent l="0" t="0" r="0" b="0"/>
                      <wp:wrapNone/>
                      <wp:docPr id="56" name="Frame56"/>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90195" cy="175260"/>
                      <wp:effectExtent l="0" t="0" r="0" b="0"/>
                      <wp:wrapNone/>
                      <wp:docPr id="57" name="Frame57"/>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7805" cy="175260"/>
                      <wp:effectExtent l="0" t="0" r="0" b="0"/>
                      <wp:wrapNone/>
                      <wp:docPr id="58" name="Frame58"/>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0970" cy="175260"/>
                      <wp:effectExtent l="0" t="0" r="0" b="0"/>
                      <wp:wrapNone/>
                      <wp:docPr id="59" name="Frame5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30860" cy="175260"/>
                      <wp:effectExtent l="0" t="0" r="0" b="0"/>
                      <wp:wrapNone/>
                      <wp:docPr id="60" name="Frame60"/>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9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September 30, 2023 Using:</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43" w:type="dxa"/>
            <w:tcBorders/>
            <w:vAlign w:val="center"/>
          </w:tcPr>
          <w:p>
            <w:pPr>
              <w:pStyle w:val="TableContents"/>
              <w:bidi w:val="0"/>
              <w:spacing w:before="0" w:after="0"/>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43" w:type="dxa"/>
            <w:tcBorders/>
            <w:vAlign w:val="center"/>
          </w:tcPr>
          <w:p>
            <w:pPr>
              <w:pStyle w:val="TableContents"/>
              <w:bidi w:val="0"/>
              <w:spacing w:before="0" w:after="0"/>
              <w:ind w:left="0" w:right="0" w:hanging="0"/>
              <w:jc w:val="lef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43" w:type="dxa"/>
            <w:tcBorders/>
            <w:vAlign w:val="center"/>
          </w:tcPr>
          <w:p>
            <w:pPr>
              <w:pStyle w:val="TableContents"/>
              <w:bidi w:val="0"/>
              <w:spacing w:before="0" w:after="0"/>
              <w:ind w:left="0" w:right="0" w:hanging="0"/>
              <w:jc w:val="left"/>
              <w:rPr/>
            </w:pPr>
            <w:r>
              <w:rPr/>
              <w:t>    </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center"/>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82,964</w:t>
            </w:r>
          </w:p>
        </w:tc>
        <w:tc>
          <w:tcPr>
            <w:tcW w:w="343"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center"/>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82,964</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center"/>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82,964</w:t>
            </w:r>
          </w:p>
        </w:tc>
        <w:tc>
          <w:tcPr>
            <w:tcW w:w="343" w:type="dxa"/>
            <w:tcBorders/>
            <w:shd w:fill="CCEEFF" w:val="clear"/>
            <w:vAlign w:val="center"/>
          </w:tcPr>
          <w:p>
            <w:pPr>
              <w:pStyle w:val="TableContents"/>
              <w:bidi w:val="0"/>
              <w:spacing w:before="0" w:after="0"/>
              <w:ind w:left="0" w:right="0" w:hanging="0"/>
              <w:jc w:val="center"/>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center"/>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82,964</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690" w:name="Tc_nsWC71c6M0OyAGti_hcdQg_5_11"/>
      <w:bookmarkStart w:id="691" w:name="Tc_0PC-RSHYBE6_0TM1UoAjhA_5_9"/>
      <w:bookmarkStart w:id="692" w:name="Tc_RGD1LYtROUm_j08_U9TLqw_5_8"/>
      <w:bookmarkStart w:id="693" w:name="Tc_0pdSuMve4Uq8Ho619jr_nw_5_5"/>
      <w:bookmarkStart w:id="694" w:name="Tc_p40ZsmhIBkWaczK0CVOlKw_5_3"/>
      <w:bookmarkStart w:id="695" w:name="Tc_qyKtLopCsk-4yD2zRIjocQ_5_2"/>
      <w:bookmarkStart w:id="696" w:name="Tc_ycsBu73jfUiLnHETpp0z-A_5_0"/>
      <w:bookmarkStart w:id="697" w:name="Tc_HNAyYkGg50Ss8oH049Yn8g_4_11"/>
      <w:bookmarkStart w:id="698" w:name="Tc_tgzBuQrSrUGX8Yo9POUhbw_4_9"/>
      <w:bookmarkStart w:id="699" w:name="Tc_U2asRP5F70S8JZUaIiIsEg_4_8"/>
      <w:bookmarkStart w:id="700" w:name="Tc_D9ttBb_tM0mdypYHuZLgYQ_4_5"/>
      <w:bookmarkStart w:id="701" w:name="Tc_VN9LoL_WeEWag2NayQ0pMw_4_3"/>
      <w:bookmarkStart w:id="702" w:name="Tc_gHgH7XWTT0WLIH_b0YG9CA_4_2"/>
      <w:bookmarkStart w:id="703" w:name="Tc_GfCcb3RopEuGfCJryMxhtg_4_0"/>
      <w:bookmarkStart w:id="704" w:name="Tc_r8zBmZAo5UO2_T7AKQ5Fig_3_0"/>
      <w:bookmarkStart w:id="705" w:name="Tc_zd7oACeyfUeLOCAvlLam3A_2_11"/>
      <w:bookmarkStart w:id="706" w:name="Tc_XG72YMqpr0-3HFdTuv4MaA_2_8"/>
      <w:bookmarkStart w:id="707" w:name="Tc_pQNNk-PPmE6-dlHTs0gRbg_2_5"/>
      <w:bookmarkStart w:id="708" w:name="Tc_b0j9VCkdvk6SGY1WRPD3eA_2_2"/>
      <w:bookmarkStart w:id="709" w:name="Tc_69zMJFcjfUOEXtqZJ3uPSQ_1_2"/>
      <w:bookmarkStart w:id="710" w:name="_4cc07fcf_d907_4350_a60e_cd69086fd780"/>
      <w:bookmarkStart w:id="711" w:name="Tc_nsWC71c6M0OyAGti_hcdQg_5_11"/>
      <w:bookmarkStart w:id="712" w:name="Tc_0PC-RSHYBE6_0TM1UoAjhA_5_9"/>
      <w:bookmarkStart w:id="713" w:name="Tc_RGD1LYtROUm_j08_U9TLqw_5_8"/>
      <w:bookmarkStart w:id="714" w:name="Tc_0pdSuMve4Uq8Ho619jr_nw_5_5"/>
      <w:bookmarkStart w:id="715" w:name="Tc_p40ZsmhIBkWaczK0CVOlKw_5_3"/>
      <w:bookmarkStart w:id="716" w:name="Tc_qyKtLopCsk-4yD2zRIjocQ_5_2"/>
      <w:bookmarkStart w:id="717" w:name="Tc_ycsBu73jfUiLnHETpp0z-A_5_0"/>
      <w:bookmarkStart w:id="718" w:name="Tc_HNAyYkGg50Ss8oH049Yn8g_4_11"/>
      <w:bookmarkStart w:id="719" w:name="Tc_tgzBuQrSrUGX8Yo9POUhbw_4_9"/>
      <w:bookmarkStart w:id="720" w:name="Tc_U2asRP5F70S8JZUaIiIsEg_4_8"/>
      <w:bookmarkStart w:id="721" w:name="Tc_D9ttBb_tM0mdypYHuZLgYQ_4_5"/>
      <w:bookmarkStart w:id="722" w:name="Tc_VN9LoL_WeEWag2NayQ0pMw_4_3"/>
      <w:bookmarkStart w:id="723" w:name="Tc_gHgH7XWTT0WLIH_b0YG9CA_4_2"/>
      <w:bookmarkStart w:id="724" w:name="Tc_GfCcb3RopEuGfCJryMxhtg_4_0"/>
      <w:bookmarkStart w:id="725" w:name="Tc_r8zBmZAo5UO2_T7AKQ5Fig_3_0"/>
      <w:bookmarkStart w:id="726" w:name="Tc_zd7oACeyfUeLOCAvlLam3A_2_11"/>
      <w:bookmarkStart w:id="727" w:name="Tc_XG72YMqpr0-3HFdTuv4MaA_2_8"/>
      <w:bookmarkStart w:id="728" w:name="Tc_pQNNk-PPmE6-dlHTs0gRbg_2_5"/>
      <w:bookmarkStart w:id="729" w:name="Tc_b0j9VCkdvk6SGY1WRPD3eA_2_2"/>
      <w:bookmarkStart w:id="730" w:name="Tc_69zMJFcjfUOEXtqZJ3uPSQ_1_2"/>
      <w:bookmarkStart w:id="731" w:name="_4cc07fcf_d907_4350_a60e_cd69086fd78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tbl>
      <w:tblPr>
        <w:tblW w:w="6589" w:type="dxa"/>
        <w:jc w:val="left"/>
        <w:tblInd w:w="0" w:type="dxa"/>
        <w:tblLayout w:type="fixed"/>
        <w:tblCellMar>
          <w:top w:w="0" w:type="dxa"/>
          <w:left w:w="0" w:type="dxa"/>
          <w:bottom w:w="0" w:type="dxa"/>
          <w:right w:w="0" w:type="dxa"/>
        </w:tblCellMar>
      </w:tblPr>
      <w:tblGrid>
        <w:gridCol w:w="1801"/>
        <w:gridCol w:w="326"/>
        <w:gridCol w:w="277"/>
        <w:gridCol w:w="458"/>
        <w:gridCol w:w="340"/>
        <w:gridCol w:w="220"/>
        <w:gridCol w:w="705"/>
        <w:gridCol w:w="340"/>
        <w:gridCol w:w="277"/>
        <w:gridCol w:w="458"/>
        <w:gridCol w:w="340"/>
        <w:gridCol w:w="220"/>
        <w:gridCol w:w="827"/>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143635" cy="175260"/>
                      <wp:effectExtent l="0" t="0" r="0" b="0"/>
                      <wp:wrapNone/>
                      <wp:docPr id="61" name="Frame61"/>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75895" cy="175260"/>
                      <wp:effectExtent l="0" t="0" r="0" b="0"/>
                      <wp:wrapNone/>
                      <wp:docPr id="63" name="Frame63"/>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90830" cy="175260"/>
                      <wp:effectExtent l="0" t="0" r="0" b="0"/>
                      <wp:wrapNone/>
                      <wp:docPr id="64" name="Frame64"/>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5900" cy="175260"/>
                      <wp:effectExtent l="0" t="0" r="0" b="0"/>
                      <wp:wrapNone/>
                      <wp:docPr id="65" name="Frame65"/>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9700" cy="175260"/>
                      <wp:effectExtent l="0" t="0" r="0" b="0"/>
                      <wp:wrapNone/>
                      <wp:docPr id="66" name="Frame6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47675" cy="175260"/>
                      <wp:effectExtent l="0" t="0" r="0" b="0"/>
                      <wp:wrapNone/>
                      <wp:docPr id="67" name="Frame67"/>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5900" cy="175260"/>
                      <wp:effectExtent l="0" t="0" r="0" b="0"/>
                      <wp:wrapNone/>
                      <wp:docPr id="68" name="Frame68"/>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75895" cy="175260"/>
                      <wp:effectExtent l="0" t="0" r="0" b="0"/>
                      <wp:wrapNone/>
                      <wp:docPr id="69" name="Frame69"/>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90830" cy="175260"/>
                      <wp:effectExtent l="0" t="0" r="0" b="0"/>
                      <wp:wrapNone/>
                      <wp:docPr id="70" name="Frame70"/>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5900" cy="175260"/>
                      <wp:effectExtent l="0" t="0" r="0" b="0"/>
                      <wp:wrapNone/>
                      <wp:docPr id="71" name="Frame71"/>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9700" cy="175260"/>
                      <wp:effectExtent l="0" t="0" r="0" b="0"/>
                      <wp:wrapNone/>
                      <wp:docPr id="72" name="Frame72"/>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25145" cy="175260"/>
                      <wp:effectExtent l="0" t="0" r="0" b="0"/>
                      <wp:wrapNone/>
                      <wp:docPr id="73" name="Frame73"/>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6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2022 Using:</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40" w:type="dxa"/>
            <w:tcBorders/>
            <w:vAlign w:val="center"/>
          </w:tcPr>
          <w:p>
            <w:pPr>
              <w:pStyle w:val="TableContents"/>
              <w:bidi w:val="0"/>
              <w:spacing w:before="0" w:after="0"/>
              <w:ind w:left="0" w:right="0" w:hanging="0"/>
              <w:jc w:val="left"/>
              <w:rPr/>
            </w:pPr>
            <w:r>
              <w:rPr/>
              <w:t>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40" w:type="dxa"/>
            <w:tcBorders/>
            <w:vAlign w:val="center"/>
          </w:tcPr>
          <w:p>
            <w:pPr>
              <w:pStyle w:val="TableContents"/>
              <w:bidi w:val="0"/>
              <w:spacing w:before="0" w:after="0"/>
              <w:ind w:left="0" w:right="0" w:hanging="0"/>
              <w:jc w:val="lef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40" w:type="dxa"/>
            <w:tcBorders/>
            <w:vAlign w:val="center"/>
          </w:tcPr>
          <w:p>
            <w:pPr>
              <w:pStyle w:val="TableContents"/>
              <w:bidi w:val="0"/>
              <w:spacing w:before="0" w:after="0"/>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0" w:type="dxa"/>
            <w:tcBorders/>
            <w:vAlign w:val="center"/>
          </w:tcPr>
          <w:p>
            <w:pPr>
              <w:pStyle w:val="TableContents"/>
              <w:bidi w:val="0"/>
              <w:spacing w:before="0" w:after="0"/>
              <w:ind w:left="0" w:right="0" w:hanging="0"/>
              <w:jc w:val="center"/>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86,965</w:t>
            </w:r>
          </w:p>
        </w:tc>
        <w:tc>
          <w:tcPr>
            <w:tcW w:w="340" w:type="dxa"/>
            <w:tcBorders/>
            <w:vAlign w:val="center"/>
          </w:tcPr>
          <w:p>
            <w:pPr>
              <w:pStyle w:val="TableContents"/>
              <w:bidi w:val="0"/>
              <w:spacing w:before="0" w:after="0"/>
              <w:ind w:left="0" w:right="0" w:hanging="0"/>
              <w:jc w:val="center"/>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0" w:type="dxa"/>
            <w:tcBorders/>
            <w:vAlign w:val="center"/>
          </w:tcPr>
          <w:p>
            <w:pPr>
              <w:pStyle w:val="TableContents"/>
              <w:bidi w:val="0"/>
              <w:spacing w:before="0" w:after="0"/>
              <w:ind w:left="0" w:right="0" w:hanging="0"/>
              <w:jc w:val="center"/>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86,965</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0" w:type="dxa"/>
            <w:tcBorders/>
            <w:shd w:fill="CCEEFF" w:val="clear"/>
            <w:vAlign w:val="center"/>
          </w:tcPr>
          <w:p>
            <w:pPr>
              <w:pStyle w:val="TableContents"/>
              <w:bidi w:val="0"/>
              <w:spacing w:before="0" w:after="0"/>
              <w:ind w:left="0" w:right="0" w:hanging="0"/>
              <w:jc w:val="center"/>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86,965</w:t>
            </w:r>
          </w:p>
        </w:tc>
        <w:tc>
          <w:tcPr>
            <w:tcW w:w="340" w:type="dxa"/>
            <w:tcBorders/>
            <w:shd w:fill="CCEEFF" w:val="clear"/>
            <w:vAlign w:val="center"/>
          </w:tcPr>
          <w:p>
            <w:pPr>
              <w:pStyle w:val="TableContents"/>
              <w:bidi w:val="0"/>
              <w:spacing w:before="0" w:after="0"/>
              <w:ind w:left="0" w:right="0" w:hanging="0"/>
              <w:jc w:val="center"/>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0" w:type="dxa"/>
            <w:tcBorders/>
            <w:shd w:fill="CCEEFF" w:val="clear"/>
            <w:vAlign w:val="center"/>
          </w:tcPr>
          <w:p>
            <w:pPr>
              <w:pStyle w:val="TableContents"/>
              <w:bidi w:val="0"/>
              <w:spacing w:before="0" w:after="0"/>
              <w:ind w:left="0" w:right="0" w:hanging="0"/>
              <w:jc w:val="center"/>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86,965</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nine months ended September 30, 2023, there were no </w:t>
      </w:r>
      <w:r>
        <w:rPr>
          <w:rFonts w:ascii="Times New Roman;Times;serif" w:hAnsi="Times New Roman;Times;serif"/>
          <w:b w:val="false"/>
          <w:i w:val="false"/>
          <w:caps w:val="false"/>
          <w:smallCaps w:val="false"/>
          <w:sz w:val="20"/>
        </w:rPr>
        <w:t>transfers</w:t>
      </w:r>
      <w:r>
        <w:rPr>
          <w:rFonts w:ascii="Times New Roman;Times;serif" w:hAnsi="Times New Roman;Times;serif"/>
          <w:sz w:val="20"/>
        </w:rPr>
        <w:t xml:space="preserve"> between Level 1, Level 2, and </w:t>
      </w:r>
      <w:r>
        <w:rPr>
          <w:rFonts w:ascii="Times New Roman;Times;serif" w:hAnsi="Times New Roman;Times;serif"/>
          <w:b w:val="false"/>
          <w:i w:val="false"/>
          <w:caps w:val="false"/>
          <w:smallCaps w:val="false"/>
          <w:sz w:val="20"/>
        </w:rPr>
        <w:t>Level</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3</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Lease Right-of-Use Assets and Operating Lease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determines if an arrangement includes a lease at inception. Operating lease right-of-use assets represent the Company’s right to use an underlying asset for the lease term and operating lease liabilities represent its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its estimated incremental borrowing rate based on information available at the lease commencement date. 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estimated rate of interest it would have to pay on a collateralized basis to borrow an amount equal to the lease payments under similar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leases may include options to extend or terminate the lease which are included in the lease term when it is reasonably certain that it will exercise any such options. None of the Company’s leases contain any residual value guarantees. Lease expense is recognized on a straight-line basis over the expected lease term. Related variable lease costs incurred are not material to the Company.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currently elects the short-term lease recognition exemption for all leases that qualify. This means, for those leases that qualify, the Company will not recognize right-of-use assets or liabilities. The Company also elects the practical expedient to not separate lease and non-lease components for all of our leases. The Company has made an accounting policy election to account for each separate lease component of a contract and its associated non-lease components as a single lease component. See the Lease Agreements section in </w:t>
      </w:r>
      <w:r>
        <w:rPr>
          <w:rFonts w:ascii="Times New Roman;Times;serif" w:hAnsi="Times New Roman;Times;serif"/>
          <w:i/>
          <w:sz w:val="20"/>
        </w:rPr>
        <w:t xml:space="preserve">NOTE 9—LICENSE AGREEMENTS AND COMMITMENTS </w:t>
      </w:r>
      <w:r>
        <w:rPr>
          <w:rFonts w:ascii="Times New Roman;Times;serif" w:hAnsi="Times New Roman;Times;serif"/>
          <w:sz w:val="20"/>
        </w:rPr>
        <w:t>for the related disclosures.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net product revenues, the accrual for research and development expenses, the accrual of milestone and royalty payments, and the valuation of stock options. Estimates are periodically reviewed in light of changes in circumstances, facts and experience. Changes in estimates are recorded in the period in which they become known.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Revenue Recognition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 determine revenue recognition for product revenue and license revenue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arrangements that meet the definition of a contract with a customer under ASC 606, including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Under the practical expedient permitted under Topic 606, the Company expenses incremental costs of obtaining a contract as and when incurred if the expected amortization period of the assets is one year or less. If there are multiple distinct performance obligations, the Company allocates the transaction price to each distinct performance obligation based on its relative standalone selling price. The Company also considers the intended benefit of the contract in assessing whether a promised good or service is separately identifiable from other promises in the contract. If a promised good or service is not distinct, the Company combines that good or service with other promised goods or services until it identifies a bundle of goods or services that is distinct. The standalone selling price is generally determined based on the prices charged to customers.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 revenue, net</w:t>
      </w:r>
    </w:p>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The Company recognizes revenue from sales of DANYELZA at a point in time when its customer is deemed to have obtained control of the product, which generally occurs upon receipt at the end-user hospital for sales in the United States, and upon delivery to the distributors for sales in the international territories.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The amount of revenue the Company recognizes from sales of DANYELZA varies due to rebates, chargebacks and discounts provided under governmental and other programs, distribution-related fees and other sales-related deductions. In order to determine those deductions, the Company estimates, utilizing the expected value method, the amount of revenue that it will ultimately be entitled to. This estimate is based upon contracts with customers and government agencies, statutorily-defined discounts applicable to government-funded programs, estimated payor mix, and other relevant factors. Calculating these amounts involves estimates and judgments, and the Company reviews these estimates quarterly. If actual results vary from its original estimates, the Company will adjust these estimates quarterly, which would affect net product revenue and earnings in the period such variances occur. </w:t>
      </w:r>
    </w:p>
    <w:tbl>
      <w:tblPr>
        <w:tblW w:w="2571" w:type="dxa"/>
        <w:jc w:val="left"/>
        <w:tblInd w:w="0" w:type="dxa"/>
        <w:tblLayout w:type="fixed"/>
        <w:tblCellMar>
          <w:top w:w="28" w:type="dxa"/>
          <w:left w:w="28" w:type="dxa"/>
          <w:bottom w:w="28" w:type="dxa"/>
          <w:right w:w="28" w:type="dxa"/>
        </w:tblCellMar>
      </w:tblPr>
      <w:tblGrid>
        <w:gridCol w:w="124"/>
        <w:gridCol w:w="256"/>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Rebates and chargebacks</w:t>
            </w:r>
          </w:p>
        </w:tc>
      </w:tr>
    </w:tbl>
    <w:p>
      <w:pPr>
        <w:pStyle w:val="TextBody"/>
        <w:bidi w:val="0"/>
        <w:spacing w:before="240" w:after="240"/>
        <w:ind w:left="1080" w:right="0" w:hanging="0"/>
        <w:jc w:val="left"/>
        <w:rPr>
          <w:rFonts w:ascii="Times New Roman;Times;serif" w:hAnsi="Times New Roman;Times;serif"/>
          <w:sz w:val="20"/>
        </w:rPr>
      </w:pPr>
      <w:r>
        <w:rPr>
          <w:rFonts w:ascii="Times New Roman;Times;serif" w:hAnsi="Times New Roman;Times;serif"/>
          <w:sz w:val="20"/>
        </w:rPr>
        <w:t>The Company contracts with United States governmental agencies to ensure that DANYELZA will be eligible for coverage under the various programs administered by the agencies. The Company estimates the rebates and chargebacks to be provided and deducts these estimated amounts from its gross product revenues. These reserves are recorded in the same period the revenue is recognized, resulting in a reduction of product revenue and the establishment of accrued liabilities for the rebates and a reduction of accounts receivable for the chargebacks. The Company develops estimates for rebates and chargebacks based upon (i) the Company’s contracts with these agencies, (ii) the government-mandated discounts applicable to government-funded programs, and (iii) information obtained from hospitals and third-party consultants regarding the payor mix. The Company’s liability for these rebates and chargebacks mainly consists of claims for which invoices have not yet been received and paid. The Company does not maintain material levels of inventory in the wholesale or retail channel.</w:t>
      </w:r>
    </w:p>
    <w:tbl>
      <w:tblPr>
        <w:tblW w:w="3666" w:type="dxa"/>
        <w:jc w:val="left"/>
        <w:tblInd w:w="0" w:type="dxa"/>
        <w:tblLayout w:type="fixed"/>
        <w:tblCellMar>
          <w:top w:w="28" w:type="dxa"/>
          <w:left w:w="28" w:type="dxa"/>
          <w:bottom w:w="28" w:type="dxa"/>
          <w:right w:w="28" w:type="dxa"/>
        </w:tblCellMar>
      </w:tblPr>
      <w:tblGrid>
        <w:gridCol w:w="124"/>
        <w:gridCol w:w="25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and distribution-related fees</w:t>
            </w:r>
          </w:p>
        </w:tc>
      </w:tr>
    </w:tbl>
    <w:p>
      <w:pPr>
        <w:pStyle w:val="TextBody"/>
        <w:bidi w:val="0"/>
        <w:spacing w:before="240" w:after="240"/>
        <w:ind w:left="1080" w:right="0" w:hanging="0"/>
        <w:jc w:val="left"/>
        <w:rPr>
          <w:rFonts w:ascii="Times New Roman;Times;serif" w:hAnsi="Times New Roman;Times;serif"/>
          <w:sz w:val="20"/>
        </w:rPr>
      </w:pPr>
      <w:r>
        <w:rPr>
          <w:rFonts w:ascii="Times New Roman;Times;serif" w:hAnsi="Times New Roman;Times;serif"/>
          <w:sz w:val="20"/>
        </w:rPr>
        <w:t>The Company provides invoice discounts on DANYELZA sales to its distributors for prompt payment and fees for distribution services and invoice discounts reduce the original accounts receivable balances. The payment terms for sales to distributors generally include a 2% discount for prompt payment or fees for distribution services which are based on contractual rates agreed with the respective distributors. Based on historical data and experiences with the distributors, the Company expects its distributors to earn these discounts and fees and deduct the full amount of these discounts and fees from its gross product revenue at the time such revenues are recognized.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161" w:type="dxa"/>
        <w:jc w:val="left"/>
        <w:tblInd w:w="0" w:type="dxa"/>
        <w:tblLayout w:type="fixed"/>
        <w:tblCellMar>
          <w:top w:w="28" w:type="dxa"/>
          <w:left w:w="28" w:type="dxa"/>
          <w:bottom w:w="28" w:type="dxa"/>
          <w:right w:w="28" w:type="dxa"/>
        </w:tblCellMar>
      </w:tblPr>
      <w:tblGrid>
        <w:gridCol w:w="124"/>
        <w:gridCol w:w="256"/>
        <w:gridCol w:w="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Returns</w:t>
            </w:r>
          </w:p>
        </w:tc>
      </w:tr>
    </w:tbl>
    <w:p>
      <w:pPr>
        <w:pStyle w:val="TextBody"/>
        <w:bidi w:val="0"/>
        <w:spacing w:before="240" w:after="240"/>
        <w:ind w:left="1080" w:right="0" w:hanging="0"/>
        <w:jc w:val="left"/>
        <w:rPr>
          <w:rFonts w:ascii="Times New Roman;Times;serif" w:hAnsi="Times New Roman;Times;serif"/>
          <w:sz w:val="20"/>
        </w:rPr>
      </w:pPr>
      <w:r>
        <w:rPr>
          <w:rFonts w:ascii="Times New Roman;Times;serif" w:hAnsi="Times New Roman;Times;serif"/>
          <w:sz w:val="20"/>
        </w:rPr>
        <w:t>The Company offers its customers limited product return rights for damaged, defective, or expiring products. The Company estimates returns on sales of DANYELZA mainly based on information provided to the Company from the hospitals and distributors. The return reserves are recorded in the same period the related revenue is recognized, resulting in a reduction of product revenue and accounts receivable.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2022, the Company announced a distribution agreement with WEP Clinical Ltd., or WEP, in connection with an early access program for DANYELZA in Europe. There are no regulatory-based or </w:t>
      </w:r>
      <w:r>
        <w:rPr>
          <w:rFonts w:ascii="Times New Roman;Times;serif" w:hAnsi="Times New Roman;Times;serif"/>
          <w:b w:val="false"/>
          <w:i w:val="false"/>
          <w:caps w:val="false"/>
          <w:smallCaps w:val="false"/>
          <w:sz w:val="20"/>
        </w:rPr>
        <w:t>sales-based</w:t>
      </w:r>
      <w:r>
        <w:rPr>
          <w:rFonts w:ascii="Times New Roman;Times;serif" w:hAnsi="Times New Roman;Times;serif"/>
          <w:sz w:val="20"/>
        </w:rPr>
        <w:t xml:space="preserve"> milestone payments or royalty arrangements under this distribution agreement. The Company recognizes revenue when WEP obtains control of the product upon delivery. The Company invoices WEP based on the terms of the distribution agreement, where a portion is billed upon shipment of product and the unbilled portion is billed at a later date based on terms of the distribution agreement. The Company has an unconditional right to the unbilled portion of the receivable and the Company estimates that the receivable will be collected within one year and therefore has recorded the balance at September 30, 2023, within accounts receivable on the Consolidated Balance Sheets.</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License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license agreements include regulatory-based milestone payments and sales-based milestone payments, in addition to royalties. The Company determines whether the achievement of each regulatory-based milestone within the agreement is constrained as they are contingent upon regulatory approvals, which are not within the control of the Company, and therefore not deemed probable. The Company expects that the sales-based milestones and royalty payments will be recognized when the milestone is achieved or the related sales occur. The Company re-evaluates the transaction price each quarter and as uncertain events are resolved or other changes in circumstances occur, it assesses whether this resolves the constraint and it is appropriate to recognize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2020, the Company entered into a development and commercialization arrangement with SciClone International Pharmaceuticals Ltd., or SciClone, for certain indications of DANYELZA and omburtamab for Greater China, including Mainland China, Taiwan, Hong Kong and Macau. Based on the terms of the agreement, the Company may receive regulatory-based milestone payments up to $40,000,000, of which $15,000,000 has already been recognized and received, and sales-based milestone payments up to $60,000,000 and is entitled to royalties based upon the net sales generated by SciClone related to the product indications in the territory.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2020, the Company entered into an exclusive license and distribution agreement for DANYELZA and omburtamab with Takeda Israel, a wholly-owned subsidiary of Takeda Pharmaceutical Company Limited covering the State of Israel, West Bank and Gaza Strip. Based on the terms of the arrangement, the Company may receive regulatory-based milestone payments up to $750,000, of which $250,000 has already been recognized, and sales-based milestone payments up to $500,000 and is entitled to royalties based upon the net sales generated by Takeda related to the product in the territory. The Company expects that the remaining regulatory-based and sales-based milestones will be recognized when the milestone is achieved, or the related sales occur.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2020, the Company entered into a distribution agreement for DANYELZA and omburtamab with Swixx BioPharma AG for the Eastern European territories Bosnia &amp; Herzegovina, Bulgaria, Croatia, Czech Republic, Estonia, Hungary, Latvia, Lithuania, Poland, Romania, Russia, Serbia, Slovakia and Slovenia. There are no regulatory-based or </w:t>
      </w:r>
      <w:r>
        <w:rPr>
          <w:rFonts w:ascii="Times New Roman;Times;serif" w:hAnsi="Times New Roman;Times;serif"/>
          <w:b w:val="false"/>
          <w:i w:val="false"/>
          <w:caps w:val="false"/>
          <w:smallCaps w:val="false"/>
          <w:sz w:val="20"/>
        </w:rPr>
        <w:t>sales-based</w:t>
      </w:r>
      <w:r>
        <w:rPr>
          <w:rFonts w:ascii="Times New Roman;Times;serif" w:hAnsi="Times New Roman;Times;serif"/>
          <w:sz w:val="20"/>
        </w:rPr>
        <w:t xml:space="preserve"> milestone payments or royalty arrangements under this distribution agreement.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May 2021, the Company entered into an exclusive distribution agreement with Adium Pharma S.A. (“Adium”) for Adium to be the exclusive distributor in Latin America of the Company’s antibodies omburtamab, if approved, and DANYELZA. Under the terms of the agreement, the Company may receive regulatory-based milestone payments up to an aggregate of $3,000,000, of which $1,000,000 has already been recognized and received prior to 2023. In addition, the Company is entitled to royalties based upon DANYELZA net sales generated by Adium in Latin America. The agreement with Adium does not contain a regulatory-based milestone related to the Brazilian Health Regulatory Agency’s approval for marketing authorization, which was granted during the three months ended June 30, 2023. During the three and nine months ended September 30, 2023, the Company recognized $500,000 in regulatory-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license revenue from Adium pursuant to the distribution agreement in connection with the September 2023 achievement of marketing authorization for DANYELZA in Mexico. The Company expects that the sales-based milestones and royalty payments will be recognized when and if the milestones are achieved or the related sales occur.</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engaged solely in the discovery, development, distribution and commercialization of novel antibody-based therapeutic products for the treatment of cancer. Accordingly, the Company has determined that it operates in one operating segment.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Recently Issued Accounting Pronouncements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or FASB, and are adopted by the Company as of the specific effective date. The Company adopted ASU 2022-04, ASU 2022-02, ASU 2022-01 and ASU 2021-08 effective January 1, 2023, and the adoption of these new standards did not have a material impact on the Company’s consolidated financial statements or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evaluated accounting pronouncements recently issued but not yet adopted and believes that these pronouncements do not apply to the Company’s operations and therefore will not have a material impact on the Company’s consolidated financial statements or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4—PRODUCT REVENUE,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product revenue, net was generated from sales of DANYELZA and totaled $19,954,000 and $12,537,000 for the three months ended September 30, 2023 and 2022, respectively. The geographic breakout for the product revenue, net between the United States and other countries for the three months ended September 30, 2023, were $16,072,000 and $3,882,000, respectively. The geographic breakout for the product revenue, net between the United States and other countries for the three months ended September 30, 2022, was $12,420,000 and $117,000, respectively. The Company’s product revenue, net from other countries for the three months ended September 30, 2023, included $3,048,000 of product revenue from the Company’s distribution partner, WEP.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product revenue, net was generated from sales of DANYELZA and totaled $60,956,000 and $32,820,000 for the nine months ended September 30, 2023 and 2022, respectively. The geographic breakout for the product revenue, net between the United States and other countries for the nine months ended September 30, 2023, were $48,756,000 and $12,200,000, respectively. The geographic breakout for the product revenue, net between the United States and other countries for the nine months ended September 30, 2022 was $30,872,000 and $1,948,000, respectively. The Company’s product revenue, net from other countries for the nine months ended September 30, 2023, included $3,535,000 of product revenue and related royalties for the commercial launch initial inventory stocking order from the Company’s distribution partner, SciClone, which launched commercial sales in China in June 2023. The Company’s product revenue, net from other countries for the nine months ended September 30, 2023, also included $5,579,000 of product revenue, net from the Company’s distribution partner, WEP.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Company’s distribution agreement with WEP, the Company is entitled to receive all payments based on the net product sales and pays WEP a service fee in exchange for its services. The Company recorded $3,048,000 and $5,579,000 product revenue, net from WEP in the three and nine months ended September 30, 2023. There was no product revenue, net from WEP in the three and nine months ended September 30, 2022. As of September 30, 2023, the Company has recorded on its Consolidated Balance Sheets accounts receivable of approximately $4,120,000, and accrued liabilities of $267,000 related to product sales to WEP during the nine months ended September 30,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from product sales is recorded net of applicable provisions for rebates, chargebacks, discounts, distribution-related fees and other sales-related deductions. Accruals for chargebacks and discounts are recorded as a direct reduction to accounts receivable. Accruals for rebates, distribution-related fees without contractual right of offset and other sales-related deductions are recorded within accrued liabilities. As of September 30, 2023, the Company had recorded accounts receivable allowances of approximately $910,000 and accrued liabilities of approximately $3,482,000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32" w:name="Tc_eNgchwI4lEGrWyNet4Y4Zg_9_10"/>
      <w:bookmarkStart w:id="733" w:name="Tc_Vl1SBI-e1EG05ocT7zIe_g_9_7"/>
      <w:bookmarkStart w:id="734" w:name="Tc_bwFHcUlRL0W8h8Xg4L7qtg_9_4"/>
      <w:bookmarkStart w:id="735" w:name="Tc_bNFifrG-TUyqyF3ss89BkQ_9_1"/>
      <w:bookmarkStart w:id="736" w:name="Tc_oRU-hfUeU0W6wfjoYpP0UA_9_0"/>
      <w:bookmarkStart w:id="737" w:name="Tc_fsciR3fYiUywJSSScGZp4Q_8_8"/>
      <w:bookmarkStart w:id="738" w:name="Tc_o0xCMNSsL0eemCx8KzFp4w_8_2"/>
      <w:bookmarkStart w:id="739" w:name="Tc_Vk4Ozr0nMUGtaf-wbwgX-Q_8_0"/>
      <w:bookmarkStart w:id="740" w:name="Tc_hfL174cEt0iRTCxRN7QX_g_7_0"/>
      <w:bookmarkStart w:id="741" w:name="Tc_6WzmYe4kKEC-I6TdGWpZaQ_6_0"/>
      <w:bookmarkStart w:id="742" w:name="Tc_LSD-JI1uXU2MjO-awDUFPg_5_10"/>
      <w:bookmarkStart w:id="743" w:name="Tc_Ao3PcwwQhUm994Pkj48gPw_5_7"/>
      <w:bookmarkStart w:id="744" w:name="Tc_Y_bT-KSPEEuw9thcoBDuQw_5_4"/>
      <w:bookmarkStart w:id="745" w:name="Tc_14QsCFR7PUeu0yLXjnnHXA_5_1"/>
      <w:bookmarkStart w:id="746" w:name="Tc_OszmpL85ZEC9mDF3a_BPkg_5_0"/>
      <w:bookmarkStart w:id="747" w:name="Tc_FUDdrj1xDk-Q-h4jkpwLSg_4_1"/>
      <w:bookmarkStart w:id="748" w:name="Tc_EoJnbwOMek-fFWg2OwGnXw_3_10"/>
      <w:bookmarkStart w:id="749" w:name="Tc_gwJRBgNxwEyKOeXkMYj7cw_3_7"/>
      <w:bookmarkStart w:id="750" w:name="Tc__OoJquxMoUu2p6uC2AhQhA_3_4"/>
      <w:bookmarkStart w:id="751" w:name="Tc_7PAa_aSyhEaOOady_CUY0w_3_1"/>
      <w:bookmarkStart w:id="752" w:name="Tc_P19es0_CrEK055ussFQrHg_2_4"/>
      <w:bookmarkStart w:id="753" w:name="Tc_TLbWddCaN0KaFa4nmzEQqg_1_4"/>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r>
        <w:rPr>
          <w:rFonts w:ascii="Times New Roman;Times;serif" w:hAnsi="Times New Roman;Times;serif"/>
          <w:sz w:val="20"/>
        </w:rPr>
        <w:t>related to product sales during the nine months ended September 30, 2023. As of December 31, 2022, the Company had recorded accounts receivable allowances of approximately $508,000 and accrued liabilities of $2,474,000 related to product sales.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 analysis of the change in reserves for discounts and allowances is summarized as follows:</w:t>
      </w:r>
    </w:p>
    <w:p>
      <w:pPr>
        <w:pStyle w:val="TextBody"/>
        <w:bidi w:val="0"/>
        <w:spacing w:before="0" w:after="0"/>
        <w:ind w:left="0" w:right="0" w:hanging="0"/>
        <w:jc w:val="left"/>
        <w:rPr/>
      </w:pPr>
      <w:r>
        <w:rPr/>
        <w:t>​</w:t>
      </w:r>
    </w:p>
    <w:tbl>
      <w:tblPr>
        <w:tblW w:w="9056" w:type="dxa"/>
        <w:jc w:val="left"/>
        <w:tblInd w:w="0" w:type="dxa"/>
        <w:tblLayout w:type="fixed"/>
        <w:tblCellMar>
          <w:top w:w="0" w:type="dxa"/>
          <w:left w:w="0" w:type="dxa"/>
          <w:bottom w:w="0" w:type="dxa"/>
          <w:right w:w="0" w:type="dxa"/>
        </w:tblCellMar>
      </w:tblPr>
      <w:tblGrid>
        <w:gridCol w:w="4261"/>
        <w:gridCol w:w="326"/>
        <w:gridCol w:w="541"/>
        <w:gridCol w:w="109"/>
        <w:gridCol w:w="409"/>
        <w:gridCol w:w="1226"/>
        <w:gridCol w:w="146"/>
        <w:gridCol w:w="326"/>
        <w:gridCol w:w="541"/>
        <w:gridCol w:w="109"/>
        <w:gridCol w:w="326"/>
        <w:gridCol w:w="736"/>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705735" cy="175260"/>
                      <wp:effectExtent l="0" t="0" r="0" b="0"/>
                      <wp:wrapNone/>
                      <wp:docPr id="74" name="Frame74"/>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43535" cy="175260"/>
                      <wp:effectExtent l="0" t="0" r="0" b="0"/>
                      <wp:wrapNone/>
                      <wp:docPr id="76" name="Frame7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59715" cy="175260"/>
                      <wp:effectExtent l="0" t="0" r="0" b="0"/>
                      <wp:wrapNone/>
                      <wp:docPr id="78" name="Frame78"/>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78510" cy="175260"/>
                      <wp:effectExtent l="0" t="0" r="0" b="0"/>
                      <wp:wrapNone/>
                      <wp:docPr id="79" name="Frame79"/>
                      <a:graphic xmlns:a="http://schemas.openxmlformats.org/drawingml/2006/main">
                        <a:graphicData uri="http://schemas.microsoft.com/office/word/2010/wordprocessingShape">
                          <wps:wsp>
                            <wps:cNvSpPr txBox="1"/>
                            <wps:spPr>
                              <a:xfrm>
                                <a:off x="0" y="0"/>
                                <a:ext cx="77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92710" cy="175260"/>
                      <wp:effectExtent l="0" t="0" r="0" b="0"/>
                      <wp:wrapNone/>
                      <wp:docPr id="80" name="Frame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43535" cy="175260"/>
                      <wp:effectExtent l="0" t="0" r="0" b="0"/>
                      <wp:wrapNone/>
                      <wp:docPr id="82" name="Frame8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67360" cy="175260"/>
                      <wp:effectExtent l="0" t="0" r="0" b="0"/>
                      <wp:wrapNone/>
                      <wp:docPr id="85" name="Frame8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Contractual </w:t>
            </w:r>
          </w:p>
        </w:tc>
        <w:tc>
          <w:tcPr>
            <w:tcW w:w="1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Allowances and</w:t>
            </w:r>
          </w:p>
        </w:tc>
        <w:tc>
          <w:tcPr>
            <w:tcW w:w="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4261" w:type="dxa"/>
            <w:tcBorders/>
            <w:vAlign w:val="center"/>
          </w:tcPr>
          <w:p>
            <w:pPr>
              <w:pStyle w:val="TableContents"/>
              <w:bidi w:val="0"/>
              <w:spacing w:before="0" w:after="0"/>
              <w:ind w:left="0" w:right="0" w:hanging="0"/>
              <w:jc w:val="left"/>
              <w:rPr/>
            </w:pPr>
            <w:r>
              <w:rPr/>
              <w:t>​</w:t>
            </w:r>
          </w:p>
        </w:tc>
        <w:tc>
          <w:tcPr>
            <w:tcW w:w="8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Discounts</w:t>
            </w:r>
          </w:p>
        </w:tc>
        <w:tc>
          <w:tcPr>
            <w:tcW w:w="109" w:type="dxa"/>
            <w:tcBorders/>
            <w:vAlign w:val="center"/>
          </w:tcPr>
          <w:p>
            <w:pPr>
              <w:pStyle w:val="TableContents"/>
              <w:bidi w:val="0"/>
              <w:spacing w:before="0" w:after="0"/>
              <w:ind w:left="0" w:right="0" w:hanging="0"/>
              <w:jc w:val="center"/>
              <w:rPr/>
            </w:pPr>
            <w:r>
              <w:rPr/>
              <w:t>​</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Government Rebates</w:t>
            </w:r>
          </w:p>
        </w:tc>
        <w:tc>
          <w:tcPr>
            <w:tcW w:w="146" w:type="dxa"/>
            <w:tcBorders/>
            <w:vAlign w:val="center"/>
          </w:tcPr>
          <w:p>
            <w:pPr>
              <w:pStyle w:val="TableContents"/>
              <w:bidi w:val="0"/>
              <w:spacing w:before="0" w:after="0"/>
              <w:ind w:left="0" w:right="0" w:hanging="0"/>
              <w:jc w:val="left"/>
              <w:rPr/>
            </w:pPr>
            <w:r>
              <w:rPr/>
              <w:t> </w:t>
            </w:r>
          </w:p>
        </w:tc>
        <w:tc>
          <w:tcPr>
            <w:tcW w:w="8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Returns</w:t>
            </w:r>
          </w:p>
        </w:tc>
        <w:tc>
          <w:tcPr>
            <w:tcW w:w="109" w:type="dxa"/>
            <w:tcBorders/>
            <w:vAlign w:val="center"/>
          </w:tcPr>
          <w:p>
            <w:pPr>
              <w:pStyle w:val="TableContents"/>
              <w:bidi w:val="0"/>
              <w:spacing w:before="0" w:after="0"/>
              <w:ind w:left="0" w:right="0" w:hanging="0"/>
              <w:jc w:val="center"/>
              <w:rPr/>
            </w:pPr>
            <w:r>
              <w:rPr/>
              <w:t>​</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056"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left"/>
              <w:rPr/>
            </w:pPr>
            <w:r>
              <w:rPr/>
              <w:t>​</w:t>
            </w:r>
          </w:p>
        </w:tc>
        <w:tc>
          <w:tcPr>
            <w:tcW w:w="479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bidi w:val="0"/>
              <w:spacing w:before="0" w:after="0"/>
              <w:ind w:left="0" w:right="0" w:hanging="0"/>
              <w:jc w:val="righ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w:t>
            </w:r>
          </w:p>
        </w:tc>
        <w:tc>
          <w:tcPr>
            <w:tcW w:w="1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provisions relating to sales in current year</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vAlign w:val="center"/>
          </w:tcPr>
          <w:p>
            <w:pPr>
              <w:pStyle w:val="TableContents"/>
              <w:bidi w:val="0"/>
              <w:spacing w:before="0" w:after="0"/>
              <w:ind w:left="0" w:right="0" w:hanging="0"/>
              <w:jc w:val="right"/>
              <w:rPr/>
            </w:pPr>
            <w:r>
              <w:rPr/>
              <w:t>​</w:t>
            </w:r>
          </w:p>
        </w:tc>
        <w:tc>
          <w:tcPr>
            <w:tcW w:w="409" w:type="dxa"/>
            <w:tcBorders/>
            <w:vAlign w:val="center"/>
          </w:tcPr>
          <w:p>
            <w:pPr>
              <w:pStyle w:val="TableContents"/>
              <w:bidi w:val="0"/>
              <w:spacing w:before="0" w:after="0"/>
              <w:ind w:left="0" w:right="0" w:hanging="0"/>
              <w:jc w:val="left"/>
              <w:rPr/>
            </w:pPr>
            <w:r>
              <w:rPr/>
              <w:t>​</w:t>
            </w:r>
          </w:p>
        </w:tc>
        <w:tc>
          <w:tcPr>
            <w:tcW w:w="12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7,296</w:t>
            </w:r>
          </w:p>
        </w:tc>
        <w:tc>
          <w:tcPr>
            <w:tcW w:w="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Payments/credits relating to sales in current year</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shd w:fill="CCEEFF" w:val="clear"/>
            <w:vAlign w:val="center"/>
          </w:tcPr>
          <w:p>
            <w:pPr>
              <w:pStyle w:val="TableContents"/>
              <w:bidi w:val="0"/>
              <w:spacing w:before="0" w:after="0"/>
              <w:ind w:left="0" w:right="0" w:hanging="0"/>
              <w:jc w:val="righ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2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(5,445)</w:t>
            </w:r>
          </w:p>
        </w:tc>
        <w:tc>
          <w:tcPr>
            <w:tcW w:w="1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estimate related to sales in the prior year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14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September 30, 2023</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bidi w:val="0"/>
              <w:spacing w:before="0" w:after="0"/>
              <w:ind w:left="0" w:right="0" w:hanging="0"/>
              <w:jc w:val="righ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w:t>
            </w:r>
          </w:p>
        </w:tc>
        <w:tc>
          <w:tcPr>
            <w:tcW w:w="14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4,392</w:t>
            </w:r>
          </w:p>
        </w:tc>
      </w:tr>
    </w:tbl>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vast majority of the Company’s product sales were in the United States with additional sales in China, Europe, Latin America and Israel through sublicenses and distribution agreements. The Company had product sales to certain customers that accounted for more than 10% of total product revenue, net, for the three and nine months ended September 30, 2023 and September 30, 2022, respectively. McKesson, AmerisourceBergen, WEP and Cardinal Health accounted for 48%, 18%, 15% and 14% respectively, of the Company’s product revenue, net, for the three months ended September 30, 2023. McKesson and AmerisourceBergen accounted for 78% and 14%, respectively, of the Company’s product revenue, net, for the three months ended September 30, 2022. McKesson, AmerisourceBergen and Cardinal Health accounted for 45%, 22% and 13%, respectively, of the Company’s product revenue, net, for the nine months ended September 30, 2023. McKesson and AmerisourceBergen accounted for 69% and 16%, respectively, of the Company’s product revenue, net, for the nine months ended September 30, 2022. The Company recognized royalty revenue from its distribution partners of $427,000 and $58,000 in the three months ended September 30, 2023 and 2022, respectively, and $3,814,000 and $1,412,000 in the nine months ended September 30, 2023 and 2022,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quarter and nine months ended September 30, 2023, the Company recorded a change in estimate related to assessed Medicaid claims data experience and reserves for historical earned periods. The change in estimate resulted in a benefit of $1,586,000 to the quarter ended September 30, 2023, of which $755,000 related to the deductions for sales occurring in the prior year.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5—NET LOSS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net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restricted stock units.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 (in thousands, except per share amounts):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54" w:name="Tc_OgXxUeTx6kmtaBl-KoHtAg_7_11"/>
      <w:bookmarkStart w:id="755" w:name="Tc_BmKTVgGVLUKAZL7iFR0oLQ_7_8"/>
      <w:bookmarkStart w:id="756" w:name="Tc_oAduKipmxkC5__mfTT6sOw_7_5"/>
      <w:bookmarkStart w:id="757" w:name="Tc_ptC3AnrzZkudvlzIoH4v3g_7_2"/>
      <w:bookmarkStart w:id="758" w:name="Tc_u0RmgrkbHkaGbQ4AKwGBnw_7_0"/>
      <w:bookmarkStart w:id="759" w:name="Tc_ghh9w_SLrkGT9nwNxPIYWA_6_0"/>
      <w:bookmarkStart w:id="760" w:name="Tc_HIx3JcFtXUaEkNNda76lzg_5_11"/>
      <w:bookmarkStart w:id="761" w:name="Tc_Z5dAAnl9FkqDF896OFaKNA_5_8"/>
      <w:bookmarkStart w:id="762" w:name="Tc_XFRrpmFFf0yacUgTY8LhRg_5_5"/>
      <w:bookmarkStart w:id="763" w:name="Tc_B4OqBrx-f0aJEs5ZzeHJQQ_5_2"/>
      <w:bookmarkStart w:id="764" w:name="Tc_ibYxPMLMCEO2uhK9sr53IQ_5_0"/>
      <w:bookmarkStart w:id="765" w:name="Tc_yC-u4rQNi06tAH5X847qXw_3_2"/>
      <w:bookmarkStart w:id="766" w:name="Tc_yQshUUUoVEqEi3p0jfVkvA_2_11"/>
      <w:bookmarkStart w:id="767" w:name="Tc_lhpHFfmBNE648CqILZgKZA_2_8"/>
      <w:bookmarkStart w:id="768" w:name="Tc_IQIDTXt9gk2gbf93OoGzFg_2_5"/>
      <w:bookmarkStart w:id="769" w:name="Tc_c_dW3PmtCkSXQQJ4RnHclg_2_2"/>
      <w:bookmarkStart w:id="770" w:name="Tc_g-4ez2s_90qI_voU5GcRwQ_1_8"/>
      <w:bookmarkStart w:id="771" w:name="Tc_7b7Sc7wWeU6gHyRPatLKIg_1_2"/>
      <w:bookmarkStart w:id="772" w:name="_da348e3d_31ae_4526_82c2_8f7f0da99806"/>
      <w:bookmarkStart w:id="773" w:name="_5d2890ad_4d0d_44e3_80cc_bcd64166fdd4"/>
      <w:bookmarkStart w:id="774" w:name="Tc_OgXxUeTx6kmtaBl-KoHtAg_7_11"/>
      <w:bookmarkStart w:id="775" w:name="Tc_BmKTVgGVLUKAZL7iFR0oLQ_7_8"/>
      <w:bookmarkStart w:id="776" w:name="Tc_oAduKipmxkC5__mfTT6sOw_7_5"/>
      <w:bookmarkStart w:id="777" w:name="Tc_ptC3AnrzZkudvlzIoH4v3g_7_2"/>
      <w:bookmarkStart w:id="778" w:name="Tc_u0RmgrkbHkaGbQ4AKwGBnw_7_0"/>
      <w:bookmarkStart w:id="779" w:name="Tc_ghh9w_SLrkGT9nwNxPIYWA_6_0"/>
      <w:bookmarkStart w:id="780" w:name="Tc_HIx3JcFtXUaEkNNda76lzg_5_11"/>
      <w:bookmarkStart w:id="781" w:name="Tc_Z5dAAnl9FkqDF896OFaKNA_5_8"/>
      <w:bookmarkStart w:id="782" w:name="Tc_XFRrpmFFf0yacUgTY8LhRg_5_5"/>
      <w:bookmarkStart w:id="783" w:name="Tc_B4OqBrx-f0aJEs5ZzeHJQQ_5_2"/>
      <w:bookmarkStart w:id="784" w:name="Tc_ibYxPMLMCEO2uhK9sr53IQ_5_0"/>
      <w:bookmarkStart w:id="785" w:name="Tc_yC-u4rQNi06tAH5X847qXw_3_2"/>
      <w:bookmarkStart w:id="786" w:name="Tc_yQshUUUoVEqEi3p0jfVkvA_2_11"/>
      <w:bookmarkStart w:id="787" w:name="Tc_lhpHFfmBNE648CqILZgKZA_2_8"/>
      <w:bookmarkStart w:id="788" w:name="Tc_IQIDTXt9gk2gbf93OoGzFg_2_5"/>
      <w:bookmarkStart w:id="789" w:name="Tc_c_dW3PmtCkSXQQJ4RnHclg_2_2"/>
      <w:bookmarkStart w:id="790" w:name="Tc_g-4ez2s_90qI_voU5GcRwQ_1_8"/>
      <w:bookmarkStart w:id="791" w:name="Tc_7b7Sc7wWeU6gHyRPatLKIg_1_2"/>
      <w:bookmarkStart w:id="792" w:name="_da348e3d_31ae_4526_82c2_8f7f0da99806"/>
      <w:bookmarkStart w:id="793" w:name="_5d2890ad_4d0d_44e3_80cc_bcd64166fdd4"/>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tbl>
      <w:tblPr>
        <w:tblW w:w="10205" w:type="dxa"/>
        <w:jc w:val="left"/>
        <w:tblInd w:w="0" w:type="dxa"/>
        <w:tblLayout w:type="fixed"/>
        <w:tblCellMar>
          <w:top w:w="0" w:type="dxa"/>
          <w:left w:w="0" w:type="dxa"/>
          <w:bottom w:w="0" w:type="dxa"/>
          <w:right w:w="0" w:type="dxa"/>
        </w:tblCellMar>
      </w:tblPr>
      <w:tblGrid>
        <w:gridCol w:w="4328"/>
        <w:gridCol w:w="326"/>
        <w:gridCol w:w="269"/>
        <w:gridCol w:w="881"/>
        <w:gridCol w:w="139"/>
        <w:gridCol w:w="269"/>
        <w:gridCol w:w="1008"/>
        <w:gridCol w:w="326"/>
        <w:gridCol w:w="250"/>
        <w:gridCol w:w="936"/>
        <w:gridCol w:w="129"/>
        <w:gridCol w:w="250"/>
        <w:gridCol w:w="936"/>
        <w:gridCol w:w="158"/>
      </w:tblGrid>
      <w:tr>
        <w:trPr/>
        <w:tc>
          <w:tcPr>
            <w:tcW w:w="4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748280" cy="175260"/>
                      <wp:effectExtent l="0" t="0" r="0" b="0"/>
                      <wp:wrapNone/>
                      <wp:docPr id="86" name="Frame86"/>
                      <a:graphic xmlns:a="http://schemas.openxmlformats.org/drawingml/2006/main">
                        <a:graphicData uri="http://schemas.microsoft.com/office/word/2010/wordprocessingShape">
                          <wps:wsp>
                            <wps:cNvSpPr txBox="1"/>
                            <wps:spPr>
                              <a:xfrm>
                                <a:off x="0" y="0"/>
                                <a:ext cx="274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70815" cy="175260"/>
                      <wp:effectExtent l="0" t="0" r="0" b="0"/>
                      <wp:wrapNone/>
                      <wp:docPr id="88" name="Frame88"/>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59435" cy="175260"/>
                      <wp:effectExtent l="0" t="0" r="0" b="0"/>
                      <wp:wrapNone/>
                      <wp:docPr id="89" name="Frame89"/>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88265" cy="175260"/>
                      <wp:effectExtent l="0" t="0" r="0" b="0"/>
                      <wp:wrapNone/>
                      <wp:docPr id="90" name="Frame90"/>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70815" cy="175260"/>
                      <wp:effectExtent l="0" t="0" r="0" b="0"/>
                      <wp:wrapNone/>
                      <wp:docPr id="91" name="Frame91"/>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0080" cy="175260"/>
                      <wp:effectExtent l="0" t="0" r="0" b="0"/>
                      <wp:wrapNone/>
                      <wp:docPr id="92" name="Frame92"/>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58750" cy="175260"/>
                      <wp:effectExtent l="0" t="0" r="0" b="0"/>
                      <wp:wrapNone/>
                      <wp:docPr id="94" name="Frame9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94360" cy="175260"/>
                      <wp:effectExtent l="0" t="0" r="0" b="0"/>
                      <wp:wrapNone/>
                      <wp:docPr id="95" name="Frame95"/>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81915" cy="175260"/>
                      <wp:effectExtent l="0" t="0" r="0" b="0"/>
                      <wp:wrapNone/>
                      <wp:docPr id="96" name="Frame96"/>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8750" cy="175260"/>
                      <wp:effectExtent l="0" t="0" r="0" b="0"/>
                      <wp:wrapNone/>
                      <wp:docPr id="97" name="Frame9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94360" cy="175260"/>
                      <wp:effectExtent l="0" t="0" r="0" b="0"/>
                      <wp:wrapNone/>
                      <wp:docPr id="98" name="Frame98"/>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00330" cy="175260"/>
                      <wp:effectExtent l="0" t="0" r="0" b="0"/>
                      <wp:wrapNone/>
                      <wp:docPr id="99" name="Frame99"/>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6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50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158" w:type="dxa"/>
            <w:tcBorders/>
            <w:vAlign w:val="center"/>
          </w:tcPr>
          <w:p>
            <w:pPr>
              <w:pStyle w:val="TableContents"/>
              <w:bidi w:val="0"/>
              <w:spacing w:before="0" w:after="1"/>
              <w:ind w:left="0" w:right="0" w:hanging="0"/>
              <w:jc w:val="left"/>
              <w:rPr/>
            </w:pPr>
            <w:r>
              <w:rPr/>
              <w:t>​</w:t>
            </w:r>
          </w:p>
        </w:tc>
      </w:tr>
      <w:tr>
        <w:trPr/>
        <w:tc>
          <w:tcPr>
            <w:tcW w:w="43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9" w:type="dxa"/>
            <w:tcBorders/>
            <w:vAlign w:val="center"/>
          </w:tcPr>
          <w:p>
            <w:pPr>
              <w:pStyle w:val="TableContents"/>
              <w:bidi w:val="0"/>
              <w:spacing w:before="0" w:after="1"/>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9"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8" w:type="dxa"/>
            <w:tcBorders/>
            <w:vAlign w:val="center"/>
          </w:tcPr>
          <w:p>
            <w:pPr>
              <w:pStyle w:val="TableContents"/>
              <w:bidi w:val="0"/>
              <w:spacing w:before="0" w:after="1"/>
              <w:ind w:left="0" w:right="0" w:hanging="0"/>
              <w:jc w:val="left"/>
              <w:rPr/>
            </w:pPr>
            <w:r>
              <w:rPr/>
              <w:t>​</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3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393"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c>
          <w:tcPr>
            <w:tcW w:w="158" w:type="dxa"/>
            <w:tcBorders/>
            <w:vAlign w:val="center"/>
          </w:tcPr>
          <w:p>
            <w:pPr>
              <w:pStyle w:val="TableContents"/>
              <w:bidi w:val="0"/>
              <w:spacing w:before="0" w:after="1"/>
              <w:ind w:left="0" w:right="0" w:hanging="0"/>
              <w:jc w:val="left"/>
              <w:rPr/>
            </w:pPr>
            <w:r>
              <w:rPr/>
              <w:t>​</w:t>
            </w:r>
          </w:p>
        </w:tc>
      </w:tr>
      <w:tr>
        <w:trPr/>
        <w:tc>
          <w:tcPr>
            <w:tcW w:w="43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left"/>
              <w:rPr/>
            </w:pPr>
            <w:r>
              <w:rPr/>
              <w:t>​</w:t>
            </w:r>
          </w:p>
        </w:tc>
        <w:tc>
          <w:tcPr>
            <w:tcW w:w="139"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100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left"/>
              <w:rPr/>
            </w:pPr>
            <w:r>
              <w:rPr/>
              <w:t>​</w:t>
            </w:r>
          </w:p>
        </w:tc>
        <w:tc>
          <w:tcPr>
            <w:tcW w:w="129"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left"/>
              <w:rPr/>
            </w:pPr>
            <w:r>
              <w:rPr/>
              <w:t>​</w:t>
            </w:r>
          </w:p>
        </w:tc>
        <w:tc>
          <w:tcPr>
            <w:tcW w:w="158" w:type="dxa"/>
            <w:tcBorders/>
            <w:vAlign w:val="center"/>
          </w:tcPr>
          <w:p>
            <w:pPr>
              <w:pStyle w:val="TableContents"/>
              <w:bidi w:val="0"/>
              <w:spacing w:before="0" w:after="1"/>
              <w:ind w:left="0" w:right="0" w:hanging="0"/>
              <w:jc w:val="left"/>
              <w:rPr/>
            </w:pPr>
            <w:r>
              <w:rPr/>
              <w:t>​</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(numerator)</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(7,747)</w:t>
            </w:r>
          </w:p>
        </w:tc>
        <w:tc>
          <w:tcPr>
            <w:tcW w:w="139"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(27,526)</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(20,439)</w:t>
            </w:r>
          </w:p>
        </w:tc>
        <w:tc>
          <w:tcPr>
            <w:tcW w:w="129"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(96,725)</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(denominator), basic and diluted</w:t>
            </w:r>
          </w:p>
        </w:tc>
        <w:tc>
          <w:tcPr>
            <w:tcW w:w="326" w:type="dxa"/>
            <w:tcBorders/>
            <w:vAlign w:val="center"/>
          </w:tcPr>
          <w:p>
            <w:pPr>
              <w:pStyle w:val="TableContents"/>
              <w:bidi w:val="0"/>
              <w:spacing w:before="0" w:after="1"/>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43,621</w:t>
            </w:r>
          </w:p>
        </w:tc>
        <w:tc>
          <w:tcPr>
            <w:tcW w:w="139" w:type="dxa"/>
            <w:tcBorders/>
            <w:vAlign w:val="center"/>
          </w:tcPr>
          <w:p>
            <w:pPr>
              <w:pStyle w:val="TableContents"/>
              <w:bidi w:val="0"/>
              <w:spacing w:before="0" w:after="1"/>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43,718</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43,652</w:t>
            </w:r>
          </w:p>
        </w:tc>
        <w:tc>
          <w:tcPr>
            <w:tcW w:w="129"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43,715</w:t>
            </w:r>
          </w:p>
        </w:tc>
        <w:tc>
          <w:tcPr>
            <w:tcW w:w="158" w:type="dxa"/>
            <w:tcBorders/>
            <w:vAlign w:val="center"/>
          </w:tcPr>
          <w:p>
            <w:pPr>
              <w:pStyle w:val="TableContents"/>
              <w:bidi w:val="0"/>
              <w:spacing w:before="0" w:after="1"/>
              <w:ind w:left="0" w:right="0" w:hanging="0"/>
              <w:jc w:val="left"/>
              <w:rPr/>
            </w:pPr>
            <w:r>
              <w:rPr/>
              <w:t>​</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loss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139" w:type="dxa"/>
            <w:tcBorders/>
            <w:shd w:fill="CCEEFF" w:val="clear"/>
            <w:vAlign w:val="center"/>
          </w:tcPr>
          <w:p>
            <w:pPr>
              <w:pStyle w:val="TableContents"/>
              <w:bidi w:val="0"/>
              <w:spacing w:before="0" w:after="1"/>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(0.63)</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c>
          <w:tcPr>
            <w:tcW w:w="129"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158"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Potentially dilutive securities excluded from the computation of diluted earnings per share relate to stock options and unvested restricted stock units outstanding, which totaled 9,015,719 shares and 7,119,332 shares as of September 30, 2023 and September 30, 2022, respectively. </w:t>
      </w:r>
    </w:p>
    <w:p>
      <w:pPr>
        <w:pStyle w:val="TextBody"/>
        <w:bidi w:val="0"/>
        <w:spacing w:before="240" w:after="240"/>
        <w:ind w:left="0" w:right="0" w:hanging="0"/>
        <w:jc w:val="left"/>
        <w:rPr>
          <w:rFonts w:ascii="Times New Roman;Times;serif" w:hAnsi="Times New Roman;Times;serif"/>
          <w:b/>
          <w:sz w:val="20"/>
        </w:rPr>
      </w:pPr>
      <w:bookmarkStart w:id="794" w:name="Tc_B8XR9NJN8EGU90X7Ji7vSw_9_5"/>
      <w:bookmarkStart w:id="795" w:name="Tc_Gz000s0L6U2SFGil5RIw-w_9_2"/>
      <w:bookmarkStart w:id="796" w:name="Tc_RakUV443MEqGHE95B-mlvQ_9_0"/>
      <w:bookmarkStart w:id="797" w:name="Tc_r_ptBCoCZU-0i5slKUQ_rQ_8_0"/>
      <w:bookmarkStart w:id="798" w:name="Tc_t5zmqqo2-0ioJ1FzoMSMxw_7_0"/>
      <w:bookmarkStart w:id="799" w:name="Tc_PZ0-_iJcjU67pqkv8EWIBA_6_0"/>
      <w:bookmarkStart w:id="800" w:name="Tc_7TpZkkG6pUaea_uGOKbTSw_4_0"/>
      <w:bookmarkStart w:id="801" w:name="Tc_cegfPRa-JEa3TXytFvdZiQ_3_5"/>
      <w:bookmarkStart w:id="802" w:name="Tc_kg59IcUi4U-Q4YUUEicN8A_3_2"/>
      <w:bookmarkStart w:id="803" w:name="Tc_ZE0ybEjcukG9mufPl4ZVgA_3_0"/>
      <w:bookmarkStart w:id="804" w:name="Tc_1icY3AC1KEOc8xgmzLj90Q_2_0"/>
      <w:bookmarkStart w:id="805" w:name="Tc_YvdSjy4khEiP0AVH7-cnKw_1_5"/>
      <w:bookmarkStart w:id="806" w:name="Tc_sL04B7rwQk601RB1zD7NdQ_1_2"/>
      <w:bookmarkStart w:id="807" w:name="_4df4d8e4_9678_46b3_817d_3d76eba03606"/>
      <w:bookmarkStart w:id="808" w:name="Tc_ZLTfSw4Ck0ixFqgnMVmUsw_5_5"/>
      <w:bookmarkStart w:id="809" w:name="Tc_W_NkPJkbhU6wGUi-zRgcfw_5_2"/>
      <w:bookmarkStart w:id="810" w:name="Tc_ZaeUEi0pqkONX9xA02nmIQ_5_0"/>
      <w:bookmarkStart w:id="811" w:name="Tc_Iec1VlTHGUyebMhrcbbNxg_4_0"/>
      <w:bookmarkStart w:id="812" w:name="Tc_pUXkeWzw8k6yeL9POx85hQ_3_5"/>
      <w:bookmarkStart w:id="813" w:name="Tc_WsUScKul8E2eqNc1lUef4A_3_2"/>
      <w:bookmarkStart w:id="814" w:name="Tc_HTzkY0b5Bk2jFu8JkrfTmQ_3_0"/>
      <w:bookmarkStart w:id="815" w:name="Tc_FuKwcrGV3kKgB8ZhYhmhrg_1_5"/>
      <w:bookmarkStart w:id="816" w:name="Tc_1qLU8VPXgU6CrMZNBT7vdQ_1_2"/>
      <w:bookmarkStart w:id="817" w:name="_e3eeddb2_ac9d_4527_925b_b2d9cf02e6af"/>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r>
        <w:rPr>
          <w:rFonts w:ascii="Times New Roman;Times;serif" w:hAnsi="Times New Roman;Times;serif"/>
          <w:b/>
          <w:sz w:val="20"/>
        </w:rPr>
        <w:t>NOTE 6—INVENTORIES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Inventories consist of the following (in thousands):</w:t>
      </w:r>
    </w:p>
    <w:tbl>
      <w:tblPr>
        <w:tblW w:w="5043" w:type="dxa"/>
        <w:jc w:val="left"/>
        <w:tblInd w:w="0" w:type="dxa"/>
        <w:tblLayout w:type="fixed"/>
        <w:tblCellMar>
          <w:top w:w="0" w:type="dxa"/>
          <w:left w:w="0" w:type="dxa"/>
          <w:bottom w:w="0" w:type="dxa"/>
          <w:right w:w="0" w:type="dxa"/>
        </w:tblCellMar>
      </w:tblPr>
      <w:tblGrid>
        <w:gridCol w:w="1516"/>
        <w:gridCol w:w="326"/>
        <w:gridCol w:w="367"/>
        <w:gridCol w:w="1179"/>
        <w:gridCol w:w="109"/>
        <w:gridCol w:w="350"/>
        <w:gridCol w:w="119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962660" cy="175260"/>
                      <wp:effectExtent l="0" t="0" r="0" b="0"/>
                      <wp:wrapNone/>
                      <wp:docPr id="100" name="Frame100"/>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33045" cy="175260"/>
                      <wp:effectExtent l="0" t="0" r="0" b="0"/>
                      <wp:wrapNone/>
                      <wp:docPr id="102" name="Frame10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48665" cy="175260"/>
                      <wp:effectExtent l="0" t="0" r="0" b="0"/>
                      <wp:wrapNone/>
                      <wp:docPr id="103" name="Frame10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22250" cy="175260"/>
                      <wp:effectExtent l="0" t="0" r="0" b="0"/>
                      <wp:wrapNone/>
                      <wp:docPr id="105" name="Frame105"/>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759460" cy="175260"/>
                      <wp:effectExtent l="0" t="0" r="0" b="0"/>
                      <wp:wrapNone/>
                      <wp:docPr id="106" name="Frame106"/>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109"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4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1196" w:type="dxa"/>
            <w:tcBorders/>
            <w:vAlign w:val="center"/>
          </w:tcPr>
          <w:p>
            <w:pPr>
              <w:pStyle w:val="TableContents"/>
              <w:bidi w:val="0"/>
              <w:spacing w:before="0" w:after="1"/>
              <w:ind w:left="0" w:right="0" w:hanging="0"/>
              <w:jc w:val="center"/>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13,745</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11,317</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2,219</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15,964</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11,983</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1196"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Inventories are classified on the Consolidated Balance Sheets in each respective period (in thousands):</w:t>
      </w:r>
    </w:p>
    <w:tbl>
      <w:tblPr>
        <w:tblW w:w="6558" w:type="dxa"/>
        <w:jc w:val="left"/>
        <w:tblInd w:w="0" w:type="dxa"/>
        <w:tblLayout w:type="fixed"/>
        <w:tblCellMar>
          <w:top w:w="0" w:type="dxa"/>
          <w:left w:w="0" w:type="dxa"/>
          <w:bottom w:w="0" w:type="dxa"/>
          <w:right w:w="0" w:type="dxa"/>
        </w:tblCellMar>
      </w:tblPr>
      <w:tblGrid>
        <w:gridCol w:w="3031"/>
        <w:gridCol w:w="326"/>
        <w:gridCol w:w="367"/>
        <w:gridCol w:w="1179"/>
        <w:gridCol w:w="109"/>
        <w:gridCol w:w="324"/>
        <w:gridCol w:w="1222"/>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924685" cy="175260"/>
                      <wp:effectExtent l="0" t="0" r="0" b="0"/>
                      <wp:wrapNone/>
                      <wp:docPr id="107" name="Frame107"/>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33045" cy="175260"/>
                      <wp:effectExtent l="0" t="0" r="0" b="0"/>
                      <wp:wrapNone/>
                      <wp:docPr id="109" name="Frame10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48665" cy="175260"/>
                      <wp:effectExtent l="0" t="0" r="0" b="0"/>
                      <wp:wrapNone/>
                      <wp:docPr id="110" name="Frame110"/>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5740" cy="175260"/>
                      <wp:effectExtent l="0" t="0" r="0" b="0"/>
                      <wp:wrapNone/>
                      <wp:docPr id="112" name="Frame112"/>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775970" cy="175260"/>
                      <wp:effectExtent l="0" t="0" r="0" b="0"/>
                      <wp:wrapNone/>
                      <wp:docPr id="113" name="Frame113"/>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109"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center"/>
              <w:rPr/>
            </w:pPr>
            <w:r>
              <w:rPr/>
              <w:t>​</w:t>
            </w:r>
          </w:p>
        </w:tc>
        <w:tc>
          <w:tcPr>
            <w:tcW w:w="117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center"/>
              <w:rPr/>
            </w:pPr>
            <w:r>
              <w:rPr/>
              <w:t>​</w:t>
            </w:r>
          </w:p>
        </w:tc>
        <w:tc>
          <w:tcPr>
            <w:tcW w:w="1222" w:type="dxa"/>
            <w:tcBorders/>
            <w:shd w:fill="CCEEFF" w:val="clear"/>
            <w:vAlign w:val="center"/>
          </w:tcPr>
          <w:p>
            <w:pPr>
              <w:pStyle w:val="TableContents"/>
              <w:bidi w:val="0"/>
              <w:spacing w:before="0" w:after="1"/>
              <w:ind w:left="0" w:right="0" w:hanging="0"/>
              <w:jc w:val="center"/>
              <w:rPr/>
            </w:pPr>
            <w:r>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7,113</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6,702</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recorded in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7,113</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6,702</w:t>
            </w:r>
          </w:p>
        </w:tc>
      </w:tr>
      <w:tr>
        <w:trPr/>
        <w:tc>
          <w:tcPr>
            <w:tcW w:w="3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1222" w:type="dxa"/>
            <w:tcBorders/>
            <w:vAlign w:val="center"/>
          </w:tcPr>
          <w:p>
            <w:pPr>
              <w:pStyle w:val="TableContents"/>
              <w:bidi w:val="0"/>
              <w:spacing w:before="0" w:after="1"/>
              <w:ind w:left="0" w:right="0" w:hanging="0"/>
              <w:jc w:val="right"/>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1222" w:type="dxa"/>
            <w:tcBorders/>
            <w:shd w:fill="CCEEFF" w:val="clear"/>
            <w:vAlign w:val="center"/>
          </w:tcPr>
          <w:p>
            <w:pPr>
              <w:pStyle w:val="TableContents"/>
              <w:bidi w:val="0"/>
              <w:spacing w:before="0" w:after="1"/>
              <w:ind w:left="0" w:right="0" w:hanging="0"/>
              <w:jc w:val="right"/>
              <w:rPr/>
            </w:pPr>
            <w:r>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8,851</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5,281</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recorded in 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8,851</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5,281</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15,964</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11,983</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and December 31, 2022, the Company has classified $8,851,000 and $5,281,000, respectively, of work in progress inventories as noncurrent assets based on its current demand schedule and expectation that such inventory will be utilized after one year from the balance sheet date.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September 30, 2023 and 2022, the Company recorded charges to write-off inventory of $375,000 and $1,200,000, respectively. During the nine months ended September 30, 2023 and 2022, the Company recorded charges to write-off inventory of $831,000 and $1,200,000,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Changes in noncurrent assets are reflected on the Consolidated Statements of Cash Flows within the caption of other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7—INTANGIBLE ASSETS,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intangible assets, net as of September 30, 2023 totaled $2,720,000, which were net of $580,000 of accumulated amortization, and related to capitalized milestone payments made following FDA and other regulatory approvals and commercialization of DANYELZA.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intangible assets, net as of December 31, 2022 totaled $2,986,000, which were net of $314,000 of accumulated amortization, and related to capitalized milestone payments made following FDA and other regulatory approvals and commercialization of DANYELZA.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Intangible assets are amortized on a straight-line basis based on a 10-year useful life of the assets. Annual amortization expense is expected to be $355,000 each year for the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-year </w:t>
      </w:r>
      <w:r>
        <w:rPr>
          <w:rFonts w:ascii="Times New Roman;Times;serif" w:hAnsi="Times New Roman;Times;serif"/>
          <w:b w:val="false"/>
          <w:i w:val="false"/>
          <w:caps w:val="false"/>
          <w:smallCaps w:val="false"/>
          <w:sz w:val="20"/>
        </w:rPr>
        <w:t>period</w:t>
      </w:r>
      <w:r>
        <w:rPr>
          <w:rFonts w:ascii="Times New Roman;Times;serif" w:hAnsi="Times New Roman;Times;serif"/>
          <w:sz w:val="20"/>
        </w:rPr>
        <w:t xml:space="preserve"> from </w:t>
      </w:r>
      <w:r>
        <w:rPr>
          <w:rFonts w:ascii="Times New Roman;Times;serif" w:hAnsi="Times New Roman;Times;serif"/>
          <w:b w:val="false"/>
          <w:i w:val="false"/>
          <w:caps w:val="false"/>
          <w:smallCaps w:val="false"/>
          <w:sz w:val="20"/>
        </w:rPr>
        <w:t>2023</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2027</w:t>
      </w:r>
      <w:r>
        <w:rPr>
          <w:rFonts w:ascii="Times New Roman;Times;serif" w:hAnsi="Times New Roman;Times;serif"/>
          <w:sz w:val="20"/>
        </w:rPr>
        <w:t>, and $945,000 thereafter.</w:t>
      </w:r>
    </w:p>
    <w:p>
      <w:pPr>
        <w:pStyle w:val="TextBody"/>
        <w:bidi w:val="0"/>
        <w:spacing w:before="0" w:after="240"/>
        <w:ind w:left="0" w:right="0" w:hanging="0"/>
        <w:jc w:val="left"/>
        <w:rPr>
          <w:rFonts w:ascii="Times New Roman;Times;serif" w:hAnsi="Times New Roman;Times;serif"/>
          <w:b/>
          <w:sz w:val="20"/>
        </w:rPr>
      </w:pPr>
      <w:bookmarkStart w:id="818" w:name="Tc_9HP4LHs8EEuQ6O_FUSikXQ_11_5"/>
      <w:bookmarkStart w:id="819" w:name="Tc_jqKNK2e170iAHbH6a7y0hQ_11_2"/>
      <w:bookmarkStart w:id="820" w:name="Tc_HRcmBZvmu0qp8Er9AHGZSQ_11_0"/>
      <w:bookmarkStart w:id="821" w:name="Tc_upzSB-LcQ0e1UFu_pNiNHA_10_0"/>
      <w:bookmarkStart w:id="822" w:name="Tc_pw6MVTBk5UGDmiW5r3kjfw_9_0"/>
      <w:bookmarkStart w:id="823" w:name="Tc_zWIYsav4k06QxjkuLxI_cQ_8_0"/>
      <w:bookmarkStart w:id="824" w:name="Tc_NyACc1V89kqOafbMOXjYWQ_7_0"/>
      <w:bookmarkStart w:id="825" w:name="Tc_k1Q9aAMku0ewY7hRDI53PA_6_0"/>
      <w:bookmarkStart w:id="826" w:name="Tc_h7-LzXw6GkSnzU7aNT4_iw_5_5"/>
      <w:bookmarkStart w:id="827" w:name="Tc_MNCS33hLb0We1beqzmkCUA_5_2"/>
      <w:bookmarkStart w:id="828" w:name="Tc_ePJ1wRXmikafm5_Df9HHPg_5_0"/>
      <w:bookmarkStart w:id="829" w:name="Tc_aGAqUphGvE2E63C_3kZOwA_2_5"/>
      <w:bookmarkStart w:id="830" w:name="Tc_siUZ98V040a4Cu-HGoVoBw_2_2"/>
      <w:bookmarkStart w:id="831" w:name="Tc_xCAu73Hu-k2YYYfHkT3BUg_1_5"/>
      <w:bookmarkStart w:id="832" w:name="Tc_PWVBDClNxk6zvY5ifrgtjg_1_2"/>
      <w:bookmarkStart w:id="833" w:name="_a6717053_87cc_4519_a91c_896beaf2c28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rPr>
          <w:rFonts w:ascii="Times New Roman;Times;serif" w:hAnsi="Times New Roman;Times;serif"/>
          <w:b/>
          <w:sz w:val="20"/>
        </w:rPr>
        <w:t>NOTE 8—ACCRUED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Accrued liabilities as of September 30, 2023 and December 31, 2022, are as follows (in thousands):</w:t>
      </w:r>
    </w:p>
    <w:tbl>
      <w:tblPr>
        <w:tblW w:w="7343" w:type="dxa"/>
        <w:jc w:val="left"/>
        <w:tblInd w:w="0" w:type="dxa"/>
        <w:tblLayout w:type="fixed"/>
        <w:tblCellMar>
          <w:top w:w="0" w:type="dxa"/>
          <w:left w:w="0" w:type="dxa"/>
          <w:bottom w:w="0" w:type="dxa"/>
          <w:right w:w="0" w:type="dxa"/>
        </w:tblCellMar>
      </w:tblPr>
      <w:tblGrid>
        <w:gridCol w:w="4321"/>
        <w:gridCol w:w="326"/>
        <w:gridCol w:w="281"/>
        <w:gridCol w:w="904"/>
        <w:gridCol w:w="326"/>
        <w:gridCol w:w="248"/>
        <w:gridCol w:w="937"/>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743835" cy="175260"/>
                      <wp:effectExtent l="0" t="0" r="0" b="0"/>
                      <wp:wrapNone/>
                      <wp:docPr id="114" name="Frame114"/>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78435" cy="175260"/>
                      <wp:effectExtent l="0" t="0" r="0" b="0"/>
                      <wp:wrapNone/>
                      <wp:docPr id="116" name="Frame11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74040" cy="175260"/>
                      <wp:effectExtent l="0" t="0" r="0" b="0"/>
                      <wp:wrapNone/>
                      <wp:docPr id="117" name="Frame117"/>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57480" cy="175260"/>
                      <wp:effectExtent l="0" t="0" r="0" b="0"/>
                      <wp:wrapNone/>
                      <wp:docPr id="119" name="Frame119"/>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94995" cy="175260"/>
                      <wp:effectExtent l="0" t="0" r="0" b="0"/>
                      <wp:wrapNone/>
                      <wp:docPr id="120" name="Frame120"/>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4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6" w:type="dxa"/>
            <w:gridSpan w:val="5"/>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center"/>
              <w:rPr/>
            </w:pPr>
            <w:r>
              <w:rPr/>
              <w:t>​</w:t>
            </w:r>
          </w:p>
        </w:tc>
        <w:tc>
          <w:tcPr>
            <w:tcW w:w="9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8"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center"/>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Accrued licensing, milestone and royalty payments </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clinical costs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board fees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2,445</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manufacturing costs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sales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3,482</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13,304</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13,241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9—LICENSE AGREEMENTS AND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entered into three license agreements and certain other agreements with Memorial Sloan Kettering Cancer Center (“MSK”). The license agreements are the MSK License Agreement, dated August 20, 2015, between the Company and MSK (the “MSK License”), and the CD33 License Agreement, dated November 13, 2017, between the Company and MSK (the “CD33 License Agreement”). Through the Settlement and Assumption and Assignment of the MSK License and Y-mAbs Sublicense Agreement, dated December 2, 2019, among MabVax Therapeutics Holdings, Inc. and MabVax Therapeutics, Inc., (together “MabVax”), the Company and MSK (the “SAAA”), the Company has established a direct license with MSK relating to the GD2-GD3 Vaccine, which was originally sublicensed by the Company in 2018 from MabVax.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the Company entered into the License Agreement, dated April 15, 2020, with MSK and Massachusetts Institute of Technology (“MIT”) (the “SADA License Agreement”). These license agreements with MSK and MIT grant the Company certain patent rights and intellectual property rights, and in consideration thereof, the Company agreed to make certain payments and issue shares of the Company’s common stock to MSK and MIT. Certain payments are contingent milestone and royalty payments, as disclosed in the table below. Amounts disclosed in </w:t>
      </w:r>
      <w:r>
        <w:rPr>
          <w:rFonts w:ascii="Times New Roman;Times;serif" w:hAnsi="Times New Roman;Times;serif"/>
          <w:i/>
          <w:sz w:val="20"/>
        </w:rPr>
        <w:t>NOTE 8—ACCRUED LIABILITIES</w:t>
      </w:r>
      <w:r>
        <w:rPr>
          <w:rFonts w:ascii="Times New Roman;Times;serif" w:hAnsi="Times New Roman;Times;serif"/>
          <w:sz w:val="20"/>
        </w:rPr>
        <w:t xml:space="preserve"> for accrued milestone and royalty payments are inclusive of obligations under the MSK License Agreement, CD33 License Agreement, MabVax/MSK Agreement and SADA License Agreement, collectively.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past, the Company had defined MSK as a related-party under the Company’s related-party policy. During the nine months ended September 30, 2023, the Company updated the related-party policy to remove MSK as a related-party as MSK does not participate on the Company’s Board of Directors, does not have a significant ownership in the Company and MSK is not in a position to exert decision making power. The Company has entered into several agreements with MSK, which include the MSK License Agreement, the SADA License Agreement, the CD33 License Agreement, and the MabVax Agreement, all as noted above.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material license agreements are detailed in </w:t>
      </w:r>
      <w:r>
        <w:rPr>
          <w:rFonts w:ascii="Times New Roman;Times;serif" w:hAnsi="Times New Roman;Times;serif"/>
          <w:i/>
          <w:sz w:val="20"/>
        </w:rPr>
        <w:t xml:space="preserve">NOTE 9— LICENSE AGREEMENTS AND COMMITMENTS </w:t>
      </w:r>
      <w:r>
        <w:rPr>
          <w:rFonts w:ascii="Times New Roman;Times;serif" w:hAnsi="Times New Roman;Times;serif"/>
          <w:sz w:val="20"/>
        </w:rPr>
        <w:t xml:space="preserve">to the Company’s audited consolidated financial statements included in the Company’s Annual Report on Form 10-K for the year ended December 31,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MSK License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MSK License relates to intellectual property for DANYELZA and requires the Company to pay to MSK mid to high single-digit royalties based on annual net sales of licensed products or the performance of licensed services by the Company and the Company’s affiliates and sublicensees. The Company is required to pay annual minimum royalties of $80,000 over the royalty term, which amounts are non-refundable but are creditable against royalty payments otherwise due thereunder. The Company is also obligated to pay to MSK certain clinical, regulatory and sales-based milestone payments under the MSK License, which payments become due at the earlier of completion of the related milestone activity or the date indicated in the MSK License.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SADA License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SADA License Agreement, the Company was granted an exclusive worldwide, sublicensable license to MSK’s and MIT’s rights to certain patent and intellectual property to develop, make, and commercialize licensed products and to perform services for all therapeutic and diagnostic uses in the field of cancer diagnostics and cancer treatments using the SADA-BiDE Pre-targeted Radioimmunotherapy Platform (“SADA Technology”).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SADA License Agreement requires the Company to pay MSK and MIT mid to high single-digit royalties based on annual net sales of licensed products or the performance of licensed services by the Company and its affiliates and sublicensees. The Company is obligated to pay non-refundable annual minimum royalties of $40,000, increasing to $60,000 once a patent has been issued, over the royalty term, commencing on the tenth anniversary of the license agreement, which are creditable against royalty payments otherwise due under the SADA License Agreement. Pursuant to the SADA License Agreement, the Company is also obligated to pay MSK and MIT certain clinical, regulatory and sales-based milestone payments, which become due at the earlier of completion of the related milestone activity or the date indicated in the SADA License Agreement. The Company may terminate the SADA License Agreement with prior written notice. The Company’s SADA License Agreement is detailed in </w:t>
      </w:r>
      <w:r>
        <w:rPr>
          <w:rFonts w:ascii="Times New Roman;Times;serif" w:hAnsi="Times New Roman;Times;serif"/>
          <w:i/>
          <w:sz w:val="20"/>
        </w:rPr>
        <w:t>NOTE 9— LICENSE AGREEMENTS AND COMMITMENTS</w:t>
      </w:r>
      <w:r>
        <w:rPr>
          <w:rFonts w:ascii="Times New Roman;Times;serif" w:hAnsi="Times New Roman;Times;serif"/>
          <w:sz w:val="20"/>
        </w:rPr>
        <w:t xml:space="preserve"> in the Company’s Consolidated Financial Statements included in its Annual Report on Form 10-K for the year ended December 31,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recognized an expense of $4,125,000 related to clinical milestones under the SADA License Agreement during the three and nine months ended September 30, 2023, as the Company determined certain time-based clinical milestones within the agreement are probable based on the availability of necessary data and the assessment of clinical progress in the third quarter of 2023. The Company did not recognize any expense related to milestones under the SADA License Agreement during the three and nine months ended September 30, 2022. The Company had $4,125,000 and $605,000 in accrued liabilities as of September 30, 2023 and December 31, 2022, respectively. The Company made a payment of $605,000 in the nine months ended September 30, 2023 related to achievement of the milestone for dosing the first patient in the Phase 1 trial of GD2-SADA in April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MSK License Agreement and the SADA License Agreement, in addition to any milestone payments, to the extent the Company enters into sublicense arrangements, it is obligated to pay to MSK, as indicated in MSK License Agreement, and MSK and MIT, as indicated in SADA License Agreement, a percentage of certain payments received from sublicensees of the rights licensed to it by MSK, or MSK and MIT, which percentage will be based upon the achievement of certain clinical milestones. See </w:t>
      </w:r>
      <w:r>
        <w:rPr>
          <w:rFonts w:ascii="Times New Roman;Times;serif" w:hAnsi="Times New Roman;Times;serif"/>
          <w:i/>
          <w:sz w:val="20"/>
        </w:rPr>
        <w:t>NOTE 3—SUMMARY OF SIGNIFICANT ACCOUNTING POLICIES</w:t>
      </w:r>
      <w:r>
        <w:rPr>
          <w:rFonts w:ascii="Times New Roman;Times;serif" w:hAnsi="Times New Roman;Times;serif"/>
          <w:sz w:val="20"/>
        </w:rPr>
        <w:t xml:space="preserve"> for sublicense agreements related to MSK License Agreements by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Failure by the Company to meet certain conditions under each arrangement could cause the related licenses to such licensed products to be canceled and could result in termination of the respective arrangement with MSK, or MSK and MIT.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834" w:name="Tc_x4GWlFLLGk2ZOb_T_SlyyA_7_0"/>
      <w:bookmarkStart w:id="835" w:name="Tc_IzfI_RBos0q1aV3WMBgiPA_6_9"/>
      <w:bookmarkStart w:id="836" w:name="Tc_DHwku5Q8TU6OOvojkUn-qQ_6_0"/>
      <w:bookmarkStart w:id="837" w:name="Tc_FZBPuXlzQk-ExCci3LKB-w_5_0"/>
      <w:bookmarkStart w:id="838" w:name="Tc_GlT9-wTsfkaPOH2rv3mSpw_4_8"/>
      <w:bookmarkStart w:id="839" w:name="Tc_zCEim1lciUy1b_H83iq6XQ_4_5"/>
      <w:bookmarkStart w:id="840" w:name="Tc_4mvqePNKgE--yyWP9TlZLw_4_2"/>
      <w:bookmarkStart w:id="841" w:name="Tc_2__YNjBcXUueazkhaEcMiA_4_0"/>
      <w:bookmarkStart w:id="842" w:name="Tc_5xMyizpgB0OsMCMr4akCzw_3_8"/>
      <w:bookmarkStart w:id="843" w:name="Tc_E86820yALEi_Asy37-ozZA_3_5"/>
      <w:bookmarkStart w:id="844" w:name="Tc_BdkaF8m00020XKj5JxZ8Rw_3_2"/>
      <w:bookmarkStart w:id="845" w:name="Tc_OypNkzBvxkeYE_ub7vdCag_3_0"/>
      <w:bookmarkStart w:id="846" w:name="Tc_GdqysMmko06BCUxL1KTcRg_2_8"/>
      <w:bookmarkStart w:id="847" w:name="Tc_gTH2OwxiWEKTwJgGwgKaKw_2_5"/>
      <w:bookmarkStart w:id="848" w:name="Tc_K9mgOFKBr0iPhEJhIJRwiA_2_2"/>
      <w:bookmarkStart w:id="849" w:name="Tc_VPxuduy580GI5g8Q9W2Opg_1_8"/>
      <w:bookmarkStart w:id="850" w:name="Tc_pdoOC5dRykWnkDopIaueHw_1_5"/>
      <w:bookmarkStart w:id="851" w:name="Tc_F93A-YOsJEqVmQACebpS8Q_1_2"/>
      <w:bookmarkStart w:id="852" w:name="_ac8bb1e2_5473_4ff0_984a_eab1205e548c"/>
      <w:bookmarkStart w:id="853" w:name="Tc_Zgi6wxGoO0e9xEtmopcW8Q_10_30"/>
      <w:bookmarkStart w:id="854" w:name="Tc_8LZ2XfRueUyY2MpUwV4P4A_10_18"/>
      <w:bookmarkStart w:id="855" w:name="Tc_GQSqv_oaAEaLRtKGacTWxQ_10_15"/>
      <w:bookmarkStart w:id="856" w:name="Tc_Y410xYPLT0q32C0DO36MvA_10_0"/>
      <w:bookmarkStart w:id="857" w:name="Tc_R31opseMsU-Mqhp5Xc3VzQ_9_30"/>
      <w:bookmarkStart w:id="858" w:name="Tc__KD0Rbj6dUq5rhM5LHse4g_9_27"/>
      <w:bookmarkStart w:id="859" w:name="Tc_w7L-5rPFa0StTIe-HAjh9g_9_24"/>
      <w:bookmarkStart w:id="860" w:name="Tc_S4dTb3HI_UC4RSVWK5zjkw_9_21"/>
      <w:bookmarkStart w:id="861" w:name="Tc_FdDxT1K3W0K7KaKbYHgjcw_9_6"/>
      <w:bookmarkStart w:id="862" w:name="Tc_zFSmATJEKE29qEkslr2BYA_9_0"/>
      <w:bookmarkStart w:id="863" w:name="Tc_b35uvt5gNECEiRHFlVxOgA_8_27"/>
      <w:bookmarkStart w:id="864" w:name="Tc_Mkw3HKzPvUaPDtBWO2o7lw_8_21"/>
      <w:bookmarkStart w:id="865" w:name="Tc_9cchH9AUXEarb-FdSYoJYA_8_18"/>
      <w:bookmarkStart w:id="866" w:name="Tc_-TtEQOn9E0upH8wbFVytsQ_8_15"/>
      <w:bookmarkStart w:id="867" w:name="Tc_2g1AKCOTtUCEexk-_NhFsQ_8_12"/>
      <w:bookmarkStart w:id="868" w:name="Tc_-az9EanG60auQJL9G6Qi7Q_8_9"/>
      <w:bookmarkStart w:id="869" w:name="Tc_GZ5LyCrz2ECCDeQnki_npg_8_6"/>
      <w:bookmarkStart w:id="870" w:name="Tc_TBHYjg0CCk-N86h4PSz4mQ_8_3"/>
      <w:bookmarkStart w:id="871" w:name="Tc_4S8_-2HGFUCtrGPMUhhb6g_8_0"/>
      <w:bookmarkStart w:id="872" w:name="Tc_EbG3qnP680STQjdvSQlNag_7_29"/>
      <w:bookmarkStart w:id="873" w:name="Tc_hE8N6qeb6EGEhlHj0ghQqg_7_26"/>
      <w:bookmarkStart w:id="874" w:name="Tc_haAPtfIWYEup7DDvHRV5tw_7_23"/>
      <w:bookmarkStart w:id="875" w:name="Tc_iHiDjwN5R02bn-Y7oG8hQg_7_20"/>
      <w:bookmarkStart w:id="876" w:name="Tc_e4HMJ4EHZkGvj1QlN9xWvA_7_17"/>
      <w:bookmarkStart w:id="877" w:name="Tc_JxJBymwmZ02ORgVTpnKB6Q_7_14"/>
      <w:bookmarkStart w:id="878" w:name="Tc_ZopQQd2tVEij7j4cRaVICA_7_11"/>
      <w:bookmarkStart w:id="879" w:name="Tc_d7eRHFLMdk6koulz8m9M8Q_7_8"/>
      <w:bookmarkStart w:id="880" w:name="Tc_izBOGrzuXkKGJUlG3wWlVg_7_5"/>
      <w:bookmarkStart w:id="881" w:name="Tc_Dg-4thFwk0aTMScrkIhFig_7_2"/>
      <w:bookmarkStart w:id="882" w:name="Tc_i7X1U2FlPEGBWrN65ywJZA_7_0"/>
      <w:bookmarkStart w:id="883" w:name="Tc_xM_jY2ZRYkSHFcuGltTYlQ_6_29"/>
      <w:bookmarkStart w:id="884" w:name="Tc_QFILgMRML0y8p1AiGW-bAA_6_26"/>
      <w:bookmarkStart w:id="885" w:name="Tc_ShG9bGvzfEuyzgxaUzSQiQ_6_23"/>
      <w:bookmarkStart w:id="886" w:name="Tc_SR1AL9UDb0qHzEst-e3TKg_6_20"/>
      <w:bookmarkStart w:id="887" w:name="Tc__0Qgyp5t1EytLpnWriAXEg_6_17"/>
      <w:bookmarkStart w:id="888" w:name="Tc_MKidKxzEhk27OWPKiT4vng_6_14"/>
      <w:bookmarkStart w:id="889" w:name="Tc_vxK3x9ExpkixYxk-qSRE5A_6_11"/>
      <w:bookmarkStart w:id="890" w:name="Tc_QulFNF_gpk-reSpCXz6NWA_6_8"/>
      <w:bookmarkStart w:id="891" w:name="Tc_vrYeH6iTuU-2djtxA11GGA_6_5"/>
      <w:bookmarkStart w:id="892" w:name="Tc_kPcTjASDqUqImicubMmu2w_6_2"/>
      <w:bookmarkStart w:id="893" w:name="Tc_UVjzKd-jHEy0gCDsc-xu2Q_6_0"/>
      <w:bookmarkStart w:id="894" w:name="Tc_TVXAL-gQOUut2pJOJ7jtvA_5_29"/>
      <w:bookmarkStart w:id="895" w:name="Tc_Gz8V2el8t0aXk_qX4EX3WQ_5_26"/>
      <w:bookmarkStart w:id="896" w:name="Tc_ZKk2SgZUFUmwX--N5Fz77w_5_23"/>
      <w:bookmarkStart w:id="897" w:name="Tc_OyIbohFZME6-xwvaX35kOg_5_20"/>
      <w:bookmarkStart w:id="898" w:name="Tc_9oh8QkzwHke53DNOEFah1A_5_17"/>
      <w:bookmarkStart w:id="899" w:name="Tc_VYxmMDAPPkCBBgtFArEmQQ_5_14"/>
      <w:bookmarkStart w:id="900" w:name="Tc_yQVVyInL3kOGIegjxhH1eA_5_11"/>
      <w:bookmarkStart w:id="901" w:name="Tc_p0Etp1DJrkq9D1X950YMkQ_5_8"/>
      <w:bookmarkStart w:id="902" w:name="Tc_nqOGiUpjikKj5JgtVoqzow_5_5"/>
      <w:bookmarkStart w:id="903" w:name="Tc_lMelT-IwakOWkKCAZLVsfQ_5_2"/>
      <w:bookmarkStart w:id="904" w:name="Tc_6T9TMfv400OCbLX6-bJYRw_4_29"/>
      <w:bookmarkStart w:id="905" w:name="Tc_YfSMIcH4wUy9aj0B15JYmA_4_26"/>
      <w:bookmarkStart w:id="906" w:name="Tc_tNC3LL59-EufWAYFjrzxDA_4_23"/>
      <w:bookmarkStart w:id="907" w:name="Tc_BMYbT8BdNUyv9X9gXA6pLQ_4_20"/>
      <w:bookmarkStart w:id="908" w:name="Tc_LaUzI-NXWUy6YFyh54JMnQ_4_17"/>
      <w:bookmarkStart w:id="909" w:name="Tc__Ntk-8o1Tk-rXuIlBiwsEg_4_14"/>
      <w:bookmarkStart w:id="910" w:name="Tc_5iOwo6RBKE-8eYt0yIVS2w_4_11"/>
      <w:bookmarkStart w:id="911" w:name="Tc_fuW6stwxdUKF9LmYzTvAVQ_4_8"/>
      <w:bookmarkStart w:id="912" w:name="Tc_3BLlCNeW2U6KT1seno5WPA_4_5"/>
      <w:bookmarkStart w:id="913" w:name="Tc_6cVv83v6xUyo06Crk5PkrQ_4_2"/>
      <w:bookmarkStart w:id="914" w:name="Tc_yXyL77fLrkGOMOyvjj5SKw_3_29"/>
      <w:bookmarkStart w:id="915" w:name="Tc_b_t4twa0OkGuwavTraBAPA_3_26"/>
      <w:bookmarkStart w:id="916" w:name="Tc_mw36DDIRoUmRf4y8YHr5bA_3_23"/>
      <w:bookmarkStart w:id="917" w:name="Tc_1w0PPGUgbU-skiTlLuvUzQ_3_20"/>
      <w:bookmarkStart w:id="918" w:name="Tc_w8DMdAXsM0albPDD_N6Kvw_3_17"/>
      <w:bookmarkStart w:id="919" w:name="Tc_ERmMt9j1cEm7Kb3_bo4jaw_3_14"/>
      <w:bookmarkStart w:id="920" w:name="Tc_EXwvD7MhWkeY8d1xKNdLgg_3_11"/>
      <w:bookmarkStart w:id="921" w:name="Tc_wD4s-lKKTUKO5bIf9U45DQ_3_8"/>
      <w:bookmarkStart w:id="922" w:name="Tc__4VRQ6wZykygd32TYenvLg_3_5"/>
      <w:bookmarkStart w:id="923" w:name="Tc_HgN6r8_d_EyqPeyPRv_zDQ_3_2"/>
      <w:bookmarkStart w:id="924" w:name="Tc_lj04nZO6yE-EhUBgaqYJmg_2_29"/>
      <w:bookmarkStart w:id="925" w:name="Tc_HNMDTCYNVEGHCJEEn90fKQ_2_26"/>
      <w:bookmarkStart w:id="926" w:name="Tc_qHft-fEBtEu0iozwfYO65Q_2_23"/>
      <w:bookmarkStart w:id="927" w:name="Tc_CcbpvTIOMU-479jf8jK7Ww_2_20"/>
      <w:bookmarkStart w:id="928" w:name="Tc_n-lBlRrYakOer21HzbD_qA_2_17"/>
      <w:bookmarkStart w:id="929" w:name="Tc_RcbLEb1abk6GTLT38a-Oeg_2_14"/>
      <w:bookmarkStart w:id="930" w:name="Tc_jJAQHvlqNkONs7GeKo4iqg_2_11"/>
      <w:bookmarkStart w:id="931" w:name="Tc_dKY7x-_s00CR7Lc5DYrHGQ_2_8"/>
      <w:bookmarkStart w:id="932" w:name="Tc_aqPSNXdvFU-ChcELT19mnw_2_5"/>
      <w:bookmarkStart w:id="933" w:name="Tc_xkRtHCRSA0S3qU-iT2H_vA_2_2"/>
      <w:bookmarkStart w:id="934" w:name="Tc_6cLz0xLekEKFsdpa_NSgUQ_1_29"/>
      <w:bookmarkStart w:id="935" w:name="Tc_oq2F7akflk-8kbr-r4tp-A_1_26"/>
      <w:bookmarkStart w:id="936" w:name="Tc_PN30J0joP0uGwD7KTl16wg_1_23"/>
      <w:bookmarkStart w:id="937" w:name="Tc_TnrZLXqosESZM9eySnO1Og_1_20"/>
      <w:bookmarkStart w:id="938" w:name="Tc_GqY6WcHOIkKgmtfS3kuQQw_1_17"/>
      <w:bookmarkStart w:id="939" w:name="Tc_Gh7B27R2oUqMHtSvIyECig_1_14"/>
      <w:bookmarkStart w:id="940" w:name="Tc_2g2f2HGCNUuaO9bmulO5cA_1_11"/>
      <w:bookmarkStart w:id="941" w:name="Tc_lr7l57hVeEyJ1TplLro5aw_1_8"/>
      <w:bookmarkStart w:id="942" w:name="Tc_24SNOWVpK0OqPT9aA_0rtQ_1_5"/>
      <w:bookmarkStart w:id="943" w:name="Tc_v_bT4u9Er0yd6HY2C7__8g_1_2"/>
      <w:bookmarkStart w:id="944" w:name="_eaf7fbb8_5468_411b_b878_be1033f56835"/>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r>
        <w:rPr>
          <w:rFonts w:ascii="Times New Roman;Times;serif" w:hAnsi="Times New Roman;Times;serif"/>
          <w:i/>
          <w:sz w:val="20"/>
        </w:rPr>
        <w:t>Summary of Significant License Agreements and Related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the following significant license agreements and related commitments which include all obligations that have been paid or accrued for the three and nine months ended September 30, 2023 and 2022, and as of September 30, 2023 and December 31, 2022 (in thousands):</w:t>
      </w:r>
    </w:p>
    <w:tbl>
      <w:tblPr>
        <w:tblW w:w="12770" w:type="dxa"/>
        <w:jc w:val="left"/>
        <w:tblInd w:w="0" w:type="dxa"/>
        <w:tblLayout w:type="fixed"/>
        <w:tblCellMar>
          <w:top w:w="0" w:type="dxa"/>
          <w:left w:w="0" w:type="dxa"/>
          <w:bottom w:w="0" w:type="dxa"/>
          <w:right w:w="0" w:type="dxa"/>
        </w:tblCellMar>
      </w:tblPr>
      <w:tblGrid>
        <w:gridCol w:w="1126"/>
        <w:gridCol w:w="326"/>
        <w:gridCol w:w="228"/>
        <w:gridCol w:w="598"/>
        <w:gridCol w:w="326"/>
        <w:gridCol w:w="228"/>
        <w:gridCol w:w="598"/>
        <w:gridCol w:w="326"/>
        <w:gridCol w:w="228"/>
        <w:gridCol w:w="598"/>
        <w:gridCol w:w="326"/>
        <w:gridCol w:w="228"/>
        <w:gridCol w:w="598"/>
        <w:gridCol w:w="326"/>
        <w:gridCol w:w="283"/>
        <w:gridCol w:w="543"/>
        <w:gridCol w:w="326"/>
        <w:gridCol w:w="228"/>
        <w:gridCol w:w="598"/>
        <w:gridCol w:w="109"/>
        <w:gridCol w:w="228"/>
        <w:gridCol w:w="598"/>
        <w:gridCol w:w="326"/>
        <w:gridCol w:w="228"/>
        <w:gridCol w:w="598"/>
        <w:gridCol w:w="326"/>
        <w:gridCol w:w="224"/>
        <w:gridCol w:w="587"/>
        <w:gridCol w:w="326"/>
        <w:gridCol w:w="224"/>
        <w:gridCol w:w="587"/>
        <w:gridCol w:w="371"/>
      </w:tblGrid>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Cash paid</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Cash paid</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Expense</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Expense</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Expense</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Expense</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Accrued</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Accrued</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Accrued</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Accrued</w:t>
            </w:r>
          </w:p>
        </w:tc>
        <w:tc>
          <w:tcPr>
            <w:tcW w:w="371" w:type="dxa"/>
            <w:tcBorders/>
            <w:vAlign w:val="center"/>
          </w:tcPr>
          <w:p>
            <w:pPr>
              <w:pStyle w:val="TableContents"/>
              <w:bidi w:val="0"/>
              <w:spacing w:before="0" w:after="1"/>
              <w:ind w:left="0" w:right="0" w:hanging="0"/>
              <w:jc w:val="left"/>
              <w:rPr/>
            </w:pPr>
            <w:r>
              <w:rPr/>
              <w:t>    </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Nine</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Nine</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Three</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Nine</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Three</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Nine</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liabilities</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liabilities</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liabilities</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liabilities</w:t>
            </w:r>
          </w:p>
        </w:tc>
        <w:tc>
          <w:tcPr>
            <w:tcW w:w="371" w:type="dxa"/>
            <w:tcBorders/>
            <w:vAlign w:val="center"/>
          </w:tcPr>
          <w:p>
            <w:pPr>
              <w:pStyle w:val="TableContents"/>
              <w:bidi w:val="0"/>
              <w:spacing w:before="0" w:after="1"/>
              <w:ind w:left="0" w:right="0" w:hanging="0"/>
              <w:jc w:val="left"/>
              <w:rPr/>
            </w:pPr>
            <w:r>
              <w:rPr/>
              <w:t>    </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months</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months</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months</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months</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months</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months</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Current</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Non-current</w:t>
            </w:r>
          </w:p>
        </w:tc>
        <w:tc>
          <w:tcPr>
            <w:tcW w:w="32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Current</w:t>
            </w:r>
          </w:p>
        </w:tc>
        <w:tc>
          <w:tcPr>
            <w:tcW w:w="32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Non-current</w:t>
            </w:r>
          </w:p>
        </w:tc>
        <w:tc>
          <w:tcPr>
            <w:tcW w:w="37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ended</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ended</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ended</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ended</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ended</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ended</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as of</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as of</w:t>
            </w:r>
          </w:p>
        </w:tc>
        <w:tc>
          <w:tcPr>
            <w:tcW w:w="32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as of</w:t>
            </w:r>
          </w:p>
        </w:tc>
        <w:tc>
          <w:tcPr>
            <w:tcW w:w="32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as of</w:t>
            </w:r>
          </w:p>
        </w:tc>
        <w:tc>
          <w:tcPr>
            <w:tcW w:w="37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September 30, </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September 30, </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September 30, </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September 30, </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September 30, </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September 30, </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September 30, </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September 30, </w:t>
            </w:r>
          </w:p>
        </w:tc>
        <w:tc>
          <w:tcPr>
            <w:tcW w:w="32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December 31, </w:t>
            </w:r>
          </w:p>
        </w:tc>
        <w:tc>
          <w:tcPr>
            <w:tcW w:w="32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December 31, </w:t>
            </w:r>
          </w:p>
        </w:tc>
        <w:tc>
          <w:tcPr>
            <w:tcW w:w="37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Agreements</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2022</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2022</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2022</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26" w:type="dxa"/>
            <w:tcBorders/>
            <w:vAlign w:val="center"/>
          </w:tcPr>
          <w:p>
            <w:pPr>
              <w:pStyle w:val="TableContents"/>
              <w:bidi w:val="0"/>
              <w:spacing w:before="0" w:after="1"/>
              <w:ind w:left="0" w:right="0" w:hanging="0"/>
              <w:jc w:val="left"/>
              <w:rPr/>
            </w:pPr>
            <w:r>
              <w:rPr/>
              <w:t>​</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2022</w:t>
            </w:r>
          </w:p>
        </w:tc>
        <w:tc>
          <w:tcPr>
            <w:tcW w:w="326" w:type="dxa"/>
            <w:tcBorders/>
            <w:vAlign w:val="center"/>
          </w:tcPr>
          <w:p>
            <w:pPr>
              <w:pStyle w:val="TableContents"/>
              <w:bidi w:val="0"/>
              <w:spacing w:before="0" w:after="1"/>
              <w:ind w:left="0" w:right="0" w:hanging="0"/>
              <w:jc w:val="left"/>
              <w:rPr/>
            </w:pPr>
            <w:r>
              <w:rPr/>
              <w:t>​</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2022</w:t>
            </w:r>
          </w:p>
        </w:tc>
        <w:tc>
          <w:tcPr>
            <w:tcW w:w="371" w:type="dxa"/>
            <w:tcBorders/>
            <w:vAlign w:val="center"/>
          </w:tcPr>
          <w:p>
            <w:pPr>
              <w:pStyle w:val="TableContents"/>
              <w:bidi w:val="0"/>
              <w:spacing w:before="0" w:after="1"/>
              <w:ind w:left="0" w:right="0" w:hanging="0"/>
              <w:jc w:val="left"/>
              <w:rPr/>
            </w:pPr>
            <w:r>
              <w:rPr/>
              <w:t>​</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MSK</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6,027</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2,871</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3,844</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753</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2,513</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1,137</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1,950</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CD33</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w:t>
            </w:r>
          </w:p>
        </w:tc>
        <w:tc>
          <w:tcPr>
            <w:tcW w:w="371" w:type="dxa"/>
            <w:tcBorders/>
            <w:vAlign w:val="center"/>
          </w:tcPr>
          <w:p>
            <w:pPr>
              <w:pStyle w:val="TableContents"/>
              <w:bidi w:val="0"/>
              <w:spacing w:before="0" w:after="1"/>
              <w:ind w:left="0" w:right="0" w:hanging="0"/>
              <w:jc w:val="left"/>
              <w:rPr/>
            </w:pPr>
            <w:r>
              <w:rPr/>
              <w:t>​</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MabVax</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5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587"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SADA</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4,125</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4,125</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3,125</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is inherently uncertain and should such research and development fail, the MSK License Agreement, the CD33 License Agreement, the SADA License Agreement and the MabVax Agreement as well as the MabVax/Y-mAbs Sublicense are cancelable at the Company’s option. The Company will also consider the development risk and each party’s termination rights under the respective agreement when considering whether any clinical or regulatory-based milestone payments, certain of which also contain time-based payment requirements, are probable. The Company records milestones in the period in which the contingent liability is probable and the amount is reasonably estimable.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Minimum royalties and certain clinical and regulatory milestones that become due based upon the passage of time under the CD33 License Agreement, the SADA Agreement and the MabVax/MSK License Agreement are excluded from the above table as the Company does not consider such obligations to be probable as of September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below table represents the maximum clinical, regulatory or sales-based milestones as reflected within the agreements, certain of which have been paid in prior periods or are accrued as presented in the table above (in thousands):</w:t>
      </w:r>
    </w:p>
    <w:tbl>
      <w:tblPr>
        <w:tblW w:w="4867" w:type="dxa"/>
        <w:jc w:val="left"/>
        <w:tblInd w:w="0" w:type="dxa"/>
        <w:tblLayout w:type="fixed"/>
        <w:tblCellMar>
          <w:top w:w="0" w:type="dxa"/>
          <w:left w:w="0" w:type="dxa"/>
          <w:bottom w:w="0" w:type="dxa"/>
          <w:right w:w="0" w:type="dxa"/>
        </w:tblCellMar>
      </w:tblPr>
      <w:tblGrid>
        <w:gridCol w:w="1126"/>
        <w:gridCol w:w="326"/>
        <w:gridCol w:w="217"/>
        <w:gridCol w:w="639"/>
        <w:gridCol w:w="326"/>
        <w:gridCol w:w="209"/>
        <w:gridCol w:w="722"/>
        <w:gridCol w:w="326"/>
        <w:gridCol w:w="208"/>
        <w:gridCol w:w="768"/>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15010" cy="175260"/>
                      <wp:effectExtent l="0" t="0" r="0" b="0"/>
                      <wp:wrapNone/>
                      <wp:docPr id="121" name="Frame12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7795" cy="175260"/>
                      <wp:effectExtent l="0" t="0" r="0" b="0"/>
                      <wp:wrapNone/>
                      <wp:docPr id="123" name="Frame12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05765" cy="175260"/>
                      <wp:effectExtent l="0" t="0" r="0" b="0"/>
                      <wp:wrapNone/>
                      <wp:docPr id="124" name="Frame124"/>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2715" cy="175260"/>
                      <wp:effectExtent l="0" t="0" r="0" b="0"/>
                      <wp:wrapNone/>
                      <wp:docPr id="126" name="Frame126"/>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58470" cy="175260"/>
                      <wp:effectExtent l="0" t="0" r="0" b="0"/>
                      <wp:wrapNone/>
                      <wp:docPr id="127" name="Frame127"/>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2080" cy="175260"/>
                      <wp:effectExtent l="0" t="0" r="0" b="0"/>
                      <wp:wrapNone/>
                      <wp:docPr id="129" name="Frame129"/>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87680" cy="175260"/>
                      <wp:effectExtent l="0" t="0" r="0" b="0"/>
                      <wp:wrapNone/>
                      <wp:docPr id="130" name="Frame130"/>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2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Clinical </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Regulatory</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Sales-based</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Agreements</w:t>
            </w:r>
          </w:p>
        </w:tc>
        <w:tc>
          <w:tcPr>
            <w:tcW w:w="326" w:type="dxa"/>
            <w:tcBorders/>
            <w:vAlign w:val="center"/>
          </w:tcPr>
          <w:p>
            <w:pPr>
              <w:pStyle w:val="TableContents"/>
              <w:bidi w:val="0"/>
              <w:spacing w:before="0" w:after="0"/>
              <w:ind w:left="0" w:right="0" w:hanging="0"/>
              <w:jc w:val="left"/>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Milestones</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Milestones</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Milestones</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MSK</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2,450</w:t>
            </w:r>
          </w:p>
        </w:tc>
        <w:tc>
          <w:tcPr>
            <w:tcW w:w="326" w:type="dxa"/>
            <w:tcBorders/>
            <w:shd w:fill="CCEEFF" w:val="clear"/>
            <w:vAlign w:val="center"/>
          </w:tcPr>
          <w:p>
            <w:pPr>
              <w:pStyle w:val="TableContents"/>
              <w:bidi w:val="0"/>
              <w:spacing w:before="0" w:after="0"/>
              <w:ind w:left="0" w:right="0" w:hanging="0"/>
              <w:jc w:val="center"/>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9,000</w:t>
            </w:r>
          </w:p>
        </w:tc>
        <w:tc>
          <w:tcPr>
            <w:tcW w:w="326" w:type="dxa"/>
            <w:tcBorders/>
            <w:shd w:fill="CCEEFF" w:val="clear"/>
            <w:vAlign w:val="center"/>
          </w:tcPr>
          <w:p>
            <w:pPr>
              <w:pStyle w:val="TableContents"/>
              <w:bidi w:val="0"/>
              <w:spacing w:before="0" w:after="0"/>
              <w:ind w:left="0" w:right="0" w:hanging="0"/>
              <w:jc w:val="center"/>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20,000</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CD33</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550</w:t>
            </w:r>
          </w:p>
        </w:tc>
        <w:tc>
          <w:tcPr>
            <w:tcW w:w="326"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0"/>
              <w:ind w:left="0" w:right="0" w:hanging="0"/>
              <w:jc w:val="center"/>
              <w:rPr/>
            </w:pPr>
            <w:r>
              <w:rPr/>
              <w:t>​</w:t>
            </w:r>
          </w:p>
        </w:tc>
        <w:tc>
          <w:tcPr>
            <w:tcW w:w="208" w:type="dxa"/>
            <w:tcBorders/>
            <w:vAlign w:val="center"/>
          </w:tcPr>
          <w:p>
            <w:pPr>
              <w:pStyle w:val="TableContents"/>
              <w:bidi w:val="0"/>
              <w:spacing w:before="0" w:after="0"/>
              <w:ind w:left="0" w:right="0" w:hanging="0"/>
              <w:jc w:val="center"/>
              <w:rPr/>
            </w:pPr>
            <w:r>
              <w:rPr/>
              <w:t>​</w:t>
            </w:r>
          </w:p>
        </w:tc>
        <w:tc>
          <w:tcPr>
            <w:tcW w:w="76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7,500</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MabVax</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3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0"/>
              <w:ind w:left="0" w:right="0" w:hanging="0"/>
              <w:jc w:val="center"/>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72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1,200</w:t>
            </w:r>
          </w:p>
        </w:tc>
        <w:tc>
          <w:tcPr>
            <w:tcW w:w="326" w:type="dxa"/>
            <w:tcBorders/>
            <w:shd w:fill="CCEEFF" w:val="clear"/>
            <w:vAlign w:val="center"/>
          </w:tcPr>
          <w:p>
            <w:pPr>
              <w:pStyle w:val="TableContents"/>
              <w:bidi w:val="0"/>
              <w:spacing w:before="0" w:after="0"/>
              <w:ind w:left="0" w:right="0" w:hanging="0"/>
              <w:jc w:val="center"/>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768" w:type="dxa"/>
            <w:tcBorders/>
            <w:shd w:fill="CCEEFF" w:val="clear"/>
            <w:vAlign w:val="center"/>
          </w:tcPr>
          <w:p>
            <w:pPr>
              <w:pStyle w:val="TableContents"/>
              <w:bidi w:val="0"/>
              <w:spacing w:before="0" w:after="0"/>
              <w:ind w:left="0" w:right="0" w:hanging="0"/>
              <w:jc w:val="center"/>
              <w:rPr/>
            </w:pPr>
            <w:r>
              <w:rPr/>
              <w:t>—</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SADA</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4,730</w:t>
            </w:r>
          </w:p>
        </w:tc>
        <w:tc>
          <w:tcPr>
            <w:tcW w:w="326"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18,125</w:t>
            </w:r>
          </w:p>
        </w:tc>
        <w:tc>
          <w:tcPr>
            <w:tcW w:w="326" w:type="dxa"/>
            <w:tcBorders/>
            <w:vAlign w:val="center"/>
          </w:tcPr>
          <w:p>
            <w:pPr>
              <w:pStyle w:val="TableContents"/>
              <w:bidi w:val="0"/>
              <w:spacing w:before="0" w:after="0"/>
              <w:ind w:left="0" w:right="0" w:hanging="0"/>
              <w:jc w:val="center"/>
              <w:rPr/>
            </w:pPr>
            <w:r>
              <w:rPr/>
              <w:t>​</w:t>
            </w:r>
          </w:p>
        </w:tc>
        <w:tc>
          <w:tcPr>
            <w:tcW w:w="208" w:type="dxa"/>
            <w:tcBorders/>
            <w:vAlign w:val="center"/>
          </w:tcPr>
          <w:p>
            <w:pPr>
              <w:pStyle w:val="TableContents"/>
              <w:bidi w:val="0"/>
              <w:spacing w:before="0" w:after="0"/>
              <w:ind w:left="0" w:right="0" w:hanging="0"/>
              <w:jc w:val="center"/>
              <w:rPr/>
            </w:pPr>
            <w:r>
              <w:rPr/>
              <w:t>​</w:t>
            </w:r>
          </w:p>
        </w:tc>
        <w:tc>
          <w:tcPr>
            <w:tcW w:w="76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23,750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2019, the Company entered into a lease agreement in connection with its 4,548 square feet laboratory in New Jersey. In December 2019, the Company expanded the space with an additional 235 square feet. The original term of the lease was three years from the date the Company occupied the premises, with an option to extend for an additional two years which was to expire in January 2024, which the Company exercised and had included in the determination of the related lease liability. In July 2023, the Company entered into a lease amendment to extend the term to February 2025. Fixed rent payable under the lease is approximately $177,000 per annum and is payable in equal monthly installments of approximately $15,000 per month.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945" w:name="Tc_4uafAasnfkOvrLQbf7ZAvw_9_2"/>
      <w:bookmarkStart w:id="946" w:name="Tc_qPbynfdRZki04IzeWcZKHw_8_0"/>
      <w:bookmarkStart w:id="947" w:name="Tc_E6b4-c3gNEWG18eDxoHf6g_7_0"/>
      <w:bookmarkStart w:id="948" w:name="Tc_e-RPZZespEqfnGRMM78BhQ_6_0"/>
      <w:bookmarkStart w:id="949" w:name="Tc_a2cFsYx8uk246bwp8c3MiQ_5_0"/>
      <w:bookmarkStart w:id="950" w:name="Tc_SeDgpv9unEmEWwyxk6uq5g_4_0"/>
      <w:bookmarkStart w:id="951" w:name="Tc_g6eMZCgATkmq-b2rhl-hTA_3_2"/>
      <w:bookmarkStart w:id="952" w:name="Tc_jUpNha4p50idIAtR52duaA_3_0"/>
      <w:bookmarkStart w:id="953" w:name="Tc_j9EPpDCqkkW0kuGgxSdvEg_2_2"/>
      <w:bookmarkStart w:id="954" w:name="Tc_uRUBZVhEaU2wJtP_jSECsA_1_2"/>
      <w:bookmarkStart w:id="955" w:name="_0d59702f_2d53_4ac0_bf51_3528e21d5db1"/>
      <w:bookmarkStart w:id="956" w:name="_Hlk114482765"/>
      <w:bookmarkStart w:id="957" w:name="_Hlk114482737"/>
      <w:bookmarkEnd w:id="945"/>
      <w:bookmarkEnd w:id="946"/>
      <w:bookmarkEnd w:id="947"/>
      <w:bookmarkEnd w:id="948"/>
      <w:bookmarkEnd w:id="949"/>
      <w:bookmarkEnd w:id="950"/>
      <w:bookmarkEnd w:id="951"/>
      <w:bookmarkEnd w:id="952"/>
      <w:bookmarkEnd w:id="953"/>
      <w:bookmarkEnd w:id="954"/>
      <w:bookmarkEnd w:id="955"/>
      <w:bookmarkEnd w:id="956"/>
      <w:bookmarkEnd w:id="957"/>
      <w:r>
        <w:rPr>
          <w:rFonts w:ascii="Times New Roman;Times;serif" w:hAnsi="Times New Roman;Times;serif"/>
          <w:sz w:val="20"/>
        </w:rPr>
        <w:t>In January 2018, the Company entered into a lease agreement in connection with its corporate headquarters in New York. The term of the lease was six years from the date the Company began to occupy the premises and the lease was to expire in April 2024. In August 2023, the Company entered into a lease amendment to extend the term to April 2025. Fixed rent payable under the lease is approximately $408,000 per annum and is payable in equal monthly installments of approximately $34,000.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2018, the Company entered into a lease agreement for certain office space in Denmark, which has been amended several times. The lease was renewed on November 1, 2021 with a four-year term that expires in November 2025. The lease is payable in monthly installments of approximately $41,000. In January 2023, the Company notified the landlord of its intention to reduce the leased premise as a result of the Company’s strategic restructuring. The lease modification resulted in an immaterial charge in the nine months ended September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operating lease costs were $229,000 and $721,000 for the three months ended September 30, 2023 and 2022, respectively. Total operating lease costs were $789,000 and $2,127,000 for the nine months ended September 30, 2023 and 2022,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2023, the operating lease expenses were recorded as $161,000 in research and development expense and $68,000 in selling, general and administrative expense. For the three months ended September 30, 2022, the expenses were recorded as $657,000 in research and development expense and $64,000 in selling, general and administrative expense. For the nine months ended September 30, 2023, the expenses were recorded as $607,000 in research and development expense and $182,000 in selling, general and administrative expense. For the nine months ended September 30, 2022, the expenses were recorded as $1,937,000 in research and development expense and $190,000 in selling, general and administrative expense.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 for the three and nine months ended September 30, 2023, was $266,000 and $791,000, respectively, and cash paid for amounts included in the measurement of lease liabilities for the three and nine months ended September 30, 2022, was $481,000 and $1,689,000, respectively. These payments were included in net cash used in operating activities in the Company’s Consolidated Statements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Maturities of operating lease liabilities as of September 30, 2023, were as follows (in thousands):</w:t>
      </w:r>
    </w:p>
    <w:tbl>
      <w:tblPr>
        <w:tblW w:w="7047" w:type="dxa"/>
        <w:jc w:val="left"/>
        <w:tblInd w:w="0" w:type="dxa"/>
        <w:tblLayout w:type="fixed"/>
        <w:tblCellMar>
          <w:top w:w="0" w:type="dxa"/>
          <w:left w:w="0" w:type="dxa"/>
          <w:bottom w:w="0" w:type="dxa"/>
          <w:right w:w="0" w:type="dxa"/>
        </w:tblCellMar>
      </w:tblPr>
      <w:tblGrid>
        <w:gridCol w:w="4741"/>
        <w:gridCol w:w="326"/>
        <w:gridCol w:w="463"/>
        <w:gridCol w:w="1517"/>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010535" cy="175260"/>
                      <wp:effectExtent l="0" t="0" r="0" b="0"/>
                      <wp:wrapNone/>
                      <wp:docPr id="131" name="Frame131"/>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94005" cy="175260"/>
                      <wp:effectExtent l="0" t="0" r="0" b="0"/>
                      <wp:wrapNone/>
                      <wp:docPr id="133" name="Frame133"/>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963295" cy="175260"/>
                      <wp:effectExtent l="0" t="0" r="0" b="0"/>
                      <wp:wrapNone/>
                      <wp:docPr id="134" name="Frame134"/>
                      <a:graphic xmlns:a="http://schemas.openxmlformats.org/drawingml/2006/main">
                        <a:graphicData uri="http://schemas.microsoft.com/office/word/2010/wordprocessingShape">
                          <wps:wsp>
                            <wps:cNvSpPr txBox="1"/>
                            <wps:spPr>
                              <a:xfrm>
                                <a:off x="0" y="0"/>
                                <a:ext cx="963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4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9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2023</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Remainder of 2023</w:t>
            </w:r>
          </w:p>
        </w:tc>
        <w:tc>
          <w:tcPr>
            <w:tcW w:w="326"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Years ending December 31, </w:t>
            </w:r>
          </w:p>
        </w:tc>
        <w:tc>
          <w:tcPr>
            <w:tcW w:w="326"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left"/>
              <w:rPr/>
            </w:pPr>
            <w:r>
              <w:rPr/>
              <w:t>​</w:t>
            </w:r>
          </w:p>
        </w:tc>
        <w:tc>
          <w:tcPr>
            <w:tcW w:w="1517" w:type="dxa"/>
            <w:tcBorders/>
            <w:vAlign w:val="center"/>
          </w:tcPr>
          <w:p>
            <w:pPr>
              <w:pStyle w:val="TableContents"/>
              <w:bidi w:val="0"/>
              <w:spacing w:before="0" w:after="1"/>
              <w:ind w:left="0" w:right="0" w:hanging="0"/>
              <w:jc w:val="right"/>
              <w:rPr/>
            </w:pPr>
            <w:r>
              <w:rPr/>
              <w:t>​</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left"/>
              <w:rPr/>
            </w:pPr>
            <w:r>
              <w:rPr/>
              <w:t>​</w:t>
            </w:r>
          </w:p>
        </w:tc>
        <w:tc>
          <w:tcPr>
            <w:tcW w:w="15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left"/>
              <w:rPr/>
            </w:pPr>
            <w:r>
              <w:rPr/>
              <w:t>​</w:t>
            </w:r>
          </w:p>
        </w:tc>
        <w:tc>
          <w:tcPr>
            <w:tcW w:w="15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left"/>
              <w:rPr/>
            </w:pPr>
            <w:r>
              <w:rPr/>
              <w:t>​</w:t>
            </w:r>
          </w:p>
        </w:tc>
        <w:tc>
          <w:tcPr>
            <w:tcW w:w="15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1,752</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1"/>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liabilities as of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4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17"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1,623</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958" w:name="Tc_FfCNo2u13UemqQJnhMqV8A_8_2"/>
      <w:bookmarkStart w:id="959" w:name="Tc_ep2Mt83ElUakODFF-oPLkA_7_0"/>
      <w:bookmarkStart w:id="960" w:name="Tc_6oPwNhBqzkCZiEgEwe2qAw_6_0"/>
      <w:bookmarkStart w:id="961" w:name="Tc_XDrGG1Snd0e8ewChUqGqTw_5_0"/>
      <w:bookmarkStart w:id="962" w:name="Tc_eQQYQ6bB4kWFAkMm3LSgLA_4_0"/>
      <w:bookmarkStart w:id="963" w:name="Tc_NiBZmKV0JEa8ptiXciYV-Q_3_2"/>
      <w:bookmarkStart w:id="964" w:name="Tc_HIJS0GluHESvYI3ZGF70bw_3_0"/>
      <w:bookmarkStart w:id="965" w:name="Tc_hMZu8dTUqkuTZxynWU0OAg_2_2"/>
      <w:bookmarkStart w:id="966" w:name="Tc_HqP0l2vv5Ua-WEcYZzXPyg_2_0"/>
      <w:bookmarkStart w:id="967" w:name="Tc_zncmeAZKjEaFlA5FFezysA_1_2"/>
      <w:bookmarkStart w:id="968" w:name="_6dd6cd81_26f3_4cbb_89dc_ade5f3e25c32"/>
      <w:bookmarkEnd w:id="958"/>
      <w:bookmarkEnd w:id="959"/>
      <w:bookmarkEnd w:id="960"/>
      <w:bookmarkEnd w:id="961"/>
      <w:bookmarkEnd w:id="962"/>
      <w:bookmarkEnd w:id="963"/>
      <w:bookmarkEnd w:id="964"/>
      <w:bookmarkEnd w:id="965"/>
      <w:bookmarkEnd w:id="966"/>
      <w:bookmarkEnd w:id="967"/>
      <w:bookmarkEnd w:id="968"/>
      <w:r>
        <w:rPr>
          <w:rFonts w:ascii="Times New Roman;Times;serif" w:hAnsi="Times New Roman;Times;serif"/>
          <w:sz w:val="20"/>
        </w:rPr>
        <w:t>Maturities of operating leases liabilities as of December 31, 2022, were as follows (in thousands):</w:t>
      </w:r>
    </w:p>
    <w:tbl>
      <w:tblPr>
        <w:tblW w:w="6957" w:type="dxa"/>
        <w:jc w:val="left"/>
        <w:tblInd w:w="0" w:type="dxa"/>
        <w:tblLayout w:type="fixed"/>
        <w:tblCellMar>
          <w:top w:w="0" w:type="dxa"/>
          <w:left w:w="0" w:type="dxa"/>
          <w:bottom w:w="0" w:type="dxa"/>
          <w:right w:w="0" w:type="dxa"/>
        </w:tblCellMar>
      </w:tblPr>
      <w:tblGrid>
        <w:gridCol w:w="4696"/>
        <w:gridCol w:w="326"/>
        <w:gridCol w:w="453"/>
        <w:gridCol w:w="1482"/>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981960" cy="175260"/>
                      <wp:effectExtent l="0" t="0" r="0" b="0"/>
                      <wp:wrapNone/>
                      <wp:docPr id="135" name="Frame135"/>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87655" cy="175260"/>
                      <wp:effectExtent l="0" t="0" r="0" b="0"/>
                      <wp:wrapNone/>
                      <wp:docPr id="137" name="Frame137"/>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941070" cy="175260"/>
                      <wp:effectExtent l="0" t="0" r="0" b="0"/>
                      <wp:wrapNone/>
                      <wp:docPr id="138" name="Frame138"/>
                      <a:graphic xmlns:a="http://schemas.openxmlformats.org/drawingml/2006/main">
                        <a:graphicData uri="http://schemas.microsoft.com/office/word/2010/wordprocessingShape">
                          <wps:wsp>
                            <wps:cNvSpPr txBox="1"/>
                            <wps:spPr>
                              <a:xfrm>
                                <a:off x="0" y="0"/>
                                <a:ext cx="941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Years ending December 31, </w:t>
            </w:r>
          </w:p>
        </w:tc>
        <w:tc>
          <w:tcPr>
            <w:tcW w:w="326" w:type="dxa"/>
            <w:tcBorders/>
            <w:vAlign w:val="center"/>
          </w:tcPr>
          <w:p>
            <w:pPr>
              <w:pStyle w:val="TableContents"/>
              <w:bidi w:val="0"/>
              <w:spacing w:before="0" w:after="1"/>
              <w:ind w:left="0" w:right="0" w:hanging="0"/>
              <w:jc w:val="left"/>
              <w:rPr/>
            </w:pPr>
            <w:r>
              <w:rPr/>
              <w:t>    </w:t>
            </w:r>
          </w:p>
        </w:tc>
        <w:tc>
          <w:tcPr>
            <w:tcW w:w="1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w:t>
            </w:r>
          </w:p>
        </w:tc>
        <w:tc>
          <w:tcPr>
            <w:tcW w:w="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w:t>
            </w:r>
          </w:p>
        </w:tc>
        <w:tc>
          <w:tcPr>
            <w:tcW w:w="453" w:type="dxa"/>
            <w:tcBorders/>
            <w:vAlign w:val="center"/>
          </w:tcPr>
          <w:p>
            <w:pPr>
              <w:pStyle w:val="TableContents"/>
              <w:bidi w:val="0"/>
              <w:spacing w:before="0" w:after="1"/>
              <w:ind w:left="0" w:right="0" w:hanging="0"/>
              <w:jc w:val="left"/>
              <w:rPr/>
            </w:pPr>
            <w:r>
              <w:rPr/>
              <w:t>​</w:t>
            </w:r>
          </w:p>
        </w:tc>
        <w:tc>
          <w:tcPr>
            <w:tcW w:w="14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vAlign w:val="center"/>
          </w:tcPr>
          <w:p>
            <w:pPr>
              <w:pStyle w:val="TableContents"/>
              <w:bidi w:val="0"/>
              <w:spacing w:before="0" w:after="1"/>
              <w:ind w:left="0" w:right="0" w:hanging="0"/>
              <w:jc w:val="left"/>
              <w:rPr/>
            </w:pPr>
            <w:r>
              <w:rPr/>
              <w:t>​</w:t>
            </w:r>
          </w:p>
        </w:tc>
        <w:tc>
          <w:tcPr>
            <w:tcW w:w="453" w:type="dxa"/>
            <w:tcBorders/>
            <w:vAlign w:val="center"/>
          </w:tcPr>
          <w:p>
            <w:pPr>
              <w:pStyle w:val="TableContents"/>
              <w:bidi w:val="0"/>
              <w:spacing w:before="0" w:after="1"/>
              <w:ind w:left="0" w:right="0" w:hanging="0"/>
              <w:jc w:val="left"/>
              <w:rPr/>
            </w:pPr>
            <w:r>
              <w:rPr/>
              <w:t>​</w:t>
            </w:r>
          </w:p>
        </w:tc>
        <w:tc>
          <w:tcPr>
            <w:tcW w:w="14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1,906</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liabilities as of December 31, 2022</w:t>
            </w:r>
          </w:p>
        </w:tc>
        <w:tc>
          <w:tcPr>
            <w:tcW w:w="326" w:type="dxa"/>
            <w:tcBorders/>
            <w:vAlign w:val="center"/>
          </w:tcPr>
          <w:p>
            <w:pPr>
              <w:pStyle w:val="TableContents"/>
              <w:bidi w:val="0"/>
              <w:spacing w:before="0" w:after="1"/>
              <w:ind w:left="0" w:right="0" w:hanging="0"/>
              <w:jc w:val="left"/>
              <w:rPr/>
            </w:pPr>
            <w:r>
              <w:rPr/>
              <w:t>​</w:t>
            </w:r>
          </w:p>
        </w:tc>
        <w:tc>
          <w:tcPr>
            <w:tcW w:w="4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2"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1,767</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Operating lease liabilities are based on the net present value of the remaining lease payments over the remaining lease term. In determining the present value of lease payments, the Company uses its estimate of its incremental borrowing rate based on the information available at the lease commencement date. As of September 30, 2023, the weighted average remaining lease term is 1.85 years and the weighted average discount rate used to determine the operating lease liability was 8.3%. As of December 31, 2022, the weighted average remaining lease term was 2.36 years and the weighted average discount rate used to determine the operating lease liability was 8.3%.</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Former Chief Executive Officer Contractual Severance Related Benefits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27, 2022, the Company announced certain executive management changes. Effective April 22, 2022, Dr. Claus Juan Møller San Pedro stepped down from his positions as Chief Executive Officer and as a member of the Company’s Board of Directors. There were no disagreements with the Company expressed by Dr. Møller on any matters relating to the Company’s operations, policies or practices. Dr. Møller’s contractual severance related benefits provided for cash compensation of $1,589,000, which included salary and certain benefits continuation. All of the cash compensation had been paid as of September 30, 2023. Also, under terms of the equity award agreement, Dr. Møller’s outstanding stock option awards will continue to vest as scheduled and become exercisable when vested. This resulted in a non-cash share-based compensation charge of $9,286,000 in the nine months ended September 30, 2022, as there was no longer a service condition related to such awards. The total charge of $10,875,000 related to the executive management change was recorded in selling, general and administrative expenses during the nine months ended September 30, 2022. There was no financial impact in the three and nine months ended September 30, 2023, and in the three months ended September 30, 2022.</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Legal Matters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Donoghue vs. Y-mAbs Therapeutics, Inc., and Gad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been named a nominal defendant in a lawsuit filed in the U.S. District Court, Southern District of New York, on August 25, 2021, by one of the Company’s stockholders, Deborah Donoghue (Case No. 1:21-cv-07182). The suit names the Company’s Chief Business Officer, and Vice Chairman of the Company’s board of directors, Mr. Thomas Gad as an additional defendant, and it seeks to compel Mr. Gad to disgorge alleged short swing profits stemming from a certain transaction involving the Company’s common stock undertaken by Mr. Gad on March 10, 2021 together with appropriate interest and costs of the lawsuit. On December 17, 2021, Mr. Gad filed a Motion to Dismiss the lawsuit. On August 8, 2022, the Court denied Mr. Gad’s Motion to Dismiss the lawsuit. The parties have completed documentary discovery and depositions. The action is currently stayed through November 30, 2023. The Company is of the opinion that the claim is without merit and intends to maintain this position in the proceedings. In addition, the Company has been informed by Mr. Gad that he also believes the claim is without merit, that he has strong defenses against such claim and that he intends to vigorously defend the action. The Company has assessed the proceedings and does not believe that it is probable that a gain or a liability will be realized by the Company. As a result, the Company did not record any loss or gain contingencies for this matter.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 re Y-mAbs Therapeutics, Inc. Securities Litigation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January 18, 2023, a putative class-action lawsuit was filed against the Company and certain of its current and former officers for alleged violations of the U.S. federal securities laws in the United States District Court, Southern District of New York (Case No.: 1:23-cv-00431). The amended complaint filed on May 23, 2023, asserts claims under Sections 10(b) and 20(a) of the Securities Exchange Act of 1934, as amended, on behalf of a proposed class consisting of those who acquired the Company’s common stock between October 6, 2020 and October 28, 2022. The amended complaint alleges that there were material misrepresentations and/or omissions regarding the FDA’s consideration of the Company’s BLA for omburtamab for the treatment of pediatric patients with CNS/leptomeningeal metastasis from neuroblastoma firstly submitted in 2020 and resubmitted in 2022. The amended complaint seeks unspecified damages, and costs and expenses, including attorneys’ fees. On April 4, 2023, the Court appointed a lead plaintiff for the putative class. On July 11, 2023, the defendants filed a motion to dismiss the amended complaint. On August 29, 2023, the plaintiff filed his opposition to the motion to dismiss. On September 29, 2023, the defendants filed their reply in support of the motion to dismiss. The Company believes that these claims are without merit and intends to vigorously defend against these claims. The Company has not established a liability for this claim as of September 30, 2023 as the Company does not consider a loss on the claim to be probable.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Hazelton vs. Y-mAbs Therapeutics Inc., and Gad, et 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been named a nominal defendant in a lawsuit filed in the Court of Chancery of the State of Delaware, on February 8, 2023, by a purported stockholder, Jeffrey Hazelton (Case No. 2023-0147-LWW). The amended complaint filed on May 12, 2023, purports to bring claims on behalf of the Company against current and former members of the Company’s board of directors for allegedly awarding themselves excessive compensation for fiscal years 2020 and 2021. The amended complaint seeks, among other things, recovery of alleged excessive compensation, an order directing the Company to undertake certain corporate governance reforms, and an award of costs and expenses, including attorneys’ fees. On June 22, 2023, the defendants filed a motion to dismiss the amended complaint. On August 11, 2023, the plaintiff filed his opposition to the motion to dismiss. On September 8, 2023, the defendants filed their reply brief in support of the motion to dismiss. The Company is of the opinion that the claims are without merit and intends to maintain this position in the proceedings. The Company has not established a liability for this claim as of September 30, 2023 as the Company does not consider a loss on the claim to be probable.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Authorized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2023 and December 31, 2022, the Company had authorized a total of 105,500,000 shares, 100,000,000 of which are common stock, par value $0.0001 per share, and 5,500,000 of which are preferred stock, par value $0.0001 per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share of common stock is entitled to one vote. Common stockholders are entitled to receive dividends, as may be declared by the board of directors, if any, subject to preferential dividend rights of the preferred stock, none of which have been issued. The Company had issued 43,621,618 shares of its common stock as of September 30, 2023, and 43,670,109 shares of its common stock as of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Preferred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September 30, 2023 or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Grant Agreements with Non-Employees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April 2020, in connection with the SADA License Agreement, the Company entered into two stock grant agreements with two non-employee researchers who were involved in the development of the SADA-BiDE (2-step Self-Assembly and DisAssembly-Bispecific DOTA-Engaging antibody system) Pre-targeted Radioimmunotherapy Platform in consideration for their respective prior service. The agreements dated April 2020 are detailed in NOTE 10— STOCKHOLDERS’ EQUITY in the Company’s Consolidated Financial Statements included in its Annual Report on Form 10-K for the year ended December 31,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stock grant agreements, the Company loaned the two researchers a total of $2,610,000 related to their individual tax payments due in conjunction with the stock grants. Each of the loans were evidenced by a Secured Promissory Note, which had respective maturity dates in April 2023 and June 2023. In July 2022, one of the researchers repaid their loan, which had a maturity date in April 2023, and accrued interest, which resulted in a de minimis loss compared to the amortized cost of the loan, in exchange for 57,887 shares that remained pledged as part of its security. Upon receipt, the Company recorded treasury shares at an acquisition cost of $963,000, based on the share price on the settlement date. The Company subsequently cancelled the acquired treasury shares resulting in a reduction of outstanding common stock and a reduction of additional paid-in-capital totaling $963,000. During the fourth quarter of 2022, the Company concluded that the other loan receivable, with a maturity date of June 2023, was impaired, which resulted in a $1,051,000 charge for the year ended December 31, 2022. In June 2023, the other researcher repaid his loan, which resulted in a de minimis gain compared to the book value of the loan, which included the impact of the previous impairment charge. The loan was repaid in exchange for 58,763 shares that remained pledged as part of its security. Upon receipt, the Company recorded treasury shares at an acquisition cost of $480,000, based on the closing price of the Company’s common stock on the settlement date. The Company subsequently cancelled the acquired treasury shares, which resulted in a reduction of outstanding common stock and a reduction of additional paid-in-capital totaling $480,000.</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2015 Equity Incentive Plan </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The Company’s board of directors and stockholders approved and adopted the Amended and Restated 2015 Equity Incentive Plan (the “2015 Plan”), which provided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to the Company’s employees, directors and consultants and its parent and subsidiary corporations’ employees and consultants. A total of 4,500,000</w:t>
      </w:r>
      <w:r>
        <w:rPr>
          <w:rFonts w:ascii="Times New Roman;Times;serif" w:hAnsi="Times New Roman;Times;serif"/>
          <w:sz w:val="24"/>
        </w:rPr>
        <w:t xml:space="preserve"> </w:t>
      </w:r>
      <w:r>
        <w:rPr>
          <w:rFonts w:ascii="Times New Roman;Times;serif" w:hAnsi="Times New Roman;Times;serif"/>
          <w:sz w:val="20"/>
        </w:rPr>
        <w:t>shares of the Company’s common stock were reserved for issuance pursuant to the 2015 Plan. Options granted under the 2015 Plan vest according to the schedule specified in the grant agreements, which is generally a four-year</w:t>
      </w:r>
      <w:r>
        <w:rPr>
          <w:rFonts w:ascii="Times New Roman;Times;serif" w:hAnsi="Times New Roman;Times;serif"/>
          <w:sz w:val="24"/>
        </w:rPr>
        <w:t xml:space="preserve"> </w:t>
      </w:r>
      <w:r>
        <w:rPr>
          <w:rFonts w:ascii="Times New Roman;Times;serif" w:hAnsi="Times New Roman;Times;serif"/>
          <w:sz w:val="20"/>
        </w:rPr>
        <w:t>period and generally become immediately exercisable upon the occurrence of a change in control, as defined.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2018 Equity Incentive Plan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board of directors and stockholders approved and adopted the 2018 Equity Incentive Plan (the “2018 Plan”) in connection with the Company’s initial public offering in September 2018. However, options outstanding under the 2015 Plan continue to be governed by the 2015 Plan. The 2018 Plan provides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to the Company’s employees, directors and consultants and the Company’s parent and subsidiary corporations’ employees and consultants. A total of 5,500,000 shares of the Company’s common stock, inclusive of the awards previously granted under the 2015 Equity Incentive Plan were initially reserved for issuance pursuant to the 2018 Plan. In addition, the number of shares available for issuance under the 2018 Plan will also include an annual increase on the first day of each fiscal year beginning in 2019 through 2029, equal to 4% of the outstanding shares of common stock as of the last day of the Company’s immediately preceding fiscal year or by a lesser amount determined by the board of directors. The exercise price of options granted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4"/>
        </w:rPr>
      </w:pPr>
      <w:bookmarkStart w:id="969" w:name="Tc_dJ-ADUCTwEKmgcmn9qcXNg_11_0"/>
      <w:bookmarkStart w:id="970" w:name="Tc_6OCc8qj9nEybySchHn5_Uw_10_7"/>
      <w:bookmarkStart w:id="971" w:name="Tc_h2oPJ-mIsUGi63mYJ7-MQA_10_4"/>
      <w:bookmarkStart w:id="972" w:name="Tc_MfU8dp7Sq0-JRHKBIX4EDA_10_0"/>
      <w:bookmarkStart w:id="973" w:name="Tc_GXvc4uJHcU-wcoIHoGcn8g_9_0"/>
      <w:bookmarkStart w:id="974" w:name="Tc_FPo7ZZZ52UeZsbyjVkJAHw_8_2"/>
      <w:bookmarkStart w:id="975" w:name="Tc_TW7eJVXqZEGGPCLoIPFASg_8_0"/>
      <w:bookmarkStart w:id="976" w:name="Tc_2V6Oml9wg0-ltBPAoYjdYg_7_0"/>
      <w:bookmarkStart w:id="977" w:name="Tc_TALNvVVl306ZsYqYRdU4fA_6_7"/>
      <w:bookmarkStart w:id="978" w:name="Tc_UBKNa4gAlECuVdh-zWKJtg_6_4"/>
      <w:bookmarkStart w:id="979" w:name="Tc_-EPGpmDVfkGVv6rFMExhlA_6_0"/>
      <w:bookmarkStart w:id="980" w:name="Tc_dG_9yByvn0uHh98cJXWTaw_5_10"/>
      <w:bookmarkStart w:id="981" w:name="Tc_KU_LUpR7t0q8_YztcWvbbA_5_7"/>
      <w:bookmarkStart w:id="982" w:name="Tc_7VLeGb9GFkyrkKAWDlPg5w_5_4"/>
      <w:bookmarkStart w:id="983" w:name="Tc_sWWg2DVvTU6IZv5y7m3rWQ_5_2"/>
      <w:bookmarkStart w:id="984" w:name="Tc_HtBrIxzhK0WOp5dFwQsy8A_4_10"/>
      <w:bookmarkStart w:id="985" w:name="Tc_OIN3bpCkiEWboMw5p2NMUQ_4_7"/>
      <w:bookmarkStart w:id="986" w:name="Tc_1qrYMtBukEyzic3_iyzRGg_4_4"/>
      <w:bookmarkStart w:id="987" w:name="Tc_e0m0tkG_hEiZjoAw1SCjLQ_3_10"/>
      <w:bookmarkStart w:id="988" w:name="Tc_ix7U6Uq0iUeqbg4lyvK7EA_3_7"/>
      <w:bookmarkStart w:id="989" w:name="Tc_82fqbp-pSkOKVW9fYNsreg_3_4"/>
      <w:bookmarkStart w:id="990" w:name="Tc_Dw-t_e6GSkmosV5cy6Q0wg_2_10"/>
      <w:bookmarkStart w:id="991" w:name="Tc_5lXAHAZmCUKR_ZyNTM6ykw_2_7"/>
      <w:bookmarkStart w:id="992" w:name="Tc_USeR2AbsTEaB3P-UyyDkKg_2_4"/>
      <w:bookmarkStart w:id="993" w:name="Tc_2xYsTS8-VEOJZM5B7bz-Ag_1_10"/>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r>
        <w:rPr>
          <w:rFonts w:ascii="Times New Roman;Times;serif" w:hAnsi="Times New Roman;Times;serif"/>
          <w:sz w:val="20"/>
        </w:rPr>
        <w:t>under the plans must at least be equal to the fair market value of the Company’s common stock on the date of grant. The term of an incentive stock option may not exceed 10 years, except that with respect to any participant who owns more than 10%</w:t>
      </w:r>
      <w:r>
        <w:rPr>
          <w:rFonts w:ascii="Times New Roman;Times;serif" w:hAnsi="Times New Roman;Times;serif"/>
          <w:sz w:val="24"/>
        </w:rPr>
        <w:t xml:space="preserve"> </w:t>
      </w:r>
      <w:r>
        <w:rPr>
          <w:rFonts w:ascii="Times New Roman;Times;serif" w:hAnsi="Times New Roman;Times;serif"/>
          <w:sz w:val="20"/>
        </w:rPr>
        <w:t>of the voting power of all classes of the Company’s outstanding stock, the term must not exceed five years</w:t>
      </w:r>
      <w:r>
        <w:rPr>
          <w:rFonts w:ascii="Times New Roman;Times;serif" w:hAnsi="Times New Roman;Times;serif"/>
          <w:sz w:val="24"/>
        </w:rPr>
        <w:t xml:space="preserve"> </w:t>
      </w:r>
      <w:r>
        <w:rPr>
          <w:rFonts w:ascii="Times New Roman;Times;serif" w:hAnsi="Times New Roman;Times;serif"/>
          <w:sz w:val="20"/>
        </w:rPr>
        <w:t>and the exercise price must equal at least 110%</w:t>
      </w:r>
      <w:r>
        <w:rPr>
          <w:rFonts w:ascii="Times New Roman;Times;serif" w:hAnsi="Times New Roman;Times;serif"/>
          <w:sz w:val="24"/>
        </w:rPr>
        <w:t xml:space="preserve"> </w:t>
      </w:r>
      <w:r>
        <w:rPr>
          <w:rFonts w:ascii="Times New Roman;Times;serif" w:hAnsi="Times New Roman;Times;serif"/>
          <w:sz w:val="20"/>
        </w:rPr>
        <w:t xml:space="preserve">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specified in the grant agreements, which is generally between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and four years</w:t>
      </w:r>
      <w:r>
        <w:rPr>
          <w:rFonts w:ascii="Times New Roman;Times;serif" w:hAnsi="Times New Roman;Times;serif"/>
          <w:sz w:val="24"/>
        </w:rPr>
        <w:t xml:space="preserve"> </w:t>
      </w:r>
      <w:r>
        <w:rPr>
          <w:rFonts w:ascii="Times New Roman;Times;serif" w:hAnsi="Times New Roman;Times;serif"/>
          <w:sz w:val="20"/>
        </w:rPr>
        <w:t xml:space="preserve">and generally become immediately exercisable upon the occurrence of a change in control, as defined in the Plan Agreement.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Stock Options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September 30, 2023 and 2022, stock-based compensation for stock option grants were $2,229,000 and $3,257,000, respectively, for options granted to employees and directors. During the three months ended September 30, 2023, the expenses were recorded as $1,175,000 in research and development expense and $1,054,000 in selling, general, and administrative expense. For the three months ended September 30, 2022, the expenses were recorded as $1,801,000 in research and development expense and $1,456,000 in selling, general, and administrative expense.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nine months ended September 30, 2023 and 2022, stock-based compensation for stock option grants were $10,793,000 and $21,822,000, respectively, for options granted to employees and directors. The expense for the nine months ended September 30, 2023, was inclusive of an acceleration of stock-based compensation of $1,706,000, as described further in </w:t>
      </w:r>
      <w:r>
        <w:rPr>
          <w:rFonts w:ascii="Times New Roman;Times;serif" w:hAnsi="Times New Roman;Times;serif"/>
          <w:i/>
          <w:sz w:val="20"/>
        </w:rPr>
        <w:t>NOTE 14— RESTRUCTURING CHARGE</w:t>
      </w:r>
      <w:r>
        <w:rPr>
          <w:rFonts w:ascii="Times New Roman;Times;serif" w:hAnsi="Times New Roman;Times;serif"/>
          <w:sz w:val="20"/>
        </w:rPr>
        <w:t xml:space="preserve">. Stock-based compensation during the nine months ended September 30, 2022, also includes $9,286,000 related to the departure of the former Chief Executive Officer, which was recorded upon his separation in the second quarter of 2022 based on the terms of his service agreement and is further described in </w:t>
      </w:r>
      <w:r>
        <w:rPr>
          <w:rFonts w:ascii="Times New Roman;Times;serif" w:hAnsi="Times New Roman;Times;serif"/>
          <w:i/>
          <w:sz w:val="20"/>
        </w:rPr>
        <w:t>NOTE 9—LICENSE AGREEMENTS AND COMMITMENTS</w:t>
      </w:r>
      <w:r>
        <w:rPr>
          <w:rFonts w:ascii="Times New Roman;Times;serif" w:hAnsi="Times New Roman;Times;serif"/>
          <w:sz w:val="20"/>
        </w:rPr>
        <w:t>. For the nine months ended September 30, 2023, the expenses were recorded as $4,629,000 in research and development expense and $6,164,000 in selling, general, and administrative expense. For the nine months ended September 30, 2022, the expenses were recorded as $5,582,000 in research and development expense and $16,240,000 in selling, general, and administrative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common stock options issued and outstanding:</w:t>
      </w:r>
    </w:p>
    <w:p>
      <w:pPr>
        <w:pStyle w:val="TextBody"/>
        <w:bidi w:val="0"/>
        <w:spacing w:before="0" w:after="0"/>
        <w:ind w:left="0" w:right="0" w:hanging="0"/>
        <w:jc w:val="left"/>
        <w:rPr/>
      </w:pPr>
      <w:r>
        <w:rPr/>
        <w:t>​</w:t>
      </w:r>
    </w:p>
    <w:tbl>
      <w:tblPr>
        <w:tblW w:w="9843" w:type="dxa"/>
        <w:jc w:val="left"/>
        <w:tblInd w:w="0" w:type="dxa"/>
        <w:tblLayout w:type="fixed"/>
        <w:tblCellMar>
          <w:top w:w="0" w:type="dxa"/>
          <w:left w:w="0" w:type="dxa"/>
          <w:bottom w:w="0" w:type="dxa"/>
          <w:right w:w="0" w:type="dxa"/>
        </w:tblCellMar>
      </w:tblPr>
      <w:tblGrid>
        <w:gridCol w:w="4696"/>
        <w:gridCol w:w="326"/>
        <w:gridCol w:w="931"/>
        <w:gridCol w:w="326"/>
        <w:gridCol w:w="214"/>
        <w:gridCol w:w="582"/>
        <w:gridCol w:w="326"/>
        <w:gridCol w:w="303"/>
        <w:gridCol w:w="822"/>
        <w:gridCol w:w="326"/>
        <w:gridCol w:w="991"/>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981960" cy="175260"/>
                      <wp:effectExtent l="0" t="0" r="0" b="0"/>
                      <wp:wrapNone/>
                      <wp:docPr id="139" name="Frame139"/>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91185" cy="175260"/>
                      <wp:effectExtent l="0" t="0" r="0" b="0"/>
                      <wp:wrapNone/>
                      <wp:docPr id="141" name="Frame1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5890" cy="175260"/>
                      <wp:effectExtent l="0" t="0" r="0" b="0"/>
                      <wp:wrapNone/>
                      <wp:docPr id="143" name="Frame14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69570" cy="175260"/>
                      <wp:effectExtent l="0" t="0" r="0" b="0"/>
                      <wp:wrapNone/>
                      <wp:docPr id="144" name="Frame144"/>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92405" cy="175260"/>
                      <wp:effectExtent l="0" t="0" r="0" b="0"/>
                      <wp:wrapNone/>
                      <wp:docPr id="146" name="Frame14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21970" cy="175260"/>
                      <wp:effectExtent l="0" t="0" r="0" b="0"/>
                      <wp:wrapNone/>
                      <wp:docPr id="147" name="Frame147"/>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29285" cy="175260"/>
                      <wp:effectExtent l="0" t="0" r="0" b="0"/>
                      <wp:wrapNone/>
                      <wp:docPr id="149" name="Frame14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03"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and expected to vest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7,079,767</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1,821,000</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(243,679)</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w:t>
            </w:r>
          </w:p>
        </w:tc>
        <w:tc>
          <w:tcPr>
            <w:tcW w:w="32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and expected to vest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8,657,088</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18.13</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5,243</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at September 30, 2023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5,766,863</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5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20.48</w:t>
            </w:r>
          </w:p>
        </w:tc>
        <w:tc>
          <w:tcPr>
            <w:tcW w:w="326" w:type="dxa"/>
            <w:tcBorders/>
            <w:vAlign w:val="center"/>
          </w:tcPr>
          <w:p>
            <w:pPr>
              <w:pStyle w:val="TableContents"/>
              <w:bidi w:val="0"/>
              <w:spacing w:before="0" w:after="1"/>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4,096</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5.19</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The weighted average fair value of stock options granted for the three months ended September 30, 2023 and 2022 was $3.69 and $10.14, respectively. There were 76,100 and 210,000 stock options granted for the three months ended September 30, 2023 and 2022, respectively.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The weighted average fair value of stock options granted for the nine months ended September 30, 2023 and 2022 was $3.65 and $7.88, respectively. There were 1,821,000 and 635,000 stock options granted for the nine months ended September 30, 2023 and 2022, respectively.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There were 1,105,500 options granted in the nine months ended September 30, 2023 under the Company’s retention program, which were granted to the continuing employees that were not subject to the Company’s strategic restructuring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All of the options granted in the three months ended September 30, 2023, have a maximum contractual term of ten years and have a vesting schedule in which 25% vest on the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anniversary of the grant date and the remainder vest ratably on a monthly basis over the next 36 months, provided in each case that the recipient remains an employee of the Company through each vesting date. The expected term for these options granted in the three months ended September 30, 2023 was 6.25 years, the volatility was 83.0% and the risk-free interest rate was approximately 4.38%.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fair value of each stock option grant is estimated on the date of grant using the Black-Scholes option pricing model. The Company’s public trading commenced in September 2018, and, as a result, there is only limited available historical volatility experience. Therefore, the Company estimates expected share price volatility based on a combination of the historical volatility of a group of publicly traded peer companies and the historical volatility of the Y-mAbs share price, and the Company expects to continue to do so until such time as the Company has adequate historical data regarding the volatility of its own traded share price. The expected term of the Company’s stock options has been determined utilizing the “simplified” method for awards as it has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shares of its common stock and the Company does not expect to pay any cash dividends in the foreseeable future. There were no significant changes to the inputs included in the Black-Scholes option pricing model during the period ended September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2023, the Company had $16,052,000 of unrecognized compensation expense related to employee stock options that are expected to vest over a period of 2.59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Subsequent to September 30, 2023, on November 6, 2023 the Company granted 690,240 stock options in connection with the start date of the Company’s new President and Chief Executive Officer and transition of the Company’s Interim Chief Executive Officer to Chief Business Officer.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2023 and 2022, stock-based compensation for restricted stock unit grants was $181,000 and $84,000, respectively. During the three months ended September 30, 2023, the expenses were recorded as $96,000 in research and development expense and $85,000 in selling, general, and administrative expense. During the three months ended September 30, 2022, the expenses were recorded as $74,000 in research and development expense and $10,000 in selling, general, and administrative expense.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2023 and 2022, stock-based compensation for restricted stock unit grants was $537,000 and $242,000, respectively. For the nine months ended September 30, 2023, the expenses were recorded as $320,000 in research and development expense and $217,000 in selling, general, and administrative expense. For the nine months ended September 30, 2022, the expenses were recorded as $215,000 in research and development expense and $27,000 in selling, general, and administrative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994" w:name="Tc_YYtN5ogunkezKfXDWwCT7w_10_4"/>
      <w:bookmarkStart w:id="995" w:name="Tc_fDGL-j_M8Uy1p9J6PeC1dQ_10_0"/>
      <w:bookmarkStart w:id="996" w:name="Tc_yRqltyLR1Uuckv9pGRh5wQ_9_0"/>
      <w:bookmarkStart w:id="997" w:name="Tc_H6KT5n9rsEmexiDzdvX2dg_8_0"/>
      <w:bookmarkStart w:id="998" w:name="Tc_XcgD0KaNWECJHMTDHLsDog_7_0"/>
      <w:bookmarkStart w:id="999" w:name="Tc_kbs0X2K4Bk2esb0aPwg3zA_6_4"/>
      <w:bookmarkStart w:id="1000" w:name="Tc_LdIw9QUJwUysSFbzhCoPBA_6_0"/>
      <w:bookmarkStart w:id="1001" w:name="Tc_TuJBZNxpjEC73lMWMsVQzQ_5_7"/>
      <w:bookmarkStart w:id="1002" w:name="Tc_stjCaGUe7Eu6WH1E6xWrdg_5_4"/>
      <w:bookmarkStart w:id="1003" w:name="Tc_r0Ao3EGUh0SGXlgzjxbqMA_5_2"/>
      <w:bookmarkStart w:id="1004" w:name="Tc_LehFAmnPLU6moyAAuLJ7KA_4_7"/>
      <w:bookmarkStart w:id="1005" w:name="Tc_UcPAUPHiHUi0IpfX2r9NeQ_4_4"/>
      <w:bookmarkStart w:id="1006" w:name="Tc_3MNStBDSgU2BxHaMXYAAJg_3_7"/>
      <w:bookmarkStart w:id="1007" w:name="Tc__CLFgqw5_UOANzo7iGMdNg_3_4"/>
      <w:bookmarkStart w:id="1008" w:name="Tc_oOhghemmvkiAguywcnSAqg_2_7"/>
      <w:bookmarkStart w:id="1009" w:name="Tc_cTdDZ6aftkSeqDZ1eeRWIw_2_4"/>
      <w:bookmarkStart w:id="1010" w:name="Tc_I_IJrDrgsEuWQ1GL9dyi-A_1_7"/>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r>
        <w:rPr>
          <w:rFonts w:ascii="Times New Roman;Times;serif" w:hAnsi="Times New Roman;Times;serif"/>
          <w:sz w:val="20"/>
        </w:rPr>
        <w:t>The following table summarizes restricted stock units issued and outstanding:</w:t>
      </w:r>
    </w:p>
    <w:p>
      <w:pPr>
        <w:pStyle w:val="TextBody"/>
        <w:bidi w:val="0"/>
        <w:spacing w:before="0" w:after="0"/>
        <w:ind w:left="0" w:right="0" w:hanging="0"/>
        <w:jc w:val="left"/>
        <w:rPr/>
      </w:pPr>
      <w:r>
        <w:rPr/>
        <w:t>​</w:t>
      </w:r>
    </w:p>
    <w:tbl>
      <w:tblPr>
        <w:tblW w:w="9438" w:type="dxa"/>
        <w:jc w:val="left"/>
        <w:tblInd w:w="0" w:type="dxa"/>
        <w:tblLayout w:type="fixed"/>
        <w:tblCellMar>
          <w:top w:w="0" w:type="dxa"/>
          <w:left w:w="0" w:type="dxa"/>
          <w:bottom w:w="0" w:type="dxa"/>
          <w:right w:w="0" w:type="dxa"/>
        </w:tblCellMar>
      </w:tblPr>
      <w:tblGrid>
        <w:gridCol w:w="4696"/>
        <w:gridCol w:w="326"/>
        <w:gridCol w:w="1711"/>
        <w:gridCol w:w="326"/>
        <w:gridCol w:w="214"/>
        <w:gridCol w:w="582"/>
        <w:gridCol w:w="326"/>
        <w:gridCol w:w="886"/>
        <w:gridCol w:w="371"/>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981960" cy="175260"/>
                      <wp:effectExtent l="0" t="0" r="0" b="0"/>
                      <wp:wrapNone/>
                      <wp:docPr id="150" name="Frame150"/>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086485" cy="175260"/>
                      <wp:effectExtent l="0" t="0" r="0" b="0"/>
                      <wp:wrapNone/>
                      <wp:docPr id="152" name="Frame152"/>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5890" cy="175260"/>
                      <wp:effectExtent l="0" t="0" r="0" b="0"/>
                      <wp:wrapNone/>
                      <wp:docPr id="154" name="Frame15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69570" cy="175260"/>
                      <wp:effectExtent l="0" t="0" r="0" b="0"/>
                      <wp:wrapNone/>
                      <wp:docPr id="155" name="Frame155"/>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62610" cy="175260"/>
                      <wp:effectExtent l="0" t="0" r="0" b="0"/>
                      <wp:wrapNone/>
                      <wp:docPr id="157" name="Frame15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35585" cy="175260"/>
                      <wp:effectExtent l="0" t="0" r="0" b="0"/>
                      <wp:wrapNone/>
                      <wp:docPr id="158" name="Frame15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7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71" w:type="dxa"/>
            <w:tcBorders/>
            <w:vAlign w:val="center"/>
          </w:tcPr>
          <w:p>
            <w:pPr>
              <w:pStyle w:val="TableContents"/>
              <w:bidi w:val="0"/>
              <w:spacing w:before="0" w:after="1"/>
              <w:ind w:left="0" w:right="0" w:hanging="0"/>
              <w:jc w:val="left"/>
              <w:rPr/>
            </w:pPr>
            <w:r>
              <w:rPr/>
              <w:t>    </w: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71" w:type="dxa"/>
            <w:tcBorders/>
            <w:vAlign w:val="center"/>
          </w:tcPr>
          <w:p>
            <w:pPr>
              <w:pStyle w:val="TableContents"/>
              <w:bidi w:val="0"/>
              <w:spacing w:before="0" w:after="1"/>
              <w:ind w:left="0" w:right="0" w:hanging="0"/>
              <w:jc w:val="left"/>
              <w:rPr/>
            </w:pPr>
            <w:r>
              <w:rPr/>
              <w:t>​</w: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71" w:type="dxa"/>
            <w:tcBorders/>
            <w:vAlign w:val="center"/>
          </w:tcPr>
          <w:p>
            <w:pPr>
              <w:pStyle w:val="TableContents"/>
              <w:bidi w:val="0"/>
              <w:spacing w:before="0" w:after="1"/>
              <w:ind w:left="0" w:right="0" w:hanging="0"/>
              <w:jc w:val="left"/>
              <w:rPr/>
            </w:pPr>
            <w:r>
              <w:rPr/>
              <w:t>​</w: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vesting</w:t>
            </w:r>
          </w:p>
        </w:tc>
        <w:tc>
          <w:tcPr>
            <w:tcW w:w="371" w:type="dxa"/>
            <w:tcBorders/>
            <w:vAlign w:val="center"/>
          </w:tcPr>
          <w:p>
            <w:pPr>
              <w:pStyle w:val="TableContents"/>
              <w:bidi w:val="0"/>
              <w:spacing w:before="0" w:after="1"/>
              <w:ind w:left="0" w:right="0" w:hanging="0"/>
              <w:jc w:val="left"/>
              <w:rPr/>
            </w:pPr>
            <w:r>
              <w:rPr/>
              <w:t>​</w: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Stock Units</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71" w:type="dxa"/>
            <w:tcBorders/>
            <w:vAlign w:val="center"/>
          </w:tcPr>
          <w:p>
            <w:pPr>
              <w:pStyle w:val="TableContents"/>
              <w:bidi w:val="0"/>
              <w:spacing w:before="0" w:after="1"/>
              <w:ind w:left="0" w:right="0" w:hanging="0"/>
              <w:jc w:val="lef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and expected to vest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33,355</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17.77</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380,636</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(10,272)</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(45,088)</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and expected to vest at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358,631</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above includes 380,636 restricted stock units granted in the nine months ended September 30, 2023, under the Company’s retention program, which were granted to the continuing employees that were not subject to the Company’s strategic restructuring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2023, the Company had $1,379,000 of unrecognized compensation related to employee restricted stock units that are expected to vest over a period of 2.22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September 30, 2023 and 2022, the Company experienced pre-tax net losses of $7,560,000 and $27,526,000. The Company's current income tax provision was $187,000 during the three months ended September 30, 2023, and the Company did not have a current income tax provision during the three months ended September 30, 2022. There was no deferred income tax provisions during the three months ended September 30, 2023 and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nine months ended September 30, 2023 and 2022, the Company experienced pre-tax net losses of $20,073,000 and $96,725,000. The Company's current income tax provision was $366,000 during the nine months ended September 30, 2023, and the Company did not have a current income tax provision during the nine months ended September 30, 2022. There was no deferred income tax provisions during the nine months ended September 30, 2023 and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tax returns for the years 2017 to 2022 are all open for tax examination by U.S. federal and state, and the Danish tax authorities. During 2022, the review of the Company’s transfer pricing policies by the Danish Tax Authorities for tax years 2016 through 2020 was completed resulting in the release of the corresponding reserve. The release did not have a material impact on the Company’s income tax accounts.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maintains a full valuation allowance on its U.S. and foreign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In its evaluation, the Company considered its cumulative losses historically and in recent years and its forecasted losses in the near 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13—OTHER BENEFITS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adopted a defined contribution 401(k) savings plan (the “401(k) plan”) covering all U.S. employees. Participants may elect to defer a percentage of their pretax or after-tax compensation to the 401(k) plan,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defined limitations. The plan allows for a discretionary match by the Company. The Company made no matching contributions to the plan during the three and nine months ended September 30, 2023 and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established a retirement program for employees of its Danish subsidiary pursuant to which all such employees can contribute an amount at their election from their base compensation and may receive contributions from our Danish subsidiary. The Danish subsidiary made no contributions during the three and nine months ended September 30, 2023 and 2022. In addition, health insurance benefits for our Danish employees are fully paid for by such employees. Our Danish subsidiary does not incur any costs for these health insurance benefits.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—RESTRUCTURING CHARGE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January 4, 2023, following Board approval, the Company announced a strategic restructuring plan designed to extend its cash resources and prioritize resources for the commercialization and potential label extension of DANYELZA and on the development of the SADA technology platform. The Company completed the restructuring in May 2023, which resulted in an approximately 35% reduction to its workforce. Affected employees were offered separation benefits, including severance and outplacement services along with temporary healthcare coverage assistance. As a result, during the nine months ended September 30, 2023, the Company recognized restructuring expenses of $4,482,000, based on the currency rate for the period. For the nine months ended September 30, 2023, the Company recorded $3,346,000 and $1,136,000, respectively, within research and development and selling, general, and administrative, on the Consolidated Statements of Net Loss and Comprehensive Loss. The restructuring expenses primarily related to severance benefits of $2,776,000, which were paid as of September 30, 2023, and acceleration of stock-based compensation of $1,706,000 which was recognized in the nine months ended September 30, 2023 as there is no longer a service condition related to such awards.</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011" w:name="Item2ManagementsDiscussionandAnalysisofF"/>
      <w:bookmarkStart w:id="1012" w:name="_2d3c47c9_aad3_46ae_8e3d_7f3547341a29"/>
      <w:bookmarkEnd w:id="1011"/>
      <w:bookmarkEnd w:id="1012"/>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accompanying unaudited consolidated financial statements and related notes thereto included elsewhere in this Quarterly Report on Form 10-Q and in our audited consolidated financial statements and related notes thereto included in our Annual Report on Form 10-K for the year ended December 31, 2022, filed with the U.S. Securities and Exchange Commission, or SEC.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 You should carefully read the information under “Forward-Looking Statements” in this Quarterly Report on Form 10-Q. For convenience of presentation some of the numbers have been rounded in the text below.</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commercial-stage biopharmaceutical company focused on the development and commercialization of novel, antibody-based therapeutic products for the treatment of cancer. We are leveraging our proprietary antibody platforms and deep expertise in the field of antibodies to develop a broad portfolio of innovative medicines.</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Our only approved drug DANYELZA</w:t>
      </w:r>
      <w:r>
        <w:rPr>
          <w:rFonts w:ascii="Times New Roman;Times;serif" w:hAnsi="Times New Roman;Times;serif"/>
          <w:sz w:val="15"/>
        </w:rPr>
        <w:t>®</w:t>
      </w:r>
      <w:r>
        <w:rPr>
          <w:rFonts w:ascii="Times New Roman;Times;serif" w:hAnsi="Times New Roman;Times;serif"/>
          <w:sz w:val="20"/>
        </w:rPr>
        <w:t xml:space="preserve"> (naxitamab-gqgk) received accelerated approval by the United States Food and Drug Administration, or the FDA, in November 2020 for the treatment, in combination with Granulocyte Macrophage Colony Stimulating Factor, or GM-CSF, of pediatric patients one year of age and older and adult patients with relapsed or refractory, or R/R, high-risk neuroblastoma, or NB, in the bone or bone marrow who have demonstrated a partial response, minor response, or stable disease to prior therapy. We are commercializing DANYELZA in the United States and began shipping in February 2021. In December 2022, we announced a distribution agreement with WEP Clinical Ltd., or WEP, in connection with an early access program for DANYELZA in Europe.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DANYELZA has been evaluated in a Phase 2 clinical study in front-line NB, a pilot study of chemoimmunotherapy for high-risk NB, and is currently being evaluated in a pivotal-stage multicenter trial (Study 201) which is designed to satisfy the accelerated approval confirmatory study and post-marketing requirements of the FDA, as well as a Phase 2 clinical study in second-line relapsed osteosarcoma patients.</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We are using our proprietary SADA-BiDE (2-step Self-Assembly and DisAssembly-Bispecific DOTA-Engaging antibody system) Pre-targeted Radioimmunotherapy Platform, or the SADA Technology, a concept we also refer to as Liquid Radiation</w:t>
      </w:r>
      <w:r>
        <w:rPr>
          <w:rFonts w:ascii="Times New Roman;Times;serif" w:hAnsi="Times New Roman;Times;serif"/>
          <w:sz w:val="15"/>
        </w:rPr>
        <w:t>TM</w:t>
      </w:r>
      <w:r>
        <w:rPr>
          <w:rFonts w:ascii="Times New Roman;Times;serif" w:hAnsi="Times New Roman;Times;serif"/>
          <w:sz w:val="20"/>
        </w:rPr>
        <w:t xml:space="preserve">, to advance a series of antibody constructs, using a 2-step pre-targeting approach. The bispecific antibody fragments bind to the tumor before a radioactive payload is subsequently injected. The aim is specifically to deliver the radioactive payload to the tumor while minimizing exposure to normal tissue as indicated in non-clinical studies.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GD2-SADA for potential use in GD2-positive solid tumors is our first SADA construct, and we had our first clinical patients dosed in April 2023 in our Phase 1, dose-escalation, single-arm, open-label, non-randomized, multicenter trial, for the treatment of certain solid tumor cancers, including small cell lung cancer, sarcoma, and malignant melanoma. We currently have six active treatment sites and expect another three sites to be activated during the fourth quarter 2023. We are pleased with our observations so far and in particular that patients dosed with the GD2-SADA protein have not experienced treatment related pain, dose limiting toxicities, related severe adverse events or serious adverse events. Based on the SPECT/CT scans performed, we believe that we have demonstrated proof of concept for GD2-SADA by demonstrating that the GD2-SADA molecules can find and bind to tumors and that the radionuclide targets the SADA molecules. At this point, we are in cohort three, using a radioactive payload of 200 mCi and a two to five days interval between the SADA protein and the payload. The initial blood PK profile of the construct in these patients dosed with the 0.3 mg/kg and 1 mg/kg protein dose appears to match our pre-clinical models in terms of clearance data, and the blood PK profiles from patients are comparable and support of the current dose interval of 2-5 days.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IND for our first hematological target, the CD38-SADA construct for the treatment of patients with Relapsed or Refractory Non-Hodgkin Lymphoma was cleared in October 2023, and we expect to dose the first patient in 2024. We believe the SADA Technology could potentially improve the efficacy of immunological therapeutics, e.g., naked monoclonal antibodies, in tumors that have not historically demonstrated meaningful responses to immunological agents.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January 2023 we announced a strategic restructuring plan designed to extend our cash resources and prioritize resources on the commercialization and potential label extension of DANYELZA and development of the SADA technology platform. In addition to deprioritizing the omburtamab program for all indications and product candidates, we have deprioritized other pipeline programs, including activities relating to the GD2-GD3 Vaccine and CD33 bispecific antibody constructs by delaying trial initiation and overall timelines as part of the restructuring plan. We completed the restructuring in May 2023, which resulted in an approximately 35% reduction to our workforce. As a result of the decrease in operating expenses, we estimate that our cash and cash equivalents, when combined with anticipated DANYELZA revenues, will support operations into 2027.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estimate reflects our current business plan, including the restructuring, that is supported by assumptions that may prove to be inaccurate, such that we could use our available capital resources sooner than we currently expect. This estimate assumes no income from new partnerships or other new business development activities, and no further development of the omburtamab program. We cannot provide any assurance that we will be able to obtain additional capital from additional equity or debt financings, collaborations, licensing arrangements, or other sources.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Since our inception on April 30, 2015, we have devoted substantially all of our resources to organizing and staffing our company, business planning, identifying potential product candidates, conducting pre-clinical studies of our product candidates and clinical trials of our lead product candidates, commercializing our approved product, raising capital, and acquiring and developing our technology platform among other matters. We developed DANYELZA and our product candidates based on intellectual property subject to several license agreements with MSK, and one agreement with the Massachusetts Institute of Technology. These agreements are important to our business; for a more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detailed discussion of their terms and conditions, see </w:t>
      </w:r>
      <w:r>
        <w:rPr>
          <w:rFonts w:ascii="Times New Roman;Times;serif" w:hAnsi="Times New Roman;Times;serif"/>
          <w:i/>
          <w:sz w:val="20"/>
        </w:rPr>
        <w:t xml:space="preserve">NOTE 9—LICENSE AGREEMENTS AND COMMITMENTS </w:t>
      </w:r>
      <w:r>
        <w:rPr>
          <w:rFonts w:ascii="Times New Roman;Times;serif" w:hAnsi="Times New Roman;Times;serif"/>
          <w:sz w:val="20"/>
        </w:rPr>
        <w:t>in Consolidated Financial Statements included in our Annual Report on Form 10-K for the year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date, we have financed our operations primarily through private placements of our securities, proceeds from our IPO and proceeds from our two subsequent public offerings, product and license revenues generated from DANYELZA, and the proceeds from our sale of our Priority Review Voucher, or PRV, obtained upon FDA approval of DANYELZA.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2023 and December 31, 2022, we had an accumulated deficit of $456.5 million and $436.0 million, respectively. We experienced net losses of $7.7 million and $20.4 million for the three and nine months ended September 30, 2023, and our net loss was $27.5 million and $96.7 million for the three and nine months ended September 30, 2022. We have incurred significant net operating losses in every year since our inception and expect to continue to incur net operating losses and significant expenses for the foreseeable future. Our net losses may fluctuate significantly from quarter to quarter and year to year as we:</w:t>
      </w:r>
    </w:p>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advance our lead product candidates through the regulatory process both in the U.S. and internationally;</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advance our other product candidates through pre-clinical and clinical development;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identify additional research programs and additional product candidates, as well as additional indications for existing product candidates;</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pre-clinical studies and clinical trials for any additional product candidates we identify;</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maintain, expand and protect our intellectual property portfolio; and</w:t>
            </w:r>
          </w:p>
        </w:tc>
      </w:tr>
    </w:tbl>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hire additional research, sales force, commercialization, clinical and scientific personnel.</w:t>
            </w:r>
            <w:r>
              <w:rPr>
                <w:caps w:val="false"/>
                <w:smallCaps w:val="false"/>
              </w:rPr>
              <w:t xml:space="preserve"> </w:t>
            </w:r>
          </w:p>
        </w:tc>
      </w:tr>
    </w:tbl>
    <w:p>
      <w:pPr>
        <w:pStyle w:val="TextBody"/>
        <w:bidi w:val="0"/>
        <w:spacing w:before="0" w:after="240"/>
        <w:ind w:left="1134"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DANYELZA, and for any other product candidates for which we obtain regulatory approval, if any, we expect to incur significant milestone costs, as well as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 of our product candidates is uncertain,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Developments and Other Developments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New Chief Executive Officer and Executive Officer Transition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6, 2023, our new President and Chief Executive Officer started at the Company. As part of the transition, our President, Interim Chief Executive Officer and Head of Business Development and Strategy transitioned to the position of Chief Business Officer.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Omburtamab BLA and Advisory Committee Meeting </w:t>
      </w:r>
    </w:p>
    <w:p>
      <w:pPr>
        <w:pStyle w:val="TextBody"/>
        <w:bidi w:val="0"/>
        <w:spacing w:lineRule="auto" w:line="240" w:before="0" w:after="240"/>
        <w:ind w:left="0" w:right="0" w:firstLine="720"/>
        <w:jc w:val="both"/>
        <w:rPr>
          <w:rFonts w:ascii="Times New Roman;Times;serif" w:hAnsi="Times New Roman;Times;serif"/>
          <w:sz w:val="20"/>
        </w:rPr>
      </w:pPr>
      <w:bookmarkStart w:id="1013" w:name="_Hlk118454455"/>
      <w:bookmarkEnd w:id="1013"/>
      <w:r>
        <w:rPr>
          <w:rFonts w:ascii="Times New Roman;Times;serif" w:hAnsi="Times New Roman;Times;serif"/>
          <w:sz w:val="20"/>
        </w:rPr>
        <w:t xml:space="preserve">In August 2016, the FDA granted Orphan Drug Designation, or ODD, to omburtamab for NB, and in June 2017, the compound received breakthrough designation for the treatment of pediatric patients with R/R NB who have central nervous system, or CNS, leptomeningeal metastases, or LM, from NB. We submitted a BLA to the FDA for omburtamab for CNS /LM from NB in August 2020, and received a Refusal-to-File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We completed the resubmission of the BLA for omburtamab in March 2022 following a series of meetings with the FDA, and in May 2022, the agency accepted our BLA for priority review. In October 2022, we met with the FDA’s Oncologic Drugs Advisory Committee, or ODAC, who reviewed </w:t>
      </w:r>
      <w:r>
        <w:rPr>
          <w:rFonts w:ascii="Times New Roman;Times;serif" w:hAnsi="Times New Roman;Times;serif"/>
          <w:sz w:val="15"/>
        </w:rPr>
        <w:t>131</w:t>
      </w:r>
      <w:r>
        <w:rPr>
          <w:rFonts w:ascii="Times New Roman;Times;serif" w:hAnsi="Times New Roman;Times;serif"/>
          <w:sz w:val="20"/>
        </w:rPr>
        <w:t>I-omburtamab and voted 16 to 0 that we had not provided sufficient evidence to conclude that omburtamab improves overall survival. In December 2022, we received a complete response letter, or CRL, for the BLA. In the CRL, and in our Type A meeting held subsequent to receipt of the CRL, the FDA made recommendations for us to consider in terms of trial design to demonstrate substantial evidence of effectiveness and a favorable benefit-risk profile. We are currently considering the future for our omburtamab development program and have requested an 18 month extension of the BLA in October 2023. We can provide no assurance that the development of omburtamab will continue or that omburtamab will ultimately receive FDA approval.</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DANYELZA Regulatory Developments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26, 2022, we announced that our partner Adium Pharma S.A. (“Adium”) submitted a regulatory filing for DANYELZA for the treatment of patients with R/R high-risk NB to the Brazilian Health Regulatory Agency. On May 23, 2023, the Brazilian Health Regulatory Agency granted marketing authorization for DANYELZA. Our distribution agreement with Adium contains no regulatory license revenue milestones related to the Brazilian Health Regulatory Agency marketing authorization. In September 2023, DANYELZA received marketing authorization in Mexico. We recognized $0.5 million of regulatory-based license revenue from Adium pursuant to our distribution agreement with Adium for the three and nine months ended September 30, 2023 in connection with the achievement of the marketing authorization in Mexico.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entered into a license agreement for DANYELZA and omburtamab with SciClone Pharmaceuticals International Ltd., or SciClone, for Greater China, including Mainland China, Taiwan, Hong Kong and Macau in December 2020. For the nine months ended September 30, 2023, we recorded $3.5 million of product revenue and related royalties from the commercial launch inventory stocking order from our distribution partner, SciClone.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Known Trends, Geopolitical Events and Uncertainties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24, 2022, Russia launched a wide-ranging attack on Ukraine. The resulting conflict and retaliatory measures by the global community have created global security concerns, including the possibility of expanded regional or global conflict, which have had and are likely to continue to have, short-term and longer-term adverse impacts on Russia, Ukraine and Europe and around the globe. Sanctions issued by the U.S. and other countries against Russia and related counter-sanctions issued by Russia have made it very difficult for us to operate in Russia, and we terminated our clinical trials of DANYELZA in Russia and put on hold our regulatory activities to obtain marketing authorization for DANYELZA in Russia. This has negatively impacted our plans to commercialize and sell DANYELZA in Russia and may therefore adversely affect our business. In addition, the war between Russia and Ukraine has had significant ramifications on global financial and energy markets, including volatility in the U.S. and global financial markets, which has led to disruptions to trade, commerce, pricing stability, credit availability, supply-chain continuity and reduced access to liquidity globally, and has caused and may continue to cause volatility in the price of our common stock, which may adversely impact our ability to raise capital on favorable terms or at all.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full economic and social impact of the sanctions imposed on Russia and possible future punitive measures that may be implemented, as well as the counter measures imposed by Russia, in addition to the ongoing military conflict between Ukraine and Russia remains uncertain; however, both the conflict and related sanctions have resulted and could continue to result in disruptions to trade, commerce, pricing stability, credit availability and supply-chain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continuity and reduced access to liquidity on acceptable terms, in both Europe and globally, and has introduced significant uncertainty into global markets.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on October 7, 2023, Hamas militants infiltrated Israel’s southern border from the Gaza Strip and conducted a series of attacks on civilian and military targets. Following the attack, Israel’s security cabinet declared war against Hamas. It is currently not possible to predict the duration or severity of the ongoing conflict, whether it will develop into a wider regional conflict or its effects on our business, operations and financial conditions. The ongoing conflict is rapidly evolving and developing and may have a material adverse impact on our business and/or our partners. For example, it may have an adverse impact on Takeda Israel’s ability to sell our products and/or collect receivables from customers in the State of Israel pursuant to the exclusive licensing and distribution agreement we entered into with Takeda Israel in November 2022, or the Takeda Licensing agreement, as well as on Takeda Israel’s ability to pursue the development, marketing and/or commercialization of DANYELZA in the State of Israel, West Bank and Gaza Strip, which may ultimately have an adverse impact on the amount of royalties we receive pursuant to the Takeda Licensing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recent trends towards rising inflation may also materially affect our business and corresponding financial position and cash flows. Inflationary factors, such as increases in the cost of our clinical trial materials and supplies, interest rates and overhead costs have and may continue to adversely affect our operating results. Rising interest rates also present a recent challenge impacting the U.S. economy and could make it more difficult for us to obtain traditional financing on acceptable terms, if at all, in the future. Additionally, the general consensus among economists suggests that we should expect a higher recession risk to continue over the next year, which, together with the foregoing, could result in further economic uncertainty and volatility in the capital markets in the near term, and could negatively affect demand for our product and our operations. Furthermore, such economic conditions have produced downward pressure on share prices. We may experience increases in our operating costs, including our labor costs and research and development costs, due to supply-chain constraints, the ongoing conflict between Russia and Ukraine, the state of war between Israel and Hamas, and employee availability and wage increases, which may result in additional stress on our working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closures of Silicon Valley Bank and Signature Bank earlier in 2023 have resulted in broader financial institution liquidity risk and concerns, and future adverse developments with respect to specific financial institutions or the broader financial services industry may lead to market-wide liquidity shortages. The failure of any bank in which we deposit our funds could reduce the amount of cash we have available for our operations or corporate development or delay our ability to access such funds. Any such future bank failure may increase the possibility of a sustained deterioration of financial market liquidity, or illiquidity at clearing, cash management and/or custodial financial institutions. To help guard against that risk, our cash and cash equivalents are held at a large major federal, national bank. In the event we have a commercial relationship with a bank that has failed or is otherwise distressed, we may experience delays or other issues in meeting our financial obligations. If other banks and financial institutions fail or become insolvent in the future in response to financial conditions affecting the banking system and financial markets, our ability to access our cash and cash equivalents may be threatened and our ability to borrow or raise additional capital when needed to operate our business could be substantially impaired.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Components of Our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 Revenue,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Product revenue consists of sales of DANYELZA, and royalty revenue generated from the sales of DANYELZA.</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License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License revenue consists of payments received for the licensing rights to DANYELZA and omburtamab. Refer to </w:t>
      </w:r>
      <w:r>
        <w:rPr>
          <w:rFonts w:ascii="Times New Roman;Times;serif" w:hAnsi="Times New Roman;Times;serif"/>
          <w:i/>
          <w:sz w:val="20"/>
        </w:rPr>
        <w:t>NOTE 3—SUMMARY OF SIGNIFICANT ACCOUNTING POLICIES</w:t>
      </w:r>
      <w:r>
        <w:rPr>
          <w:rFonts w:ascii="Times New Roman;Times;serif" w:hAnsi="Times New Roman;Times;serif"/>
          <w:sz w:val="20"/>
        </w:rPr>
        <w:t xml:space="preserve"> for additional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Costs and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goods sold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goods sold includes direct and indirect costs related to the manufacturing and distribution of DANYELZA, including materials, third-party manufacturing costs, packaging services, freight, labor costs for personnel involved in the manufacturing process, indirect overhead costs, third-party royalties payable on our net product revenues and charges for excess and obsolete inventory reserves and inventory write-offs.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Licensing royalties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incurred certain third party royalty expenses related to third party licensing revenues, which are included in Licensing royalties.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Research and development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of expenses incurred in connection with the discovery and development of our product candidates. We expense research and development costs as incurred. These expenses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sponsored research, laboratory facility services, clinical trial and data service at MSK under the Sponsored Research Agreements, or the SRAs, the two CFSAs, the MCTA, and the MDSA, with MSK;</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CROs, as well as investigative sites and consultants that conduct our non-clinical and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CMOs, including manufacturing scale-up expenses and the cost of acquiring and manufacturing pre-clinical study and clinical trial materials, including manufacturing of validation batches;</w:t>
            </w:r>
          </w:p>
        </w:tc>
      </w:tr>
    </w:tbl>
    <w:tbl>
      <w:tblPr>
        <w:tblW w:w="9201" w:type="dxa"/>
        <w:jc w:val="left"/>
        <w:tblInd w:w="0" w:type="dxa"/>
        <w:tblLayout w:type="fixed"/>
        <w:tblCellMar>
          <w:top w:w="28" w:type="dxa"/>
          <w:left w:w="28" w:type="dxa"/>
          <w:bottom w:w="28" w:type="dxa"/>
          <w:right w:w="28" w:type="dxa"/>
        </w:tblCellMar>
      </w:tblPr>
      <w:tblGrid>
        <w:gridCol w:w="124"/>
        <w:gridCol w:w="256"/>
        <w:gridCol w:w="8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upfront, milestone and other non-revenue related payments due under our third party licensing agreements;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which include salaries, benefits, travel and stock-based compensation;</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regulatory activities, including filing fees paid to regulatory agencies;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outsourced professional scientific development services;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allocated expenses for utilities and other facility-related costs, including rent, insurance, supplies and maintenance expenses, and other operating costs.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successful development and regulatory approval of our product candidates is highly uncertain. At this time, we cannot reasonably estimate or know the nature, timing and costs of the efforts that will be necessary to complete the remainder of the development of DANYELZA or any other product candidates we may develop. This uncertainty is due to the numerous risks and uncertainties associated with the duration and cost of clinical trials, which vary significantly over the life of a project as a result of many factors, including, but not limited to:</w:t>
      </w:r>
    </w:p>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length of time required to enroll a sufficient number of suitable patients in our clinical trials;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probability of success for our product candidates, including the safety and efficacy, early clinical data, competition, manufacturing capability and commercial viability;</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 changing government regulation and regulatory guidance;</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our existing and any future collaborators;</w:t>
            </w:r>
          </w:p>
        </w:tc>
      </w:tr>
    </w:tbl>
    <w:tbl>
      <w:tblPr>
        <w:tblW w:w="3531" w:type="dxa"/>
        <w:jc w:val="left"/>
        <w:tblInd w:w="0" w:type="dxa"/>
        <w:tblLayout w:type="fixed"/>
        <w:tblCellMar>
          <w:top w:w="28" w:type="dxa"/>
          <w:left w:w="28" w:type="dxa"/>
          <w:bottom w:w="28" w:type="dxa"/>
          <w:right w:w="28" w:type="dxa"/>
        </w:tblCellMar>
      </w:tblPr>
      <w:tblGrid>
        <w:gridCol w:w="124"/>
        <w:gridCol w:w="256"/>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patients receive;</w:t>
            </w:r>
          </w:p>
        </w:tc>
      </w:tr>
    </w:tbl>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clinical trials and pre-clinical studies;</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of commercial manufacturing capabilities;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 ongoing availability of raw materials and drug substance for clinical development and any commercial sales;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potential regulatory approvals, including the timing of any BLA and Marketing Authorization Application, or MAA, submissions and their acceptance;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receipt of marketing approvals, including a safety, tolerability and efficacy profile that is satisfactory to the FDA, EMA, or any other non-U.S. regulatory authority;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requirement by the FDA, the EMA or any other non-US regulatory authority to conduct post market surveillance or safety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of filing, prosecuting, defending and enforcing any patent claims and other intellectual property rights; and</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commercialization of approved products.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 product candidate could mean a significant change in the costs and timing associated with the development of that product candidate. For example, in its CRL for omburtamab, and in our Type A meeting held subsequent to receipt of the CRL, the FDA made recommendations for us to consider in terms of a potential trial design to demonstrate substantial evidence of effectiveness and a favorable benefit-risk profile. If we are required and we determine to conduct additional clinical trials of a product candidate, including if we determine to resume development of omburtamab, we will need substantial additional funds and there is no assurance that the results of any such additional clinical trials will be sufficient for approval.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Our research and development expenses include personnel costs, including stock-based compensation, and the costs of conducting clinical trials and potentially preparing regulatory submissions for our pipeline candidates, including supplementary regulatory submissions for DANYELZA. In January 2023 we announced a strategic restructuring plan designed to extend our cash resources and prioritize resources on the commercialization and potential label extension of DANYELZA and development of the SADA technology platform. In addition to deprioritizing the omburtamab program for all indications and product candidates, we have deprioritized other pipeline programs, including activities relating to the GD2-GD3 Vaccine and CD33 bispecific antibody constructs by delaying trial initiation and overall timelines as part of the restructuring plan. Our research and development expenses have decreased as a result of our January 2023 restructuring.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expenses consist primarily of employee related expenses, including salaries, bonus, benefits, and stock-based compensation expenses for personnel in executive, commercial, finance and administrative functions. Other significant costs include facility costs not otherwise included in research and development expenses or cost of goods sold, legal fees relating to corporate matters, and fees for patent, accounting, tax, and consulting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selling, general, and administrative, or SG&amp;A, expenses decreased in the nine months ended September 30, 2023 due to our January 2023 restructuring. SG&amp;A expenses include administrative costs to support continued research and development activities, potential commercialization of additional product candidates and additional indications and costs associated with operating as a public company, including expenses related to services associated with maintaining compliance with exchange listing and SEC requirements, director and officer insurance costs and investor and public relations costs.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Income / (Loss),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Other income / (loss), net primarily consists of interest income earned on our money market fund and foreign currency transaction gains and losses. Other income / (loss), net can vary quarter-to-quarter based on interest rates and foreign currency fluctuations.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 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our significant accounting policies are described in more detail in the notes to our financial statements appearing elsewhere in this Quarterly Report on Form 10-Q, we believe the following accounting policies to be most critical to the judgments and estimates used in the preparation of our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net product revenues, the accrual for research and development expenses, the accrual of milestone and royalty payments, the valuation of stock options and asset impairments. Estimates are periodically reviewed in light of changes in circumstances, facts and experience. Changes in estimates are recorded in the period in which they become known. Actual results could differ from those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full extent to which the macroeconomic conditions will directly or indirectly impact our business, results of operations and financial condition, including revenues, expenses, manufacturing, clinical trials, research and development costs and employee-related amounts, will depend on future developments that are highly uncertain, including as a result of the economic impact on local, regional, national and international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Product Revenue,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recognize revenue from sales of DANYELZA at a point in time when our customer is deemed to have obtained control of the product, which generally occurs upon receipt at the end-user hospital for sales in the United States, and upon delivery to the distributors for sales in the international territories.</w:t>
      </w:r>
    </w:p>
    <w:p>
      <w:pPr>
        <w:pStyle w:val="TextBody"/>
        <w:bidi w:val="0"/>
        <w:spacing w:before="0" w:after="0"/>
        <w:ind w:left="0" w:right="0" w:firstLine="720"/>
        <w:jc w:val="left"/>
        <w:rPr>
          <w:rFonts w:ascii="Times New Roman;Times;serif" w:hAnsi="Times New Roman;Times;serif"/>
          <w:sz w:val="20"/>
        </w:rPr>
      </w:pPr>
      <w:bookmarkStart w:id="1014" w:name="_Hlk107143362"/>
      <w:bookmarkEnd w:id="1014"/>
      <w:r>
        <w:rPr>
          <w:rFonts w:ascii="Times New Roman;Times;serif" w:hAnsi="Times New Roman;Times;serif"/>
          <w:sz w:val="20"/>
        </w:rPr>
        <w:t>The vast majority of our product sales were in the United States with additional sales outside the United States in China, Europe, Latin America and Israel through sublicenses and distribution agreements. The Company had product sales to certain customers that accounted for more than 10% of total product revenue, net for the three and nine months ended September 30, 2023 and 2022. McKesson, AmerisourceBergen, WEP and Cardinal Health accounted for 48%, 18%, 15% and 14%, respectively, of our product revenue, net, for the three months ended September 30, 2023. McKesson and AmerisourceBergen accounted for 78% and 14%, respectively, of our product revenue, net, for the three months ended September 30, 2022. McKesson, AmerisourceBergen and Cardinal Health accounted for 45%, 22% and 13%, respectively, of our product revenue, net, for the nine months ended September 30, 2023. McKesson and AmerisourceBergen accounted for 69% and 16%, respectively, of our product revenue, net, for the nine months ended September 30, 2022. We recognized royalty revenue from our distribution partners of $0.4 million and $58 thousand in the three months ended September 30, 2023 and 2022, respectively, and $3.8 million and $1.4 million in the nine months ended September 30, 2023 and 2022, respectively.</w:t>
      </w:r>
    </w:p>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The amount of revenue we recognize from sales of DANYELZA varies due to rebates, chargebacks and discounts provided under governmental and other programs, distribution-related fees and other sales-related deductions. In order to determine those deductions, we estimate, utilizing the expected value method, the amount of revenue that we will ultimately be entitled to. This estimate is based upon contracts with customers and government agencies, statutorily-defined discounts applicable to government-funded programs, estimated payor mix, and other relevant factors. Calculating these amounts involves estimates and judgments.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License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 determine revenue recognition for arrangements that we determine are within the scope of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arrangements that meet the definition of a contract with a customer under ASC 606, including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there are multiple distinct performance obligations, we allocate the transaction price to each distinct performance obligation based on our relative standalone selling price. In assessing whether a promised good or service is distinct in the evaluation of a license arrangement subject to ASC 606, we consider factors such as the research, manufacturing and commercialization capabilities of the licensing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combine that good or service with other promised goods or services until it identifies a bundle of goods or services that is distinct.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Research and Development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costs are charged to operations when incurred and are included in operating expenses. Research and development costs consist principally of compensation cost for our employees and consultants that perform our research activities, the costs to obtain and maintain our licenses, the payments to third-party CMOs and CROs for additional product manufacturing and development, and consumables and other materials used in research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development. We record accruals for estimated ongoing research costs. When evaluating the adequacy of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CD33 License, MabVax/Y-mAbs Sublicense, and SADA License Agreement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pStyle w:val="TextBody"/>
        <w:bidi w:val="0"/>
        <w:spacing w:before="12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Fair Value Measurements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pStyle w:val="TextBody"/>
        <w:bidi w:val="0"/>
        <w:spacing w:before="0" w:after="240"/>
        <w:ind w:left="0" w:right="0" w:firstLine="720"/>
        <w:jc w:val="left"/>
        <w:rPr/>
      </w:pPr>
      <w:r>
        <w:rPr/>
        <w:t xml:space="preserve">• </w:t>
      </w:r>
      <w:r>
        <w:rPr>
          <w:rFonts w:ascii="Times New Roman;Times;serif" w:hAnsi="Times New Roman;Times;serif"/>
          <w:sz w:val="20"/>
        </w:rPr>
        <w:t>Level 1 — Unadjusted quoted prices for identical assets or liabilities in active markets;</w:t>
      </w:r>
    </w:p>
    <w:p>
      <w:pPr>
        <w:pStyle w:val="TextBody"/>
        <w:pBdr/>
        <w:bidi w:val="0"/>
        <w:spacing w:before="0" w:after="240"/>
        <w:ind w:left="720" w:right="0" w:hanging="1080"/>
        <w:jc w:val="left"/>
        <w:rPr/>
      </w:pPr>
      <w:r>
        <w:rPr/>
        <w:t xml:space="preserve">• </w:t>
      </w:r>
      <w:r>
        <w:rPr>
          <w:rFonts w:ascii="Times New Roman;Times;serif" w:hAnsi="Times New Roman;Times;serif"/>
          <w:sz w:val="20"/>
        </w:rPr>
        <w:t>Level 2 — Inputs other than quoted prices in active markets for identical assets and liabilities that are observable either directly or indirectly for substantially the full term of the asset or liability; and</w:t>
      </w:r>
    </w:p>
    <w:p>
      <w:pPr>
        <w:pStyle w:val="TextBody"/>
        <w:pBdr/>
        <w:bidi w:val="0"/>
        <w:spacing w:before="0" w:after="240"/>
        <w:ind w:left="720" w:right="0" w:hanging="1080"/>
        <w:jc w:val="left"/>
        <w:rPr/>
      </w:pPr>
      <w:r>
        <w:rPr/>
        <w:t xml:space="preserve">• </w:t>
      </w:r>
      <w:r>
        <w:rPr>
          <w:rFonts w:ascii="Times New Roman;Times;serif" w:hAnsi="Times New Roman;Times;serif"/>
          <w:sz w:val="20"/>
        </w:rPr>
        <w:t>Level 3 — Unobservable inputs for the asset or liability, which include management's own assumption about the assumptions market participants would use in pricing the asset or liability, including assumptions about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cash equivalents are carried at fair value, determined according to the fair value hierarchy described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measure stock options granted to employees, directors, and consultants based on the fair value on the date of the grant and recognize compensation expense of those awards, over the requisite service period, which is the vesting period of the respective award for employees and directors. Forfeitures are accounted for as they occur. We issue stock options to employees and directors with only service based vesting conditions and record the expense for these awards using the Straight-line method over the requisite service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each stock option grant is estimated on the date of grant using the Black Scholes option pricing model. Historically, we have been a private company and lack company specific historical and implied volatility information for our shares. Therefore, we estimate our expected share price volatility based on a combination of the historical volatility of a group of publicly traded peer companies and the historical volatility of the Y-mAbs share price,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risk 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Stock Options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each stock option grant is estimated on the date of grant using the Black Scholes option pricing model. The assumptions used to determine the fair value of the granted stock options were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 The risk free interest rate assumption is based on the U.S. Treasury instruments whose terms were consistent with the expected option term of our stock options.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Yield: The expected dividend yield assumption is based on the fact that we have never paid cash dividends and have no present intention to pay cash dividends. Consequently, we used an expected dividend of zero.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 The expected stock price volatility is estimated by taking the average historic price volatility of the share price of our common stock and industry peers, and adjusting for differences in life cycle and financing leverage. Our industry peers consist of several public companies in the biopharmaceutical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We determine the average expected life of stock options based on the simplified method in accordance with SEC Staff Accounting Bulletin Nos. 107 and 110. We expect to continue to use the simplified method until we have sufficient historical exercise data to provide a reasonable basis upon which to estimate the expected term.</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September 30, 2023 and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September 30, 2023 and 2022:</w:t>
      </w:r>
    </w:p>
    <w:tbl>
      <w:tblPr>
        <w:tblW w:w="9169" w:type="dxa"/>
        <w:jc w:val="left"/>
        <w:tblInd w:w="0" w:type="dxa"/>
        <w:tblLayout w:type="fixed"/>
        <w:tblCellMar>
          <w:top w:w="0" w:type="dxa"/>
          <w:left w:w="0" w:type="dxa"/>
          <w:bottom w:w="0" w:type="dxa"/>
          <w:right w:w="0" w:type="dxa"/>
        </w:tblCellMar>
      </w:tblPr>
      <w:tblGrid>
        <w:gridCol w:w="3286"/>
        <w:gridCol w:w="326"/>
        <w:gridCol w:w="211"/>
        <w:gridCol w:w="691"/>
        <w:gridCol w:w="326"/>
        <w:gridCol w:w="211"/>
        <w:gridCol w:w="796"/>
        <w:gridCol w:w="146"/>
        <w:gridCol w:w="270"/>
        <w:gridCol w:w="1020"/>
        <w:gridCol w:w="326"/>
        <w:gridCol w:w="869"/>
        <w:gridCol w:w="69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86610" cy="175260"/>
                      <wp:effectExtent l="0" t="0" r="0" b="0"/>
                      <wp:wrapNone/>
                      <wp:docPr id="159" name="Frame159"/>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38785" cy="175260"/>
                      <wp:effectExtent l="0" t="0" r="0" b="0"/>
                      <wp:wrapNone/>
                      <wp:docPr id="162" name="Frame1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05460" cy="175260"/>
                      <wp:effectExtent l="0" t="0" r="0" b="0"/>
                      <wp:wrapNone/>
                      <wp:docPr id="165" name="Frame1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92710" cy="175260"/>
                      <wp:effectExtent l="0" t="0" r="0" b="0"/>
                      <wp:wrapNone/>
                      <wp:docPr id="166" name="Frame16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71450" cy="175260"/>
                      <wp:effectExtent l="0" t="0" r="0" b="0"/>
                      <wp:wrapNone/>
                      <wp:docPr id="167" name="Frame167"/>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7700" cy="175260"/>
                      <wp:effectExtent l="0" t="0" r="0" b="0"/>
                      <wp:wrapNone/>
                      <wp:docPr id="168" name="Frame168"/>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51815" cy="175260"/>
                      <wp:effectExtent l="0" t="0" r="0" b="0"/>
                      <wp:wrapNone/>
                      <wp:docPr id="170" name="Frame170"/>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38785" cy="175260"/>
                      <wp:effectExtent l="0" t="0" r="0" b="0"/>
                      <wp:wrapNone/>
                      <wp:docPr id="171" name="Frame1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46" w:type="dxa"/>
            <w:tcBorders/>
            <w:vAlign w:val="center"/>
          </w:tcPr>
          <w:p>
            <w:pPr>
              <w:pStyle w:val="TableContents"/>
              <w:bidi w:val="0"/>
              <w:spacing w:before="0" w:after="1"/>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Change</w:t>
            </w:r>
          </w:p>
        </w:tc>
        <w:tc>
          <w:tcPr>
            <w:tcW w:w="326"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Change</w: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1"/>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 vs. 2022</w:t>
            </w:r>
          </w:p>
        </w:tc>
        <w:tc>
          <w:tcPr>
            <w:tcW w:w="326" w:type="dxa"/>
            <w:tcBorders/>
            <w:vAlign w:val="center"/>
          </w:tcPr>
          <w:p>
            <w:pPr>
              <w:pStyle w:val="TableContents"/>
              <w:bidi w:val="0"/>
              <w:spacing w:before="0" w:after="1"/>
              <w:ind w:left="0" w:right="0" w:hanging="0"/>
              <w:jc w:val="left"/>
              <w:rPr/>
            </w:pPr>
            <w:r>
              <w:rPr/>
              <w:t>    </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 vs. 2022</w:t>
            </w:r>
          </w:p>
        </w:tc>
      </w:tr>
      <w:tr>
        <w:trPr/>
        <w:tc>
          <w:tcPr>
            <w:tcW w:w="916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1"/>
              <w:ind w:left="0" w:right="0" w:hanging="0"/>
              <w:jc w:val="left"/>
              <w:rPr/>
            </w:pPr>
            <w:r>
              <w:rPr/>
              <w:t>​</w:t>
            </w:r>
          </w:p>
        </w:tc>
        <w:tc>
          <w:tcPr>
            <w:tcW w:w="1616"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86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12,537</w:t>
            </w:r>
          </w:p>
        </w:tc>
        <w:tc>
          <w:tcPr>
            <w:tcW w:w="1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7,417</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12,537</w:t>
            </w:r>
          </w:p>
        </w:tc>
        <w:tc>
          <w:tcPr>
            <w:tcW w:w="14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7,917</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270"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2,475</w:t>
            </w:r>
          </w:p>
        </w:tc>
        <w:tc>
          <w:tcPr>
            <w:tcW w:w="1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691" w:type="dxa"/>
            <w:tcBorders/>
            <w:shd w:fill="CCEEFF" w:val="cle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royalties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691" w:type="dxa"/>
            <w:tcBorders/>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22,453</w:t>
            </w:r>
          </w:p>
        </w:tc>
        <w:tc>
          <w:tcPr>
            <w:tcW w:w="1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(7,095)</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691" w:type="dxa"/>
            <w:tcBorders/>
            <w:shd w:fill="CCEEFF" w:val="cle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13,626</w:t>
            </w:r>
          </w:p>
        </w:tc>
        <w:tc>
          <w:tcPr>
            <w:tcW w:w="14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(3,426)</w:t>
            </w:r>
          </w:p>
        </w:tc>
        <w:tc>
          <w:tcPr>
            <w:tcW w:w="326" w:type="dxa"/>
            <w:tcBorders/>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38,554</w:t>
            </w:r>
          </w:p>
        </w:tc>
        <w:tc>
          <w:tcPr>
            <w:tcW w:w="14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(10,351)</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(26,017)</w:t>
            </w:r>
          </w:p>
        </w:tc>
        <w:tc>
          <w:tcPr>
            <w:tcW w:w="1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18,268</w:t>
            </w:r>
          </w:p>
        </w:tc>
        <w:tc>
          <w:tcPr>
            <w:tcW w:w="32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691" w:type="dxa"/>
            <w:tcBorders/>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 (LOSS),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(1,509)</w:t>
            </w:r>
          </w:p>
        </w:tc>
        <w:tc>
          <w:tcPr>
            <w:tcW w:w="14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1,698</w:t>
            </w:r>
          </w:p>
        </w:tc>
        <w:tc>
          <w:tcPr>
            <w:tcW w:w="326" w:type="dxa"/>
            <w:tcBorders/>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(27,526)</w:t>
            </w:r>
          </w:p>
        </w:tc>
        <w:tc>
          <w:tcPr>
            <w:tcW w:w="1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19,966</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691" w:type="dxa"/>
            <w:tcBorders/>
            <w:shd w:fill="CCEEFF" w:val="cle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(27,526)</w:t>
            </w:r>
          </w:p>
        </w:tc>
        <w:tc>
          <w:tcPr>
            <w:tcW w:w="14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19,779</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recorded $20.0 million and $12.5 million in product revenue, net for the three months ended September 30, 2023 and 2022, respectively. The $7.5 million increase was primarily driven by an increase in new US patients and an incremental benefit from expanding into international markets as discussed further in </w:t>
      </w:r>
      <w:r>
        <w:rPr>
          <w:rFonts w:ascii="Times New Roman;Times;serif" w:hAnsi="Times New Roman;Times;serif"/>
          <w:i/>
          <w:sz w:val="20"/>
        </w:rPr>
        <w:t>NOTE 4</w:t>
      </w:r>
      <w:r>
        <w:rPr>
          <w:rFonts w:ascii="Times New Roman;Times;serif" w:hAnsi="Times New Roman;Times;serif"/>
          <w:sz w:val="20"/>
        </w:rPr>
        <w:t xml:space="preserve">— </w:t>
      </w:r>
      <w:r>
        <w:rPr>
          <w:rFonts w:ascii="Times New Roman;Times;serif" w:hAnsi="Times New Roman;Times;serif"/>
          <w:i/>
          <w:sz w:val="20"/>
        </w:rPr>
        <w:t>PRODUCT REVENUE, NET</w:t>
      </w:r>
      <w:r>
        <w:rPr>
          <w:rFonts w:ascii="Times New Roman;Times;serif" w:hAnsi="Times New Roman;Times;serif"/>
          <w:sz w:val="20"/>
        </w:rPr>
        <w:t xml:space="preserve">. The geographic breakout for the product revenue, net between in the United States and other countries for the three months ended September 30, 2023 was $16.1 million and $3.9 million, respectively. The geographic breakout for the product revenue, net between in the United States and other countries for the three months ended September 30, 2022, was $12.4 million and $0.1 million, respectively. Our product revenue, net from other countries for the three months ended September 30, 2023 included $3.1 million of product revenue from our distribution partner, WEP. We recognized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royalty revenue from our distribution partners of $0.4 million and $58,000 in the three months ended September 30, 2023 and 2022,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we recorded $0.5 million in license revenue for the three months ended September 30, 2023. The license revenue was recognized upon the September 2023 achievement of marketing authorization for DANYELZA in Mexico within the terms of the non-refundable license milestone under our sublicense agreement with Adium. There is no license revenue recognized for the three months ended September 30, 2022.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goods sold was $2.6 million and $2.5 million for the three months ended September 30, 2023 and 2022, respectively. The increased cost of goods sold was primarily driven by increased product revenue and an inventory charge of $0.4 million in the three months ended September 30, 2023, partially offset by a $1.2 million charge related to a batch that did not meet our quality specifications recognized in the three months ended September 30, 2022. Excluding the $1.2 million charge recognized in the three months ended September 30, 2022, our gross margin decreased in the three months ended September 30, 2023, compared to 2022, as a result of increased revenues from geographic areas outside of the United States, which were at a lower gross margin. Our cost of goods sold includes amounts related to materials, third-party contract manufacturing, third-party packaging services, freight, labor costs for personnel involved in the manufacturing process, third-party royalties for approved products, and indirect overhead costs.</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License Royalties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We incurred license royalty expenses of $50,000 during the three months ended September 30, 2023, related to licensing revenues recognized upon the September 2023 achievement of marketing authorization for DANYELZA in Mexico within the terms of the non-refundable license milestone under our sublicense agreement with Adium. which are included in Licensing Revenue on the Consolidated Statements of Net Loss and Comprehensive Loss. We did not incur license royalty expenses during the three months ended September 30, 2022.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record our research and development expenses on a program by program or on a product-by-product basis as they primarily relate to personnel, research, manufacturing, license fees, and consumable costs, which are simultaneously deployed across multiple projects under development. These costs are included in the table below.</w:t>
      </w:r>
    </w:p>
    <w:tbl>
      <w:tblPr>
        <w:tblW w:w="8555" w:type="dxa"/>
        <w:jc w:val="left"/>
        <w:tblInd w:w="0" w:type="dxa"/>
        <w:tblLayout w:type="fixed"/>
        <w:tblCellMar>
          <w:top w:w="0" w:type="dxa"/>
          <w:left w:w="0" w:type="dxa"/>
          <w:bottom w:w="0" w:type="dxa"/>
          <w:right w:w="0" w:type="dxa"/>
        </w:tblCellMar>
      </w:tblPr>
      <w:tblGrid>
        <w:gridCol w:w="3391"/>
        <w:gridCol w:w="326"/>
        <w:gridCol w:w="211"/>
        <w:gridCol w:w="676"/>
        <w:gridCol w:w="326"/>
        <w:gridCol w:w="211"/>
        <w:gridCol w:w="676"/>
        <w:gridCol w:w="326"/>
        <w:gridCol w:w="282"/>
        <w:gridCol w:w="843"/>
        <w:gridCol w:w="326"/>
        <w:gridCol w:w="500"/>
        <w:gridCol w:w="461"/>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53285" cy="175260"/>
                      <wp:effectExtent l="0" t="0" r="0" b="0"/>
                      <wp:wrapNone/>
                      <wp:docPr id="172" name="Frame172"/>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29260" cy="175260"/>
                      <wp:effectExtent l="0" t="0" r="0" b="0"/>
                      <wp:wrapNone/>
                      <wp:docPr id="175" name="Frame1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29260" cy="175260"/>
                      <wp:effectExtent l="0" t="0" r="0" b="0"/>
                      <wp:wrapNone/>
                      <wp:docPr id="178" name="Frame1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79070" cy="175260"/>
                      <wp:effectExtent l="0" t="0" r="0" b="0"/>
                      <wp:wrapNone/>
                      <wp:docPr id="180" name="Frame180"/>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35305" cy="175260"/>
                      <wp:effectExtent l="0" t="0" r="0" b="0"/>
                      <wp:wrapNone/>
                      <wp:docPr id="181" name="Frame181"/>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17500" cy="175260"/>
                      <wp:effectExtent l="0" t="0" r="0" b="0"/>
                      <wp:wrapNone/>
                      <wp:docPr id="183" name="Frame183"/>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92735" cy="175260"/>
                      <wp:effectExtent l="0" t="0" r="0" b="0"/>
                      <wp:wrapNone/>
                      <wp:docPr id="184" name="Frame184"/>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241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r>
      <w:tr>
        <w:trPr/>
        <w:tc>
          <w:tcPr>
            <w:tcW w:w="855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Outsourced manufacturing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8,459</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(5,650)</w:t>
            </w:r>
          </w:p>
        </w:tc>
        <w:tc>
          <w:tcPr>
            <w:tcW w:w="326"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trials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2,560</w:t>
            </w:r>
          </w:p>
        </w:tc>
        <w:tc>
          <w:tcPr>
            <w:tcW w:w="32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61" w:type="dxa"/>
            <w:tcBorders/>
            <w:vAlign w:val="center"/>
          </w:tcPr>
          <w:p>
            <w:pPr>
              <w:pStyle w:val="TableContents"/>
              <w:bidi w:val="0"/>
              <w:spacing w:before="0" w:after="1"/>
              <w:ind w:left="0" w:right="0" w:hanging="0"/>
              <w:jc w:val="left"/>
              <w:rPr/>
            </w:pPr>
            <w:r>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Outsourced research and supplies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2,158</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(1,970)</w:t>
            </w:r>
          </w:p>
        </w:tc>
        <w:tc>
          <w:tcPr>
            <w:tcW w:w="326"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461" w:type="dxa"/>
            <w:tcBorders/>
            <w:shd w:fill="CCEEFF" w:val="clear"/>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Milestones and license acquisition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4,125</w:t>
            </w:r>
          </w:p>
        </w:tc>
        <w:tc>
          <w:tcPr>
            <w:tcW w:w="326"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61" w:type="dxa"/>
            <w:tcBorders/>
            <w:vAlign w:val="center"/>
          </w:tcPr>
          <w:p>
            <w:pPr>
              <w:pStyle w:val="TableContents"/>
              <w:bidi w:val="0"/>
              <w:spacing w:before="0" w:after="1"/>
              <w:ind w:left="0" w:right="0" w:hanging="0"/>
              <w:jc w:val="left"/>
              <w:rPr/>
            </w:pPr>
            <w:r>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4,214</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(1,469)</w:t>
            </w:r>
          </w:p>
        </w:tc>
        <w:tc>
          <w:tcPr>
            <w:tcW w:w="326"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461" w:type="dxa"/>
            <w:tcBorders/>
            <w:shd w:fill="CCEEFF" w:val="clear"/>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and consulting fees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32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c>
          <w:tcPr>
            <w:tcW w:w="326"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461" w:type="dxa"/>
            <w:tcBorders/>
            <w:vAlign w:val="center"/>
          </w:tcPr>
          <w:p>
            <w:pPr>
              <w:pStyle w:val="TableContents"/>
              <w:bidi w:val="0"/>
              <w:spacing w:before="0" w:after="1"/>
              <w:ind w:left="0" w:right="0" w:hanging="0"/>
              <w:jc w:val="left"/>
              <w:rPr/>
            </w:pPr>
            <w:r>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1,875</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w:t>
            </w:r>
          </w:p>
        </w:tc>
        <w:tc>
          <w:tcPr>
            <w:tcW w:w="326"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461" w:type="dxa"/>
            <w:tcBorders/>
            <w:shd w:fill="CCEEFF" w:val="clear"/>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2,315</w:t>
            </w:r>
          </w:p>
        </w:tc>
        <w:tc>
          <w:tcPr>
            <w:tcW w:w="326"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326" w:type="dxa"/>
            <w:tcBorders/>
            <w:vAlign w:val="center"/>
          </w:tcPr>
          <w:p>
            <w:pPr>
              <w:pStyle w:val="TableContents"/>
              <w:bidi w:val="0"/>
              <w:spacing w:before="0" w:after="1"/>
              <w:ind w:left="0" w:right="0" w:hanging="0"/>
              <w:jc w:val="left"/>
              <w:rPr/>
            </w:pPr>
            <w:r>
              <w:rPr/>
              <w:t>​</w:t>
            </w:r>
          </w:p>
        </w:tc>
        <w:tc>
          <w:tcPr>
            <w:tcW w:w="5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33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22,453</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(7,095)</w:t>
            </w:r>
          </w:p>
        </w:tc>
        <w:tc>
          <w:tcPr>
            <w:tcW w:w="326" w:type="dxa"/>
            <w:tcBorders/>
            <w:shd w:fill="CCEEFF" w:val="clear"/>
            <w:vAlign w:val="center"/>
          </w:tcPr>
          <w:p>
            <w:pPr>
              <w:pStyle w:val="TableContents"/>
              <w:bidi w:val="0"/>
              <w:spacing w:before="0" w:after="1"/>
              <w:ind w:left="0" w:right="0" w:hanging="0"/>
              <w:jc w:val="left"/>
              <w:rPr/>
            </w:pPr>
            <w:r>
              <w:rPr/>
              <w:t>​</w:t>
            </w:r>
          </w:p>
        </w:tc>
        <w:tc>
          <w:tcPr>
            <w:tcW w:w="5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expenses were $15.4 million for the three months ended September 30, 2023, as compared to $22.5 million for the three months ended September 30, 2022. The $7.1 million decrease was primarily due to the decrease in spending on deprioritized programs, which resulted in a $5.7 million decrease in outsourced manufacturing, decreased personnel related costs, inclusive of stock-based compensation, of $2.0 million, a $2.0 million decrease in outsourced research and supplies, and a $0.3 million decrease in clinical trials, partially offset by a $4.1 million increase in milestones and license acquisition costs related to our SADA License Agreement, as we determined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certain time-based clinical milestones within the agreement are probable based on the availability of necessary data and the assessment of clinical progress in the third quarter of 2023. Please refer to </w:t>
      </w:r>
      <w:r>
        <w:rPr>
          <w:rFonts w:ascii="Times New Roman;Times;serif" w:hAnsi="Times New Roman;Times;serif"/>
          <w:i/>
          <w:sz w:val="20"/>
        </w:rPr>
        <w:t>NOTE 9— LICENSE AGREEMENTS AND COMMITMENTS</w:t>
      </w:r>
      <w:r>
        <w:rPr>
          <w:rFonts w:ascii="Times New Roman;Times;serif" w:hAnsi="Times New Roman;Times;serif"/>
          <w:sz w:val="20"/>
        </w:rPr>
        <w:t xml:space="preserve"> in the consolidated financial statements in this Quarterly Report on Form 10-Q for further discussion on our SADA License Agreement. Outsourced manufacturing decreased by $5.7 million primarily related to $2.0 million of naxitamab inventory vials that were designated for use in clinical trials during the three months ended September 30, 2022, $1.7 million decreased SADA production in the three months ended September 30, 2023, compared to the corresponding period in 2022, and $1.0 million decreased omburtamab production in the three months ended September 30, 2023, compared to the corresponding period in 2022.</w:t>
      </w:r>
    </w:p>
    <w:p>
      <w:pPr>
        <w:pStyle w:val="TextBody"/>
        <w:bidi w:val="0"/>
        <w:spacing w:before="240" w:after="200"/>
        <w:ind w:left="0" w:right="0" w:firstLine="720"/>
        <w:jc w:val="left"/>
        <w:rPr>
          <w:rFonts w:ascii="Times New Roman;Times;serif" w:hAnsi="Times New Roman;Times;serif"/>
          <w:sz w:val="20"/>
        </w:rPr>
      </w:pPr>
      <w:r>
        <w:rPr>
          <w:rFonts w:ascii="Times New Roman;Times;serif" w:hAnsi="Times New Roman;Times;serif"/>
          <w:sz w:val="20"/>
        </w:rPr>
        <w:t xml:space="preserve">Personnel related costs, inclusive of stock-based compensation, decreased to $4.1 million in the three months ended September 30, 2023, a $2.0 million decrease compared to the corresponding period in 2022, due to the impact of the strategic restructuring plan we announced in January 2023. Please refer to </w:t>
      </w:r>
      <w:r>
        <w:rPr>
          <w:rFonts w:ascii="Times New Roman;Times;serif" w:hAnsi="Times New Roman;Times;serif"/>
          <w:i/>
          <w:sz w:val="20"/>
        </w:rPr>
        <w:t>NOTE 14— RESTRUCTURING CHARGE</w:t>
      </w:r>
      <w:r>
        <w:rPr>
          <w:rFonts w:ascii="Times New Roman;Times;serif" w:hAnsi="Times New Roman;Times;serif"/>
          <w:sz w:val="20"/>
        </w:rPr>
        <w:t xml:space="preserve"> in the consolidated financial statements in this Quarterly Report on Form 10-Q for further discussion.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Selling, General, and Administrative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expenses were $10.2 million for the three months ended September 30, 2023, as compared to $13.6 million for the three months ended September 30, 2022. The $3.4 million decrease in SG&amp;A expenses was primarily attributable to a $1.9 million decrease in commercial expense, primarily due to costs incurred in 2022 for the preparation of a potential omburtamab launch.</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and Other Income /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and other income for the three months ended September 30, 2023 was $0.2 million as compared to interest and other loss of $1.5 million for the three months ended September 30, 2022. Our interest and other income increased by $1.7 million primarily due to a $0.8 million decrease in foreign currency transaction losses, and a $0.5 million increase from our money market fund investment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Provision for income taxes was $0.2 million for the three months ended September 30, 2023. We did not record any provision for income taxes for the three months ended September 30, 2022. The increase in provision for income taxes was primarily driven by certain U.S. state jurisdictions.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Nine Months Ended September 30, 2023 and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results of operations for the nine months ended September 30, 2023 and 2022:</w:t>
      </w:r>
    </w:p>
    <w:tbl>
      <w:tblPr>
        <w:tblW w:w="9454" w:type="dxa"/>
        <w:jc w:val="left"/>
        <w:tblInd w:w="0" w:type="dxa"/>
        <w:tblLayout w:type="fixed"/>
        <w:tblCellMar>
          <w:top w:w="0" w:type="dxa"/>
          <w:left w:w="0" w:type="dxa"/>
          <w:bottom w:w="0" w:type="dxa"/>
          <w:right w:w="0" w:type="dxa"/>
        </w:tblCellMar>
      </w:tblPr>
      <w:tblGrid>
        <w:gridCol w:w="3286"/>
        <w:gridCol w:w="326"/>
        <w:gridCol w:w="211"/>
        <w:gridCol w:w="796"/>
        <w:gridCol w:w="326"/>
        <w:gridCol w:w="211"/>
        <w:gridCol w:w="796"/>
        <w:gridCol w:w="326"/>
        <w:gridCol w:w="270"/>
        <w:gridCol w:w="1020"/>
        <w:gridCol w:w="326"/>
        <w:gridCol w:w="869"/>
        <w:gridCol w:w="69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86610" cy="175260"/>
                      <wp:effectExtent l="0" t="0" r="0" b="0"/>
                      <wp:wrapNone/>
                      <wp:docPr id="185" name="Frame185"/>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05460" cy="175260"/>
                      <wp:effectExtent l="0" t="0" r="0" b="0"/>
                      <wp:wrapNone/>
                      <wp:docPr id="188" name="Frame1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05460" cy="175260"/>
                      <wp:effectExtent l="0" t="0" r="0" b="0"/>
                      <wp:wrapNone/>
                      <wp:docPr id="191" name="Frame19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71450" cy="175260"/>
                      <wp:effectExtent l="0" t="0" r="0" b="0"/>
                      <wp:wrapNone/>
                      <wp:docPr id="193" name="Frame19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7700" cy="175260"/>
                      <wp:effectExtent l="0" t="0" r="0" b="0"/>
                      <wp:wrapNone/>
                      <wp:docPr id="194" name="Frame194"/>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51815" cy="175260"/>
                      <wp:effectExtent l="0" t="0" r="0" b="0"/>
                      <wp:wrapNone/>
                      <wp:docPr id="196" name="Frame196"/>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38785" cy="175260"/>
                      <wp:effectExtent l="0" t="0" r="0" b="0"/>
                      <wp:wrapNone/>
                      <wp:docPr id="197" name="Frame1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6"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270"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Change</w:t>
            </w:r>
          </w:p>
        </w:tc>
        <w:tc>
          <w:tcPr>
            <w:tcW w:w="326"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Change</w: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 vs. 2022</w:t>
            </w:r>
          </w:p>
        </w:tc>
        <w:tc>
          <w:tcPr>
            <w:tcW w:w="326" w:type="dxa"/>
            <w:tcBorders/>
            <w:vAlign w:val="center"/>
          </w:tcPr>
          <w:p>
            <w:pPr>
              <w:pStyle w:val="TableContents"/>
              <w:bidi w:val="0"/>
              <w:spacing w:before="0" w:after="1"/>
              <w:ind w:left="0" w:right="0" w:hanging="0"/>
              <w:jc w:val="left"/>
              <w:rPr/>
            </w:pPr>
            <w:r>
              <w:rPr/>
              <w:t>    </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 vs. 2022</w:t>
            </w:r>
          </w:p>
        </w:tc>
      </w:tr>
      <w:tr>
        <w:trPr/>
        <w:tc>
          <w:tcPr>
            <w:tcW w:w="945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6"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616"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86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0"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32,820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28,136</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6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691" w:type="dxa"/>
            <w:tcBorders/>
            <w:vAlign w:val="center"/>
          </w:tcPr>
          <w:p>
            <w:pPr>
              <w:pStyle w:val="TableContents"/>
              <w:bidi w:val="0"/>
              <w:spacing w:before="0" w:after="1"/>
              <w:ind w:left="0" w:right="0" w:hanging="0"/>
              <w:jc w:val="center"/>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33,820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27,636</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70"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5,447</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3,880</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royalties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691" w:type="dxa"/>
            <w:tcBorders/>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71,785</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(30,954)</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50,146</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(16,425)</w:t>
            </w:r>
          </w:p>
        </w:tc>
        <w:tc>
          <w:tcPr>
            <w:tcW w:w="326" w:type="dxa"/>
            <w:tcBorders/>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127,478</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(43,549)</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(93,658)</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71,185</w:t>
            </w:r>
          </w:p>
        </w:tc>
        <w:tc>
          <w:tcPr>
            <w:tcW w:w="32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691" w:type="dxa"/>
            <w:tcBorders/>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 (LOSS),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(3,067)</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5,467</w:t>
            </w:r>
          </w:p>
        </w:tc>
        <w:tc>
          <w:tcPr>
            <w:tcW w:w="326" w:type="dxa"/>
            <w:tcBorders/>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(96,725)</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76,652</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326" w:type="dxa"/>
            <w:tcBorders/>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691" w:type="dxa"/>
            <w:tcBorders/>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(96,725)</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76,286</w:t>
            </w:r>
          </w:p>
        </w:tc>
        <w:tc>
          <w:tcPr>
            <w:tcW w:w="326" w:type="dxa"/>
            <w:tcBorders/>
            <w:shd w:fill="CCEEFF" w:val="clear"/>
            <w:vAlign w:val="center"/>
          </w:tcPr>
          <w:p>
            <w:pPr>
              <w:pStyle w:val="TableContents"/>
              <w:bidi w:val="0"/>
              <w:spacing w:before="0" w:after="1"/>
              <w:ind w:left="0" w:right="0" w:hanging="0"/>
              <w:jc w:val="left"/>
              <w:rPr/>
            </w:pPr>
            <w:r>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recorded $61.0 million and $32.8 million in product revenue, net for the nine months ended September 30, 2023 and 2022, respectively. The $28.2 million increase was primarily driven by an increase in new US patients and an incremental benefit from expanding into international markets as discussed further in </w:t>
      </w:r>
      <w:r>
        <w:rPr>
          <w:rFonts w:ascii="Times New Roman;Times;serif" w:hAnsi="Times New Roman;Times;serif"/>
          <w:i/>
          <w:sz w:val="20"/>
        </w:rPr>
        <w:t>NOTE 4</w:t>
      </w:r>
      <w:r>
        <w:rPr>
          <w:rFonts w:ascii="Times New Roman;Times;serif" w:hAnsi="Times New Roman;Times;serif"/>
          <w:sz w:val="20"/>
        </w:rPr>
        <w:t xml:space="preserve">— </w:t>
      </w:r>
      <w:r>
        <w:rPr>
          <w:rFonts w:ascii="Times New Roman;Times;serif" w:hAnsi="Times New Roman;Times;serif"/>
          <w:i/>
          <w:sz w:val="20"/>
        </w:rPr>
        <w:t>PRODUCT REVENUE, NET</w:t>
      </w:r>
      <w:r>
        <w:rPr>
          <w:rFonts w:ascii="Times New Roman;Times;serif" w:hAnsi="Times New Roman;Times;serif"/>
          <w:sz w:val="20"/>
        </w:rPr>
        <w:t>. The geographic breakout for the product revenue, net between in the United States and other countries for the nine months ended September 30, 2023 was $48.8 million and $12.2 million, respectively. The geographic breakout for the product revenue, net between the United States and other countries for the nine months ended September 30, 2022 was $30.9 million and $1.9 million, respectively. Our product revenue, net from other countries for the nine months ended September 30, 2023, included $3.5 million of product revenue and related royalties for the commercial launch initial inventory stocking order from our distribution partner, SciClone, which launched commercial sales in China during the nine months ended September 30, 2023. We do not anticipate recurring product revenue, net from SciClone at this level each quarter. Our revenue from other countries for the nine months ended September 30, 2023, also included $5.6 million of product revenue, net from the Company’s distribution partner, WEP. We recognized royalty revenue from our distribution partners of $3.8 million and $1.4 million in the nine months ended September 30, 2023 and 2022, respectively.</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recorded $0.5 million and $1.0 million in license revenue for the nine months ended September 30, 2023, and 2022, respectively. The license revenue for the nine months ended September 30, 2023, was recognized upon September 2023 achievement of marketing authorization for DANYELZA in Mexico under the terms of the non-refundable license milestone within our sublicense agreement with Adium. The license revenue of $1.0 million for the nine months ended September 30, 2022 was recognized upon the delivery of the updated FDA BLA Dossier for DANYELZA in accordance with the non-refundable license milestone under our sublicense with Adium, and we received this $1.0 million payment in the second quarter of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goods sold was $9.3 million and $5.5 million for the nine months ended September 30, 2023 and 2022, respectively. The increase in cost of goods sold was primarily driven by increased product revenue and an inventory charge of $0.8 million in the nine months ended September 30, 2023, partially offset by a $1.2 million charge related to a batch that did not meet our quality specifications recognized in the nine months ended September 30, 2022. Excluding the above two inventory charges, our gross margin decreased in the nine months ended September 30, 2023, compared to 2022, as a result of increased revenues from geographic areas outside of the United States, which were at a lower gross margin. Our cost of goods sold includes amounts related to materials, third-party contract manufacturing, third-party packaging services, freight, labor costs for personnel involved in the manufacturing process, third-party royalties for approved products, and indirect overhead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License Royalties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incurred license royalty expenses of $0.1 million during the nine months ended September 30, 2023 related to licensing revenues recognized upon the September 2023 achievement of marketing authorization for DANYELZA in Mexico within the terms of the non-refundable license milestone under our sublicense agreement with Adium, which are included in Licensing Revenue on the Consolidated Statements of Net Loss and Comprehensive Loss. We incurred license royalty expense of $0.1 million during the nine months ended September 30, 2022, related to the license revenue recognized upon the delivery of the updated FDA BLA Dossier for DANYELZA in accordance with the non-refundable license milestone under our sublicense with Adium.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Research and Development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record our research and development expenses on a program by program or on a product-by-product basis as they primarily relate to personnel, research, manufacturing, license fees, and consumable costs, which are simultaneously deployed across multiple projects under development. These costs are included in the table below.</w:t>
      </w:r>
    </w:p>
    <w:tbl>
      <w:tblPr>
        <w:tblW w:w="8555" w:type="dxa"/>
        <w:jc w:val="left"/>
        <w:tblInd w:w="0" w:type="dxa"/>
        <w:tblLayout w:type="fixed"/>
        <w:tblCellMar>
          <w:top w:w="0" w:type="dxa"/>
          <w:left w:w="0" w:type="dxa"/>
          <w:bottom w:w="0" w:type="dxa"/>
          <w:right w:w="0" w:type="dxa"/>
        </w:tblCellMar>
      </w:tblPr>
      <w:tblGrid>
        <w:gridCol w:w="3391"/>
        <w:gridCol w:w="326"/>
        <w:gridCol w:w="211"/>
        <w:gridCol w:w="676"/>
        <w:gridCol w:w="326"/>
        <w:gridCol w:w="211"/>
        <w:gridCol w:w="676"/>
        <w:gridCol w:w="326"/>
        <w:gridCol w:w="250"/>
        <w:gridCol w:w="875"/>
        <w:gridCol w:w="326"/>
        <w:gridCol w:w="500"/>
        <w:gridCol w:w="461"/>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53285" cy="175260"/>
                      <wp:effectExtent l="0" t="0" r="0" b="0"/>
                      <wp:wrapNone/>
                      <wp:docPr id="198" name="Frame198"/>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29260" cy="175260"/>
                      <wp:effectExtent l="0" t="0" r="0" b="0"/>
                      <wp:wrapNone/>
                      <wp:docPr id="201" name="Frame2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29260" cy="175260"/>
                      <wp:effectExtent l="0" t="0" r="0" b="0"/>
                      <wp:wrapNone/>
                      <wp:docPr id="204" name="Frame2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58750" cy="175260"/>
                      <wp:effectExtent l="0" t="0" r="0" b="0"/>
                      <wp:wrapNone/>
                      <wp:docPr id="206" name="Frame206"/>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55625" cy="175260"/>
                      <wp:effectExtent l="0" t="0" r="0" b="0"/>
                      <wp:wrapNone/>
                      <wp:docPr id="207" name="Frame207"/>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17500" cy="175260"/>
                      <wp:effectExtent l="0" t="0" r="0" b="0"/>
                      <wp:wrapNone/>
                      <wp:docPr id="209" name="Frame209"/>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92735" cy="175260"/>
                      <wp:effectExtent l="0" t="0" r="0" b="0"/>
                      <wp:wrapNone/>
                      <wp:docPr id="210" name="Frame210"/>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241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r>
      <w:tr>
        <w:trPr/>
        <w:tc>
          <w:tcPr>
            <w:tcW w:w="855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Outsourced manufacturing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27,433</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(17,904)</w:t>
            </w:r>
          </w:p>
        </w:tc>
        <w:tc>
          <w:tcPr>
            <w:tcW w:w="326"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trials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7,741</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(3,127)</w:t>
            </w:r>
          </w:p>
        </w:tc>
        <w:tc>
          <w:tcPr>
            <w:tcW w:w="326"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461" w:type="dxa"/>
            <w:tcBorders/>
            <w:vAlign w:val="center"/>
          </w:tcPr>
          <w:p>
            <w:pPr>
              <w:pStyle w:val="TableContents"/>
              <w:bidi w:val="0"/>
              <w:spacing w:before="0" w:after="1"/>
              <w:ind w:left="0" w:right="0" w:hanging="0"/>
              <w:jc w:val="right"/>
              <w:rPr/>
            </w:pPr>
            <w:r>
              <w:rPr/>
              <w:t> </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Outsourced research and supplies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7,585</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(6,760)</w:t>
            </w:r>
          </w:p>
        </w:tc>
        <w:tc>
          <w:tcPr>
            <w:tcW w:w="326"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461" w:type="dxa"/>
            <w:tcBorders/>
            <w:shd w:fill="CCEEFF" w:val="clear"/>
            <w:vAlign w:val="center"/>
          </w:tcPr>
          <w:p>
            <w:pPr>
              <w:pStyle w:val="TableContents"/>
              <w:bidi w:val="0"/>
              <w:spacing w:before="0" w:after="1"/>
              <w:ind w:left="0" w:right="0" w:hanging="0"/>
              <w:jc w:val="right"/>
              <w:rPr/>
            </w:pPr>
            <w:r>
              <w:rPr/>
              <w:t> </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Milestones and license acquisition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4,125</w:t>
            </w:r>
          </w:p>
        </w:tc>
        <w:tc>
          <w:tcPr>
            <w:tcW w:w="326"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61" w:type="dxa"/>
            <w:tcBorders/>
            <w:vAlign w:val="center"/>
          </w:tcPr>
          <w:p>
            <w:pPr>
              <w:pStyle w:val="TableContents"/>
              <w:bidi w:val="0"/>
              <w:spacing w:before="0" w:after="1"/>
              <w:ind w:left="0" w:right="0" w:hanging="0"/>
              <w:jc w:val="right"/>
              <w:rPr/>
            </w:pPr>
            <w:r>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14,207</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(3,304)</w:t>
            </w:r>
          </w:p>
        </w:tc>
        <w:tc>
          <w:tcPr>
            <w:tcW w:w="326"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461" w:type="dxa"/>
            <w:tcBorders/>
            <w:shd w:fill="CCEEFF" w:val="clear"/>
            <w:vAlign w:val="center"/>
          </w:tcPr>
          <w:p>
            <w:pPr>
              <w:pStyle w:val="TableContents"/>
              <w:bidi w:val="0"/>
              <w:spacing w:before="0" w:after="1"/>
              <w:ind w:left="0" w:right="0" w:hanging="0"/>
              <w:jc w:val="right"/>
              <w:rPr/>
            </w:pPr>
            <w:r>
              <w:rPr/>
              <w:t> </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and consulting fees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(1,348)</w:t>
            </w:r>
          </w:p>
        </w:tc>
        <w:tc>
          <w:tcPr>
            <w:tcW w:w="326"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461" w:type="dxa"/>
            <w:tcBorders/>
            <w:vAlign w:val="center"/>
          </w:tcPr>
          <w:p>
            <w:pPr>
              <w:pStyle w:val="TableContents"/>
              <w:bidi w:val="0"/>
              <w:spacing w:before="0" w:after="1"/>
              <w:ind w:left="0" w:right="0" w:hanging="0"/>
              <w:jc w:val="right"/>
              <w:rPr/>
            </w:pPr>
            <w:r>
              <w:rPr/>
              <w:t> </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5,797</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w:t>
            </w:r>
          </w:p>
        </w:tc>
        <w:tc>
          <w:tcPr>
            <w:tcW w:w="326"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61" w:type="dxa"/>
            <w:tcBorders/>
            <w:shd w:fill="CCEEFF" w:val="clear"/>
            <w:vAlign w:val="center"/>
          </w:tcPr>
          <w:p>
            <w:pPr>
              <w:pStyle w:val="TableContents"/>
              <w:bidi w:val="0"/>
              <w:spacing w:before="0" w:after="1"/>
              <w:ind w:left="0" w:right="0" w:hanging="0"/>
              <w:jc w:val="right"/>
              <w:rPr/>
            </w:pPr>
            <w:r>
              <w:rPr/>
              <w:t> </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6,671</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(1,873)</w:t>
            </w:r>
          </w:p>
        </w:tc>
        <w:tc>
          <w:tcPr>
            <w:tcW w:w="326" w:type="dxa"/>
            <w:tcBorders/>
            <w:vAlign w:val="center"/>
          </w:tcPr>
          <w:p>
            <w:pPr>
              <w:pStyle w:val="TableContents"/>
              <w:bidi w:val="0"/>
              <w:spacing w:before="0" w:after="1"/>
              <w:ind w:left="0" w:right="0" w:hanging="0"/>
              <w:jc w:val="left"/>
              <w:rPr/>
            </w:pPr>
            <w:r>
              <w:rPr/>
              <w:t>​</w:t>
            </w:r>
          </w:p>
        </w:tc>
        <w:tc>
          <w:tcPr>
            <w:tcW w:w="5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r>
      <w:tr>
        <w:trPr/>
        <w:tc>
          <w:tcPr>
            <w:tcW w:w="33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71,785</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(30,954)</w:t>
            </w:r>
          </w:p>
        </w:tc>
        <w:tc>
          <w:tcPr>
            <w:tcW w:w="326" w:type="dxa"/>
            <w:tcBorders/>
            <w:shd w:fill="CCEEFF" w:val="clear"/>
            <w:vAlign w:val="center"/>
          </w:tcPr>
          <w:p>
            <w:pPr>
              <w:pStyle w:val="TableContents"/>
              <w:bidi w:val="0"/>
              <w:spacing w:before="0" w:after="1"/>
              <w:ind w:left="0" w:right="0" w:hanging="0"/>
              <w:jc w:val="left"/>
              <w:rPr/>
            </w:pPr>
            <w:r>
              <w:rPr/>
              <w:t>​</w:t>
            </w:r>
          </w:p>
        </w:tc>
        <w:tc>
          <w:tcPr>
            <w:tcW w:w="5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expenses were $40.8 million for the nine months ended September 30, 2023, as compared to $71.8 million for the nine months ended September 30, 2022. The $31.0 million decrease was primarily due to the decrease in spending on deprioritized programs, which resulted in a $17.9 million decrease in outsourced manufacturing, a $6.8 million decrease in outsourced research and supplies, a $3.1 million decrease in clinical trials, and decreased personnel related costs, inclusive of stock-based compensation, of $4.1 million, partially offset by a $4.1 million increase in milestones and license acquisition costs related to our SADA License Agreement, as we determined certain time-based clinical milestones within the agreement are probable based on the availability of necessary data and the assessment of clinical progress in the third quarter of 2023. Please refer to </w:t>
      </w:r>
      <w:r>
        <w:rPr>
          <w:rFonts w:ascii="Times New Roman;Times;serif" w:hAnsi="Times New Roman;Times;serif"/>
          <w:i/>
          <w:sz w:val="20"/>
        </w:rPr>
        <w:t>NOTE 9— LICENSE AGREEMENTS AND COMMITMENTS</w:t>
      </w:r>
      <w:r>
        <w:rPr>
          <w:rFonts w:ascii="Times New Roman;Times;serif" w:hAnsi="Times New Roman;Times;serif"/>
          <w:sz w:val="20"/>
        </w:rPr>
        <w:t xml:space="preserve"> in the consolidated financial statements in this Quarterly Report on Form 10-Q for further discussion on our SADA License Agreement. Outsourced manufacturing decreased by $17.9 million primarily related to a $5.2 million decrease in SADA production in the nine months ended September 30, 2023, compared to the corresponding period in 2022, a $4.7 million charge for naxitamab inventory vials that were designated for clinical use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2022 and a $3.4 million decrease in omburtamab production in the nine months ended September 30, 2023, compared to the corresponding period in 2022.</w:t>
      </w:r>
    </w:p>
    <w:p>
      <w:pPr>
        <w:pStyle w:val="TextBody"/>
        <w:bidi w:val="0"/>
        <w:spacing w:before="240" w:after="200"/>
        <w:ind w:left="0" w:right="0" w:firstLine="720"/>
        <w:jc w:val="left"/>
        <w:rPr>
          <w:rFonts w:ascii="Times New Roman;Times;serif" w:hAnsi="Times New Roman;Times;serif"/>
          <w:sz w:val="20"/>
        </w:rPr>
      </w:pPr>
      <w:r>
        <w:rPr>
          <w:rFonts w:ascii="Times New Roman;Times;serif" w:hAnsi="Times New Roman;Times;serif"/>
          <w:sz w:val="20"/>
        </w:rPr>
        <w:t xml:space="preserve">Personnel related costs, inclusive of stock-based compensation, decreased to $15.9 million in the nine months ended September 30, 2023, a $4.1 million decrease compared to the corresponding period in 2022, due to the impact of the strategic restructuring plan we announced in January 2023. Please refer to </w:t>
      </w:r>
      <w:r>
        <w:rPr>
          <w:rFonts w:ascii="Times New Roman;Times;serif" w:hAnsi="Times New Roman;Times;serif"/>
          <w:i/>
          <w:sz w:val="20"/>
        </w:rPr>
        <w:t>NOTE 14— RESTRUCTURING CHARGE</w:t>
      </w:r>
      <w:r>
        <w:rPr>
          <w:rFonts w:ascii="Times New Roman;Times;serif" w:hAnsi="Times New Roman;Times;serif"/>
          <w:sz w:val="20"/>
        </w:rPr>
        <w:t xml:space="preserve"> in the consolidated financial statements in this Quarterly Report on Form 10-Q for further discussion.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Selling, General, and Administrative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SG&amp;A expenses were $33.7 million for the nine months ended September 30, 2023, as compared to $50.1 million for the nine months ended September 30, 2022. The $16.4 million decrease in SG&amp;A expenses was primarily attributable to an $10.9 million charge for severance and share-based compensation expense in the nine months ended September 30, 2022, related to our former Chief Executive Officer as discussed further in </w:t>
      </w:r>
      <w:r>
        <w:rPr>
          <w:rFonts w:ascii="Times New Roman;Times;serif" w:hAnsi="Times New Roman;Times;serif"/>
          <w:i/>
          <w:sz w:val="20"/>
        </w:rPr>
        <w:t>NOTE 9—LICENSE AGREEMENTS AND COMMITMENTS</w:t>
      </w:r>
      <w:r>
        <w:rPr>
          <w:rFonts w:ascii="Times New Roman;Times;serif" w:hAnsi="Times New Roman;Times;serif"/>
          <w:sz w:val="20"/>
        </w:rPr>
        <w:t>, and, to a lesser extent, a $2.9 million decrease in commercial expense, primarily due to costs incurred in 2022 for the preparation of a potential omburtamab launch, and a $1.6 million decrease in insurance costs, partially offset by a $1.6 million increase in legal expense.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and Other Income /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and other income/(loss) resulted in income of $2.4 million for the nine months ended September 30, 2023, as compared to, a loss of $3.1 million for the nine months ended September 30, 2022. Our interest and other income/(loss) experienced a favorable increase of $5.5 million which was primarily due to a $2.6 million decrease in foreign currency transaction losses and a $2.3 million increase from our money market fund investment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Provision for income taxes was $0.4 million for the nine months ended September 30, 2023. We did not record any provision for income taxes for the nine months ended September 30, 2022. The increase in provision for income taxes was primarily driven by certain U.S. state jurisdictions.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Each year we have experienced a significant use of cash to fund our net operating losses since inception and expect to continue to fund net operating losses. We expect our use of cash to fund our net operating losses to decrease as a result of our restructuring plan approved and announced in January 2023 and as sales of DANYELZA increase overtime. Our net losses may fluctuate significantly from quarter to quarter and year to year. We currently have one approved product, DANYELZA, which launched in the first quarter of 2021. We have financed our operations through September 30, 2023, primarily through gross proceeds from the aggregate sales of our common stock of $493.8 million in the years 2015 through 2021, as well as additional funding from the proceeds from the sales of DANYELZA and from proceeds from the sale of the DANYELZA PRV. As of September 30, 2023, we had cash and cash equivalents of $86.6 million. As a result of the expected decrease in forecasted operating expenses, we estimate that our cash and cash equivalents, when combined with anticipated DANYELZA revenues, will support operations into 2027. This estimate is based on our current business plan, including our restructuring, and on assumptions that may prove to be wrong, and we could use our available capital resources sooner than we currently expect. This estimate assumes no income from new partnerships or other new business development activities, and no further development of the omburtamab program. We cannot provide any assurance that we will be able to obtain additional capital from additional equity or debt financings, collaborations, licensing arrangements, or other sources.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an analysis of the type of contractual obligation and the relevant time periods for the related cash requirements of such obligations which may have a material impact on our liquidity and capital resources see the section entitled “Contractual Obligations and Commitments” in Part II. Item 7. </w:t>
      </w:r>
      <w:r>
        <w:rPr>
          <w:rFonts w:ascii="Times New Roman;Times;serif" w:hAnsi="Times New Roman;Times;serif"/>
          <w:i/>
          <w:sz w:val="20"/>
        </w:rPr>
        <w:t xml:space="preserve">Management’s Discussion and Analysis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Financial Condition and Results of Operations</w:t>
      </w:r>
      <w:r>
        <w:rPr>
          <w:rFonts w:ascii="Times New Roman;Times;serif" w:hAnsi="Times New Roman;Times;serif"/>
          <w:sz w:val="20"/>
        </w:rPr>
        <w:t xml:space="preserve"> in our Annual Report on Form 10-K for the fiscal year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regarding our cash flows for the nine months ended September 30, 2023 and 2022:</w:t>
      </w:r>
    </w:p>
    <w:tbl>
      <w:tblPr>
        <w:tblW w:w="10165" w:type="dxa"/>
        <w:jc w:val="left"/>
        <w:tblInd w:w="0" w:type="dxa"/>
        <w:tblLayout w:type="fixed"/>
        <w:tblCellMar>
          <w:top w:w="0" w:type="dxa"/>
          <w:left w:w="0" w:type="dxa"/>
          <w:bottom w:w="0" w:type="dxa"/>
          <w:right w:w="0" w:type="dxa"/>
        </w:tblCellMar>
      </w:tblPr>
      <w:tblGrid>
        <w:gridCol w:w="4456"/>
        <w:gridCol w:w="326"/>
        <w:gridCol w:w="238"/>
        <w:gridCol w:w="898"/>
        <w:gridCol w:w="367"/>
        <w:gridCol w:w="238"/>
        <w:gridCol w:w="898"/>
        <w:gridCol w:w="146"/>
        <w:gridCol w:w="326"/>
        <w:gridCol w:w="267"/>
        <w:gridCol w:w="858"/>
        <w:gridCol w:w="109"/>
        <w:gridCol w:w="109"/>
        <w:gridCol w:w="541"/>
        <w:gridCol w:w="388"/>
      </w:tblGrid>
      <w:tr>
        <w:trPr/>
        <w:tc>
          <w:tcPr>
            <w:tcW w:w="4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829560" cy="175260"/>
                      <wp:effectExtent l="0" t="0" r="0" b="0"/>
                      <wp:wrapNone/>
                      <wp:docPr id="211" name="Frame211"/>
                      <a:graphic xmlns:a="http://schemas.openxmlformats.org/drawingml/2006/main">
                        <a:graphicData uri="http://schemas.microsoft.com/office/word/2010/wordprocessingShape">
                          <wps:wsp>
                            <wps:cNvSpPr txBox="1"/>
                            <wps:spPr>
                              <a:xfrm>
                                <a:off x="0" y="0"/>
                                <a:ext cx="2829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51130" cy="175260"/>
                      <wp:effectExtent l="0" t="0" r="0" b="0"/>
                      <wp:wrapNone/>
                      <wp:docPr id="213" name="Frame21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70230" cy="175260"/>
                      <wp:effectExtent l="0" t="0" r="0" b="0"/>
                      <wp:wrapNone/>
                      <wp:docPr id="214" name="Frame21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33045" cy="175260"/>
                      <wp:effectExtent l="0" t="0" r="0" b="0"/>
                      <wp:wrapNone/>
                      <wp:docPr id="215" name="Frame21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51130" cy="175260"/>
                      <wp:effectExtent l="0" t="0" r="0" b="0"/>
                      <wp:wrapNone/>
                      <wp:docPr id="216" name="Frame21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70230" cy="175260"/>
                      <wp:effectExtent l="0" t="0" r="0" b="0"/>
                      <wp:wrapNone/>
                      <wp:docPr id="217" name="Frame21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92710" cy="175260"/>
                      <wp:effectExtent l="0" t="0" r="0" b="0"/>
                      <wp:wrapNone/>
                      <wp:docPr id="218" name="Frame2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9545" cy="175260"/>
                      <wp:effectExtent l="0" t="0" r="0" b="0"/>
                      <wp:wrapNone/>
                      <wp:docPr id="220" name="Frame22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44830" cy="175260"/>
                      <wp:effectExtent l="0" t="0" r="0" b="0"/>
                      <wp:wrapNone/>
                      <wp:docPr id="221" name="Frame221"/>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43535" cy="175260"/>
                      <wp:effectExtent l="0" t="0" r="0" b="0"/>
                      <wp:wrapNone/>
                      <wp:docPr id="224" name="Frame22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46380" cy="175260"/>
                      <wp:effectExtent l="0" t="0" r="0" b="0"/>
                      <wp:wrapNone/>
                      <wp:docPr id="225" name="Frame225"/>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14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272"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7" w:type="dxa"/>
            <w:tcBorders/>
            <w:vAlign w:val="center"/>
          </w:tcPr>
          <w:p>
            <w:pPr>
              <w:pStyle w:val="TableContents"/>
              <w:bidi w:val="0"/>
              <w:spacing w:before="0" w:after="1"/>
              <w:ind w:left="0" w:right="0" w:hanging="0"/>
              <w:jc w:val="left"/>
              <w:rPr/>
            </w:pPr>
            <w:r>
              <w:rPr/>
              <w:t>    </w:t>
            </w:r>
          </w:p>
        </w:tc>
        <w:tc>
          <w:tcPr>
            <w:tcW w:w="11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10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r>
      <w:tr>
        <w:trPr/>
        <w:tc>
          <w:tcPr>
            <w:tcW w:w="1016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4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(19,196)</w:t>
            </w:r>
          </w:p>
        </w:tc>
        <w:tc>
          <w:tcPr>
            <w:tcW w:w="36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(67,260)</w:t>
            </w:r>
          </w:p>
        </w:tc>
        <w:tc>
          <w:tcPr>
            <w:tcW w:w="1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48,064</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pPr>
            <w:r>
              <w:rPr/>
              <w:t>—</w:t>
            </w:r>
          </w:p>
        </w:tc>
        <w:tc>
          <w:tcPr>
            <w:tcW w:w="367"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88" w:type="dxa"/>
            <w:tcBorders/>
            <w:vAlign w:val="center"/>
          </w:tcPr>
          <w:p>
            <w:pPr>
              <w:pStyle w:val="TableContents"/>
              <w:bidi w:val="0"/>
              <w:spacing w:before="0" w:after="1"/>
              <w:ind w:left="0" w:right="0" w:hanging="0"/>
              <w:jc w:val="right"/>
              <w:rPr/>
            </w:pPr>
            <w:r>
              <w:rPr/>
              <w:t> </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1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88" w:type="dxa"/>
            <w:tcBorders/>
            <w:shd w:fill="CCEEFF" w:val="clear"/>
            <w:vAlign w:val="center"/>
          </w:tcPr>
          <w:p>
            <w:pPr>
              <w:pStyle w:val="TableContents"/>
              <w:bidi w:val="0"/>
              <w:spacing w:before="0" w:after="1"/>
              <w:ind w:left="0" w:right="0" w:hanging="0"/>
              <w:jc w:val="right"/>
              <w:rPr/>
            </w:pPr>
            <w:r>
              <w:rPr/>
              <w:t>​</w:t>
            </w:r>
          </w:p>
        </w:tc>
      </w:tr>
      <w:tr>
        <w:trPr/>
        <w:tc>
          <w:tcPr>
            <w:tcW w:w="4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rates on cash and cash equivalents</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7"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(19,191)</w:t>
            </w:r>
          </w:p>
        </w:tc>
        <w:tc>
          <w:tcPr>
            <w:tcW w:w="367"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(67,038)</w:t>
            </w:r>
          </w:p>
        </w:tc>
        <w:tc>
          <w:tcPr>
            <w:tcW w:w="1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47,847</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8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left"/>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use of cash in all periods resulted primarily from our net losses adjusted for non-cash charges and changes in components of working capital.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Net cash used in operating activities was $19.2 million for the nine months ended September 30, 2023, as compared to net cash used in operating activities of $67.3 million for the nine months ended September 30, 2022. The $48.1 million decrease in cash used in operating activities during the nine months ended September 30, 2023, compared to the corresponding period in 2022, was primarily due to a $61.5 million improvement in our net loss, net of non-cash adjustments, which was partially offset by an increase in cash used for working capital of $13.4 million during the nine months ended September 30, 2023, compared to the corresponding period in 2022. The $13.4 million increase in cash used for working capital was driven by lower accounts payable of $6.4 million due to the impact of deprioritized programs, higher accounts receivable from increased sales activity of $4.8 million for the nine months ended September 30, 2023, and lower accrued liabilities and other of $1.0 million, as compared to the nine months ended September 30, 2022.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Cash Provided by 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did not generate or use cash for investing activities during the nine months ended September 30, 2023 and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did not generate or use cash for financing activities during the nine months ended September 30, 2023. Net cash provided by financing activities was $84,000 for the nine months ended September 30, 2022, which was proceeds from exercised stock options.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Funding Requirements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plan to advance the development of our pipeline programs, initiate new research and pre-clinical development efforts and seek marketing approval for any additional product candidates and indications that we successfully develop. If we obtain approval for any additional product candidates and indications, we expect to incur commercialization expenses, which may be significant, related to establishing sales, marketing, manufacturing capabilities, distribution and other commercial infrastructure to commercialize such products. Accordingly, we may need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obtain substantial additional funding in connection with our continuing operations. However, global economic conditions have been worsening, with disruptions to, and volatility in, the credit and financial markets in the U.S. If these conditions persist and deepen, we could experience an inability to access additional capital or our liquidity could otherwise be impacted. If we are unable to raise capital when needed or on attractive terms, we would be forced to delay, reduce or eliminate our research and development programs and/or future commercialization efforts.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a result of the realized decrease in operating expenses after the restructuring program we announced in January 2023, we estimate that our cash and cash equivalents of $86.6 million as of September 30, 2023, when combined with anticipated DANYELZA revenues, will support operations as currently planned into 2027. This estimate is based on our current business plan and on assumptions that may prove to be wrong, and we could use our available capital resources sooner than we currently expect. This estimate assumes no new partnerships or other new business development and no further development of the omburtamab program. We cannot provide any assurance that we will be able to obtain additional capital from new equity or debt financings, collaborations, licensing arrangements, or other sources. As a result of the reduction in workforce and revised business plan, we incurred restructuring expenses of $4.5 million, consisting predominantly of cash related to notice and severance payments of $2.8 million, which were paid as of September 30, 2023, and acceleration of stock-based compensation of $1.7 million. The restructuring expenses were recognized in the first quarter of 2023.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Because of the numerous risks and uncertainties associated with the further development and commercialization of DANYELZA, and the research, development and commercialization of other potential product candidates, we are unable to estimate the exact amount of our operating capital requirements. 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timing, costs and results of clinical trials for developing DANYELZA, and conducting pre-clinical studies and clinical trials for our SADA constructs;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pre-clinical development efforts for any future product candidates that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into and the terms and timing of any collaborations, licensing agreements, distribution agreements or other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milestones or occurrence of other developments that trigger payments under any collaboration or other agreements;</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future product candidates that we may pursue and their development requirements;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timing and costs of seeking regulatory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future revenue, if any, received from commercial sales of our current and future product candidates upon any marketing approvals;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received, if any, from monetization of any future PRVs;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headcount and associated costs as we focus our research and development efforts on additional indications for DANYELZA and our SADA technology and expand our commercial infrastructure;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protecting our intellectual property rights and defending against intellectual property related claims;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Identifying potential product candidates and conducting pre-clinical studies and clinical trials is a time-consuming, expensive and uncertain process that takes many years to complete, and we may never generate the necessary data or results required to obtain additional marketing approval and achieve additional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common stockholders’ rights. Debt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summary of the financial balances related to our material outstanding contractual commitments and the maximum financial impact related to milestones under those contractual obligations are included in </w:t>
      </w:r>
      <w:r>
        <w:rPr>
          <w:rFonts w:ascii="Times New Roman;Times;serif" w:hAnsi="Times New Roman;Times;serif"/>
          <w:i/>
          <w:sz w:val="20"/>
        </w:rPr>
        <w:t>NOTE 9—LICENSE AGREEMENTS AND COMMITMENTS</w:t>
      </w:r>
      <w:r>
        <w:rPr>
          <w:rFonts w:ascii="Times New Roman;Times;serif" w:hAnsi="Times New Roman;Times;serif"/>
          <w:sz w:val="20"/>
        </w:rPr>
        <w:t xml:space="preserve"> of our enclosed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a discussion of our material license agreements, see the section entitled “Contractual Obligations and Commitments” in Part II. Item 7.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xml:space="preserve"> in our Annual Report on Form 10-K for the fiscal year ended December 31,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is inherently uncertain and, should such research and development fail, the MSK License, the CD33 License, and SADA License are cancelable at our option. We have also considered the development risk and each party’s termination rights under the three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for which the percentage varies based upon the nature of the clinical or development milestone. To date, we have not entered into any sublicenses related to the CD33 License, the SADA License or the MabVax/Y-mAbs Sublicense. We have entered sublicenses with SciClone and Takeda in 2020, and Adium in 2021 as allowed under the MSK License. Our failure to meet certain conditions under such arrangements could cause the related license to such licensed product to be canceled and could result in termination of the entire respective arrangement with MSK. In addition, we may terminate the MSK License, the CD33 License, or the SADA License with prior written notice to MSK.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3—SUMMARY OF SIGNIFICANT ACCOUNTING POLICIES</w:t>
      </w:r>
      <w:r>
        <w:rPr>
          <w:rFonts w:ascii="Times New Roman;Times;serif" w:hAnsi="Times New Roman;Times;serif"/>
          <w:sz w:val="20"/>
        </w:rPr>
        <w:t xml:space="preserve"> in the accompanying notes to the consolidated financial statements for a discussion of recent accounting pronouncements.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15" w:name="Item3QuantitativeandQualitativeDisclosur"/>
      <w:bookmarkStart w:id="1016" w:name="_3494abbf_834c_4479_bc22_8d0afc199fa9"/>
      <w:bookmarkEnd w:id="1015"/>
      <w:bookmarkEnd w:id="1016"/>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“smaller reporting company” as defined by Item 10 of Regulation S-K, we are not required to provide the information required by this item.</w:t>
      </w:r>
    </w:p>
    <w:p>
      <w:pPr>
        <w:pStyle w:val="TextBody"/>
        <w:bidi w:val="0"/>
        <w:spacing w:before="0" w:after="240"/>
        <w:ind w:left="0" w:right="0" w:hanging="0"/>
        <w:jc w:val="left"/>
        <w:rPr>
          <w:rFonts w:ascii="Times New Roman;Times;serif" w:hAnsi="Times New Roman;Times;serif"/>
          <w:b/>
          <w:sz w:val="20"/>
        </w:rPr>
      </w:pPr>
      <w:bookmarkStart w:id="1017" w:name="Item4ControlsandProcedures_863456"/>
      <w:bookmarkStart w:id="1018" w:name="_f03ef2b8_7092_4818_abd4_3be741b4fc2c"/>
      <w:bookmarkEnd w:id="1017"/>
      <w:bookmarkEnd w:id="1018"/>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as of the end of the period covered by this Quarterly Report, the effectiveness of our disclosure controls and procedures (as defined in Rules 13a 15(e) and 15d 15(e) under the Securities Exchange Act of 1934, as amended, or the Exchange Act). Based on that evaluation, our Chief Executive Officer and Chief Financial Officer concluded that our disclosure controls and procedures were effective at the reasonable assurance level as of September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designing and evaluating the disclosure controls and procedures, management recognized that controls and procedures, no matter how well designed and operated, can provide only reasonable assurance of achieving the desired control objectives. Further, because of the inherent limitations in all control systems, no evaluation of controls can provide absolute assurance that misstatements due to error or fraud will not occur or that all control issues and instances of fraud, if any, within the Company will be detected.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was no change in our internal control over financial reporting, (as defined in Rules 13a 15(f) and 15d 15(f) under the Exchange Act) during the quarter ended September 30, 2023, that has materially affected, or is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1019" w:name="PARTIIOTHERINFORMATION_339740"/>
      <w:bookmarkStart w:id="1020" w:name="_36a853da_1b41_4d58_9892_0ac84c087354"/>
      <w:bookmarkEnd w:id="1019"/>
      <w:bookmarkEnd w:id="1020"/>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021" w:name="Item1LegalProceedings_419220"/>
      <w:bookmarkEnd w:id="1021"/>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Donoghue vs. Y-mAbs Therapeutics, Inc., and Gad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been named a nominal defendant in a lawsuit filed in the U.S. District Court, Southern District of New York, on August 25, 2021, by one of the Company’s stockholders, Deborah Donoghue (Case No. 1:21-cv-07182). The suit names the Company’s Chief Business Officer, and Vice Chairman of the Company’s board of directors, Mr. Thomas Gad as an additional defendant, and it seeks to compel Mr. Gad to disgorge alleged short swing profits stemming from a certain transaction involving the Company’s common stock undertaken by Mr. Gad on March 10, 2021, together with appropriate interest and costs of the lawsuit. On December 17, 2021, Mr. Gad filed a Motion to Dismiss the lawsuit. On August 8, 2022, the Court denied Mr. Gad’s Motion to Dismiss the lawsuit. The parties have completed documentary discovery and depositions. The action is currently stayed through November 30, 2023. The Company is of the opinion that the claim is without merit and intends to maintain this position in the proceedings. In addition, the Company has been informed by Mr. Gad that he also believes the claim is without merit, that he has strong defenses against such claim and that he intends to vigorously defend the action. The Company has assessed the proceedings and does not believe that it is probable that a gain or a liability will be realized by the Company. As a result, the Company did not record any loss or gain contingencies for this matter.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 re Y-mAbs Therapeutics, Inc. Securities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18, 2023, a putative class-action lawsuit was filed against the Company and certain of its current and former officers for alleged violations of the U.S. federal securities laws in the United States District Court, Southern District of New York (Case No.: 1:23-cv-00431). The amended complaint filed on May 23, 2023, asserts claims under Sections 10(b) and 20(a) of the Securities Exchange Act of 1934, as amended, on behalf of a proposed class consisting of those who acquired the Company’s common stock between October 6, 2020 and October 28, 2022. The amended complaint alleges that there were material misrepresentations and/or omissions regarding the FDA’s consideration of the Company’s BLA for omburtamab for the treatment of pediatric patients with CNS/leptomeningeal metastasis from neuroblastoma firstly submitted in 2020 and resubmitted in 2022. The amended complaint seeks unspecified damages, and costs and expenses, including attorneys’ fees. On April 4, 2023, the Court appointed a lead plaintiff for the putative class. On July 11, 2023, the defendants filed a motion to dismiss the amended complaint. On August 29, 2023, the plaintiff filed his opposition to the motion to dismiss. On September 29, 2023 the defendants filed their reply in support of the motion to dismiss. The Company believes that these claims are without merit and intends to vigorously defend against these claims. The Company has not established a liability for this claim as of September 30, 2023 as the Company does not consider a loss on the claim to be probable.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Hazelton vs. Y-mAbs Therapeutics Inc., and Gad, et 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been named a nominal defendant in a lawsuit filed in the Court of Chancery of the State of Delaware, on February 8, 2023, by a purported stockholder, Jeffrey Hazelton (Case No. 2023-0147-LWW). The amended complaint filed on May 12, 2023, purports to bring claims on behalf of the Company against current and former members of the Company’s board of directors for allegedly awarding themselves excessive compensation for fiscal years 2020 and 2021. The amended complaint seeks, among other things, recovery of alleged excessive compensation, an order directing the Company to undertake certain corporate governance reforms, and an award of costs and expenses, including attorneys’ fees. On June 22, 2023, the defendants filed a motion to dismiss the amended complaint. On August 11, 2023, the plaintiff filed his opposition to the motion to dismiss. On September 8, 2023 the defendants filed their reply brief in support of the motion to dismiss. The Company is of the opinion that the claims are without merit and intends to maintain this position in the proceedings. The Company has not established a liability for this claim as of September 30, 2023 as the Company does not consider a loss on the claim to be probable.</w:t>
      </w:r>
    </w:p>
    <w:p>
      <w:pPr>
        <w:pStyle w:val="TextBody"/>
        <w:bidi w:val="0"/>
        <w:spacing w:before="0" w:after="240"/>
        <w:ind w:left="0" w:right="0" w:hanging="0"/>
        <w:jc w:val="left"/>
        <w:rPr>
          <w:rFonts w:ascii="Times New Roman;Times;serif" w:hAnsi="Times New Roman;Times;serif"/>
          <w:b/>
          <w:sz w:val="20"/>
        </w:rPr>
      </w:pPr>
      <w:bookmarkStart w:id="1022" w:name="Item1ARiskFactors_474954"/>
      <w:bookmarkStart w:id="1023" w:name="_5d6582e3_8379_4b65_a75c_2b5fab6c166d"/>
      <w:bookmarkEnd w:id="1022"/>
      <w:bookmarkEnd w:id="1023"/>
      <w:r>
        <w:rPr>
          <w:rFonts w:ascii="Times New Roman;Times;serif" w:hAnsi="Times New Roman;Times;serif"/>
          <w:b/>
          <w:sz w:val="20"/>
        </w:rPr>
        <w:t>Item 1A. Risk Factors.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Our business is subject to numerous risks. You should carefully consider the risks and uncertainties described below together with all of the other information contained in this Quarterly Report on Form 10-Q, including our consolidated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you might lose all or part of your investment.</w:t>
      </w:r>
    </w:p>
    <w:p>
      <w:pPr>
        <w:pStyle w:val="TextBody"/>
        <w:bidi w:val="0"/>
        <w:spacing w:before="0" w:after="240"/>
        <w:ind w:left="0" w:right="0" w:hanging="0"/>
        <w:jc w:val="left"/>
        <w:rPr>
          <w:rFonts w:ascii="Times New Roman;Times;serif" w:hAnsi="Times New Roman;Times;serif"/>
          <w:b/>
          <w:sz w:val="20"/>
        </w:rPr>
      </w:pPr>
      <w:bookmarkStart w:id="1024" w:name="_Hlk63419857"/>
      <w:bookmarkEnd w:id="1024"/>
      <w:r>
        <w:rPr>
          <w:rFonts w:ascii="Times New Roman;Times;serif" w:hAnsi="Times New Roman;Times;serif"/>
          <w:b/>
          <w:sz w:val="20"/>
        </w:rPr>
        <w:t>Risks Related to Our Financial Condition and Need for Additional Capital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a limited operating history and have incurred significant losses since inception. Our only product approved for sale is DANYELZA, and we have never generated any substantial revenue from product sales. We expect to incur significant losses for the foreseeable future. We may never achieve or maintain profitability, which may cause the market value of our common stock to decline significantly.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a commercial-stage biopharmaceutical company with a limited operating history. Since our inception in 2015, we have incurred significant losses each year. As of September 30, 2023, our accumulated deficit was approximately $456.5 million. We have financed our operations principally through private placements, the initial public offering of our common stock in 2018 as well as subsequent public offerings of our common stock in November 2019 and February 2021, the proceeds from the sales of DANYELZA and the sale of the PRV granted to us upon FDA approval of DANYELZA.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 date, we have devoted substantially all our efforts to research and development, and more recently, commercialization of DANYELZA, which is our only approved product to date and omburtamab. On November 25, 2020, DANYELZA was approved by the FDA for the treatment, in combination with GM-CSF, of pediatric patients one year of age and older and adult patients with relapsed/refractory, or R/R, high-risk neuroblastoma, or NB, in the bone or bone marrow who have demonstrated a partial response, minor response, or stable disease to prior therapy.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Although in May 2022 our biologic license application, or BLA, for omburtamab was accepted for priority review by the FDA, in November 2022 the FDA issued a complete response letter, or CRL, for the BLA for omburtamab. The letter indicated that the FDA completed the review of the application and determined that it is unable to approve the BLA in its current form. This was consistent with the outcome of the ODAC Meeting held in October 2022. In the CRL, and in our Type A meeting held subsequent to receipt of the CRL, the FDA made recommendations for us to consider in terms of trial design to demonstrate substantial evidence of effectiveness and a favorable benefit-risk profile. As part of our strategic restructuring plan announced in January 2023, we deprioritized the omburtamab program for all indications and product candidates. We are currently considering the future for our omburtamab development program, and we can provide no assurance that the development of omburtamab will continue or that omburtamab will ultimately receive FDA approval.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other product candidates are in the early stages of clinical development or pre-clinical research. As a result, we expect that it will be a number of years, if ever, before we have any of these other product candidates approved and ready for commercialization.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to continue to incur significant expenses and operating losses for the foreseeable future. The net losses we incur may fluctuate significantly from quarter to quarter. Our only approved product for sale is DANYELZA, which received FDA accelerated approval on November 25, 2020. We began limited sales and shipments of DANYELZA in February 2021 and the revenue generated from product sales does not fully fund our operating expenses. We do not anticipate generating revenue that will fully fund our operating expenses for a period of time, if ever. No assurance can be given that we will ever receive regulatory approval for any of our product candidates other than DANYELZA. Our ability to generate revenue and achieve profitability depends significantly on our success in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commercialization of DANYELZA and our product candidates for which we may obtain regulatory approvals and marketing authorizations, either directly or with a collaborator or distributor;</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completing research regarding, and non-clinical and clinical development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regulatory approvals, marketing authorizations and coverage and reimbursements from payors for DANYELZA and other product candidates for which we complete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maintaining a sustainable and scalable manufacturing process for DANYELZA and our other product candidates, including establishing and maintaining commercially viable supply relationships with third parties including Patheon/Thermo Fisher and EMD/Merck or establishing our own manufacturing capabilities and infrastructure;</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market acceptance of DANYELZA and our other product candidates as viable treatment options;</w:t>
            </w:r>
          </w:p>
        </w:tc>
      </w:tr>
    </w:tbl>
    <w:tbl>
      <w:tblPr>
        <w:tblW w:w="9201" w:type="dxa"/>
        <w:jc w:val="left"/>
        <w:tblInd w:w="0" w:type="dxa"/>
        <w:tblLayout w:type="fixed"/>
        <w:tblCellMar>
          <w:top w:w="28" w:type="dxa"/>
          <w:left w:w="28" w:type="dxa"/>
          <w:bottom w:w="28" w:type="dxa"/>
          <w:right w:w="28" w:type="dxa"/>
        </w:tblCellMar>
      </w:tblPr>
      <w:tblGrid>
        <w:gridCol w:w="124"/>
        <w:gridCol w:w="256"/>
        <w:gridCol w:w="8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any competing products, product candidates, related technologies and/or market developments;</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assessing, acquiring and/or developing new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negotiating favorable terms in any collaboration, licensing, distribution or other arrangements into which we may enter;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protecting, and expanding our portfolio of intellectual property rights, including patents, trade secrets, and know-how;</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hiring, and retaining qualified personnel; and</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adequately financing our operations at acceptable terms.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anticipate incurring research, development, clinical trial, manufacturing and marketing costs associated with commercializing even approved products such as DANYELZA.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more of our product candidates, our revenue will be dependent, in part, upon the size of the markets in the territories for which we gain regulatory approval, the accepted price for any such product, the ability to obtain reimbursement at any price, and whether we own the commercial rights for that territory. If the number of our addressable patients is not as significant as we estimate, the indication approved by regulatory authorities is narrower than we expect, or the reasonably expected populations for treatment are narrowed by competition, physician choice or treatment guidelines, we may not generate significant revenue from sales of such products, even if approved. If we are not able to generate sufficient revenue from the sale of DANYELZA or any other approved products, we may never become profitable.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limited operating history may make it difficult for you to evaluate the success of our business to date and to assess our future viability.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were incorporated and began our operations on April 30, 2015. Our operations to date have been limited to organizing and staffing our company, business planning, raising capital, commercializing DANYELZA, conducting clinical trials of DANYELZA and other products and conducting pre-clinical studies and clinical trials of our other product candidates, and identifying additional potential product candidates.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multiple pharmaceutical products. In addition, as a business with a limited operating history, we may encounter unforeseen expenses, difficulties, complications, delays and other known and unknown factors as we continue to develop and commercialize DANYELZA and our other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may not realize the expected benefits from our recent business restructuring and workforce reduction and we may incur additional costs implementing it or other difficulties.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January 2023, we announced a restructuring plan and implemented a workforce reduction. The objective of these initiatives is to focus the organization and its resources on key near and long-term potential growth drivers, namely the DANYELZA franchise and development of our SADA platform. We believe these changes were needed to streamline our organization and reallocate our resources in light of the omburtamab CRL from the FDA.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However, the changes to our business strategy and the reduction in workforce may yield unintended consequences and costs, such as the loss of institutional knowledge and expertise, attrition beyond our intended reduction-in-force, a reduction in morale among our remaining employees, and the risk that we may not achieve the anticipated benefits, all of which may have an adverse effect on our development activities, ability to progress our technology roadmap, and results of operations or financial condition. We incurred restructuring expenses of $4.5 million, consisting predominantly of cash related notice and severance payments of $2.8 million and acceleration of stock-based compensation of $1.7 million in the first half of 2023.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also incur other charges, costs, future cash expenditures or impairments not currently contemplated due to events that may occur as a result of, or in connection with, the revised business plan and reduction in workforce. For example, we recorded an impairment charge of $0.6 million to write-off the net book value of fixed assets that were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related to the production of omburtamab in 2022. In addition, we may be unsuccessful in distributing the duties and obligations of departed employees among our remaining employees.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also discover that the reductions in workforce and cost cutting measures will make it difficult for us to pursue new opportunities and initiatives and require us to hire qualified replacement personnel, which may require us to incur additional and unanticipated costs and expenses. Moreover, there is no assurance we will be successful in our pursuit of any of our new goals. Our failure to successfully accomplish any of the above activities and goals may have a material adverse impact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payment obligations to MSK and MIT may be a drain on our cash resources, or may cause us to incur debt obligations or issue additional securities to satisfy such payment obligations, which may adversely affect our financial position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MSK License, we have committed to funding scientific research as well as conducting certain clinical trial activities at MSK. As licensed product candidates progress through clinical development and commercialization, certain milestone payments will come due, and we will owe MSK customary royalties on commercial sales of our approved products, if any. Milestone payments become due upon achievement of the related clinical, regulatory or sales-based milestone set forth in the MSK license agreements and all milestones are accrued for when they are probable and estimable. Certain of the clinical and regulatory milestone payments become due at the earlier of completion of the related milestone activity or the date indicated in the MSK license agreements, whether or not the milestone activity has been achieved. Total clinical and regulatory milestones potentially due under the MSK License are $2.5 million and $9.0 million, respectively. There are also sales-based milestones that become due should we achieve certain amounts of sales of licensed products with total sales-based milestones potentially due of $20.0 million.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MSK CD33 License, we are obligated to make potential payments of $0.6 million, $0.5 million and $7.5 million for clinical, regulatory and sales-based milestones,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2020, we entered into the SADA License Agreement which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SADA License. These amounts are non-refundable but are creditable against royalty payments otherwise due under the SADA License. We are also obligated to pay to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 Total clinical and regulatory milestone payments potentially due under the SADA License Agreement are $4.7 million and $18.1 million, respectively. Additionally, we are also obligated to make sales-based milestones payments totaling $23.8 million, that become due should we achieve certain amounts of sales of licensed products under the SADA License. In addition, for each of the SADA constructs generated by MSK and sold on our behalf by one of our sublicenses, we may pay sales-based milestone payments in the total amount of $60.0 million based on the achievement of various levels of cumulative net sales by the sublicensee. Under the SADA License Agreement, we also committed to fund scientific research at MSK under a Sponsored Research Agreement for $1.5 million. The scientific research took place over a period that commenced in September 2020 and ended in February 2022.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the MCTA, with MSK under which we are providing drug product and funding for certain clinical trials at MSK under separate executed appendices. Additionally, we have entered into a Sponsored Research Agreement, or the SRA, with MSK pursuant to which we paid MSK to conduct certain research projects over a period of five years related to the intellectual property licensed under the MSK License. The SRA was amended on September 13, 2019, and will expire five years from the date of the amendment. We also remain responsible for any potential downstream payment obligations to MSK related to the GD2-GD3 Vaccine. This includes our obligation to make development and regulatory milestone payments, if achieved, totaling $1.4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annual minimum royalties of $10,000, increasing to $25,000 from approval of the first new drug application, or NDA, or BLA for a licensed product over the royalty term, and mid-single digit royalty payments to MSK on sales.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payments could be significant and in order to satisfy our obligations to MSK and MIT, we may be required to use our existing cash, incur debt obligations or issue additional equity securities, any of which may materially and adversely affect our financial position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will need substantial additional funding until at least such time as we can generate substantial revenue from product sales. If we fail to obtain such additional funding, we may be forced to delay, reduce or eliminate our research and drug development programs or current or future commercialization efforts and our license and other agreements may be terminated.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Developing pharmaceutical products, including conducting pre-clinical studies and clinical trials and commercialization of any approved products, is a very time-consuming, expensive and uncertain process that takes years to complete. We expect our expenses to increase in connection with our ongoing activities, particularly as we grow our sales and marketing team to support sale of DANYELZA and conduct clinical trials of, and seek marketing approval for our other product candidates. We expect to incur commercialization expenses, which may be significant, related to product sales, marketing, manufacturing and distribution of DANYELZA. Accordingly, until at least such time as we can generate substantial additional revenues from sales of DANYELZA or our product candidates, if approved,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we cannot be certain that additional funding will be available on acceptable terms when needed, or at all. Our ability to raise additional capital may be adversely impacted by worsening global economic conditions, with disruptions to, and volatility in, the credit and financial markets in the U.S. and worldwide resulting from the effects of inflationary pressures, health crises such as the COVID-19 pandemic, the military conflict between Ukraine and Russia, the state of war between Israel and Hamas and the threat of a greater regional conflict, current and potential future bank failures, and otherwise. If these conditions persist and deepen, we could experience an inability to access additional capital or our liquidity could otherwise be impacted, which could in the future negatively affect our capacity for certain corporate development transactions or our ability to make other important, opportunistic investments.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such agreements. We could be required to seek collaborators for DANYELZA 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Raising additional capital may cause dilution to our stockholders, restrict our operations or require us to relinquish rights to DANYELZA or our product candidates on terms unfavorable to us.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our expenses to increase in connection with our planned operations. Until such time, if ever, as we can generate substantial additional revenues from the sale of DANYELZA and our product candidates, if approved, we expect to finance our cash needs through a combination of cash on hand, securities offerings, debt financings, collaborations, strategic alliances and/or licensing arrangements. To the extent that we raise additional capital through the sale of equity or convertible securities, ownership interests will be diluted, and the terms of these securities could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include liquidation or other preferences and anti-dilution protections that could adversely affect the rights of common stockholders. In addition, debt financing, if available, would result in fixed payment obligations and may involve agreements that include restrictive covenants that limit our ability to take specific actions, such as incurring additional debt, making capital expenditures or acquisitions, limiting our ability to conduct licensing transactions,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commercialization of DANYELZA or other products candidates, if approved, or the development of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current or future commercialization efforts or grant rights to develop and market products or product candidates that we would otherwise prefer to develop and market ourselves.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expand our resources to pursue a particular product or product candidate or indication and fail to capitalize on other products or product candidates or indications that may be more profitable or for which there is a greater likelihood of success.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focused our efforts and managerial resources on specific products and product candidates and on specific indications such as DANYELZA for the treatment of R/R high-risk NB in bone and/or bone marrow and omburtamab for central nervous system, or CNS, leptomeningeal metastases, or LM, from NB. As a result, we may forgo or delay pursuit of opportunities with other products or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 For example, in November 2022 the FDA issued a CRL for our BLA for omburtamab. The letter indicated that the FDA completed the review of the application and determined that it is unable to approve the BLA in its current form. This was consistent with the outcome of the ODAC Meeting held in October 2022. In its CRL for omburtamab, and in our Type A meeting held subsequent to receipt of the CRL, the FDA made recommendations for us to consider in terms of trial design to demonstrate substantial evidence of effectiveness and a favorable benefit-risk profile. As part of our strategic restructuring plan announced in January 2023, we deprioritized the omburtamab program for all indications and product candidates. We are currently considering the future for our omburtamab development program and we can provide no assurance that the development of omburtamab will continue or that omburtamab will ultimately receive FDA approval.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product development and commercialization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Before obtaining marketing approval from regulatory authorities for the sale of our product candidates, we must complete pre-clinical development and then conduct extensive clinical trials to demonstrate the safety and efficacy of our product candidates. No assurance can be given that any clinical studies will be conducted as planned or completed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schedule, if at all. In addition, we cannot be sure that we will be able to submit investigational new drug applications, or INDs, for any of our product candidates in the future and we cannot be sure that submission of an IND will result in the FDA allowing clinical trials to begin. Moreover, even if these clinical studies begin, issues may arise that could suspend or terminate such clinical trials. Clinical testing is expensive, difficult to design and implement, can take many years to complete and is uncertain as to outcome. Failure of one or more clinical trials can occur at any stage of testing.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outcome of pre-clinical studies and early-stage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nature of the patient populations that we study in our clinical trials means that the treatment effect of our product candidates has to be demonstrated despite being the second or third-line of treatment, and in some cases, despite concomitant treatment with radiation or chemotherapy. Some of our target indications may also be difficult to assess via current imaging technology and other testing methods, which may lead to in conclusory or equivocal data regarding treatment effect. Furthermore, because our study populations are small, statistical analyses may not fully adjust for these and other potential bias in the data. As was the case for omburtamab, any or all of these factors may mean that we are unable to demonstrate substantial evidence of the effectiveness of or product candidates to the satisfaction of the FDA or comparable foreign regulatory authorities.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only approved product, DANYELZA, our product candidates and related technologies are novel approaches to cancer treatment that present significant challenges, and our ability to generate product revenue is dependent on the success of DANYELZA or one or more of our product candidates, which might require additional clinical testing before we can seek regulatory approval and begin commercial sales.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DANYELZA and our product candidates and related technologies represent novel approaches to cancer treatment generally. Developing and commercializing these products therefore subjects us to a number of challenges. Although the FDA accepted our BLA for omburtamab for priority review, in November 2022 the FDA issued a CRL for our BLA for omburtamab. The letter indicated that the FDA completed the review of the application and determined that it is unable to approve the BLA in its current form. In the CRL, and in our Type A meeting held subsequent to receipt of the CRL, the FDA made recommendations for us to consider in terms of trial design to demonstrate substantial evidence of effectiveness and a favorable benefit-risk profile. As part of our strategic restructuring plan announced in January 2023, we deprioritized the omburtamab program for all indications and product candidates. We are currently considering the future for our omburtamab development program and there is no assurance that we will continue to develop omburtamab or receive approval of our BLA for omburtamab. We may never be able to develop a marketable product other than DANYELZA. Our ability to generate product revenue is highly dependent on our ability to successfully commercialize DANYELZA and to obtain additional regulatory approvals of and successfully commercialize additional product candidates. This will require additional clinical and non-clinical development, regulatory review and approval in each jurisdiction in which we intend to market them, substantial investment, access to sufficient commercial manufacturing capacity, and significant marketing efforts. We cannot be certain that any of our other product candidates will be successful in clinical studies and they may not receive regulatory approval even if they are successful in clinical studies.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success of our product candidates in development will depend on several factors, including the following:</w:t>
      </w:r>
    </w:p>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and timely completion of our ongoing clinical trials;</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and successful patient enrollment and completion of additional clinical trials on a timely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tolerability and efficacy profiles that are satisfactory to the FDA or any comparable foreign regulatory authority for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receipt of marketing and reimbursement approvals for our lead product candidates from applicable regulatory authorities;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our future collaborators, if any;</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any required post-marketing approval commitments to applicable regulatory authorities;</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supply arrangements with third-party raw materials and drug product suppliers and manufacturers;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scaled production arrangements with third-party manufacturers to obtain finished products that are appropriately packaged for sale;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protection, trade secret protection and regulatory exclusivity, both in the United States and internationally;</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our rights in our intellectual property portfolio, including our licensed intellectual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launch of commercial sales following any marketing approval including the hiring of a direct salesforce and creation of marketing campaigns;</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continued acceptable safety profile following any marketing approval;</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acceptance by physicians and patients, the medical community and third-party payors; and</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other therapies.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Further, competitors who are developing product candidates with technology similar to ours may experience problems with their product candidates that could identify problems in the technology that would potentially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Many of our product candidates are based on similar technologies. Therefore, if one product candidate encounters safety or efficacy problems, developmental delays, regulatory issues, or other problems, our other development plans and business could be significantly harmed.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SADA Technology that we use is unproven and may not result in approvable or marketable products, which exposes us to unforeseen risks and makes it difficult for us to predict the time and cost of product development and potential for regulatory approval, and we may not be successful in our efforts to use the SADA Technology to build a pipeline of product candidates.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seeking to identify and develop a broad pipeline of product candidates using the SADA Technology. We have only recently begun dosing patients in our Phase 1 trial of GD2-SADA. The scientific research that forms the basis of our efforts to develop product candidates with the SADA Technology is still ongoing. We are not aware of any FDA-approved therapeutics utilizing a similar technology. Further, the scientific evidence to support the feasibility of developing therapeutic treatments based on the SADA Technology is both preliminary and limited. As a result, we are exposed to a number of unforeseen risks, and it is difficult to predict the types of challenges and risks that we may encounter during development of our product candidates using the SADA Technology. For example, before the first dosing in our Phase 1 trial of GD1-SADA, we had not tested any of the product candidates being developed using the SADA platform in humans, and most of our current data is limited to animal models and pre-clinical cell lines, the results of which may not translate into humans. Further, relevant animal models and assays may not accurately predict the safety and efficacy of our product candidates based on the SADA Technology in humans, and we may encounter significant challenges creating appropriate models and assays for demonstrating the safety and purity of our product candidates. In addition, the SADA Technology has potential safety risks related to, but not limited to, the radiation stemming from the delivery of radioactive payloads. As a result, it is possible that safety events or concerns could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negatively affect the development of our product candidates developed using the SADA Technology, including adversely affecting patient enrollment among the patient populations that we intend to treat.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Given the novelty of the SADA Technology,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developed using the SADA Technology, the FDA or comparable foreign regulatory agencies may lack experience in evaluating the safety and efficacy of our product candidates developed using the SADA Technology,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developed using the SADA Technology, alone or in combination with other therapies.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an element of our strategy is to use and expand the SADA Technology to build a pipeline of product candidates and progress those product candidates through clinical development for the treatment of a variety of different cancers. Although our research and development efforts to date have been focused on identifying a pipeline of product candidates directed at cancers, we may not be able to develop product candidates that are safe and effective. Even if we are successful in building a pipeline of product candidates developed using the SADA Technology,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developed using the SADA Technology, we will face difficulty in obtaining product revenue therefrom in future periods, which could result in significant harm to our financial position and adversely affect our share price.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Russia’s invasion of Ukraine and ancillary developments have had and may continue to have an adverse effect on our business.</w:t>
      </w:r>
    </w:p>
    <w:p>
      <w:pPr>
        <w:pStyle w:val="TextBody"/>
        <w:bidi w:val="0"/>
        <w:spacing w:before="0" w:after="240"/>
        <w:ind w:left="0" w:right="0" w:firstLine="720"/>
        <w:jc w:val="left"/>
        <w:rPr>
          <w:rFonts w:ascii="Times New Roman;Times;serif" w:hAnsi="Times New Roman;Times;serif"/>
          <w:sz w:val="20"/>
        </w:rPr>
      </w:pPr>
      <w:bookmarkStart w:id="1025" w:name="_Hlk129085457"/>
      <w:bookmarkEnd w:id="1025"/>
      <w:r>
        <w:rPr>
          <w:rFonts w:ascii="Times New Roman;Times;serif" w:hAnsi="Times New Roman;Times;serif"/>
          <w:sz w:val="20"/>
        </w:rPr>
        <w:t>On February 24, 2022, Russia launched a wide-ranging attack on Ukraine. The resulting conflict and retaliatory measures by the global community have created global security concerns, including the possibility of expanded regional or global conflict, which have had and are likely to continue to have, short-term and more likely longer-term adverse impacts on Russia, Ukraine and Europe and around the globe. Sanctions issued by the U.S. and other countries against Russia in response to its attack on Ukraine and related counter-sanctions issued by Russia have made it very difficult for us to operate in Russia. In light of the conditions in the region, we terminated our clinical trials of DANYELZA in Russia and suspended our regulatory activities to obtain marketing authorization for DANYELZA in Russia. We have been able to make DANYELZA available in Russia on a compassionate (unapproved) use basis for a limited number of patients. Although we are considering expanding the compassionate use of DANYELZA in Russia through our partnership with Swixx BioPharma AG, the sanctions have negatively impacted our plans to commercialize and sell DANYELZA in Russia and may therefore adversely affect our business. At this time, we cannot guarantee that our clinical or regulatory activities will recommence or that we will be able to expand our collaboration with Swixx BioPharma AG. In addition, the conflict between Russia and Ukraine and related sanctions has had significant ramifications on global financial markets, including volatility in the U.S. and global financial markets experienced, which has led to disruptions to trade, commerce, pricing stability, credit availability, supply-chain continuity and reduced access to liquidity globally, and has caused and may continue to cause volatility in the price of our common stock, which may adversely impact our ability to raise capital on favorable terms or at all.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full economic and social impact of the sanctions imposed on Russia and possible future punitive measures that may be implemented, as well as the counter measures imposed by Russia, in addition to the ongoing military conflict between Ukraine and Russia remains uncertain; however, both the conflict and related sanctions have resulted and could continue to result in disruptions to trade, commerce, pricing stability, credit availability, supply-chain continuity and reduced access to liquidity on acceptable terms, in both Europe and globally, and has introduced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significant uncertainty into global markets.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limited experience operating as a commercial company and the marketing and sale of DANYELZA or any future approved products may be unsuccessful or less successful than anticipated.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we have commercially launched DANYELZA in the United States, we have limited experience as a commercial company and there is limited information about our ability to successfully overcome many of the risks and uncertainties encountered by companies commercializing drugs in the biopharmaceutical industry. To execute our business plan, in addition to successfully marketing and selling DANYELZA, we will need to successfully:</w:t>
      </w:r>
    </w:p>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and expand our sales and marketing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our relationships with healthcare providers who will be treating the patients who may receive our products and any future products;</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adequate pricing and reimbursement for DANYELZA and any future products;</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regulatory authorization for the development and commercialization of our product candidates;</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maintain successful strategic alliances;</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accurately forecast demand for our products and scale manufacturing to meet that demand;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our spending as costs and expenses increase due to clinical trials, marketing approvals, and commercialization; and</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grow our relationship with MSK as a user of DANYELZA and any future products.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unsuccessful in accomplishing these objectives, we may not be able to successfully develop product candidates, commercialize DANYELZA or any future approved products, raise capital, expand our business, or continue our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commercial success of DANYELZA and of any future approved products, will depend upon the degree of market acceptance by physicians, patients, third-party payors, and others in the medical community.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commercial success of DANYELZA, and of any future approved products, will depend in part on market acceptance by physicians, patients, third-party payors, and others in the medical community. For example, current cancer treatments like surgery, chemotherapy or radiation therapy are well-established in the medical community, and doctors may continue to rely on these treatments. If DANYELZA or any future approved products do not achieve an adequate level of acceptance, we may not generate significant revenues from sales of drugs and we may not become profitable. The degree of market acceptance of DANYELZA, and of any future product, if approved for commercial sale, will depend on a number of factors, including:</w:t>
      </w:r>
    </w:p>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of the product and the prevalence and severity of any side effects;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processes for the safe administration of our products, including long-term follow-up for all patients who receive the product;</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advantages of the product compared to competitive therapies;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product is designated under physician treatment guidelines as a first-, second- or third-line therapy;</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or the ability of any potential future collaborators, to offer the product for sale at competitive prices;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product’s convenience and ease of administration compared to alternative treatments and any requirement for in-patient versus out-patient administration;</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target patient population to try, and of physicians to prescribe, the product;</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including distribution or use restrictions contained in the product’s approved labeling;</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sales, marketing and distribution support;</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standard of care for the targeted indications for the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willingness of the target patient populations to try new therapies and enroll in ongoing clinical trials, and of physicians to prescribe these therapies; </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relative convenience and ease of administration;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and amount of coverage and reimbursement from government payors, managed care plans and other third-party payors; and</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competitive product introductions and other actions by competitors in the marketplace.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limited experience in marketing and selling biopharmaceutical products. We may not be successful in commercializing DANYELZA or any future approved product unless we are able to maintain and expand our sales and marketing capabilities or enter into agreements with third parties to sell and market such approved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limited experience in marketing and selling biopharmaceutical products. We began small shipments of DANYELZA in February 2021. Other than our commercialization partnerships for DANYELZA and omburtamab covering certain territories outside the United States, we are not currently a party to any strategic collaboration that provides us with access to a collaborator’s resources in selling or marketing drugs. To achieve commercial success for any future approved products we must successfully maintain and expand our sales and marketing organization or outsource these functions to strategic collaborators and other third parties. We have built our own focused, specialized sales and marketing organization in the United States. We continue to explore selectively establishing partnerships in markets outside the United States to support the commercialization of our product candidates for which we obtain marketing approval and that can be commercialized with such capabilities.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Risks are involved both with further establishing our own direct sales and marketing capabilities and with entering into arrangements with third parties to perform these services. For example, recruiting and training even a small sales force can be expensive and time-consuming and could delay any commercial launch of a product candidate, if approved.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Factors that may inhibit our efforts to commercialize our drugs on our own after obtaining any marketing approval include: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recruit and retain adequate numbers of effective sales and marketing personnel;</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raise financing necessary to maintain and grow our commercialization infrastructure;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sales personnel to obtain access to physicians or persuade adequate numbers of physicians to prescribe DANYELZA or any future approved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complementary drugs to be offered by our sales personnel, which may put us at a competitive disadvantage relative to companies with more extensive offerings;</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expenses associated with creating an independent sales and marketing organization; and</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sufficient coverage and reimbursement from third-party payors and governmental agencies.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Conversely, our revenues from the sale of drugs or the profitability of these revenues to us are likely to be lower from arrangements that we enter into with third parties to perform sales and marketing services (such as with SciClone Pharmaceuticals International Ltd, Takeda Israel, Swixx Biopharma AG, Adium Pharma S.A. and WEP Clinical Ltd.) than if we were ourselves to market and sell any drugs that we develop. We have limited control over such third parties, and any of them may fail to devote the necessary resources and attention to sell and market our drugs effectively. In addition, we may not be successful in entering additional arrangements with third parties to sell and market our product candidates or may be unable to do so on terms that are favorable to us. If we do not maintain and expand our sales and marketing capabilities successfully, either on our own or in collaboration with third parties, we might not be successful in commercializing DANYELZA or any of our product candidates for which we receive marketing approval, if any. In the event that we are unable to effectively deploy our sales organization or distribution strategy on a timely and efficient basis, if at all, the commercialization of DANYELZA or our product candidates, if approved, could be delayed which would negatively impact our ability to generate product revenues.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significant competition from other biotechnology and pharmaceutical companies, and our operating results will suffer if we fail to compete effectively.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actual and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manufacturing organizations as well as established marketing and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DANYELZA, or our other product candidates or may develop proprietary technologies or secure patent protection that we may need for the commercialization of DANYELZA and the development of our product candidates and related technologies.</w:t>
      </w:r>
    </w:p>
    <w:p>
      <w:pPr>
        <w:pStyle w:val="TextBody"/>
        <w:bidi w:val="0"/>
        <w:spacing w:before="0" w:after="0"/>
        <w:ind w:left="0" w:right="0" w:firstLine="720"/>
        <w:jc w:val="left"/>
        <w:rPr>
          <w:rFonts w:ascii="Times New Roman;Times;serif" w:hAnsi="Times New Roman;Times;serif"/>
          <w:sz w:val="20"/>
        </w:rPr>
      </w:pPr>
      <w:bookmarkStart w:id="1026" w:name="_Hlk129085691"/>
      <w:bookmarkEnd w:id="1026"/>
      <w:r>
        <w:rPr>
          <w:rFonts w:ascii="Times New Roman;Times;serif" w:hAnsi="Times New Roman;Times;serif"/>
          <w:sz w:val="20"/>
        </w:rPr>
        <w:t xml:space="preserve">With respect to DANYELZA, which targets GD2-positive tumors, United Therapeutics Corporation, or United Therapeutics, has commercialized Unituxin (dinutuximab), an antibody against GD2, in the United States, Canada and Japan. Although United Therapeutics has discontinued its efforts to investigate Unituxin’s potential activity against adult cancerous tumors, its efforts to develop a humanized version of Unituxin and plans to develop Unituxin within R/R NB, DANYELZA faces competition from Qarziba® (dinutuximab beta) a similar antibody product against GD2 developed by Apeiron Biologics AG, or Apeiron. EUSA Pharma (UK) Ltd., or EUSA, has acquired global commercialization rights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Qarziba® (dinutuximab beta), and it is currently being commercialized in Europe and was approved by the EMA to treat high-risk NB and R/R NB. In January 2020, EUSA and BeiGene Ltd., or BeiGene, announced an exclusive collaboration to commercialize Qarziba® in mainland China and in August 2021 EUSA and BeiGene announced that the China National Medical Products Administration, or NMPA, had granted Qarziba® (dinutuximab beta) conditional marketing approval for the treatment of high-risk NB and R/R NB. EUSA has previously announced plans to file for registration of dinutuximab beta in the United States for the treatment of R/R NB. EUSA was acquired by Recordati in March 2022. In addition, Renaissance Pharma Ltd in the United Kingdom has announced a development program focused on Hu14.18, a humanized anti-GD2 monoclonal antibody, licensed from St. Jude Children’s Research Hospital for the treatment of newly diagnosed high-risk neuroblastoma in August 2023. US WorldMeds has submitted a New Drug Application, or NDA, in late 2022, and is seeking FDA approval of eflornithine hydrochloride, or DFMO, to reduce the risk of relapse in pediatric patients with high-risk neuroblastoma who have completed multiagent, multimodality therapy.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mainland China, DANYELZA is not the first approved antibody treatment for R/R NB. If approved in Europe, DANYELZA will not be the first approved antibody treatment for R/R NB in Europe. We may not be the first to market in other geographies, which may affect the price or demand for DANYELZA. Similarly, we may not be the first to market for any of our other future products, if approved. Additionally, the availability and price of our competitors’ products could limit the demand and the price we are able to charge for our DANYELZA or for any other future products, if approved. We may not be able to implement our business plan if the acceptance of DANYELZA or for any other future products, if approved, is inhibited by price competition or the reluctance of physicians to switch from existing methods of treatment to our products, or if physicians switch to other new drug or biologic products or choose to reserve our products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MacroGenics, Inc. and Daiichi Sankyo Co. are developing antibodies against the B7-H3 molecule that is the target of omburtamab.</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market opportunities for DANYELZA and our other product candidates, if approved, may be limited to those patients who are ineligible for or have failed prior treatments and may be small. Also, the market opportunity for DANYELZA and our product candidates, if approved, may be smaller than we expect.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current target patient populations are based on our beliefs and estimates regarding the incidence or prevalence of certain types of cancers that may be addressable by DANYELZA, and our other product candidates, which are derived from a variety of sources, including scientific literature, surveys of clinics, patient foundations, and market research. The total addressable market opportunity for DANYELZA and any other products we may produce, if approved, will ultimately depend upon, among other things, the diagnosis criteria included in the final label for the relevant product, acceptance by the medical community and patient access, drug pricing, and reimbursement. The number of patients in our targeted commercial markets and elsewhere may turn out to be lower than expected, possibly materially, patients may not be otherwise amenable to treatment with our drug, or new patients may become increasingly difficult to identify or gain access to, all of which would adversely affect our results of operations and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current target patient populations are small as we have so far focused our clinical development efforts on rare pediatric cancers. By way of example, only approximately 800 children are diagnosed with NB in the United States each year. Even if we obtain significant market share for DANYELZA, or our other product candidates, if approved, because the initial target populations we are seeking to treat are small, we may never achieve profitability without obtaining regulatory approval for additional and broader indications, including use of DANYELZA or our product candidates, if approved, for front-line and third-line therapy.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DANYELZA is approved only as second-line treatment for patients with R/R high-risk NB in bone and/or bone marrow. Even if we would seek approval as front-line or third-line therapy for DANYELZA or another product candidate there is no guarantee that any will be approved. In addition, we may have to conduct additional clinical trials prior to gaining approval for front-line or third-line therapy.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The indications we seek to treat have low prevalence and it may be difficult to identify and enroll patients with these diseases. If we encounter difficulties enrolling patients in our clinical trials, our clinical development activities could be delayed or otherwise adversely affected.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timely completion of clinical trials in accordance with their protocols depends, among other things, on our ability to enroll a sufficient number of patients who remain in the relevant trial until its conclusion. We have experienced and may continue to experience difficulties in patient enrollment in our clinical trials for a variety of reasons, including:</w:t>
      </w:r>
    </w:p>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nature of the patient populations;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eligibility criteria defined in the protocol;</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study population required for analysis of the trial’s primary endpoints;</w:t>
            </w:r>
          </w:p>
        </w:tc>
      </w:tr>
    </w:tbl>
    <w:tbl>
      <w:tblPr>
        <w:tblW w:w="3591" w:type="dxa"/>
        <w:jc w:val="left"/>
        <w:tblInd w:w="0" w:type="dxa"/>
        <w:tblLayout w:type="fixed"/>
        <w:tblCellMar>
          <w:top w:w="28" w:type="dxa"/>
          <w:left w:w="28" w:type="dxa"/>
          <w:bottom w:w="28" w:type="dxa"/>
          <w:right w:w="28" w:type="dxa"/>
        </w:tblCellMar>
      </w:tblPr>
      <w:tblGrid>
        <w:gridCol w:w="124"/>
        <w:gridCol w:w="256"/>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of patients to trial sites;</w:t>
            </w:r>
          </w:p>
        </w:tc>
      </w:tr>
    </w:tbl>
    <w:tbl>
      <w:tblPr>
        <w:tblW w:w="2316" w:type="dxa"/>
        <w:jc w:val="left"/>
        <w:tblInd w:w="0" w:type="dxa"/>
        <w:tblLayout w:type="fixed"/>
        <w:tblCellMar>
          <w:top w:w="28" w:type="dxa"/>
          <w:left w:w="28" w:type="dxa"/>
          <w:bottom w:w="28" w:type="dxa"/>
          <w:right w:w="28" w:type="dxa"/>
        </w:tblCellMar>
      </w:tblPr>
      <w:tblGrid>
        <w:gridCol w:w="124"/>
        <w:gridCol w:w="256"/>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of the trial;</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clinical trial investigators with the appropriate competencies and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clinical trials for similar therapies or other new therapeutics not involving our product candidates and or related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patient consents; and</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patients enrolled in clinical trials will not complete a clinical trial.</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radiation, rather than enroll patients in any of our clinical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commercial launch of our product candidates, if approved.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DANYELZA or any current or future product candidates, including those based on the SADA Technology,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or cause regulatory authorities to require labeling statements, such as boxed warnings. Even after approval, if we, or others, later discover that the drug is less effective than previously believed or causes undesirable side effects that were not previously identified, our ability, or that of any potential future collaborators, to market the drug could be compromised.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with most biological drug products, use of DANYELZA or any current or future product candidates</w:t>
      </w:r>
      <w:r>
        <w:rPr>
          <w:rFonts w:ascii="Times New Roman;Times;serif" w:hAnsi="Times New Roman;Times;serif"/>
          <w:b/>
          <w:i/>
          <w:sz w:val="20"/>
        </w:rPr>
        <w:t xml:space="preserve">, </w:t>
      </w:r>
      <w:r>
        <w:rPr>
          <w:rFonts w:ascii="Times New Roman;Times;serif" w:hAnsi="Times New Roman;Times;serif"/>
          <w:sz w:val="20"/>
        </w:rPr>
        <w:t>including those based on the SADA Technology, could be associated with undesirable side effects or adverse events which can vary in severity from minor reactions to death and in frequency from infrequent to prevalent. Undesirable side effects or unacceptable toxicities caused by our products or product candidates could cause us or regulatory authorities to withdraw marketing approval or to interrupt, delay, or halt clinical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educate and train medical personnel using our products and product candidates, to understand their side effect profiles both for our approved product DANYELZA and our current clinical trials. We anticipate this also to be the case for our future products, if approved, and clinical trials. Inadequate training in recognizing or managing the potential side effects of our products or product candidates could result in adverse effects to patients, including death. Any of these occurrences may materially and adversely harm our business, financial condition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Undesirable side effects caused by DANYELZA or any other product or product candidate could limit the commercial profile of such product or product candidate or result in significant negative consequences such as a more restrictive label or other limitations or restrictions.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 pyrexia, headache, edema, anxiety, localized edema and irritability. DANYELZA has been approved with a boxed warning for serious infusion reactions and neurotoxicity.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a product candidate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approvals of such product or seize the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future collaborators, may be required to recall the product, change the way such product is administered to patients or conduct additional clinical trials;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restrictions may be imposed on the marketing of, or the manufacturing processes for, the particular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narrow the indications for use or, as the FDA did in its approval of DANYELZA for the treatment of R/R high-risk NB rather than NB that was not R/R;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tc>
      </w:tr>
    </w:tbl>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future collaborators, may be subject to fines, injunctions or the imposition of civil or criminal penalties;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future collaborators, could be sued and held liable for harm caused to patients;</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drug may become less competitive; and</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of the foregoing could prevent us from achieving or maintaining market acceptance of DANYELZA or a particular product candidate, if approved, and could significantly harm our business, results of operations, and prospects, and could adversely impact our financial condition, results of operations, ability to raise additional financing or the market price of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larger, later-stage clinical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do not know whether any clinical trials we may conduct will demonstrate consistent or adequate efficacy and safety sufficient to obtain marketing approval to market our product candidates. We have multiple clinical trials currently ongoing or planned. In the event that an adverse safety issue, clinical hold or other adverse finding occurs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 xml:space="preserve">one or more of our clinical trials of the same product candidate, such event could adversely affect our other clinical trials of our other product candidates. We have received clinical holds on our IND applications for certain of our product candidates in the past and there is no assurance that we will not be subject to additional clinical holds in the future, which may ultimately delay or otherwise adversely affect the clinical development of our product candidates. We submitted a BLA to the FDA for radiolabeled </w:t>
      </w:r>
      <w:r>
        <w:rPr>
          <w:rFonts w:ascii="Times New Roman;Times;serif" w:hAnsi="Times New Roman;Times;serif"/>
          <w:sz w:val="15"/>
        </w:rPr>
        <w:t>131</w:t>
      </w:r>
      <w:r>
        <w:rPr>
          <w:rFonts w:ascii="Times New Roman;Times;serif" w:hAnsi="Times New Roman;Times;serif"/>
          <w:sz w:val="20"/>
        </w:rPr>
        <w:t>I-omburtamab for CNS LM from NB in August 2020, and received a Refusal to 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We completed the resubmission of the BLA for omburtamab in March 2022. Survival and safety data from our pivotal Phase 2 clinical trial 03-133 formed the primary basis for our resubmission of the BLA for omburtamab, and we compared this data with data from an external cohort comprising data from the Central German Childhood Cancer Registry, or CGCCR, database. Furthermore, we believe interim efficacy, safety and pharmacokinetic data from our pivotal Phase 2 clinical trial 101 supported the BLA resubmission. In May 2022, the FDA indicated that our BLA had been accepted for priority review. The FDA convened an Advisory Committee, which met on October 28, 2022, and voted 16 to 0 that we had not provided sufficient evidence to conclude that omburtamab improves overall survival among the target patient population. In November 2022, the FDA issued a CRL for our BLA for omburtamab indicating that the FDA determined that it was unable to approve the BLA in its current form since it did not provide substantial evidence of effectiveness of omburtamab for the proposed indication.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do not know whether any clinical trials we may conduct will demonstrate consistent or adequate efficacy and safety sufficient to obtain marketing approval to market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present or future clinical trials to be sufficient to serve as the basis for approval of any of our product candidates for any indication. The FDA and non-U.S. regulatory authorities retain broad discretion in evaluating the results of our clinical trials and in determining whether the results demonstrate that a product candidate is safe and effective.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November 2022 CRL for our BLA for omburtamab, the FDA determined that it was unable to approve the BLA in its current form since it did not provide substantial evidence of effectiveness of omburtamab for the proposed indication. Further, the FDA stated that comparisons of overall survival between our Study 101 and the external control could not be used to estimate the treatment effect of omburtamab on survival and support claims of effectiveness. Additionally, the FDA held that response rate data from our study 101 were not reliable to verify the anti-tumor activity of omburtamab. This was consistent with the outcome of the ODAC Meeting held in October 2022. In its CRL for omburtamab, and in our Type A meeting held subsequent to receipt of the CRL, the FDA made recommendations for us to consider in terms of trial design to demonstrate substantial evidence of effectiveness and a favorable benefit-risk profile. If we are required and we determine to conduct additional clinical trials of a product candidate, including if we determine to resume development of omburtamab, we will need substantial additional funds and there is no assurance that the results of any such additional clinical trials will be sufficient for approval.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Further, our product candidates may not be approved even if they achieve their primary endpoints in Phase 3 clinical trials or other pivotal trials. The FDA or non-U.S. regulatory authorities may disagree with our trial design and our interpretation of data from pre-clinical studies and clinical trials or conclude that we do not have adequate manufacturing controls or quality systems. For example, as was the case for our BLA for omburtamab, analysis of the clinical data may rely on external control comparator populations to demonstrate efficacy, rather than blinded, placebo-controlled comparator populations. Data from our clinical trials may therefore be subject to heightened scrutiny regarding potential sources of bias such as treatment-center selection bias or differences in treatment patterns between countries and over time. Furthermore, because our clinical trials typically enroll a small number of patients, statistical analyses may only partially adjust to account for such potential bias. For example, FDA identified key review issues with our BLA for omburtamab, stating that the external control population for our omburtamab BLA is not fit-for-purpose as a comparator and limits the ability to reliably attribute survival differences to omburtamab treatment, that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BLA application does not include reliable response rate data to provide supportive evidence of the treatment effect of omburtamab, and that differences in survival cannot be reliably attributed to omburtamab and provide a large degree of uncertainty regarding whether the observed differences in overall survival between patients treated with omburtamab and external control populations are due to omburtamab or whether they are due to differences in other anticancer treatment, supportive care regimens, unknown differences between the two populations, or a combination of these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than DANYELZA, the product candidates and related technologies we have licensed have not yet led, and may never lead, to approved products. Our only approved product DANYELZA was only approved in late 2020 by the FDA and launched in the United States in early 2021. Further, DANYELZA was only approved by the Israeli Ministry of Health in Israel, in August 2022, by the NMPA in China in December 2022, by Anvisa in Brazil in April 2023, and by COFEPRIS in Mexico in September 2023. Hence its commercial potential cannot be judged with accuracy at this point in time. Even if we are successful in continuing to build our pipeline, obtaining regulatory approvals and commercializing our other product candidates will require substantial additional funding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any assurance that we will be able to successfully obtain marketing approval for omburtamab or advance any of our other product candidates through the development process. Our research programs may initially show promise in identifying potential product candidates, yet fail to yield product candidates for clinical development or commercialization for many reasons, including the following:</w:t>
      </w:r>
    </w:p>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identifying additional product candidates;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assemble sufficient resources to acquire or discover additional product candidates;</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may not succeed in pre-clinical or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product candidate may on further study be shown to have harmful side effects or other characteristics that indicate it is unlikely to be effective or otherwise does not meet applicable regulatory criteria;</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develop alternatives that render our product candidates obsolete or less attractive;</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candidates we develop may nevertheless be covered by third-parties’ patents or other exclusive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a product candidate may change so that the continued development of that product candidate is no longer reasonable;</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product candidate may not be capable of being produced in commercial quantities at an acceptable cost, or at all;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product candidate may not be accepted as safe and effective by patients, the medical community or third-party payors, as applicable.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As for DANYELZA, which has been approved by the FDA for the US market, the Israeli Ministry of Health in Israel for Israel and NMPA in China for China, Anvisa in Brazil and COFEPRIS in Mexico, no assurance can be given that it will be successfully commercialized, widely accepted in the marketplace or more effective than other commercially available alternatives.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dependent on our ability to maintain and continue to leverage our relationship with MSK. 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in place several agreements with MSK, including the MSK License, the CD33 License, the MabVax Sublicense and the SADA License Agreement, which are important to us,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In addition, we anticipate that MSK, because it is a hospital where patients are treated, may become a major source for the distribution and administration of DANYELZA. Any disruption of our relationship with MSK could have a material adverse effect on our business, results of operations and financial condition. In addition, any of these relationships may require us to incur other charges, increase our near and long-term expenditures, issue securities that dilute our existing stockholders, or disrupt our management and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face significant competition in seeking appropriate strategic partners and the negotiation of strategic collaborations is time-consuming and complex. We may not be successful in our efforts to establish a strategic partnership, other than the one we have with MSK, or other alternative arrangements for our product candidates because potential strategic partners may deem our product candidates to be at too early a stage of development for collaborative effort, because third parties may not view our product candidates as having the requisite potential to demonstrate safety and efficacy or because the commercial potential of our product candidates is too difficult to predict.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 arrangements with third parties, such as our arrangement with MSK or other current or potential future collaborations that we may enter, are subject to numerous risks,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may have significant discretion in determining the efforts and resources that they will apply to a collaboration;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may not pursue development and commercialization of our products or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may delay clinical trials, provide insufficient funding for a clinical trial, stop a clinical trial, abandon a product candidate, repeat or conduct new clinical trials, or require a new formulation of a product candidate for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could independently develop, or develop with others, products that compete directly or indirectly with our products or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candidates discovered through such arrangements or any potential future collaborations with us may be viewed by such third parties as competitive with their own product candidates or products, which may cause such third parties to cease to devote resources to the commercialization of our products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party with marketing and distribution rights to one or more products may not commit sufficient resources to their marketing and distribution;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between us and such third-party or any current or potential future collaborator that cause the delay or termination of the research, development or commercialization of our products or product candidates, or that result in costly litigation or arbitration that diverts management attention and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may infringe the intellectual property rights of others, which may expose us to litigation and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arrangements or any current or potential future collaborations may be terminated and, if terminated, may result in a need for additional capital to pursue further development or commercialization of the applicable product or product candidate;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may own or co-own intellectual property covering our products that results from our collaborating with them, and in such cases, we would not have the exclusive right to commercialize such intellectual property.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if we are unable to maintain current arrangements or collaborations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products or product candidates could delay the development and commercialization of our products or product candidates in certain territories for certain indications, which would harm our business prospects,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or third parties, such as contract research organizations, or CROs, or contract manufacturing organizations, or CMOs, use hazardous and biological materials in a manner that causes injury or violates applicable law, we may be liable for damages.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research and development activities may involve the controlled use of potentially hazardous substances, including chemical and biological materials, by us or third parties, such as CROs and CMOs. We have used Lutetium-177, Iodine-131 and Iodine-124 label and conjugated antibody treatments. Our uses involve the inherent risk of exposure from beta ray emissions, which can alter or harm healthy cells in the body. We, our CROs, our CMOs and other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 We do not have insurance coverage for pollution cleanup and removal. Currently the costs of complying with applicable federal, state, local and foreign environmental regulations are not significant, and consist primarily of waste disposal expenses. However, compliance could become expensive, and current or future environmental laws or regulations may impair our research, development, production and commercialization efforts. Furthermore, failure to comply with these laws and regulations may result in substantial fines, penalties or other sanctions.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dependence on third parties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relationships with our CROs, there can be no assurance that we will not encounter similar challenges in the future or that these challenges will not have a material adverse impact on our business, financial condition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third parties to manufacture DANYELZA for commercial supply and our product candidates, including our antibody constructs based on the SADA technology, for our ongoing and planned pre-clinical studies and clinical studies. Our business could be harmed if third parties fail to provide us with sufficient quantities of DANYELZA or our other product candidates, including our antibody constructs based on the SADA technology, or fail to do so at acceptable quantities, quality levels or prices or fail to maintain adequate compliance with CMC guidelines of the FDA. Our third party manufacturers have in the past and may in the future experience manufacturing difficulties, and any such difficulties could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currently own any facility that may be used for commercial or clinical-scale manufacturing and processing, and we rely on outside vendors to manufacture DANYELZA for commercial supply and for supplies and processing of our product candidates, including our antibody constructs based on the SADA technology, for pre-clinical studies and clinical trials. Our other product candidates have only been manufactured or processed on a limited basis and we and our CMO may not be able to continue manufacturing any of our other product candidates. The manufacturing process that we have developed may be more difficult or expensive than other approaches currently in use. We may make changes as we work to optimize the manufacturing process, and we cannot be sure that even minor changes in the process will not result in significantly different substances that may not be as safe and effective as any substances deployed by our third-party research institution collaborators.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date, we have obtained the active pharmaceutical ingredient, or API, of DANYELZA from a limited number of third-party manufacturers. We have engaged a separate third-party manufacturer to conduct fill-and-finish and labeling services, as well as for the storage and distribution of DANYELZA to clinical sites and for commercial use. We do not have a long-term supply agreement with any of these third-party API manufacturers, and we purchase our required drug supplies on a purchase order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also on CMOs and third-party collaborators for the manufacture of DANYELZA for commercial supply, and we expect that this will be the manufacturing arrangement for any of our other potential products, if approved. If we are unable to establish agreements with CMOs on acceptable terms, or at all, our business and results of operations may be materially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we determine to resume development of omburtamab, we expect to continue to be highly dependent on our current CMO, EMD/Merck, for the production of omburtamab since this manufacturing process uses a hybridoma cell line in a relatively small scale (200 liters) cGMP manufacturing process. Many manufacturers refuse to allow hybridoma cell lines to be used in their facilities due to the risk of contamination. In addition, the relatively small scale of the cGMP system required for manufacture of omburtamab may increase the risk that we are unable to establish an alternative manufacturing arrangement on commercially reasonable terms because the small scale may lead to less commercially attractive terms for us.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the following additional risks with respect to the third party manufacture of our antibody-based cancer treatments: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need to qualify any new manufacturer of DANYELZA or other product candidates, the respective BLA submissions will need to be amended, and ultimately the FDA must approve any new manufacturer. Any such approval would require new testing, which may include comparability analyses between the biologic substance manufactured for use in prior clinical trials and the biologic substance manufactured by such potential new manufacturer. Any such potential new manufacturer would further need to pass cGMP compliance inspections by the FDA.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need to qualify any new manufacturer, such third party would have to be educated in, or develop substantially equivalent processes for, production of our product and/or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 party manufacturers might be unable to timely manufacture our product and/or product candidates or to produce the quantity and quality required to meet our clinical and commercial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 party manufacturers may not be able to execute our manufacturing procedures and other logistical support requirements appropriately.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 party manufacturers may not perform as agreed, according to our schedule or specifications, or at all. Any such third party manufacturer may not devote sufficient resources to our product candidates, may give greater priority to the supply of other products over our product candidates, or may not remain in the contract manufacturing business for the time required to supply our clinical trials or commercial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of cross-contamination from other drug substances if more than one product is manufactured at a third party manufacturer’s production facilities.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 party manufacturers are subject to ongoing periodic unannounced inspection by the FDA and corresponding state agencies to ensure strict compliance with cGMPs and other government regulations and corresponding foreign standards. We do not have control over third party manufacturers’ compliance with these and or any other applicable regulations and standards, and any of our third party manufacturers could fail to comply with applicable government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own, or may have to share, the intellectual property rights to any improvements made by our third party manufacturers in the manufacturing process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 party manufacturers could breach, terminate or choose not to renew their agreement with us at a time that is costly or inconvenient for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raw materials and components used to manufacture and process DANYELZA and our product candidates, particularly those for which we have no other source or supplier, may not be available or may not be suitable or acceptable for use due to material or component defects.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 party manufacturers could potentially mislabel commercial or clinical supplies, which may result in the wrong dose amounts being supplied or active drug or placebo not being properly identified;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 party manufacturers could misappropriate our proprietary information, including our trade secrets and know-how, which could lead to weaker intellectual property protection for our portfolio or potentially increased competition if a competitor were to obtain such proprietary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clinical trials may be interrupted if third party suppliers fail to deliver clinical supplies on time, or we may experience lost sales if drug supplies are not distributed to commercial vendors in a timely manner, in each case because of inclement weather, natural or man-made disasters, or other circumstances beyond our control.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 party manufacturers may have unacceptable or inconsistent product quality success rates and yields and may have inadequate quality control systems.</w:t>
            </w:r>
          </w:p>
        </w:tc>
      </w:tr>
    </w:tbl>
    <w:p>
      <w:pPr>
        <w:pStyle w:val="TextBody"/>
        <w:bidi w:val="0"/>
        <w:spacing w:lineRule="auto" w:line="240" w:before="0" w:after="240"/>
        <w:ind w:left="0" w:right="0" w:firstLine="720"/>
        <w:jc w:val="left"/>
        <w:rPr>
          <w:rFonts w:ascii="Times New Roman;Times;serif" w:hAnsi="Times New Roman;Times;serif"/>
          <w:sz w:val="20"/>
        </w:rPr>
      </w:pPr>
      <w:bookmarkStart w:id="1027" w:name="_Hlk119617527"/>
      <w:bookmarkEnd w:id="1027"/>
      <w:r>
        <w:rPr>
          <w:rFonts w:ascii="Times New Roman;Times;serif" w:hAnsi="Times New Roman;Times;serif"/>
          <w:sz w:val="20"/>
        </w:rPr>
        <w:t xml:space="preserve">Each of these risks could delay or prevent the completion of our clinical trials, could delay any additional BLA submissions or the approval of any of our product candidates by the FDA, result in higher costs or adversely impact commercialization of our product candidates. Any shortage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For example, in the past, we experienced a shortage in the supply of Iodine-131, one of the components of </w:t>
      </w:r>
      <w:r>
        <w:rPr>
          <w:rFonts w:ascii="Times New Roman;Times;serif" w:hAnsi="Times New Roman;Times;serif"/>
          <w:sz w:val="15"/>
        </w:rPr>
        <w:t>131</w:t>
      </w:r>
      <w:r>
        <w:rPr>
          <w:rFonts w:ascii="Times New Roman;Times;serif" w:hAnsi="Times New Roman;Times;serif"/>
          <w:sz w:val="20"/>
        </w:rPr>
        <w:t>I-omburtamab product candidate, from our single-source supplier.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have and will continue to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us until deficiencies are remedied.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facilities used by our CMOs to manufacture DANYELZA and our product candidates, including our antibody constructs based on the SADA technology, must be approved by the FDA pursuant to inspections conducted after submittal of a BLA to the FDA. We do not have complete control over all aspects of the manufacturing process of, and are dependent on, our contract manufacturing partners for compliance with cGMP regulations for manufacturing both active drug substances and finished drug products. DANYELZA and any product candidates that we may develop may compete with product candidates of other companies for access to manufacturing facilities. There is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commercial product and clinical product candidates and harm our business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performance failure on the part of our existing or future manufacturers could adversely affect our commercialization of approved products, such as DANYELZA, and delay clinical development or marketing approval of other product candidates. For example, we have had to scrap batches of DANYELZA due to our third-party manufacturer’s discontinuation of the batch manufacture. As a result, during the nine months ended September 30, 2023 and 2022, the Company recorded charges to write-off inventory of $831,000 and $1,170,000, respectively. We do not currently have arrangements in place for redundant supply of DANYELZA or other product candidates, and we currently use only a single third-party manufacturer for fill-and-finish services for DANYELZA and other product candidates. If any of our current CMOs cannot perform as agreed, we may be required to replace such manufacturer and we may incur added costs and delays in identifying and qualifying any such replacement.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and will continue to be, reliant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the IND filings and our ability to conduct future planned clinical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limited internal research and development capabilities. We conduct independent clinical trials and perform pre-clinical research but we also rely on third-party research institutions for both clinical trial and pre-clinical research.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Currently, MSK is conducting a clinical trial to address relapsed osteosarcoma using DANYELZA. Under the terms of the MCTA, we are obligated to pay for costs associated with this clinical trial. A clinical trial at MSK for CNS/LM from NB for omburtamab has completed accrual and no new patients are enrolled but we are performing follow-up activities on already-treated patients.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agreed to fund certain research and development costs under both the MSK License, the MSK CD33 License and the SADA License Agreement. However, the research we have agreed to fund constitutes only a small portion of the overall research of MSK. Other research being conducted by MSK may receive higher priority than research on the programs we may fund.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outside scientists who conduct the clinical testing of DANYELZA and our other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existing agreements with MSK may be subject to termination by MSK upon the occurrence of certain circumstances including in the event of our insolvency or bankruptcy, if we are convicted of a felony relating to the manufacture, use, or sale of products licensed from MSK or if we fail to pay amounts owed to MSK under the agreements or other types of breach by us of our obligations under the agreements that remain uncured. If MSK terminates the MSK License, the MSK CD33 License, the SADA License Agreement or its other agreements with us, commercialization of any approved product, such as DANYELZA, or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DANYELZA and our product candidates, including those based on the SADA Technology, are biologics and the manufacture of DANYELZA and our product candidates, including those based on the SADA Technology,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DANYELZA and our product candidates, including those based on the SADA Technology, are biologics and the process of manufacturing them is complex, highly 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manufacture of DANYELZA and our product candidates, including those based on the SADA Technology,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delays as well as compliance with strictly enforced federal, state and foreign regulations. Even minor deviations from normal manufacturing processes could result in reduced production yields, product defects, and other supply disruptions. If microbial, viral, or other contaminants are discovered in our product candidates or in the manufacturing facilities in which our product candidates are made, such manufacturing facilities may need to be closed for an extended period of time to investigate and remedy the contamination. No assurance can be given that any stability failures or other issues relating to the manufacture of DANYELZA or our product candidates, including those based on the SADA Technology, will not occur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 as a product candidate progresses from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such change could cause the product candidate to perform differently and affect the results of planned clinical trials or other future clinical trials. Moreover, as we develop and/or scale-up our manufacturing processes, we expect that we will need to obtain rights to and supplies of certain materials and equipment to be used as part of those processes. We may not be able to obtain rights to such materials on commercially reasonable terms, or at all.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the manufacturing process for any products that we may develop is subject to FDA, EMA and other foreign regulatory authority approval process, and we will need to contract with manufacturers who can meet all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 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other things, develop a manufacturing process and distribution network that will, reduce the cost of goods for our product candidates to levels that will allow for an attractive return on investment if and when those product candidates are commercialized.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entered into strategic collaborations for the development, marketing and commercialization of DANYELZA and omburtamab in certain jurisdictions and may do so in the future for all or some of our product candidates. If those collaborations are not successful, or if we are unable to establish additional collaborations, we may have to alter or delay our development and commercialization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2020, we entered into an exclusive license and distribution agreement for DANYELZA and omburtamab with Takeda Israel, a wholly-owned subsidiary of Takeda Pharmaceutical Company Limited covering the State of Israel, West Bank and Gaza Strip. The ongoing and rapidly evolving conflict between Israel and Hamas may have a material adverse impact on Takeda Israel’s ability to sell our products and/or collect receivables from customers in the State of Israel as well as on Takeda Israel’s ability to pursue the development, marketing and/or commercialization of DANYELZA in the State of Israel, West Bank and Gaza Strip, which may ultimately have an adverse impact on the amount of royalties we receive pursuant to the Takeda Licensing Agreement. 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 Sanctions issued by the U.S. and other countries against Russia in response to its attack on Ukraine and related counter-sanctions issued by Russia have made it very difficult for us to operate in Russia and may have a material adverse impact on our ability to sell our products and/or collect receivables from customers in Russia. In December 2020, we entered into a license agreement for DANYELZA and omburtamab with SciClone Pharmaceuticals International Ltd., or SciClone, for Greater China, including Mainland China, Taiwan, Hong Kong and Macau. In May 2021, we entered into an exclusive distribution agreement with Adium Pharma S.A., or Adium, for Latin America. Finally, in December 2022, we entered into a distribution agreement with WEP Clinical Ltd. in connection with an early access program for DANYELZA in Europe. We may enter into further strategic collaborations for the development, marketing and commercialization of all or some of our product candidates. Our current and future potential collaborators include large and mid-size pharmaceutical companies, regional and national pharmaceutical companies and biotechnology companies. We face significant competition in seeking appropriate collaborators. Whether we reach a definitive agreement for any further collaborations will depend, among other things, upon our assessment of the collaborator’s resources and expertise, the terms and conditions of the proposed collaboration and the proposed collaborator’s evaluation of a number of factors. We have and will for any future collaborations likely have limited control over the amount and timing of resources that our collaborators dedicate to the development, marketing and/or commercialization of our product candidates. Our ability to generate revenues from these arrangements will depend on our current and future potential collaborators’ abilities to successfully perform the functions assigned to them in these arrangements. In addition, our current collaborators have and any future collaborators may have, the right to abandon research or development projects and terminate applicable agreements, including funding obligations, prior to or upon the expiration of the agreed upon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current and any future potential collaborations involving our product candidates pose risks to us, including the following: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have significant discretion in determining the efforts and resources that they will apply to these collaborations;</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perform their obligations as expected;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independently develop, or develop with third parties, drugs that compete directly or indirectly with our drugs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collaborator with marketing and distribution rights to one or more drugs may not commit sufficient resources to the marketing and distribution of such drug or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properly maintain or defend our intellectual property rights or may use our proprietary information in such a way as to invite litigation that could jeopardize or invalidate our proprietary information or expose us to potential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infringe the intellectual property rights of third parties, which may expose us to litigation and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lose certain valuable rights under circumstances identified in any collaboration arrangement that we enter into, such as if we undergo a change of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restricted under then-existing collaboration agreements from entering into future agreements on certain terms with potential collaborators;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may be terminated and, if terminated, may result in a need for additional capital to pursue further development, marketing and/or commercialization of the applicable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learn about our discoveries, data, proprietary information, trade secrets, or compounds and use this knowledge to compete with us in the future;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type of our collaborations could adversely affect our attractiveness to potential future collaborators or acquirers.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current and any future collaboration agreements, if any, may not lead to development or commercialization of product candidates in the most efficient manner, or at all.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not be able to negotiate additional collaborations on a timely basis, on acceptable terms, or at all, if and when we seek to enter into collaborations. If we are unable to do so, we may have to curtail the development of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Risks related to government regulation; market approval and other legal compliance matters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if we complete the necessary non-clinical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To date, we have only obtained regulatory approval to market DANYELZA in the United States for R/R high-risk NB in bone and/or bone marrow. We cannot predict when or if, and in which other territories, we, or any of our potential future collaborators, will obtain marketing approval to commercialize DANYELZA or any of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Although we have received a Biologics License for DANYELZA for R/R high-risk NB in bone and/or bone marrow, we intend to discuss with the FDA submission of additional BLAs for approval of DANYELZA to treat additional indications that currently lack an FDA-approved treatment option.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may ultimately require one or multiple Phase 3 clinical trials prior to approval of any product candidates for which we seek accelerated approval.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some, but only limited, experience in completing a submission of a BLA to the FDA, or similar approval submissions to comparable foreign authorities. Our BLA for DANYELZA was approved, but we received a CRL for our BLA for omburtamab.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and the small size of our target patient populations, to create further challenges in obtaining regulatory approval from the FDA and other regulatory authorities. For example, for product candidates targeting ultra-rare diseases, such as CNS/LM from NB, where the very small patient population makes it difficult or impossible to conduct two traditional, adequate and well-controlled studies, the FDA or comparable foreign regulatory authorities may need to exercise flexibility in approving therapies for such diseases. Even flexibility from the FDA may not be sufficient to obtain approval. For instance, in its CRL for omburtamab, and in our Type A meeting held subsequent to receipt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CRL, the FDA made recommendations for us to consider in terms of adequate and well-controlled trial design to demonstrate substantial evidence of effectiveness and a favorable benefit-risk profile.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FDA may also require a panel of experts, referred to as an Advisory Committee, to deliberate on the adequacy of the safety and efficacy data, and the use of control groups to support licensure. For example, in connection with our BLA for omburtamab, the FDA convened an Advisory Committee that met in October 2022, which voted 16 to 0 that the BLA did not provide sufficient evidence to conclude that omburtamab improves overall survival among the target patient population. The opinion of this and any other Advisory Committee, although not binding, may have a significant impact on our ability to obtain licensure our product candidates based on the completed clinical trials, such as was the case for omburtamab. Accordingly, the regulatory approval pathway for our product candidates may be uncertain, complex, expensive, and lengthy, and approval may not be obtained.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process of obtaining marketing approvals, both in the United States, the European Union and elsewhere,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EMA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marketing approval we ultimately obtain may be limited or subject to restrictions or post-approval commitments that render the approved product not commercially viable.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clinical trials can be delayed or terminated for a variety of reasons, including delays or failures related to:</w:t>
      </w:r>
    </w:p>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regulatory approval to begin a trial, if applicable;</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financial resources to begin and complete the planned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reaching agreement on acceptable terms with prospective CROs and clinical trial sites, the terms of which can be subject to extensive negotiation and may vary significantly among different CROs and trial sites;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approval at each clinical trial site by an Institutional Review Board or IRB;</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suitable patients to participate in a trial in a timely manner;</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patients complete a trial or return for post-treatment follow-up;</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sites deviating from trial protocol, not complying with GCPs, or dropping out of a trial;</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any patient safety concerns that arise during the course of a trial;</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any conflicts with new or existing laws or regulations;</w:t>
            </w:r>
          </w:p>
        </w:tc>
      </w:tr>
    </w:tbl>
    <w:tbl>
      <w:tblPr>
        <w:tblW w:w="2976" w:type="dxa"/>
        <w:jc w:val="left"/>
        <w:tblInd w:w="0" w:type="dxa"/>
        <w:tblLayout w:type="fixed"/>
        <w:tblCellMar>
          <w:top w:w="28" w:type="dxa"/>
          <w:left w:w="28" w:type="dxa"/>
          <w:bottom w:w="28" w:type="dxa"/>
          <w:right w:w="28" w:type="dxa"/>
        </w:tblCellMar>
      </w:tblPr>
      <w:tblGrid>
        <w:gridCol w:w="124"/>
        <w:gridCol w:w="25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new clinical trial sites;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qualified materials under cGMPs for use in clinical trials;</w:t>
            </w:r>
          </w:p>
        </w:tc>
      </w:tr>
    </w:tbl>
    <w:tbl>
      <w:tblPr>
        <w:tblW w:w="5136" w:type="dxa"/>
        <w:jc w:val="left"/>
        <w:tblInd w:w="0" w:type="dxa"/>
        <w:tblLayout w:type="fixed"/>
        <w:tblCellMar>
          <w:top w:w="28" w:type="dxa"/>
          <w:left w:w="28" w:type="dxa"/>
          <w:bottom w:w="28" w:type="dxa"/>
          <w:right w:w="28" w:type="dxa"/>
        </w:tblCellMar>
      </w:tblPr>
      <w:tblGrid>
        <w:gridCol w:w="124"/>
        <w:gridCol w:w="256"/>
        <w:gridCol w:w="4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pandemics or other public-health emergencies;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impact of the Russian invasion of Ukraine; </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the state of war between Israel and Hamas; or</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of clinical trial sites and manufacturing facilities by regulatory authorities.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 enrollment is a significant factor in the timing of clinical trials and is affected by many factors. See the risk factor above “—</w:t>
      </w:r>
      <w:r>
        <w:rPr>
          <w:rFonts w:ascii="Times New Roman;Times;serif" w:hAnsi="Times New Roman;Times;serif"/>
          <w:i/>
          <w:sz w:val="20"/>
        </w:rPr>
        <w:t>If we encounter difficulties enrolling patients in our clinical trials, our clinical development activities could be delayed or otherwise adversely affected</w:t>
      </w:r>
      <w:r>
        <w:rPr>
          <w:rFonts w:ascii="Times New Roman;Times;serif" w:hAnsi="Times New Roman;Times;serif"/>
          <w:sz w:val="20"/>
        </w:rPr>
        <w:t>.” for additional information on risks related 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product candidates could fail to receive marketing approval for many reasons,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EMA or comparable foreign regulatory authorities may disagree with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EMA or comparable foreign regulatory authorities that a product candidate is safe and effective for its proposed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FDA, EMA or comparable foreign regulatory authorities for approval;</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that a product candidate’s clinical and other benefits outweigh its safety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EMA or comparable foreign regulatory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product candidates may not be sufficient to support the submission of a BLA or other submission or to obtain marketing approval in the United States, the EU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EMA or comparable foreign regulatory authorities may fail to approve the manufacturing processes or facilities of third-party manufacturers with which we contract for clinical and commercial supplies;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EMA or comparable foreign regulatory authorities may fail to approve any companion diagnostics that may be required in connection with approval of our therapeutic product candidates;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EMA or comparable foreign regulatory authorities may significantly change in a manner rendering our clinical data insufficient for approval.</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lengthy approval process as well as the unpredictability of clinical trial results resulted in our failure to obtain marketing approval to market omburtamab. The same factors may also result in a failure for us to obtain marketing approval to market any of our other product candidates, which would further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 approval commitments that render the approved drug not commercially viable.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EMA or comparable foreign regulatory authorities, may disagree with our regulatory plans, including our plans to seek conditional marketing authorization, and we may fail to obtain regulatory approval of DANYELZA, or our other product candidates, which would prevent DANYELZA, or our other product candidates from being marketed abroad. Any approval we are granted for our product candidates in the United States, such as the approval of DANYELZA, would not assure approval of our product candidates in foreign jurisdictions.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order to market and sell our drugs in the European Union and many other jurisdictions, we, and any collaborators we may have in the future, must obtain separate marketing approvals and comply with numerous and varying regulatory requirements.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April 27, 2021 we submitted a MAA, to the EMA for omburtamab for the treatment of pediatric patients with CNS/LM from NB. In December 2022, the European Committee for Medicinal Products for Human Use, or CHMP, adopted a negative opinion recommending a refusal of the MAA. CHMP determined that it was not possible to conclude on the effectiveness of omburtamab as the main study did not have a randomized comparator. We are assessing the implications of the negative opinion and our plans for the omburtamab program.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such as the approval of DANYELZA, does not ensure approval by regulatory authorities in other countries or jurisdictions, and approval by one regulatory authority outside of the United States does not ensure approval by regulatory authorities in other countries or jurisdictions or by the FDA.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conditional marketing authorization may be granted when the CHMP finds that, although comprehensive clinical data referring to the safety and efficacy of the medicinal product have not been supplied, all the following requirements are met:</w:t>
      </w:r>
    </w:p>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risk-benefit balance of the medicinal product is positive;</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likely that the applicant will be in a position to provide the comprehensive clinical data;</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unmet medical needs will be fulfilled;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 to public health of the immediate availability on the market of the medicinal product concerned outweighs the risk inherent in the fact that additional data are still required.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Failure to obtain regulatory approval to market any of our product candidates outside of the US would significantly harm our business, results of operations,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seek Breakthrough Therapy Designation, or BTD, for one or more of our product candidates. We may not receive such designation, and even if we do, such designation may not lead to a faster development or regulatory review or approval process.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BTD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the FDA to discuss the development plan for the product candidate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June 2017, </w:t>
      </w:r>
      <w:r>
        <w:rPr>
          <w:rFonts w:ascii="Times New Roman;Times;serif" w:hAnsi="Times New Roman;Times;serif"/>
          <w:sz w:val="15"/>
        </w:rPr>
        <w:t>131</w:t>
      </w:r>
      <w:r>
        <w:rPr>
          <w:rFonts w:ascii="Times New Roman;Times;serif" w:hAnsi="Times New Roman;Times;serif"/>
          <w:sz w:val="20"/>
        </w:rPr>
        <w:t xml:space="preserve">I-omburtamab received BTD for the treatment of pediatric patients with R/R NB who have CNS/LM from NB. We may seek BTD for some or all of our other product candidates, but we may never receive another BTD, or, if received, such designation for a product candidate may not result in a faster development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regulatory review or approval process compared to drugs considered for approval under conventional FDA procedures. BTD does not change the standards for product approval nor assure ultimate approval by the FDA.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addition, even if one or more of our product candidates qualify as breakthrough therapies, the FDA may later decide that the product candidate no longer meets the conditions for qualification or decide that the time period for FDA review or approval will not be shortened.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product candidates may not be able to obtain or maintain Orphan Drug Designation, or ODD, or Rare Pediatric Disease Designation, or RPDD.</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an indication with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August 2016, the FDA granted ODD to </w:t>
      </w:r>
      <w:r>
        <w:rPr>
          <w:rFonts w:ascii="Times New Roman;Times;serif" w:hAnsi="Times New Roman;Times;serif"/>
          <w:sz w:val="15"/>
        </w:rPr>
        <w:t>131</w:t>
      </w:r>
      <w:r>
        <w:rPr>
          <w:rFonts w:ascii="Times New Roman;Times;serif" w:hAnsi="Times New Roman;Times;serif"/>
          <w:sz w:val="20"/>
        </w:rPr>
        <w:t xml:space="preserve">I-omburtamab for the treatment of NB. In 2013, the FDA granted ODD to DANYELZA for the treatment of NB. In November 2018, the European Commission granted orphan medicinal product designation, or OMPD, for naxitamab for the treatment of NB. In February 2017, the European Commission granted OMPD to omburtamab for the treatment of NB.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may be entitled to orphan drug exclusivity. Orphan drug exclusivity in the United States provides that the FDA may not approve any other applications, including a full BLA, to market the same drug for the same indication for seven years, except in limited circumstances. The corresponding exclusivity period is 10 years in Europe, and can be reduced to six years if a drug no longer meets the criteria for ODD or if the drug is sufficiently profitable so that market exclusivity is no longer justified.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Rare Pediatric Disease Priority Review Voucher Program, or PRV Program, is intended to incentivize pharmaceutical sponsors to develop drugs for rare pediatric diseases. A sponsor who obtains approval of a BLA for a rare pediatric disease may be eligible for a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drug that receives RPDD before September 30, 2024, will continue to be eligible for a PRV if the drug is approved by the FDA before September 30, 2026. If development of omburtamab continues and the BLA for omburtamab is not approved prior to September 30, 2026, regardless of whether it meets the criteria for a rare pediatric disease PRV, it will not be eligible for a PRV.</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Even if we obtain ODD or RPDD for any of our product candidates in the future, we may not be able to maintain such status or enjoy the anticipated associated benefits. We may not be the first to obtain marketing approval of any product candidate that has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candidate,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Once marketing approval has been granted, as it was for DANYELZA in the United States, an approved drug and its manufacturer and marketer are subject to ongoing review and extensive regulation. The accelerated approval of DANYELZA is subject to certain post-marketing requirements and commitments, including a confirmatory post-marketing trial of clinical benefit, that must be completed in order to convert the BLA to full approval and prevent withdrawal of the license by FDA. The confirmatory post-marketing clinical trial required by the FDA to verify and to further characterize the clinical benefit is our ongoing Study 201, which will enroll a minimum of 80 evaluable patients and report overall rate of response, or ORR, duration of response, or DOR, progression free survival, or PFS, and overall survival, or OS. The ORR is the primary endpoint for the study, DOR is the secondary endpoint and PFS and OS are secondary endpoints in long-term follow-up. We anticipate completing the study no later than by March 31, 2027. Other post-marketing requirements associated with the approval of DANYELZA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 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DANYELZA and 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DANYELZA and any of our product candidates for which we, or our potential future collaborators, obtain marketing approval in the future, will be subject to continual review by the FDA and other regulatory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Federal Food, Drug and Cosmetic Act,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later discovery of previously unknown adverse events or other problems with our drugs or their manufacturers or manufacturing processes, or failure to comply with regulatory requirements, may yield various results, including:</w:t>
      </w:r>
    </w:p>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involving patients taking our drug;</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such drugs, manufacturers or manufacturing processes;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labeling or marketing of a drug;</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drug distribution or use;</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to conduct post-marketing studies or clinical trials;</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 or untitled letters;</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the drugs from the market;</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approve pending applications or supplements to approved applications that we submit;</w:t>
            </w:r>
          </w:p>
        </w:tc>
      </w:tr>
    </w:tbl>
    <w:tbl>
      <w:tblPr>
        <w:tblW w:w="1746" w:type="dxa"/>
        <w:jc w:val="left"/>
        <w:tblInd w:w="0" w:type="dxa"/>
        <w:tblLayout w:type="fixed"/>
        <w:tblCellMar>
          <w:top w:w="28" w:type="dxa"/>
          <w:left w:w="28" w:type="dxa"/>
          <w:bottom w:w="28" w:type="dxa"/>
          <w:right w:w="28" w:type="dxa"/>
        </w:tblCellMar>
      </w:tblPr>
      <w:tblGrid>
        <w:gridCol w:w="124"/>
        <w:gridCol w:w="256"/>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recall of drugs;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restitution or disgorgement of profits or revenues;</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marketing approvals;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relationships with any potential collaborators;</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coverage by third-party payors;</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press coverage and damage to our reputation;</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permit the import or export of drugs;</w:t>
            </w:r>
          </w:p>
        </w:tc>
      </w:tr>
    </w:tbl>
    <w:tbl>
      <w:tblPr>
        <w:tblW w:w="1791" w:type="dxa"/>
        <w:jc w:val="left"/>
        <w:tblInd w:w="0" w:type="dxa"/>
        <w:tblLayout w:type="fixed"/>
        <w:tblCellMar>
          <w:top w:w="28" w:type="dxa"/>
          <w:left w:w="28" w:type="dxa"/>
          <w:bottom w:w="28" w:type="dxa"/>
          <w:right w:w="28" w:type="dxa"/>
        </w:tblCellMar>
      </w:tblPr>
      <w:tblGrid>
        <w:gridCol w:w="124"/>
        <w:gridCol w:w="256"/>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seizure; or</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Current and future legislation, or changes in existing FDA and other government regulations and policies, may increase the difficulty and cost for us and our potential future collaborators to maintain or obtain potential marketing approval of and commercialize our product candidates and affect the prices we, or they, may obtain.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 If we are slow or unable to adapt to changes in existing requirements or the adoption of new requirements or policies, or if we are not able to maintain regulatory compliance, we may lose any marketing approval that we may have obtained for DANYELZA,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United States, the Patient Protection and Affordable Care Act, as amended by the Health Care and Education Reconciliation Act, or collectively the Affordable Care Act, or ACA, substantially changed the way healthcare is financed by both governmental and private insurers.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Some states are also considering legislation and ballot initiatives that would control the prices and coverage and reimbursement levels of drugs, including laws to allow importation of pharmaceutical products from lower cost jurisdictions outside the U.S. and laws intended to impose price controls on state drug purchases.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healthcare reform measures that may be adopted in the future may result in more rigorous coverage criteria and in additional downward pressure on the price that we receive for DANYELZA and any other approved product.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DANYELZA or our other approved products,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 price controls or other changes in pricing regulation could restrict the amount that we are able to charge for DANYELZA or any of our other product candidates that may be approved in the future, which would adversely affect our revenue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For example, the IRA, among other things, (i) directs the U.S. Department of Health and Human Services, or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Centers for Medicare &amp; Medicaid Services Innovation Center which will be evaluated on their ability to lower the cost of drugs, promote accessibility, and improve quality of care. It is unclear whether the models will be utilized in any health reform measures in the future. In some international markets, the government controls the pricing, which can affect the profitability of drugs.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Current government regulations and possible future legislation regarding health care may affect coverage and reimbursement for medical treatment by third-party payors, which may render DANYELZA or our other product candidates, if approved, not commercially viable or may adversely affect our anticipated future revenues and gross margins.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any our future products, which would adversely affect our anticipated revenue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relationships with healthcare providers, physicians and third-party payors are subject to applicable anti-kickback, fraud and abuse and other healthcare laws and regulations, which could expose us to penalties, including criminal sanctions, civil penalties, contractual damages, reputational harm and diminished profits and future earnings.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relationships with healthcare providers, physicians and third-party payors are subject to additional healthcare statutory and regulatory requirements and enforcement by the federal government and the states and foreign governments in which we conduct our business. Our current and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DANYELZA and other our products for which we obtain marketing approval. Restrictions under applicable federal and state healthcare laws and regulations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Anti-Kickback Statute—the federal healthcare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False Claims Act—the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HIPAA—the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Privacy Provisions—as amended by the Health Information Technology for Economic and Clinical Health Act (“HITECH”) and its implementing regulations, HIPAA also imposes obligations on certain covered entity healthcare providers, health plans, and healthcare clearinghouse as well as their business associates and subcontractors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HIPAA, as amended, requires notification to affected individuals and regulatory authorities of certain breaches of security of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Transparency Requirements—the federal legislation commonly referred to as the Physician Payments Sunshine Act, enacted as part of the 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fees, travel reimbursements, research grants, and other payments or gifts with values over $10 made to physicians (defined to include doctors, dentists, optometrists, podiatrists, and chiropractors), other healthcare providers (such as physician assistants and nurse practitioners), and teaching hospitals, as well as ownership and investment interests held by physicians and their immediate family members;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FDCA—the FDCA, which prohibits, among other things, the adulteration or misbranding of drugs, biologics and medical devices;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Laws—analogous state and foreign fraud and abuse laws and regulations, such as state anti-kickback and false claims laws that may apply to sales or marketing arrangements and claims involving healthcare items or services reimbursed by non-governmental third-party payors, including private insurers.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Efforts to ensure that our business arrangements with third parties comply with applicable healthcare laws and regulations involve substantial costs. It is possible that interpretation of healthcare laws and regulations will vary across jurisdictions, and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of drugs from government-funded healthcare programs, such as Medicare and Medicaid, and the curtailment or restructuring of our operations. We have established internal policies and procedure to mitigate our compliance risks. However, no assurance can be given that such policies and procedures will be adequate to ensure compliance with applicable laws and regulations. Moreover,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ordinary course of business, we and our collaborators and third-party providers may collect, receive, store, process, generate, use, transfer, disclose, make accessible, protect, secure, dispose of, transmit, and share (collectively, process) personal data and other sensitive information, such as proprietary and confidential business data, trade secrets, intellectual property, and data we collect about trial participants in connection with our clinical trials. Our data processing activities may subject us to numerous data privacy and security obligations, such as various laws, regulations, guidance, industry standards, external and internal privacy and security policies, contracts, and other obligations that govern the processing of sensitive information by us and on our behalf. In the United States, federal, state, and local laws and regulations, including federal health information privacy laws, state data breach notification laws, state health information privacy laws and federal and state consumer protection laws (e.g., Section 5 of the Federal Trade Commission Act), govern the collection, use, disclosure and protection of health-related and other personal data and could apply to our operations or the operations of our collaborators and third-party providers. In addition, we may obtain health information from third parties (including research institutions from which we obtain clinical trial data) that are subject to privacy and security requirements under HIPAA, as amended by HITECH, which imposes specific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requirements relating to the privacy, security, and transmission of individually identifiable health information. Depending on the facts and circumstances, we could be subject to significant penalties if we violate HIPAA.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States are also constantly amending existing laws, requiring attention to frequently changing regulatory requirements. For example, the California Consumer Privacy Act of 2018, as amended by the California Privacy Rights Act of 2020, collectively the CCPA, imposes obligations on covered businesses. These obligations include, without limitation, providing specific disclosures in privacy notices and affording California residents certain rights related to their personal data. The CCPA allows for statutory fines for noncompliance (up to $7,500 per violation) and a private right of action for certain data breaches. Although the CCPA exempts some data processed in the context of clinical trials, the CCPA may increase compliance costs and potential liability with respect to other personal data we may maintain about California residents. In addition, in 2020 the CCPA expanded to add a new right for individuals to correct their personal data and establish a new regulatory agency to implement and enforce the law. Other states have also enacted data privacy laws, including Virginia, Colorado, Utah, and Connecticut, all of which differ from the CPRA and become effective in 2023. While these states, like the CCPA, also exempt some data processed in the context of clinical trials, these developments further complicate compliance efforts, and increase legal risk and compliance costs for us and the third parties upon whom we rely.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Outside the United States, an increasing number of laws, regulations, and industry standards may govern data privacy and security. For example, the European Union’s General Data Protection Regulation, or EU GDPR, the United Kingdom’s GDPR, or UK GDPR, Brazil’s General Data Protection Law (Lei Geral de Proteção de Dados Pessoais, or LGPD) (Law No. 13,709/2018), and China’s Personal Information Protection Law, or PIPL, impose strict requirements for processing personal data. In particular, the EU GDPR applies to any company established in the European Economic Area, or EEA, and to companies established outside the EEA that process personal data in connection with the offering of goods or services to data subjects in the EEA or the monitoring of the behavior of data subjects in the EEA. The obligations from the EU and UK GDPR, together referred to as GDPR, may include limiting personal data processing to only what is necessary for specified, explicit, and legitimate purposes; requiring a legal basis for personal data processing; complying with specific requirements to process health-related data;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 Under the GDPR, companies may face temporary or definitive bans on data processing and other corrective actions; fines of up to 20 million Euros (17.5 million British Pounds under the UK GDPR) or 4% of annual global revenue, in each case, whichever is greater; or private litigation related to processing of personal data brought by classes of data subjects or consumer protection organizations authorized at law to represent their interests.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UK have significantly restricted the transfer of personal data to the United States and other countries whose data privacy and security laws they generally believe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and the EU-U.S. Data Privacy Framework (which allows for transfers for relevant U.S.-based organizations who self-certify compliance and participate in the Framework), these mechanisms may be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EU GDPR’s cross-border data transfer limitations. In addition to data privacy and security laws,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of these events could have a material adverse effect on our reputation, business, or financial condition, including but not limited to: loss of customers; interruptions or stoppages in our business operations (including, as relevant, clinical trials);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ordinary course of our business, we and the third parties upon which we process proprietary, confidential, and sensitive data, including personal data (such as health-related data), intellectual property and trade secrets (collectively, sensitive information).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upon which we rely, including our current and future CROs, CMOs, other contractors and consultants. Such threats are prevalent and continue to rise, are increasingly difficult to detect, and come from a variety of sources, including traditional computer “hackers,” threat actors, “hacktivists,” organized criminal threat actors,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 particular, severe ransomware attacks are becoming increasingly prevalent – particularly for companies like ours in the medical field –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on third-party service providers and technologies to operate critical business systems to process sensitive information in a variety of contexts, including, without limitation, communication systems, cloud-based infrastructure, data center facilities, encryption and authentication technology, employee email, content delivery to customers, and other functions. Our ability to monitor these third-parties’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supply-chain attacks have increased in frequency and severity, and we cannot guarantee that third-parties’ infrastructure in our supply-chain or our third-party partners’ supply-chains have not been compromised.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including our research partners or collaborators. We may expend significant resources or modify our business activities (including our clinical trial activities or product development) to try to protect against security incidents.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data privacy and security obligations may require us to implement and maintain specific security measures or industry-standard or reasonable security measures to protect our information technology systems and sensitive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While we have implemented security measures designed to protect against security incidents, there can be no assurance that these measures will be effective. We take steps to detect and remediate vulnerabilities, but we may not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Applicable data privacy and security obligations may require us to notify relevant stakeholders of security incidents. Such disclosures are costly, and the disclosure or the failure to comply with such requirements could lead to adverse consequences.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or a third-party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disclosure of confidential or proprietary information, further development and commercialization of our product candidates could be delayed.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third parties may gather, collect, or infer competitively sensitive information about us from public sources, data brokers, or by other means that could be used to undermine our competitive advantage or market position. Additionally, any sensitive information (including confidential, competitive, proprietary, or personal data) that we input into a third-party generative AI platform could be leaked or disclosed to others, including if sensitive information is used to train the third parties’ AI model.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Coverage and reimbursement may be limited or unavailable in certain market segments for DANYELZA and our product candidates, which could make it difficult for us to sell DANYELZA and our product candidates profitably.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Successful sales of DANYELZA and our product candidates, if approved, depend on the availability of adequate coverage and reimbursement from third-party payors. In addition, because DANYELZA and our product candidates represent relatively new approaches to the treatment of cancer, we cannot accurately estimate the potential revenue from DANYELZA or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covered benefit under its health plan;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effective and medically necessary;</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appropriate for the specific patient;</w:t>
            </w:r>
          </w:p>
        </w:tc>
      </w:tr>
    </w:tbl>
    <w:tbl>
      <w:tblPr>
        <w:tblW w:w="2031" w:type="dxa"/>
        <w:jc w:val="left"/>
        <w:tblInd w:w="0" w:type="dxa"/>
        <w:tblLayout w:type="fixed"/>
        <w:tblCellMar>
          <w:top w:w="28" w:type="dxa"/>
          <w:left w:w="28" w:type="dxa"/>
          <w:bottom w:w="28" w:type="dxa"/>
          <w:right w:w="28" w:type="dxa"/>
        </w:tblCellMar>
      </w:tblPr>
      <w:tblGrid>
        <w:gridCol w:w="124"/>
        <w:gridCol w:w="256"/>
        <w:gridCol w:w="1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cost-effective; and</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experimental nor investigational.</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To date, although a number of third-party providers have established coverage policies and provided reimbursement for DANYELZA, there is no guarantee that third-party providers will establish coverage policies or provided reimbursement for any of our other product candidates, if approved. The reimbursement payment rates for DANYELZA or any other product we commercialize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Third-party payors are increasingly challenging the prices charged, examining the medical necessity, and reviewing the cost-effectiveness of medical products and services, and imposing controls to manage costs. Our rebate payments may increase, or our prices may be adjusted under value-based purchasing arrangements based on evidence-based measures or outcomes-based measures for a patient or beneficiary based on use of DANYELZA or any other product we commercialize. Patients are unlikely to use our product unless coverage is provided and reimbursement is adequate to cover a significant portion of the cost of our products. Because our products and product candidates have a higher cost of goods than conventional therapies, and may require long-term follow-up evaluations, the risk that coverage and reimbursement rates may be inadequate for us to achieve profitability may be greater. Further,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date DANYELZA has been approved for sale in the United States, Israel, China and Brazil only, but we intend to seek approval to market our products in both the United States as well as in additional selected foreign jurisdictions. If we obtain approval in one or more foreign jurisdictions for our product candidates, we or our partner holding the approval such as Takeda Israel, holding the approval of DANYELZA in Israel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incur significant liability if enforcement authorities allege or determine that we are engaging in commercial activities or promoting DANYELZA or another product candidate in a way that violates applicable regulations.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Physicians have the discretion to prescribe drug products for uses that are not described in the product’s labeling and that differ from those approved by the FDA or other applicable regulatory agencies. Off-label uses are common across medical specialties. Although the FDA and other regulatory agencies do not regulate a physician’s choice of treatments, the FDA and other regulatory agencies regulate a manufacturer’s communications regarding off-label use and prohibit off-label promotion, as well as the dissemination of false or misleading labeling or promotional materials. Manufacturers may not promote drugs for off-label uses. Accordingly, we may not promote DANYELZA in the United States for use in any indications other than relapsed/refractory high-risk neuroblastoma in bone and/or bone marrow. The FDA and other regulatory and enforcement authorities actively enforce laws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regulations prohibiting promotion of off-label uses and the promotion of products for which marketing approval has not been obtained. A company that is found to have improperly promoted off-label uses may be subject to significant liability, which may include civil and administrative remedies as well as criminal sanctions.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Notwithstanding regulations related to product promotion, the FDA and other regulatory authorities allow companies to engage in truthful, non-misleading, and non-promotional scientific exchange concerning their products. We intend to engage in medical education activities and communicate with healthcare providers in compliance with all applicable laws and regulatory guidance.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Due to the nature of radioactive isotopes in radioimmunotherapy product candidates, the product shelf life is limited and susceptible to spoilage and/or loss, which could adversely affect our business, financial condition and operating results.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radioimmunotherapy product candidates have a very limited shelf life once radiolabeled with radioactive elements. For commercial manufacture and supply these product candidates require reliable transportation and radiolabeling production facilities located in close proximity to our final customers to avoid spoilage, damage and/or loss. The failure of third parties with whom we contract to deliver these product candidates within the scope of their limited shelf lives could result in the loss of a given shipment and the sales associated with it. Any delay in shipment results in a loss of the radioactive dose as a result of radioactive decay, with the risk that the entire useful dose may be lost. Moreover, since each order is made individually and delivered with dedicated transportation in compliance with local regulations applicable to the handling of radioactive materials, we do not have readily available replacements to substitute for a lost delivery if circumstances beyond our control, such as delays or problems caused by inclement weather or a failure in the transportation system operated by third parties that we hire, prevent the timely delivery of a batch, or if the receiving facility fails to distribute the ordered batch in a timely fashion in accordance with specifications. Such losses or failures could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Laws and regulations governing any international operations we may have in the future may preclude us from developing, manufacturing and selling certain products or product candidates outside of the United States and require us to develop and implement costly compliance programs.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No assurance can be given that our compliance policies and procedures are or will be sufficient or that our directors,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Similar laws in other countries, such as the U.K. Bribery Act 2010, may apply to our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commercial success will depend in large part on obtaining and maintaining proprietary rights including patent, trademark and trade secret protection of our products, product candidates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products, product candidates and related proprietary technologies is dependent upon the extent to which we have rights under valid and enforceable patents or trade secrets that cover these activities.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patenting process is expensive and time-consuming, and we may not be able to file and prosecute all necessary or desirable patent applications at a reasonable cost or in a timely manner. In addition, we may not be able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currently depend on proprietary technology licensed from MSK and MIT and may depend on other third-party licensors in the future. If we lose our existing licenses or are unable to acquire or license additional proprietary rights from MSK, MIT or other third parties, we may not be able to continue developing our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in-license certain intellectual property from MSK and MIT.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enforceable or sufficient patents and other intellectual property rights. We have limited control over the manner in which our licensors may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products or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products or product candidates. Such diagnostic test or tests may be covered by intellectual property rights held by others. We may not own, or may have to share, the intellectual property rights obtained in collaboration with any other party, or intellectual property rights obtained relating to improvements of in-licensed products or processes.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party to license agreements with MSK, MIT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products or product candidates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“first-to-invent”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During examination of our own as well as our in-licensed patent applications third parties may present observations or submit patents, published patent applications or other prior art which may affect the patentability of the claimed inventions. The costs for obtaining patent protection may be increased significantly by the need for appeal proceedings or oral proceedings, which may also result in a patent not being issued. We may become involved in opposition, interference, derivation, post-grant review, inter partes review, ex-parte re-examination or other proceedings challenging our patent rights or the patent rights of others, and the outcome of any proceedings are highly uncertain.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Intellectual property rights do not necessarily address all potential threats.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products, product candidates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degree of future protection for our proprietary rights is uncertain because legal means afford only limited protection and may not adequately protect our rights or permit us to gain or keep our competitive advantage. For example: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make or use compounds that are similar to the pharmaceutical compounds used in our products or product candidates but that are not covered by the claims of our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APIs in our current products or product candidates may eventually become commercially available in generic drug products, and no patent protection may be available with regard to formulation, method of manufacture or method of 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parallel importation of products into the U.S., EU member states and/or other jurisdictions, which may reduce our profit margin;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as the case may be, may fail to meet our obligations to the U.S. government in regard to any in-licensed patents and patent applications funded by U.S. government grants, leading to the loss of patent rights;</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as the case may be, might not have been the first to file patent applications for these inventions;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independently develop similar or alternative technologies or duplicate any of our products or product candidates and proprietary technologies;</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our owned or in-licensed pending patent applications will not result in issued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there are prior public disclosures that could invalidate our or our licensors’ patents, as the case may be, or parts of our or their patents;</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obtain patent term extensions or supplementary protection certificates covering our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others may circumvent our owned or in-licensed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there are unpublished applications or patent applications maintained in secrecy that may later issue with claims covering our product candidates, products or technologies similar to ours;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foreign countries may not protect our or our licensors’, as the case may be, proprietary rights to the same extent as the laws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claims of our owned or in-licensed issued patents or patent applications, if and when issued, may not cover our product candidates or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owned or in-licensed issued patents may not provide us with any competitive advantages, may be narrowed in scope, or be held invalid or unenforceable as a result of legal challenges by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party;</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additional proprietary technologies for which we can obtain patent protection;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products, product candidates or diagnostic tests we develop may be covered by third-parties’ patents or other proprietary rights; or</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have an adverse effect on our business.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during the course of business we have decided not to pursue certain products or processes and we may do so again in the future. If it is later determined that our activities, product or product candidates infringed the intellectual property of any third-party, we may be liable for damages, enhanced damages or subjected to an injunction, any of which could have a material adverse effect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any of our owned or in-licensed patents are found to be invalid or unenforceable, or if we are otherwise unable to adequately protect our rights, it could have a material adverse impact on our business and our ability to commercialize or license our technology products and product candidates. Likewise, our current owned patents and patents in-licensed from MSK relating to our proprietary technologies and our product candidates comprise patents that are expected to expire on various dates from 2024 through 2039, without taking into account any possible patent term adjustments, extensions or supplementary protection. Upon the expiration of our current patents, we may lose the right to exclude others from practicing the relevant inventions. The expiration of these patents could also have a similar material adverse effect on our business, results of operations, financial condition and prospects. We own or in-license pending patent applications from MSK and others covering our proprietary technologies or our product candidates that if issued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patents are expected to expire from 2031 through 2042, without taking into account any possible patent term adjustments, extensions or supplementary protections. However, no assurance can be given that the USPTO or relevant foreign patent offices will grant any of these patent applications. Even if granted, we may fail to obtain patent term extensions or supplementary protection certificates covering our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incur substantial costs as a result of litigation or other proceedings relating to patents, and we may be unable to protect our rights to our product candidates, products and technologies.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is also a risk that, even if the validity of these patents is upheld, the court will refuse to stop the third party on the ground that such third party’s activities do not infringe our owned or in-licensed patents. In addition, the U.S. Supreme Court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Similar considerations pertain to patents granted outside of the United States, for which the validity, enforceability and/or scope of protection may be influenced by changing national and/or international legal principles.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If another party questions the patentability of any of our claims in our owned or in-licensed U.S. patents, the third party can request that the USPTO review the patent claims such as in an inter partes review, ex-parte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such oppositions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incur substantial costs as a result of litigation or other proceedings relating to intellectual property rights other than patents, and we may be unable to protect our rights to our product candidates, products and technologies.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former employees or current employees. In addition, adequate remedies may not be available in the event of an unauthorized access, use, or disclosure of our trade secrets or know-how.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Enforcing a claim that a third party illegally obtained and is using any of our trade secrets is expensive and time-consuming,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sued for infringing patents or other intellectual property rights of third parties, it will be costly and time-consuming, and an unfavorable outcome in that litigation may have a material adverse effect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commercial success depends upon our ability to develop, manufacture, market and sell our products or product candidates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products or product candidates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related to our products or product candidates,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affect technology covered by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 third party claims that we infringe its intellectual property rights, we may face a number of issues,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infringement and other intellectual property claims, which, regardless of merit, may be expensive and time-consuming to litigate and may divert our management’s attention from our core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substantial damages for infringement, which we may have to pay if a court decides that the product candidate or technology at issue infringes on or violates the third party’s rights, and, if the court finds that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354" w:type="dxa"/>
        <w:jc w:val="left"/>
        <w:tblInd w:w="0" w:type="dxa"/>
        <w:tblLayout w:type="fixed"/>
        <w:tblCellMar>
          <w:top w:w="28" w:type="dxa"/>
          <w:left w:w="28" w:type="dxa"/>
          <w:bottom w:w="28" w:type="dxa"/>
          <w:right w:w="28" w:type="dxa"/>
        </w:tblCellMar>
      </w:tblPr>
      <w:tblGrid>
        <w:gridCol w:w="124"/>
        <w:gridCol w:w="109"/>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infringement was willful, we could be ordered to pay treble damages and the patent owner’s attorneys’ fees;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prohibiting us from developing, manufacturing, marketing or selling our product candidates or products, or from using our proprietary technologies, unless the third party licenses its product rights to us, which it is not required to do;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license is available from a third party, it may not be offered on reasonable terms and may require that we pay substantial royalties, upfront fees and other amounts, and/or grant cross-licenses to intellectual property rights for our products;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redesigning our products or product candidates or processes so they do not infringe, which may not be possible or may require substantial monetary expenditures and time.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such proceedings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protect our intellectual property rights with patents throughout the world.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Filing, prosecuting and defending patents on all of our products or product candidates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products or product candidates in jurisdictions where we do not have any issued patents and our patent claims or other intellectual property rights may not be effective or sufficient to prevent them from so competing.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competitors might be able to enter the market earlier than would otherwise have been the case if our patent were in force, which would have a material adverse effect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secure trademark registrations could adversely affect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do not successfully register our trademarks, we may encounter difficulty in enforcing, or be unable to enforce, our trademark rights against third parties, which could adversely affect our business and our ability to effectively compete in the marketplace. When we file registration applications for trademarks relating to our products or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any proprietary name we use, such as DANYELZA, or propose to use with any of our products or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trademarks and trade names are not adequately protected, then we may not be able to build name recognition in our markets of interest, which may have a material adverse effect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long-term, if we are unable to establish name recognition based on our trademarks, trade names, service marks and domain names, then we may not be able to compete effectively, resulting in a material adverse effect on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employee matters and managing growth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We depend heavily on our executive officers. Our future success depends on our ability to retain our senior management and other key executives and to attract, retain and motivate qualified personnel. The loss of their services could materially harm our business.</w:t>
      </w:r>
      <w:r>
        <w:rPr>
          <w:rFonts w:ascii="Times New Roman;Times;serif" w:hAnsi="Times New Roman;Times;serif"/>
          <w:sz w:val="20"/>
        </w:rPr>
        <w:t xml:space="preserve"> </w:t>
      </w:r>
      <w:r>
        <w:rPr>
          <w:rFonts w:ascii="Times New Roman;Times;serif" w:hAnsi="Times New Roman;Times;serif"/>
          <w:b/>
          <w:i/>
          <w:sz w:val="20"/>
        </w:rPr>
        <w:t>It is important to our success that our new Chief Executive Officer Rossi, as well as any other key employees that join us in the future, quickly adapt to and excel in their new roles.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highly dependent on the members of our executive management as well as the other principal members of our management and scientific teams. Our agreements with any of them do not prevent them from terminating their employment with us at any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2022 we announced the departure of our then Chief Executive Officer and in October 2023, we announced additional management transitions, including the appointment of a new Chief Executive Officer and transition of our Interim Chief Executive Officer to Chief Business Officer. We cannot assure you that any management change will not have an adverse impact on our business operations. The loss of the services of members of our executive management team and the failure to find appropriate replacements in a timely fashion could impede the achievement of our research, development and commercialization objectives.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Chief Executive Officer, Michael Rossi, joined us in November 2023. It is important to our success that Mr. Rossi, as well as any other key employees that join us in the future, quickly adapt to and excel in their new roles. If they are unable to do so, our business and financial results could be materially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Furthermore, the reduction in workforce that we announced in January 2023 may yield unintended consequences and costs, such as the loss of institutional knowledge and expertise, employee attrition beyond our intended reduction in force, a reduction in morale among our remaining employees, greater-than-anticipated costs incurred in connection with implementing the restructuring, and the risk that we may not achieve the benefits from the restructuring to the extent or as quickly as we anticipate, all of which may have a material adverse effect on our business, results of operations or financial condition. These restructuring initiatives could place substantial demands on our management and employees, which could lead to the diversion of our management’s and employees’ attention from other business priorities. In addition, we may discover that the workforce reduction and other restructuring efforts will make it difficult for us to pursue new opportunities and initiatives and require us to hire qualified replacement personnel, which may require us to incur additional and unanticipated costs and expenses.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Recruiting and retaining qualified scientific, clinical, manufacturing and sales and marketing personnel remains critical to our success. We currently conduct a significant portion of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person” insurance for any of our executives or other employees.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need to increase the size of our organization in the future, and we may experience difficulties managing growth. If we are unable to manage the anticipated growth of our business, our future revenue and operating results may be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need to expand the size of our organization in the future. The growth we may experience in the future may provide challenges to our organization, requiring us to also rapidly expand other aspects of our business, including our manufacturing operations. Rapid expansion in personnel may result in less experienced people producing and selling our products, which could result in unanticipated costs and disruptions to our operations. If we cannot scale and manage our business appropriately, our potential growth may be impaired and our financial results will suffer.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executive officers, directors and principal stockholders have ownership of a significant percentage of our stock and will be able to exercise significant influence over matters subject to stockholder approval.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2023, our executive officers, directors and our stockholders, who own more than 5% of our outstanding common stock in the aggregate beneficially own shares representing approximately 21.9% of our common stock. As a result, if these stockholders were to choose to act together, they would be able to exert significant influence over all matters submitted to our stockholders for approval, as well as our management and affairs. For example, these persons, if they chose to act together, would have significant influence over the election of directors and approval of any merger, consolidation or sale of all or substantially all of our assets. This concentration of voting power could delay or prevent an acquisition of our company on terms that other stockholders may desire.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Provisions in our corporate charter documents and under Delaware law could make an acquisition of us, which may be beneficial to our stockholders, more difficult and may prevent attempts by our stockholders to replace or remove our current management or members of our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Provisions in our amended and restated certificate of incorporation and our amended and restated bylaws may discourage, delay or prevent a merger, acquisition or other change in control of us that stockholders may consider favorable, including transactions in which a stockholder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classified board of directors such that not all members of the board are elected at one time;</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the authorized number of our directors to be changed only by resolution of our board of directors;</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manner in which stockholders can remove directors from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advance notice requirements for stockholder proposals that can be acted on at stockholder meetings and nominations to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stockholder actions must be effected at a duly called stockholder meeting and prohibit actions by our stockholders by written consent;</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who may call stockholder meetings;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approval of the holders of at least 75% of the votes that all our stockholders would be entitled to cast to amend or repeal certain provisions of our charter or bylaws.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use our net operating loss carryforwards and certain other tax attributes may be limited.</w:t>
      </w:r>
    </w:p>
    <w:p>
      <w:pPr>
        <w:pStyle w:val="TextBody"/>
        <w:bidi w:val="0"/>
        <w:spacing w:before="0" w:after="240"/>
        <w:ind w:left="0" w:right="0" w:firstLine="720"/>
        <w:jc w:val="left"/>
        <w:rPr>
          <w:rFonts w:ascii="Times New Roman;Times;serif" w:hAnsi="Times New Roman;Times;serif"/>
          <w:sz w:val="20"/>
        </w:rPr>
      </w:pPr>
      <w:bookmarkStart w:id="1028" w:name="_Hlk95914729"/>
      <w:bookmarkEnd w:id="1028"/>
      <w:r>
        <w:rPr>
          <w:rFonts w:ascii="Times New Roman;Times;serif" w:hAnsi="Times New Roman;Times;serif"/>
          <w:sz w:val="20"/>
        </w:rPr>
        <w:t xml:space="preserve">Our ability to utilize our net operating loss carry forwards and certain other tax attributes depends on many factors, including our future income, which cannot be assured, and the impact of any tax reform legislation or proposals. Under current law, U.S. federal net operating loss carryforwards generated in tax years beginning before January 1, 2018 may be carried forward for 20 tax years. U.S. federal net operating loss carryforwards generated in tax years beginning after December 31, 2017 may be carried forward indefinitely, but the deductibility of such net operating loss carryforwards is limited to 80% of taxable income. It is uncertain if and to what extent various states will conform to U.S. federal income tax law.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Sections 382 and 383 of the Internal Revenue Code of 1986, as amended, or the Code, if a corporation undergoes an “ownership change” (generally defined as a greater than 50 percentage point cumulative change (by value) in the equity ownership of certain stockholders over a rolling three-year period), an annual limitation is imposed on the corporation’s use of its pre change net operating loss carryforwards and certain other pre change tax attributes to offset its post change taxable income or taxes. Based on our analysis of our Section 382 ownership changes through December 31, 2022, we believe that it is more likely than not that none of our net operating loss carryforwards will expire because of existing limitations under Section 382 of the Code, due to the large size of such limitations. We may experience Section 382 ownership changes in the future as a result of subsequent shifts in our equity ownership, many of which are outside our control. State net operating loss carryforwards may be similarly limited, and there may be periods during which the use of such net operating loss carryforwards is suspended or otherwise limited, which could accelerate or permanently increase our state taxes owed.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Changes in tax laws or regulations that are applied adversely to us or our customers may have a material adverse effect on our business, cash flow, financial condition, or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New income, sales and use, or other tax laws or regulations could be enacted at any time, and existing tax laws and regulations could be interpreted, modified, or applied adversely to us. These events could require us to pay additional taxes on a prospective or retroactive basis, as well as penalties, interest, and other costs for past amounts deemed to be due. New laws, or laws that are changed, modified, or interpreted or applied differently also could increase our compliance, operating, and other costs, as well as the costs of our products. Recent legislation in the United States, commonly referred to as the Inflation Reduction Act, enacts a 15% minimum tax on the adjusted financial statement income of certain large U.S. corporations for tax years beginning after December 31, 2022, as well as a 1% excise tax on stock repurchases made by public corporations after December 31, 2022. Further, the Tax Cuts and Jobs Act of 2017, or the Tax Act, enacted many significant changes to U.S. tax laws, some of which were further modified by the Coronavirus Aid, Relief, and Economic Security Act, and may be modified in the future by the current or a future presidential administration. Among other changes, the Tax Act amended the Code to require that certain research and experimental expenditures be capitalized and amortized over five years if incurred in the United States or fifteen years if incurred in foreign jurisdictions for tax years beginning after December 31, 2021. Although the U.S. Congress has considered legislation that would defer, modify, or repeal the capitalization and amortization requirement, there is no assurance that such changes will be made. If the requirement is not deferred, repealed, or otherwise modified, it may increase our cash taxes and effective tax rate. In addition, it is uncertain if and to what extent various states will conform to current federal law, or any newly enacted federal tax legislation. Changes in corporate tax rates, the realization of net operating losses and other deferred tax assets relating to our operations, the taxation of foreign earnings, and the deductibility of expenses could have a material impact on the value of our deferred tax assets and could increase our future tax expense.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Because we do not anticipate paying any cash dividends on our capital stock for the foreseeable future, capital appreciation, if any, of our common stock will be the source of gain associated with investment in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associated with investment in our common stock for the foreseeable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Future sales of common stock by us or our stockholders may cause substantial dilution to our existing stockholders and have an adverse effect on the then prevailing market price of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Sales of our common stock may be made by holders of our public float or by holders of restricted securities in compliance with the provisions of Rule 144 of the Securities Act of 1933, or the Securities Act. There were 43,621,618 shares of common stock outstanding as of November 6, 2023. Of these shares of our common stock, 6,900,000 shares sold in our initial public offering in 2018, 5,134,750 shares sold in our public offering in 2019 and 2,804,878 shares sold in our public offering in February 2021 are freely tradable, without restriction, in the public market. In addition, we have issued stock options and other equity awards under our equity compensation plans. The shares underlying these awards are registered on a registration statement on Form S-8. As a result, upon vesting, these shares can be freely exercised and sold in the public market upon issuance, subject to volume limitations applicable to affiliates.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November 6, 2023, holders of 2,005,347 shares of our common stock have rights, subject to certain conditions, to require us to file registration statements covering their shares or to include their shares in registration statements that we may file for ourselves or other stockholders. Once we register these shares, they can be freely sold in the public market upon issuance, subject to volume limitations applicable to affiliates. We have also registered 14,278,887 shares of our common stock that we may issue under our equity compensation plans as of November 6, 2023, and we plan to increase that number further.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issue additional shares of our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on file with the SEC a shelf registration statement, which allows us to offer and sell certain registered securities, such as common stock, preferred stock, debt securities, warrants and units, from time to time pursuant to one or more offerings at prices and terms to be determined at the time of sale. We may sell common stock, convertible securities or other equity or debt securities in one or more transactions at prices and in a manner we determine from time to time. If we sell common stock, convertible securities or other equity or debt securities in more than one transaction, investors may be materially diluted by subsequent sales. These sales may also result in material dilution to our existing stockholders, and new investors could gain rights superior to our existing stockholders.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amended and restated certificate of incorporation provides that, unless we consent in writing to the selection of an alternative forum, the Court of Chancery of the State of Delaware (or, if the Court of Chancery does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have jurisdiction, the federal district court for the District of Delaware) is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sales of our common stock by us, our insiders or other stockholders.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price of our common stock has been and is likely to be volatile and fluctuate substantially, which could result in substantial losses for purchasers of our common stock. Also, the volatility of our stock price may adversely affect our ability to attract equity funding in the future on reasonable terms or at all.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stock price has been and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22, 2018, our stock has traded at prices as low as $2.70 per share and as high as $55.22 per share through November 6, 2023. As a result of this volatility, investors in our common stock may not be able to sell their shares at or above the prices they paid. Further, as a result of this volatility it may be difficult for us to attract new equity investments, including additional public offerings of our common stock, on terms we consider reasonable, or at all.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market price for our common stock may be influenced by many factors, including:</w:t>
      </w:r>
    </w:p>
    <w:tbl>
      <w:tblPr>
        <w:tblW w:w="9711" w:type="dxa"/>
        <w:jc w:val="left"/>
        <w:tblInd w:w="0" w:type="dxa"/>
        <w:tblLayout w:type="fixed"/>
        <w:tblCellMar>
          <w:top w:w="28" w:type="dxa"/>
          <w:left w:w="28" w:type="dxa"/>
          <w:bottom w:w="28" w:type="dxa"/>
          <w:right w:w="28" w:type="dxa"/>
        </w:tblCellMar>
      </w:tblPr>
      <w:tblGrid>
        <w:gridCol w:w="124"/>
        <w:gridCol w:w="256"/>
        <w:gridCol w:w="9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launch and commercialize DANYELZA and any other product candidates, if approved;</w:t>
            </w:r>
          </w:p>
        </w:tc>
      </w:tr>
    </w:tbl>
    <w:tbl>
      <w:tblPr>
        <w:tblW w:w="6336" w:type="dxa"/>
        <w:jc w:val="left"/>
        <w:tblInd w:w="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results of clinical trials of any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actions with respect to our products or product candidates or our competitors’ products and product candidates;</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existing or new competitive products or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acquisitions, strategic partnerships, joint ventures, collaborations or capital commitments;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or termination of collaborations for our products and product candidates or development programs;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or discontinuation of any of our development programs;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clinical trials of product candidates of our competitors;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United States and other countries;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 applications, issued patents or other proprietary rights;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revenues and expenses related to any of our products, product candidates or development programs;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additional product candidates or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accurately forecast demand for our products, actual or anticipated changes in forecasts of financial performance, or changes in development timelines;</w:t>
            </w:r>
          </w:p>
        </w:tc>
      </w:tr>
    </w:tbl>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 or expectation of additional financing efforts;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by us, our insiders or other stockholders;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estimates or recommendations by securities analysts, if any, that cover our stock;</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and investor sentiment in the pharmaceutical and biotechnology sectors;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general economic, industry and market conditions, such as an increased rate of inflation, increased cost of goods, supply-chain disruptions and uncertain global financial markets, and geopolitical events, such as the conflict between Ukraine and Russia and related sanctions</w:t>
            </w:r>
            <w:r>
              <w:rPr>
                <w:caps w:val="false"/>
                <w:smallCaps w:val="false"/>
              </w:rPr>
              <w:t xml:space="preserve"> </w:t>
            </w:r>
            <w:r>
              <w:rPr>
                <w:rFonts w:ascii="Times New Roman;Times;serif" w:hAnsi="Times New Roman;Times;serif"/>
                <w:b w:val="false"/>
                <w:i w:val="false"/>
                <w:caps w:val="false"/>
                <w:smallCaps w:val="false"/>
                <w:sz w:val="20"/>
              </w:rPr>
              <w:t>and the state of war between Israel and Hamas and the threat of a larger regional conflict; and</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in this “Risk Factors” section.</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past, securities class-action litigation has often been instituted against companies following periods of volatility in the price of their common stock. For example, following volatility in the price of our common stock following the ODAC meeting in October 2022, one of our stockholders filed a putative class action lawsuit suit in the federal district court for alleged violations of the Securities Exchange Act of 1934, as amended. Litigation could result in substantial costs and divert our management’s attention and resources, which could have a material and adverse effect on our financial condition, business, and the per share trading price of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our Chief Business Officer and Vice Chairman Mr. Thomas Gad, our former Chief Executive Officer, Dr. Claus Juan Møller San Pedro and our Chief Medical Officer Dr. Vignesh Rajah, have been named as defendants in a lawsuit that could result in substantial costs and divert management’s attention, and we have also been named in other lawsuits. Any of these lawsuits could result in substantial costs and divert management’s attention.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described elsewhere in this report in “Part II, Item 1—Legal Proceedings,” we and our Chief Business Officer and Vice Chairman Mr. Thomas Gad, our former Chief Executive Officer Dr. Claus Juan Møller San Pedro and our Chief Medical Officer Dr. Vignesh Rajah, have been named as defendants in a class-action lawsuit that alleges that we and the individuals named in the lawsuit violated Sections 10(b) and/or 20(a) of the Exchange Act and Rule 10b-5 promulgated thereunder. Further, as also described elsewhere in this report in “Part II, Item 1—Legal Proceedings,” on February 8, 2023, Jeffrey Hazelton, a purported Y-mAbs stockholder, filed a putative stockholder derivative action. These complaints seek, among other things, unspecified damages, and reasonable costs and expenses, including attorneys’ fees.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class-action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financial condition and results of operations have been and may in the future be adversely affected by pandemics or similar health crises, macroeconomic conditions and by geopolitical events, including the global conflict resulting from the invasion of Ukraine by Russia, and sanctions related thereto, which resulted in the suspension of our clinical trial and regulatory activities in Russia, and the state of war between Israel and Hamas.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financial condition, results of operations, business and cash flow may be negatively affected by general conditions in the global economy and in the global financial markets and uncertainty about economic stability. The global economy has experienced extreme volatility and disruptions, including as a result of the COVID-19 pandemic, as well as from international conflicts, terrorism or other geopolitical events, such as the Russian invasion of Ukraine, and related sanctions and other economic disruptions or concerns.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Sanctions imposed by the United States and other countries in response to such conflicts, may also adversely impact the financial markets and the global economy, and the economic countermeasures by the affected countries or others could exacerbate market and economic instability. On February 24, 2022, Russia initiated significant military action against Ukraine. In response, the United States and certain other countries imposed significant sanctions and trade actions against Russia and could impose further sanctions, trade restrictions, and other retaliatory actions if the conflict continues or worsens. It is not possible to predict the broader consequences of the conflict, including related geo-political tensions, and the measures and retaliatory actions that will be taken by the United States and other countries in respect thereof, as well as any countermeasures or retaliatory actions Russia may take in response, are likely to cause regional instability and geo-political shifts and could materially adversely affect global trade, currency exchange rates, regional economies, and the global economy. While it is difficult to anticipate the ultimate impact of any of the foregoing on our company in particular, the conflict and actions taken in response to the conflict has caused us to terminate our clinical trials and suspend our regulatory activities to obtain marketing authorization for DANYELZA in Russia although we may still provide drug to be used on a compassionate use basis. Additional actions that we or others may take in response to the conflict could increase our costs, disrupt our supply chain, impair our ability to raise or access additional capital when needed on acceptable terms, if at all, or otherwise adversely affect our business, financial condition, and results of operations. For additional detail regarding this conflict, see the risk factor above “—</w:t>
      </w:r>
      <w:r>
        <w:rPr>
          <w:rFonts w:ascii="Times New Roman;Times;serif" w:hAnsi="Times New Roman;Times;serif"/>
          <w:i/>
          <w:sz w:val="20"/>
        </w:rPr>
        <w:t>Russia’s invasion of Ukraine and ancillary developments may have an adverse effect on our business.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on October 7, 2023, Hamas militants infiltrated Israel’s southern border from the Gaza Strip and conducted a series of attacks on civilian and military targets. Following the attack, Israel’s security cabinet declared war against Hamas. It is currently not possible to predict the duration or severity of the ongoing conflict, whether it will develop into a wider regional conflict or its effects on our business, operations and financial conditions. The ongoing conflict is rapidly evolving and developing and may have a material adverse impact on Takeda Israel’s ability to sell our products and/or collect receivables from customers in the State of Israel pursuant to the Takeda Licensing Agreement as well as on Takeda Israel’s ability to pursue the development, marketing and/or commercialization of DANYELZA in the State of Israel, West Bank and Gaza Strip, which may ultimately have an adverse impact on the amount of royalties we receive pursuant to the Takeda Licensing Agreement.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can be no assurance that further deterioration in credit and financial markets, global banking stability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deteriorate, it may make any necessary debt or equity financing more difficult, more costly, and more dilutive. Failure to secure any necessary financing in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engage in future acquisitions, partnerships, or other strategic transactions, this may increase our capital requirements, dilute our stockholders if we issue equity securities, cause us to incur debt or assume contingent liabilities, and subject us to other risks.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evaluate various acquisitions, partnerships or other strategic transaction, including licensing or acquiring complementary products, intellectual property rights, technologies, or businesses. Any potential acquisition or strategic partnership may entail numerous risks, including:</w:t>
      </w:r>
    </w:p>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operating expenses and cash requirements;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 of additional indebtedness or contingent liabilities;</w:t>
            </w:r>
          </w:p>
        </w:tc>
      </w:tr>
    </w:tbl>
    <w:tbl>
      <w:tblPr>
        <w:tblW w:w="3486" w:type="dxa"/>
        <w:jc w:val="left"/>
        <w:tblInd w:w="0" w:type="dxa"/>
        <w:tblLayout w:type="fixed"/>
        <w:tblCellMar>
          <w:top w:w="28" w:type="dxa"/>
          <w:left w:w="28" w:type="dxa"/>
          <w:bottom w:w="28" w:type="dxa"/>
          <w:right w:w="28"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our equity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assimilation of operations, intellectual property and products of an acquired company, including difficulties associated with integration;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our management’s attention from our existing product programs and initiatives in pursuing such a strategic merger or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key employees, the loss of key personnel, and uncertainties in our ability to maintain key business relationships;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associated with the other party to such a transaction, including the prospects of that party and their existing products or product candidates and regulatory approvals;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generate revenue from acquired technology and/or products sufficient to meet our objectives in undertaking the acquisition or even to offset the associated acquisition and maintenance costs.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expect our operating results to fluctuate in future periods, which may adversely affect our stock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operating results have fluctuated in the past, and we believe they will continue to do so in the future. Our operating results may fluctuate due to the level of success of our commercial efforts, as well as the variable nature of our operating expenses as a result of the timing and magnitude of expenditures. In one or more future periods, our results of operations may fall below the expectations of securities analysts and investors. In that event, the market price of our common stock could decline.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variety of risks associated with operating our business internationally, including through collaboration partners, could materially adversely affect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obtained and plan to continue to seek regulatory approval of our product candidates outside of the United States. We also have existing commercialization collaborations in certain territories outside the United States such as with SciClone, Takeda Israel, Swixx Biopharma AG, Adium, and WEP Clinical Ltd. Takeda Israel obtained regulatory approval for DANYELZA in Israel in August 2022 and we obtained regulatory approval for DANYELZA in China in December 2022. In May 2023, we obtained regulatory approval for DANYELZA in Brazil and in September 2023, Adium obtained regulatory approval for DANYELZA in Mexico. Accordingly, we and our existing and potential collaborators in jurisdictions outside the US, are subject to additional risks related to operating in foreign countries, including: </w:t>
      </w:r>
    </w:p>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regulatory requirements in foreign countries;</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tariffs, trade barriers, price and exchange controls, and other regulatory requirements;</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weakness, including inflation, or political instability in particular foreign economies and markets;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tax, employment, immigration, and labor laws for employees living or traveling abroad;</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taxes, including local transfer pricing regulations and withholding of payroll taxes;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fluctuations, which could result in increased operating expenses and reduced revenue, and other obligations incident to doing business in another country;</w:t>
            </w:r>
          </w:p>
        </w:tc>
      </w:tr>
    </w:tbl>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staffing and managing foreign operations;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uncertainty in countries where labor unrest is more common than in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liability under the FCPA, or OFAC, Anti-Money Laundering Program as required by the Bank Secrecy Act and its implementing regulations, or comparable foreign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enforcing our contractual and intellectual property rights, especially in those foreign countries that do not respect and protect intellectual property rights to the same extent as the United States;</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shortages resulting from any events affecting raw material supply or manufacturing capabilities abroad; and</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and other risks associated with our current and planned international operations may materially adversely affect our ability to attain or maintain profitable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disruptions could seriously harm our future revenue and financial condition and increase our costs and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operations, and those of our third-party research institution collaborators, CROs, CMOs, suppliers, other contractors and consultants, could be subject to earthquakes, power shortages, telecommunications failures, water shortages, droughts, floods, hurricanes, typhoons, fires, extreme weather conditions, climate change events, medical epidemics, terrorist activities, wars or other armed conflicts, geopolitical tensions, such as the ongoing conflict between Russia and Ukraine and related sanctions and the state of war between Hamas and Israel and a potential larger regional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conflict, cyber security attacks and other natural or man-made disasters or business interruptions, for which we are predominantly self-insured, and other severe hazards or global health crises, such as an outbreak of Ebola or COVID-19, or other actual or threatened epidemic, pandemic, outbreak and spread of a communicable disease or virus, in the countries where we operate or plan to sell our products, if approved, could adversely affect our operations and financial performance.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DANYELZA, and our other product candidates. Our ability to obtain clinical supplies of our product candidates 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 The ultimate extent of the impact of any epidemic, pandemic or other global health crisis, such as COVID-19, on our business, financial condition and results of operations will depend on future developments which are highly uncertain and cannot be predicted, including new information that may emerge concerning the duration and severity of such epidemic, pandemic or other global health crisis, actions taken to contain or prevent their further spread and the pace of global economic recovery following containment of the spread.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product liability lawsuits are brought against us, we may incur substantial liabilities and may be required to limit commercialization of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face an inherent risk of product liability as a result of the sale of DANYELZA and clinical testing of our product candidates and will face an even greater risk if we commercialize more products. For example, we may be sued if our product candidates cause or are perceived to cause injury or are found to be otherwise unsuitable during use,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products;</w:t>
            </w:r>
          </w:p>
        </w:tc>
      </w:tr>
    </w:tbl>
    <w:tbl>
      <w:tblPr>
        <w:tblW w:w="2496" w:type="dxa"/>
        <w:jc w:val="left"/>
        <w:tblInd w:w="0" w:type="dxa"/>
        <w:tblLayout w:type="fixed"/>
        <w:tblCellMar>
          <w:top w:w="28" w:type="dxa"/>
          <w:left w:w="28" w:type="dxa"/>
          <w:bottom w:w="28" w:type="dxa"/>
          <w:right w:w="28" w:type="dxa"/>
        </w:tblCellMar>
      </w:tblPr>
      <w:tblGrid>
        <w:gridCol w:w="124"/>
        <w:gridCol w:w="25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 and inability to continue clinical trials;</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of investigations by regulators;</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defend the related litigation;</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diversion of management’s time and our resources;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labeling, marketing or promotional restrictions;</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exhaustion of any available insurance and our capital resources;</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any product candidate;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any potential future revenue; and</w:t>
            </w:r>
          </w:p>
        </w:tc>
      </w:tr>
    </w:tbl>
    <w:tbl>
      <w:tblPr>
        <w:tblW w:w="2751" w:type="dxa"/>
        <w:jc w:val="left"/>
        <w:tblInd w:w="0" w:type="dxa"/>
        <w:tblLayout w:type="fixed"/>
        <w:tblCellMar>
          <w:top w:w="28" w:type="dxa"/>
          <w:left w:w="28" w:type="dxa"/>
          <w:bottom w:w="28" w:type="dxa"/>
          <w:right w:w="28" w:type="dxa"/>
        </w:tblCellMar>
      </w:tblPr>
      <w:tblGrid>
        <w:gridCol w:w="124"/>
        <w:gridCol w:w="256"/>
        <w:gridCol w:w="2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decline in our share price.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inability to obtain sufficient product liability insurance at an acceptable cost to protect against potential product liability claims could prevent or inhibit the commercialization of DANYELZA or any product candidates we develop, alone or with collaborators. The amount of clinical trial and product liability insurance coverage that we may obtain,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regulations of the FDA, the EMA and other similar foreign regulatory bodies; provide true, complete and accurate information to the FDA, the EMA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As we have obtained FDA approval of DANYELZA and have begun commercializing DANYELZA in the United States, our exposure under such laws has increased significantly, and our costs associated with compliance with such laws have increased significantly and are likely to continue to increase. These laws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that our licensors, employees, consultants or advisors have wrongfully used or disclosed alleged trade secrets of their former employers or their clients.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increasing use of social media platforms presents new risks and challenges.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Social media is increasingly being used to communicate about our drug, clinical development programs, and the diseases our drug and drug candidates are being developed to treat, and we are utilizing what we believe is appropriate social media in connection with our commercialization efforts for DANYELZA and we intend to do the same for our future products, if approved.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or AE. When such disclosures occur, there is a risk that we fail to monitor and comply with applicable AE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securities analysts do not publish research or reports about our business or if they publish negative evaluations of our stock, the price of our stock could decline.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trading market for our common stock relies in part on the research and reports that industry or financial analysts publish about us or our business. If one or more of the analysts covering our business downgrades their evaluations of our stock, the price of our stock could decline. If one or more of these analysts cease to cover our stock, we could lose visibility in the market for our stock, which in turn could cause our stock price to decline.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qualified as a smaller reporting company and as a non-accelerated filer for the year ended December 31, 2022, and as of the last business day of our second fiscal quarter of 2023, we determined that we requalify as a smaller reporting company and as a non-accelerated filer for the year ending December 31, 2023. As a public company we are required to provide management’s attestation on internal controls pursuant to Section 404 of the Sarbanes-Oxley Act. However, as a smaller reporting company and as a non-accelerated filer, we were not required to include an attestation report on internal control over financial reporting issued by our independent registered public accounting firm in our Annual Report on Form 10-K for the fiscal year ended December 31, 2022, and will not be required to include such an attestation report in our Annual Report on Form 10-K for the fiscal year ending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inability to operate controls effectively could cause material weaknesses in our internal control over financial reporting in the future, could have a material adverse impact on our company and financial statements and we may not be able to accurately or timely report our financial condition or results of operations, which may adversely affect investor confidence in us and, as a result, the value of our common stock. In addition, we may in the future be required to provide Section 404 of the Sarbanes-Oxley Act, or Section 404, reports by our independent registered public accounting attesting to the effectiveness of our internal control over financial reporting. An adverse report could have a material adverse impact on our company and financial statements, investor confidence in us and, as a result, the value of our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rules governing the standards that must be met for management and, when applicable,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systems, including information technology, implement additional financial and management controls, reporting systems, and procedures, and hire additional accounting and finance staff.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failure to implement required new or improved controls, or difficulties encountered in their implementation, could cause us to fail to meet our reporting obligations. In addition, any testing conducted by us or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Nasdaq Global Select Market, or other regulatory authorities, which could require additional financial and management resources and could result in fines, trading suspensions, payment of damages or other remedies. Further, any delay in compliance with the auditor attestation provisions of Section 404, if and when applicable, could subject us to a variety of administrative sanctions, including ineligibility for short-form resale registration, action by the SEC and the suspension or delisting of our common stock, which could reduce the trading price of our common stock and could harm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will continue to incur costs associated with satisfying our obligations as public company, and our management is required to devote substantial time to new compliance initiatives.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public company, we continue to incur significant legal, accounting and other expenses.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adversely affected by global climate change or by legal, regulatory or market responses to such 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Increasing stakeholder environmental, social and governance, or ESG, expectations, physical and transition risks associated with climate change, and emerging ESG regulation and policy requirements may pose risk to our market outlook, and reputation, financial outlook, cost of capital, supply-chain and production continuity, which may impact our ability to achieve our business objectives. Changes in environmental and climate change laws or regulations could lead to additional operational restrictions and compliance requirements upon us or our third-party providers or otherwise could negatively impact our business. Changes in market dynamics, stakeholder expectations, local, national and international climate change policies, and the frequency and intensity of extreme weather events on critical infrastructure in the United States and abroad, all have the potential to disrupt our business and operations. Such events could result in a significant increase in our costs and expenses and harm our future revenue, cash flows and financial performance. Global climate change is resulting in, and may continue to result, in certain natural disasters and adverse weather events, such as droughts, wildfires, storms, sea-level rise and flooding, occurring more frequently or with greater intensity, which could cause business disruptions and impact employees’ abilities to commute or to work from home effectively. Government failure to address climate change in line with the Paris Agreement could result in greater exposure to economic and other risks from climate change and impact our ability to achieve our goals.</w:t>
      </w:r>
    </w:p>
    <w:p>
      <w:pPr>
        <w:pStyle w:val="TextBody"/>
        <w:bidi w:val="0"/>
        <w:spacing w:before="0" w:after="240"/>
        <w:ind w:left="0" w:right="0" w:hanging="0"/>
        <w:jc w:val="left"/>
        <w:rPr>
          <w:rFonts w:ascii="Times New Roman;Times;serif" w:hAnsi="Times New Roman;Times;serif"/>
          <w:b/>
          <w:sz w:val="20"/>
        </w:rPr>
      </w:pPr>
      <w:bookmarkStart w:id="1029" w:name="_Hlk55301705"/>
      <w:bookmarkStart w:id="1030" w:name="Item2UnregisteredSalesofEquitySecurities"/>
      <w:bookmarkStart w:id="1031" w:name="_7676e0d6_7f28_44fb_8dd9_9b8d3382d229"/>
      <w:bookmarkEnd w:id="1029"/>
      <w:bookmarkEnd w:id="1030"/>
      <w:bookmarkEnd w:id="1031"/>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32" w:name="Item3DefaultsonSeniorSecurities_18311"/>
      <w:bookmarkStart w:id="1033" w:name="_a37df7fc_6f80_4993_93b8_529063603b9b"/>
      <w:bookmarkEnd w:id="1032"/>
      <w:bookmarkEnd w:id="1033"/>
      <w:r>
        <w:rPr>
          <w:rFonts w:ascii="Times New Roman;Times;serif" w:hAnsi="Times New Roman;Times;serif"/>
          <w:b/>
          <w:sz w:val="20"/>
        </w:rPr>
        <w:t>Item 3. Defaults on Senior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34" w:name="Item4MineSafetyDisclosures_32372"/>
      <w:bookmarkStart w:id="1035" w:name="_25791ec1_7e6c_4645_bda2_ef39eced8478"/>
      <w:bookmarkEnd w:id="1034"/>
      <w:bookmarkEnd w:id="1035"/>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36" w:name="Item5OtherInformation_485886"/>
      <w:bookmarkStart w:id="1037" w:name="_d2185447_6137_4010_9387_13fd16b8decc"/>
      <w:bookmarkEnd w:id="1036"/>
      <w:bookmarkEnd w:id="1037"/>
      <w:r>
        <w:rPr>
          <w:rFonts w:ascii="Times New Roman;Times;serif" w:hAnsi="Times New Roman;Times;serif"/>
          <w:b/>
          <w:sz w:val="20"/>
        </w:rPr>
        <w:t>Item 5. Other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038" w:name="Item6Exhibits_681099"/>
      <w:bookmarkStart w:id="1039" w:name="_c05484a5_813d_45a9_9dfc_bab5dad22ed9"/>
      <w:bookmarkEnd w:id="1038"/>
      <w:bookmarkEnd w:id="1039"/>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3433"/>
        <w:gridCol w:w="326"/>
        <w:gridCol w:w="6446"/>
      </w:tblGrid>
      <w:tr>
        <w:trPr/>
        <w:tc>
          <w:tcPr>
            <w:tcW w:w="3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exhibits filed as part of this Quarterly Report on Form 10-Q are set forth on the Exhibit Index, which Exhibit Index is incorporated herein by reference.</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29210"/>
                      <wp:effectExtent l="0" t="0" r="0" b="0"/>
                      <wp:wrapNone/>
                      <wp:docPr id="226" name="Frame226"/>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446" w:type="dxa"/>
            <w:tcBorders/>
            <w:vAlign w:val="center"/>
          </w:tcPr>
          <w:p>
            <w:pPr>
              <w:pStyle w:val="TableContents"/>
              <w:bidi w:val="0"/>
              <w:spacing w:before="0" w:after="283"/>
              <w:ind w:left="0" w:right="0" w:hanging="0"/>
              <w:jc w:val="left"/>
              <w:rPr>
                <w:sz w:val="4"/>
                <w:szCs w:val="4"/>
              </w:rPr>
            </w:pPr>
            <w:r>
              <w:rPr>
                <w:sz w:val="4"/>
                <w:szCs w:val="4"/>
              </w:rPr>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description</w:t>
            </w:r>
          </w:p>
        </w:tc>
      </w:tr>
      <w:tr>
        <w:trPr/>
        <w:tc>
          <w:tcPr>
            <w:tcW w:w="34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tc>
      </w:tr>
      <w:tr>
        <w:trPr/>
        <w:tc>
          <w:tcPr>
            <w:tcW w:w="34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both"/>
              <w:rPr/>
            </w:pPr>
            <w:r>
              <w:rPr/>
              <w:t>    </w:t>
            </w:r>
          </w:p>
        </w:tc>
        <w:tc>
          <w:tcPr>
            <w:tcW w:w="6446" w:type="dxa"/>
            <w:tcBorders/>
            <w:vAlign w:val="center"/>
          </w:tcPr>
          <w:p>
            <w:pPr>
              <w:pStyle w:val="TableContents"/>
              <w:bidi w:val="0"/>
              <w:spacing w:before="0" w:after="0"/>
              <w:ind w:left="0" w:right="0" w:hanging="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"https://www.sec.gov/Archives/edgar/data/1722964/000110465918058483/a18-5676_14ex3d1.htm" \l "Exhibit3_1_085307"</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Amended and Restated Certificate of Incorporation of the Registrant (incorporated by reference to Exhibit 3.1 to the Registrant’s Current Report on Form 8-K (File No. 001-38650) filed with the Securities and Exchange Commission on September</w:t>
            </w:r>
            <w:r>
              <w:rPr>
                <w:rStyle w:val="InternetLink"/>
                <w:smallCaps w:val="false"/>
                <w:caps w:val="false"/>
                <w:sz w:val="20"/>
                <w:i w:val="false"/>
                <w:b w:val="false"/>
                <w:rFonts w:ascii="Times New Roman;Times;serif" w:hAnsi="Times New Roman;Times;serif"/>
              </w:rPr>
              <w:fldChar w:fldCharType="end"/>
            </w:r>
            <w:r>
              <w:fldChar w:fldCharType="begin"/>
            </w:r>
            <w:r>
              <w:rPr>
                <w:rStyle w:val="InternetLink"/>
                <w:smallCaps w:val="false"/>
                <w:caps w:val="false"/>
                <w:sz w:val="20"/>
                <w:rFonts w:ascii="Times New Roman;Times;serif" w:hAnsi="Times New Roman;Times;serif"/>
              </w:rPr>
              <w:instrText xml:space="preserve"> HYPERLINK "https://www.sec.gov/Archives/edgar/data/1722964/000110465918058483/a18-5676_14ex3d1.htm" \l "Exhibit3_1_085307"</w:instrText>
            </w:r>
            <w:r>
              <w:rPr>
                <w:rStyle w:val="InternetLink"/>
                <w:smallCaps w:val="false"/>
                <w:caps w:val="false"/>
                <w:sz w:val="20"/>
                <w:rFonts w:ascii="Times New Roman;Times;serif" w:hAnsi="Times New Roman;Times;serif"/>
              </w:rPr>
              <w:fldChar w:fldCharType="separate"/>
            </w:r>
            <w:r>
              <w:rPr>
                <w:rStyle w:val="InternetLink"/>
                <w:rFonts w:ascii="Times New Roman;Times;serif" w:hAnsi="Times New Roman;Times;serif"/>
                <w:caps w:val="false"/>
                <w:smallCaps w:val="false"/>
                <w:sz w:val="20"/>
              </w:rPr>
              <w:t xml:space="preserve"> </w:t>
            </w:r>
            <w:r>
              <w:rPr>
                <w:rStyle w:val="InternetLink"/>
                <w:smallCaps w:val="false"/>
                <w:caps w:val="false"/>
                <w:sz w:val="20"/>
                <w:rFonts w:ascii="Times New Roman;Times;serif" w:hAnsi="Times New Roman;Times;serif"/>
              </w:rPr>
              <w:fldChar w:fldCharType="end"/>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"https://www.sec.gov/Archives/edgar/data/1722964/000110465918058483/a18-5676_14ex3d1.htm" \l "Exhibit3_1_085307"</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26, 2018)</w:t>
            </w:r>
            <w:r>
              <w:rPr>
                <w:rStyle w:val="InternetLink"/>
                <w:smallCaps w:val="false"/>
                <w:caps w:val="false"/>
                <w:sz w:val="20"/>
                <w:i w:val="false"/>
                <w:b w:val="false"/>
                <w:rFonts w:ascii="Times New Roman;Times;serif" w:hAnsi="Times New Roman;Times;serif"/>
              </w:rPr>
              <w:fldChar w:fldCharType="end"/>
            </w:r>
          </w:p>
        </w:tc>
      </w:tr>
      <w:tr>
        <w:trPr/>
        <w:tc>
          <w:tcPr>
            <w:tcW w:w="34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tc>
      </w:tr>
      <w:tr>
        <w:trPr/>
        <w:tc>
          <w:tcPr>
            <w:tcW w:w="34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446" w:type="dxa"/>
            <w:tcBorders/>
            <w:vAlign w:val="center"/>
          </w:tcPr>
          <w:p>
            <w:pPr>
              <w:pStyle w:val="TableContents"/>
              <w:bidi w:val="0"/>
              <w:spacing w:before="0" w:after="0"/>
              <w:ind w:left="0" w:right="0" w:hanging="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"https://www.sec.gov/Archives/edgar/data/1722964/000110465918058483/a18-5676_14ex3d2.htm" \l "Exhibit3_2_122352"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Amended and Restated Bylaws of the Registrant (incorporated by reference to Exhibit 3.2 to the Registrant’s Current Report on Form 8-K (File No. 001-38650) filed with the Securities and Exchange Commission on September</w:t>
            </w:r>
            <w:r>
              <w:rPr>
                <w:rStyle w:val="InternetLink"/>
                <w:smallCaps w:val="false"/>
                <w:caps w:val="false"/>
                <w:sz w:val="20"/>
                <w:i w:val="false"/>
                <w:b w:val="false"/>
                <w:rFonts w:ascii="Times New Roman;Times;serif" w:hAnsi="Times New Roman;Times;serif"/>
              </w:rPr>
              <w:fldChar w:fldCharType="end"/>
            </w:r>
            <w:r>
              <w:fldChar w:fldCharType="begin"/>
            </w:r>
            <w:r>
              <w:rPr>
                <w:rStyle w:val="InternetLink"/>
                <w:smallCaps w:val="false"/>
                <w:caps w:val="false"/>
                <w:sz w:val="20"/>
                <w:rFonts w:ascii="Times New Roman;Times;serif" w:hAnsi="Times New Roman;Times;serif"/>
              </w:rPr>
              <w:instrText xml:space="preserve"> HYPERLINK "https://www.sec.gov/Archives/edgar/data/1722964/000110465918058483/a18-5676_14ex3d2.htm" \l "Exhibit3_2_122352"</w:instrText>
            </w:r>
            <w:r>
              <w:rPr>
                <w:rStyle w:val="InternetLink"/>
                <w:smallCaps w:val="false"/>
                <w:caps w:val="false"/>
                <w:sz w:val="20"/>
                <w:rFonts w:ascii="Times New Roman;Times;serif" w:hAnsi="Times New Roman;Times;serif"/>
              </w:rPr>
              <w:fldChar w:fldCharType="separate"/>
            </w:r>
            <w:r>
              <w:rPr>
                <w:rStyle w:val="InternetLink"/>
                <w:rFonts w:ascii="Times New Roman;Times;serif" w:hAnsi="Times New Roman;Times;serif"/>
                <w:caps w:val="false"/>
                <w:smallCaps w:val="false"/>
                <w:sz w:val="20"/>
              </w:rPr>
              <w:t xml:space="preserve"> </w:t>
            </w:r>
            <w:r>
              <w:rPr>
                <w:rStyle w:val="InternetLink"/>
                <w:smallCaps w:val="false"/>
                <w:caps w:val="false"/>
                <w:sz w:val="20"/>
                <w:rFonts w:ascii="Times New Roman;Times;serif" w:hAnsi="Times New Roman;Times;serif"/>
              </w:rPr>
              <w:fldChar w:fldCharType="end"/>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"https://www.sec.gov/Archives/edgar/data/1722964/000110465918058483/a18-5676_14ex3d2.htm" \l "Exhibit3_2_122352"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26, 2018)</w:t>
            </w:r>
            <w:r>
              <w:rPr>
                <w:rStyle w:val="InternetLink"/>
                <w:smallCaps w:val="false"/>
                <w:caps w:val="false"/>
                <w:sz w:val="20"/>
                <w:i w:val="false"/>
                <w:b w:val="false"/>
                <w:rFonts w:ascii="Times New Roman;Times;serif" w:hAnsi="Times New Roman;Times;serif"/>
              </w:rPr>
              <w:fldChar w:fldCharType="end"/>
            </w:r>
          </w:p>
        </w:tc>
      </w:tr>
      <w:tr>
        <w:trPr/>
        <w:tc>
          <w:tcPr>
            <w:tcW w:w="34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tc>
      </w:tr>
      <w:tr>
        <w:trPr/>
        <w:tc>
          <w:tcPr>
            <w:tcW w:w="34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446" w:type="dxa"/>
            <w:tcBorders/>
            <w:vAlign w:val="center"/>
          </w:tcPr>
          <w:p>
            <w:pPr>
              <w:pStyle w:val="TableContents"/>
              <w:bidi w:val="0"/>
              <w:spacing w:before="0" w:after="0"/>
              <w:ind w:left="0" w:right="0" w:hanging="0"/>
              <w:jc w:val="both"/>
              <w:rPr/>
            </w:pPr>
            <w:hyperlink w:anchor="ymab-20230930xex10d1.htm">
              <w:r>
                <w:rPr>
                  <w:rStyle w:val="InternetLink"/>
                  <w:rFonts w:ascii="Times New Roman;Times;serif" w:hAnsi="Times New Roman;Times;serif"/>
                  <w:b w:val="false"/>
                  <w:i w:val="false"/>
                  <w:caps w:val="false"/>
                  <w:smallCaps w:val="false"/>
                  <w:sz w:val="20"/>
                </w:rPr>
                <w:t>Amendment, dated August 16, 2023, to Lease Agreement dated January 10, 2018, by and between the Registrant and RXR HB Owner LLC</w:t>
              </w:r>
            </w:hyperlink>
          </w:p>
        </w:tc>
      </w:tr>
      <w:tr>
        <w:trPr/>
        <w:tc>
          <w:tcPr>
            <w:tcW w:w="34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6446" w:type="dxa"/>
            <w:tcBorders/>
            <w:vAlign w:val="center"/>
          </w:tcPr>
          <w:p>
            <w:pPr>
              <w:pStyle w:val="TableContents"/>
              <w:bidi w:val="0"/>
              <w:spacing w:before="0" w:after="0"/>
              <w:ind w:left="0" w:right="0" w:hanging="0"/>
              <w:jc w:val="both"/>
              <w:rPr/>
            </w:pPr>
            <w:r>
              <w:rPr/>
              <w:t>​</w:t>
            </w:r>
          </w:p>
        </w:tc>
      </w:tr>
      <w:tr>
        <w:trPr/>
        <w:tc>
          <w:tcPr>
            <w:tcW w:w="34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446"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Employment Agreement, entered into on October 17, 2023, between Michael Rossi and the Company (incorporated by reference to Exhibit 10.1 to the Registrant’s Current Report on Form 8-K (File No. 001-38650) filed with the Securities and Exchange Commission on October 18, 2023)</w:t>
              </w:r>
            </w:hyperlink>
          </w:p>
        </w:tc>
      </w:tr>
      <w:tr>
        <w:trPr/>
        <w:tc>
          <w:tcPr>
            <w:tcW w:w="34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6446" w:type="dxa"/>
            <w:tcBorders/>
            <w:vAlign w:val="center"/>
          </w:tcPr>
          <w:p>
            <w:pPr>
              <w:pStyle w:val="TableContents"/>
              <w:bidi w:val="0"/>
              <w:spacing w:before="0" w:after="0"/>
              <w:ind w:left="0" w:right="0" w:hanging="0"/>
              <w:jc w:val="both"/>
              <w:rPr/>
            </w:pPr>
            <w:r>
              <w:rPr/>
              <w:t>​</w:t>
            </w:r>
          </w:p>
        </w:tc>
      </w:tr>
      <w:tr>
        <w:trPr/>
        <w:tc>
          <w:tcPr>
            <w:tcW w:w="34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both"/>
              <w:rPr/>
            </w:pPr>
            <w:r>
              <w:rPr/>
              <w:t>​</w:t>
            </w:r>
          </w:p>
        </w:tc>
        <w:tc>
          <w:tcPr>
            <w:tcW w:w="6446"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Employee Confidential Information and Inventions Assignment Agreement, dated October 17, 2023, between Michael Rossi and the Company (incorporated by reference to Exhibit 10.2 to the Registrant’s Current Report on Form 8-K (File No. 001-38650) filed with the Securities and Exchange Commission on October 18, 2023</w:t>
              </w:r>
            </w:hyperlink>
          </w:p>
        </w:tc>
      </w:tr>
      <w:tr>
        <w:trPr/>
        <w:tc>
          <w:tcPr>
            <w:tcW w:w="34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6446" w:type="dxa"/>
            <w:tcBorders/>
            <w:vAlign w:val="center"/>
          </w:tcPr>
          <w:p>
            <w:pPr>
              <w:pStyle w:val="TableContents"/>
              <w:bidi w:val="0"/>
              <w:spacing w:before="0" w:after="0"/>
              <w:ind w:left="0" w:right="0" w:hanging="0"/>
              <w:jc w:val="both"/>
              <w:rPr/>
            </w:pPr>
            <w:r>
              <w:rPr/>
              <w:t>​</w:t>
            </w:r>
          </w:p>
        </w:tc>
      </w:tr>
      <w:tr>
        <w:trPr/>
        <w:tc>
          <w:tcPr>
            <w:tcW w:w="34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446" w:type="dxa"/>
            <w:tcBorders/>
            <w:vAlign w:val="center"/>
          </w:tcPr>
          <w:p>
            <w:pPr>
              <w:pStyle w:val="TableContents"/>
              <w:bidi w:val="0"/>
              <w:spacing w:before="0" w:after="0"/>
              <w:ind w:left="0" w:right="0" w:hanging="0"/>
              <w:jc w:val="both"/>
              <w:rPr/>
            </w:pPr>
            <w:hyperlink w:anchor="ymab-20230930xex31d1.htm">
              <w:r>
                <w:rPr>
                  <w:rStyle w:val="InternetLink"/>
                  <w:rFonts w:ascii="Times New Roman;Times;serif" w:hAnsi="Times New Roman;Times;serif"/>
                  <w:b w:val="false"/>
                  <w:i w:val="false"/>
                  <w:caps w:val="false"/>
                  <w:smallCaps w:val="false"/>
                  <w:sz w:val="20"/>
                </w:rPr>
                <w:t>Certification of Principal Executive Officer pursuant to Rule 13a-14(a) or Rule 15d-14(a) of the Securities Exchange Act of 1934, as adopted pursuant to Section 302 of the Sarbanes-Oxley Act of 2002</w:t>
              </w:r>
            </w:hyperlink>
          </w:p>
        </w:tc>
      </w:tr>
      <w:tr>
        <w:trPr/>
        <w:tc>
          <w:tcPr>
            <w:tcW w:w="34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tc>
      </w:tr>
      <w:tr>
        <w:trPr/>
        <w:tc>
          <w:tcPr>
            <w:tcW w:w="34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446" w:type="dxa"/>
            <w:tcBorders/>
            <w:vAlign w:val="center"/>
          </w:tcPr>
          <w:p>
            <w:pPr>
              <w:pStyle w:val="TableContents"/>
              <w:bidi w:val="0"/>
              <w:spacing w:before="0" w:after="0"/>
              <w:ind w:left="0" w:right="0" w:hanging="0"/>
              <w:jc w:val="both"/>
              <w:rPr/>
            </w:pPr>
            <w:hyperlink w:anchor="ymab-20230930xex31d2.htm">
              <w:r>
                <w:rPr>
                  <w:rStyle w:val="InternetLink"/>
                  <w:rFonts w:ascii="Times New Roman;Times;serif" w:hAnsi="Times New Roman;Times;serif"/>
                  <w:b w:val="false"/>
                  <w:i w:val="false"/>
                  <w:caps w:val="false"/>
                  <w:smallCaps w:val="false"/>
                  <w:sz w:val="20"/>
                </w:rPr>
                <w:t>Certification of Principal Financial Officer pursuant to Rule 13a-14(a) or Rule 15d-14(a) of the Securities Exchange Act of 1934, as adopted pursuant to Section 302 of the Sarbanes-Oxley Act of 2002</w:t>
              </w:r>
            </w:hyperlink>
          </w:p>
        </w:tc>
      </w:tr>
      <w:tr>
        <w:trPr/>
        <w:tc>
          <w:tcPr>
            <w:tcW w:w="34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tc>
      </w:tr>
      <w:tr>
        <w:trPr/>
        <w:tc>
          <w:tcPr>
            <w:tcW w:w="34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446" w:type="dxa"/>
            <w:tcBorders/>
            <w:vAlign w:val="center"/>
          </w:tcPr>
          <w:p>
            <w:pPr>
              <w:pStyle w:val="TableContents"/>
              <w:bidi w:val="0"/>
              <w:spacing w:before="0" w:after="0"/>
              <w:ind w:left="0" w:right="0" w:hanging="0"/>
              <w:jc w:val="both"/>
              <w:rPr/>
            </w:pPr>
            <w:hyperlink w:anchor="ymab-202309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34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tc>
      </w:tr>
      <w:tr>
        <w:trPr/>
        <w:tc>
          <w:tcPr>
            <w:tcW w:w="34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446" w:type="dxa"/>
            <w:tcBorders/>
            <w:vAlign w:val="center"/>
          </w:tcPr>
          <w:p>
            <w:pPr>
              <w:pStyle w:val="TableContents"/>
              <w:bidi w:val="0"/>
              <w:spacing w:before="0" w:after="0"/>
              <w:ind w:left="0" w:right="0" w:hanging="0"/>
              <w:jc w:val="both"/>
              <w:rPr/>
            </w:pPr>
            <w:hyperlink w:anchor="ymab-202309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34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Instance Document </w:t>
            </w:r>
          </w:p>
        </w:tc>
      </w:tr>
      <w:tr>
        <w:trPr/>
        <w:tc>
          <w:tcPr>
            <w:tcW w:w="34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34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34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34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34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34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pPr>
            <w:r>
              <w:rPr/>
              <w:t>​</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6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pPr>
      <w:r>
        <w:rPr/>
        <w:t>​</w:t>
      </w:r>
    </w:p>
    <w:tbl>
      <w:tblPr>
        <w:tblW w:w="1637" w:type="dxa"/>
        <w:jc w:val="left"/>
        <w:tblInd w:w="0" w:type="dxa"/>
        <w:tblLayout w:type="fixed"/>
        <w:tblCellMar>
          <w:top w:w="0" w:type="dxa"/>
          <w:left w:w="0" w:type="dxa"/>
          <w:bottom w:w="0" w:type="dxa"/>
          <w:right w:w="0" w:type="dxa"/>
        </w:tblCellMar>
      </w:tblPr>
      <w:tblGrid>
        <w:gridCol w:w="226"/>
        <w:gridCol w:w="1411"/>
      </w:tblGrid>
      <w:tr>
        <w:trPr/>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1411" w:type="dxa"/>
            <w:tcBorders/>
            <w:vAlign w:val="center"/>
          </w:tcPr>
          <w:p>
            <w:pPr>
              <w:pStyle w:val="TableContents"/>
              <w:bidi w:val="0"/>
              <w:spacing w:before="0" w:after="283"/>
              <w:ind w:left="0" w:right="0" w:hanging="0"/>
              <w:jc w:val="left"/>
              <w:rPr>
                <w:sz w:val="4"/>
                <w:szCs w:val="4"/>
              </w:rPr>
            </w:pPr>
            <w:r>
              <w:rPr>
                <w:sz w:val="4"/>
                <w:szCs w:val="4"/>
              </w:rPr>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Filed herewith.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41"/>
        <w:gridCol w:w="762"/>
        <w:gridCol w:w="7716"/>
        <w:gridCol w:w="1486"/>
      </w:tblGrid>
      <w:tr>
        <w:trPr/>
        <w:tc>
          <w:tcPr>
            <w:tcW w:w="1003" w:type="dxa"/>
            <w:gridSpan w:val="2"/>
            <w:tcBorders/>
            <w:vAlign w:val="center"/>
          </w:tcPr>
          <w:p>
            <w:pPr>
              <w:pStyle w:val="TableContents"/>
              <w:bidi w:val="0"/>
              <w:spacing w:before="0" w:after="283"/>
              <w:ind w:left="0" w:right="0" w:hanging="0"/>
              <w:jc w:val="left"/>
              <w:rPr>
                <w:sz w:val="4"/>
                <w:szCs w:val="4"/>
              </w:rPr>
            </w:pPr>
            <w:r>
              <w:rPr>
                <w:sz w:val="4"/>
                <w:szCs w:val="4"/>
              </w:rPr>
            </w:r>
          </w:p>
        </w:tc>
        <w:tc>
          <w:tcPr>
            <w:tcW w:w="920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00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Furnished herewith. </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1003" w:type="dxa"/>
            <w:gridSpan w:val="2"/>
            <w:tcBorders/>
            <w:vAlign w:val="center"/>
          </w:tcPr>
          <w:p>
            <w:pPr>
              <w:pStyle w:val="TableContents"/>
              <w:bidi w:val="0"/>
              <w:spacing w:before="0" w:after="0"/>
              <w:ind w:left="0" w:right="0" w:hanging="0"/>
              <w:jc w:val="left"/>
              <w:rPr/>
            </w:pPr>
            <w:r>
              <w:rPr/>
              <w:t>†</w:t>
            </w:r>
          </w:p>
        </w:tc>
        <w:tc>
          <w:tcPr>
            <w:tcW w:w="92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Indicates management contract or compensatory plan.</w:t>
            </w:r>
          </w:p>
        </w:tc>
      </w:tr>
      <w:tr>
        <w:trPr/>
        <w:tc>
          <w:tcPr>
            <w:tcW w:w="1003" w:type="dxa"/>
            <w:gridSpan w:val="2"/>
            <w:tcBorders/>
            <w:vAlign w:val="center"/>
          </w:tcPr>
          <w:p>
            <w:pPr>
              <w:pStyle w:val="TableContents"/>
              <w:bidi w:val="0"/>
              <w:spacing w:before="0" w:after="0"/>
              <w:ind w:left="0" w:right="0" w:hanging="0"/>
              <w:jc w:val="left"/>
              <w:rPr/>
            </w:pPr>
            <w:r>
              <w:rPr/>
              <w:t>​</w:t>
            </w:r>
          </w:p>
        </w:tc>
        <w:tc>
          <w:tcPr>
            <w:tcW w:w="9202" w:type="dxa"/>
            <w:gridSpan w:val="2"/>
            <w:tcBorders/>
            <w:vAlign w:val="center"/>
          </w:tcPr>
          <w:p>
            <w:pPr>
              <w:pStyle w:val="TableContents"/>
              <w:bidi w:val="0"/>
              <w:spacing w:before="0" w:after="0"/>
              <w:ind w:left="0" w:right="0" w:hanging="0"/>
              <w:jc w:val="left"/>
              <w:rPr/>
            </w:pPr>
            <w:r>
              <w:rPr/>
              <w:t>​</w:t>
            </w:r>
          </w:p>
        </w:tc>
      </w:tr>
      <w:tr>
        <w:trPr/>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Portions of the exhibit have been omitted because the identified confidential portions (i) are not material and (ii) would be competitively harmful if publicly disclosed.</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ableContents"/>
              <w:bidi w:val="0"/>
              <w:spacing w:before="0" w:after="0"/>
              <w:ind w:left="0" w:right="0" w:hanging="0"/>
              <w:jc w:val="left"/>
              <w:rPr/>
            </w:pPr>
            <w:r>
              <w:rPr/>
              <w:t>​</w:t>
            </w:r>
          </w:p>
        </w:tc>
        <w:tc>
          <w:tcPr>
            <w:tcW w:w="148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40" w:name="SIGNATURES_161943"/>
      <w:bookmarkStart w:id="1041" w:name="_a23ef12f_5db5_4779_81ba_b4432961e9c2"/>
      <w:bookmarkEnd w:id="1040"/>
      <w:bookmarkEnd w:id="1041"/>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8220" w:type="dxa"/>
        <w:jc w:val="left"/>
        <w:tblInd w:w="0" w:type="dxa"/>
        <w:tblLayout w:type="fixed"/>
        <w:tblCellMar>
          <w:top w:w="0" w:type="dxa"/>
          <w:left w:w="0" w:type="dxa"/>
          <w:bottom w:w="0" w:type="dxa"/>
          <w:right w:w="0" w:type="dxa"/>
        </w:tblCellMar>
      </w:tblPr>
      <w:tblGrid>
        <w:gridCol w:w="2311"/>
        <w:gridCol w:w="23"/>
        <w:gridCol w:w="558"/>
        <w:gridCol w:w="2373"/>
        <w:gridCol w:w="1130"/>
        <w:gridCol w:w="1825"/>
      </w:tblGrid>
      <w:tr>
        <w:trPr/>
        <w:tc>
          <w:tcPr>
            <w:tcW w:w="2334" w:type="dxa"/>
            <w:gridSpan w:val="2"/>
            <w:tcBorders/>
            <w:vAlign w:val="center"/>
          </w:tcPr>
          <w:p>
            <w:pPr>
              <w:pStyle w:val="TableContents"/>
              <w:bidi w:val="0"/>
              <w:spacing w:before="0" w:after="283"/>
              <w:ind w:left="0" w:right="0" w:hanging="0"/>
              <w:jc w:val="left"/>
              <w:rPr>
                <w:sz w:val="4"/>
                <w:szCs w:val="4"/>
              </w:rPr>
            </w:pPr>
            <w:r>
              <w:rPr>
                <w:sz w:val="4"/>
                <w:szCs w:val="4"/>
              </w:rPr>
            </w:r>
          </w:p>
        </w:tc>
        <w:tc>
          <w:tcPr>
            <w:tcW w:w="2931" w:type="dxa"/>
            <w:gridSpan w:val="2"/>
            <w:tcBorders/>
            <w:vAlign w:val="center"/>
          </w:tcPr>
          <w:p>
            <w:pPr>
              <w:pStyle w:val="TableContents"/>
              <w:bidi w:val="0"/>
              <w:spacing w:before="0" w:after="283"/>
              <w:ind w:left="0" w:right="0" w:hanging="0"/>
              <w:jc w:val="left"/>
              <w:rPr>
                <w:sz w:val="4"/>
                <w:szCs w:val="4"/>
              </w:rPr>
            </w:pPr>
            <w:r>
              <w:rPr>
                <w:sz w:val="4"/>
                <w:szCs w:val="4"/>
              </w:rPr>
            </w:r>
          </w:p>
        </w:tc>
        <w:tc>
          <w:tcPr>
            <w:tcW w:w="295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334" w:type="dxa"/>
            <w:gridSpan w:val="2"/>
            <w:tcBorders/>
            <w:vAlign w:val="center"/>
          </w:tcPr>
          <w:p>
            <w:pPr>
              <w:pStyle w:val="TableContents"/>
              <w:bidi w:val="0"/>
              <w:spacing w:before="0" w:after="0"/>
              <w:ind w:left="0" w:right="0" w:hanging="0"/>
              <w:jc w:val="left"/>
              <w:rPr/>
            </w:pPr>
            <w:r>
              <w:rPr/>
              <w:t>​</w:t>
            </w:r>
          </w:p>
        </w:tc>
        <w:tc>
          <w:tcPr>
            <w:tcW w:w="5886"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Y-MABS THERAPEUTICS, INC.</w:t>
            </w:r>
          </w:p>
        </w:tc>
      </w:tr>
      <w:tr>
        <w:trPr/>
        <w:tc>
          <w:tcPr>
            <w:tcW w:w="2334" w:type="dxa"/>
            <w:gridSpan w:val="2"/>
            <w:tcBorders/>
            <w:vAlign w:val="center"/>
          </w:tcPr>
          <w:p>
            <w:pPr>
              <w:pStyle w:val="TableContents"/>
              <w:bidi w:val="0"/>
              <w:spacing w:before="0" w:after="0"/>
              <w:ind w:left="0" w:right="0" w:hanging="0"/>
              <w:jc w:val="left"/>
              <w:rPr/>
            </w:pPr>
            <w:r>
              <w:rPr/>
              <w:t>​</w:t>
            </w:r>
          </w:p>
        </w:tc>
        <w:tc>
          <w:tcPr>
            <w:tcW w:w="5886" w:type="dxa"/>
            <w:gridSpan w:val="4"/>
            <w:tcBorders/>
            <w:vAlign w:val="center"/>
          </w:tcPr>
          <w:p>
            <w:pPr>
              <w:pStyle w:val="TableContents"/>
              <w:bidi w:val="0"/>
              <w:spacing w:before="0" w:after="0"/>
              <w:ind w:left="0" w:right="0" w:hanging="0"/>
              <w:jc w:val="left"/>
              <w:rPr/>
            </w:pPr>
            <w:r>
              <w:rPr/>
              <w:t>​</w:t>
            </w:r>
          </w:p>
        </w:tc>
      </w:tr>
      <w:tr>
        <w:trPr/>
        <w:tc>
          <w:tcPr>
            <w:tcW w:w="2334" w:type="dxa"/>
            <w:gridSpan w:val="2"/>
            <w:tcBorders/>
            <w:vAlign w:val="center"/>
          </w:tcPr>
          <w:p>
            <w:pPr>
              <w:pStyle w:val="TableContents"/>
              <w:bidi w:val="0"/>
              <w:spacing w:before="0" w:after="0"/>
              <w:ind w:left="0" w:right="0" w:hanging="0"/>
              <w:jc w:val="left"/>
              <w:rPr/>
            </w:pPr>
            <w:r>
              <w:rPr/>
              <w:t>​</w:t>
            </w:r>
          </w:p>
        </w:tc>
        <w:tc>
          <w:tcPr>
            <w:tcW w:w="2931" w:type="dxa"/>
            <w:gridSpan w:val="2"/>
            <w:tcBorders/>
            <w:vAlign w:val="center"/>
          </w:tcPr>
          <w:p>
            <w:pPr>
              <w:pStyle w:val="TableContents"/>
              <w:bidi w:val="0"/>
              <w:spacing w:before="0" w:after="0"/>
              <w:ind w:left="0" w:right="0" w:hanging="0"/>
              <w:jc w:val="left"/>
              <w:rPr/>
            </w:pPr>
            <w:r>
              <w:rPr/>
              <w:t>​</w:t>
            </w:r>
          </w:p>
        </w:tc>
        <w:tc>
          <w:tcPr>
            <w:tcW w:w="2955" w:type="dxa"/>
            <w:gridSpan w:val="2"/>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2023</w:t>
            </w:r>
          </w:p>
        </w:tc>
        <w:tc>
          <w:tcPr>
            <w:tcW w:w="58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03"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Rossi</w:t>
            </w:r>
          </w:p>
        </w:tc>
        <w:tc>
          <w:tcPr>
            <w:tcW w:w="182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w:t>
            </w:r>
          </w:p>
        </w:tc>
        <w:tc>
          <w:tcPr>
            <w:tcW w:w="581" w:type="dxa"/>
            <w:gridSpan w:val="2"/>
            <w:tcBorders/>
            <w:vAlign w:val="center"/>
          </w:tcPr>
          <w:p>
            <w:pPr>
              <w:pStyle w:val="TableContents"/>
              <w:bidi w:val="0"/>
              <w:spacing w:before="0" w:after="0"/>
              <w:ind w:left="0" w:right="0" w:hanging="0"/>
              <w:jc w:val="left"/>
              <w:rPr/>
            </w:pPr>
            <w:r>
              <w:rPr/>
              <w:t>​</w:t>
            </w:r>
          </w:p>
        </w:tc>
        <w:tc>
          <w:tcPr>
            <w:tcW w:w="350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Michael Rossi</w:t>
            </w:r>
          </w:p>
        </w:tc>
        <w:tc>
          <w:tcPr>
            <w:tcW w:w="182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w:t>
            </w:r>
          </w:p>
        </w:tc>
        <w:tc>
          <w:tcPr>
            <w:tcW w:w="581" w:type="dxa"/>
            <w:gridSpan w:val="2"/>
            <w:tcBorders/>
            <w:vAlign w:val="center"/>
          </w:tcPr>
          <w:p>
            <w:pPr>
              <w:pStyle w:val="TableContents"/>
              <w:bidi w:val="0"/>
              <w:spacing w:before="0" w:after="0"/>
              <w:ind w:left="0" w:right="0" w:hanging="0"/>
              <w:jc w:val="left"/>
              <w:rPr/>
            </w:pPr>
            <w:r>
              <w:rPr/>
              <w:t>​</w:t>
            </w:r>
          </w:p>
        </w:tc>
        <w:tc>
          <w:tcPr>
            <w:tcW w:w="350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Chief Executive Officer</w:t>
            </w:r>
          </w:p>
        </w:tc>
        <w:tc>
          <w:tcPr>
            <w:tcW w:w="182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w:t>
            </w:r>
          </w:p>
        </w:tc>
        <w:tc>
          <w:tcPr>
            <w:tcW w:w="581" w:type="dxa"/>
            <w:gridSpan w:val="2"/>
            <w:tcBorders/>
            <w:vAlign w:val="center"/>
          </w:tcPr>
          <w:p>
            <w:pPr>
              <w:pStyle w:val="TableContents"/>
              <w:bidi w:val="0"/>
              <w:spacing w:before="0" w:after="0"/>
              <w:ind w:left="0" w:right="0" w:hanging="0"/>
              <w:jc w:val="left"/>
              <w:rPr/>
            </w:pPr>
            <w:r>
              <w:rPr/>
              <w:t>​</w:t>
            </w:r>
          </w:p>
        </w:tc>
        <w:tc>
          <w:tcPr>
            <w:tcW w:w="350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82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334" w:type="dxa"/>
            <w:gridSpan w:val="2"/>
            <w:tcBorders/>
            <w:vAlign w:val="center"/>
          </w:tcPr>
          <w:p>
            <w:pPr>
              <w:pStyle w:val="TableContents"/>
              <w:bidi w:val="0"/>
              <w:spacing w:before="0" w:after="0"/>
              <w:ind w:left="0" w:right="0" w:hanging="0"/>
              <w:jc w:val="left"/>
              <w:rPr/>
            </w:pPr>
            <w:r>
              <w:rPr/>
              <w:t>​</w:t>
            </w:r>
          </w:p>
        </w:tc>
        <w:tc>
          <w:tcPr>
            <w:tcW w:w="2931" w:type="dxa"/>
            <w:gridSpan w:val="2"/>
            <w:tcBorders/>
            <w:vAlign w:val="center"/>
          </w:tcPr>
          <w:p>
            <w:pPr>
              <w:pStyle w:val="TableContents"/>
              <w:bidi w:val="0"/>
              <w:spacing w:before="0" w:after="0"/>
              <w:ind w:left="0" w:right="0" w:hanging="0"/>
              <w:jc w:val="left"/>
              <w:rPr/>
            </w:pPr>
            <w:r>
              <w:rPr/>
              <w:t>​</w:t>
            </w:r>
          </w:p>
        </w:tc>
        <w:tc>
          <w:tcPr>
            <w:tcW w:w="2955" w:type="dxa"/>
            <w:gridSpan w:val="2"/>
            <w:tcBorders/>
            <w:vAlign w:val="center"/>
          </w:tcPr>
          <w:p>
            <w:pPr>
              <w:pStyle w:val="TableContents"/>
              <w:bidi w:val="0"/>
              <w:spacing w:before="0" w:after="0"/>
              <w:ind w:left="0" w:right="0" w:hanging="0"/>
              <w:jc w:val="left"/>
              <w:rPr/>
            </w:pPr>
            <w:r>
              <w:rPr/>
              <w:t>​</w:t>
            </w:r>
          </w:p>
        </w:tc>
      </w:tr>
      <w:tr>
        <w:trPr/>
        <w:tc>
          <w:tcPr>
            <w:tcW w:w="2334" w:type="dxa"/>
            <w:gridSpan w:val="2"/>
            <w:tcBorders/>
            <w:vAlign w:val="center"/>
          </w:tcPr>
          <w:p>
            <w:pPr>
              <w:pStyle w:val="TableContents"/>
              <w:bidi w:val="0"/>
              <w:spacing w:before="0" w:after="0"/>
              <w:ind w:left="0" w:right="0" w:hanging="0"/>
              <w:jc w:val="left"/>
              <w:rPr/>
            </w:pPr>
            <w:r>
              <w:rPr/>
              <w:t>​</w:t>
            </w:r>
          </w:p>
        </w:tc>
        <w:tc>
          <w:tcPr>
            <w:tcW w:w="2931" w:type="dxa"/>
            <w:gridSpan w:val="2"/>
            <w:tcBorders/>
            <w:vAlign w:val="center"/>
          </w:tcPr>
          <w:p>
            <w:pPr>
              <w:pStyle w:val="TableContents"/>
              <w:bidi w:val="0"/>
              <w:spacing w:before="0" w:after="0"/>
              <w:ind w:left="0" w:right="0" w:hanging="0"/>
              <w:jc w:val="left"/>
              <w:rPr/>
            </w:pPr>
            <w:r>
              <w:rPr/>
              <w:t>​</w:t>
            </w:r>
          </w:p>
        </w:tc>
        <w:tc>
          <w:tcPr>
            <w:tcW w:w="2955" w:type="dxa"/>
            <w:gridSpan w:val="2"/>
            <w:tcBorders/>
            <w:vAlign w:val="center"/>
          </w:tcPr>
          <w:p>
            <w:pPr>
              <w:pStyle w:val="TableContents"/>
              <w:bidi w:val="0"/>
              <w:spacing w:before="0" w:after="0"/>
              <w:ind w:left="0" w:right="0" w:hanging="0"/>
              <w:jc w:val="left"/>
              <w:rPr/>
            </w:pPr>
            <w:r>
              <w:rPr/>
              <w:t>​</w:t>
            </w:r>
          </w:p>
        </w:tc>
      </w:tr>
      <w:tr>
        <w:trPr/>
        <w:tc>
          <w:tcPr>
            <w:tcW w:w="233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2023</w:t>
            </w:r>
          </w:p>
        </w:tc>
        <w:tc>
          <w:tcPr>
            <w:tcW w:w="293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5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Bo Kruse</w:t>
            </w:r>
          </w:p>
        </w:tc>
      </w:tr>
      <w:tr>
        <w:trPr/>
        <w:tc>
          <w:tcPr>
            <w:tcW w:w="2334" w:type="dxa"/>
            <w:gridSpan w:val="2"/>
            <w:tcBorders/>
            <w:vAlign w:val="center"/>
          </w:tcPr>
          <w:p>
            <w:pPr>
              <w:pStyle w:val="TableContents"/>
              <w:bidi w:val="0"/>
              <w:spacing w:before="0" w:after="0"/>
              <w:ind w:left="0" w:right="0" w:hanging="0"/>
              <w:jc w:val="left"/>
              <w:rPr/>
            </w:pPr>
            <w:r>
              <w:rPr/>
              <w:t>​</w:t>
            </w:r>
          </w:p>
        </w:tc>
        <w:tc>
          <w:tcPr>
            <w:tcW w:w="2931" w:type="dxa"/>
            <w:gridSpan w:val="2"/>
            <w:tcBorders/>
            <w:vAlign w:val="center"/>
          </w:tcPr>
          <w:p>
            <w:pPr>
              <w:pStyle w:val="TableContents"/>
              <w:bidi w:val="0"/>
              <w:spacing w:before="0" w:after="0"/>
              <w:ind w:left="0" w:right="0" w:hanging="0"/>
              <w:jc w:val="left"/>
              <w:rPr/>
            </w:pPr>
            <w:r>
              <w:rPr/>
              <w:t>​</w:t>
            </w:r>
          </w:p>
        </w:tc>
        <w:tc>
          <w:tcPr>
            <w:tcW w:w="29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Bo Kruse</w:t>
            </w:r>
          </w:p>
        </w:tc>
      </w:tr>
      <w:tr>
        <w:trPr/>
        <w:tc>
          <w:tcPr>
            <w:tcW w:w="2334" w:type="dxa"/>
            <w:gridSpan w:val="2"/>
            <w:tcBorders/>
            <w:vAlign w:val="center"/>
          </w:tcPr>
          <w:p>
            <w:pPr>
              <w:pStyle w:val="TableContents"/>
              <w:bidi w:val="0"/>
              <w:spacing w:before="0" w:after="0"/>
              <w:ind w:left="0" w:right="0" w:hanging="0"/>
              <w:jc w:val="left"/>
              <w:rPr/>
            </w:pPr>
            <w:r>
              <w:rPr/>
              <w:t>​</w:t>
            </w:r>
          </w:p>
        </w:tc>
        <w:tc>
          <w:tcPr>
            <w:tcW w:w="2931" w:type="dxa"/>
            <w:gridSpan w:val="2"/>
            <w:tcBorders/>
            <w:vAlign w:val="center"/>
          </w:tcPr>
          <w:p>
            <w:pPr>
              <w:pStyle w:val="TableContents"/>
              <w:bidi w:val="0"/>
              <w:spacing w:before="0" w:after="0"/>
              <w:ind w:left="0" w:right="0" w:hanging="0"/>
              <w:jc w:val="left"/>
              <w:rPr/>
            </w:pPr>
            <w:r>
              <w:rPr/>
              <w:t>​</w:t>
            </w:r>
          </w:p>
        </w:tc>
        <w:tc>
          <w:tcPr>
            <w:tcW w:w="29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EVP, 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120"/>
        <w:ind w:left="0" w:right="0" w:hanging="0"/>
        <w:jc w:val="right"/>
        <w:rPr>
          <w:rFonts w:ascii="Arial;Helvetica;sans-serif" w:hAnsi="Arial;Helvetica;sans-serif"/>
          <w:b/>
          <w:sz w:val="22"/>
        </w:rPr>
      </w:pPr>
      <w:bookmarkStart w:id="1042" w:name="ymab-20230930xex10d1.htm"/>
      <w:bookmarkStart w:id="1043" w:name="ksymab20230930xex10d1"/>
      <w:bookmarkEnd w:id="1042"/>
      <w:bookmarkEnd w:id="1043"/>
      <w:r>
        <w:rPr>
          <w:rFonts w:ascii="Arial;Helvetica;sans-serif" w:hAnsi="Arial;Helvetica;sans-serif"/>
          <w:b/>
          <w:sz w:val="22"/>
        </w:rPr>
        <w:t>Exhibit 10.1</w:t>
      </w:r>
      <w:r>
        <w:br w:type="page"/>
      </w:r>
    </w:p>
    <w:p>
      <w:pPr>
        <w:pStyle w:val="TextBody"/>
        <w:bidi w:val="0"/>
        <w:spacing w:before="0" w:after="120"/>
        <w:ind w:left="0" w:right="0" w:hanging="0"/>
        <w:jc w:val="center"/>
        <w:rPr/>
      </w:pPr>
      <w:r>
        <w:rPr/>
        <w:t>​</w:t>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AMENDMENT TO LEASE</w:t>
      </w:r>
    </w:p>
    <w:p>
      <w:pPr>
        <w:pStyle w:val="TextBody"/>
        <w:bidi w:val="0"/>
        <w:spacing w:before="0" w:after="120"/>
        <w:ind w:left="0" w:right="0" w:firstLine="1440"/>
        <w:jc w:val="both"/>
        <w:rPr>
          <w:rFonts w:ascii="Arial;Helvetica;sans-serif" w:hAnsi="Arial;Helvetica;sans-serif"/>
          <w:sz w:val="20"/>
        </w:rPr>
      </w:pPr>
      <w:r>
        <w:rPr>
          <w:rFonts w:ascii="Arial;Helvetica;sans-serif" w:hAnsi="Arial;Helvetica;sans-serif"/>
          <w:sz w:val="22"/>
        </w:rPr>
        <w:t>This AMENDMENT TO LEASE (this “</w:t>
      </w:r>
      <w:r>
        <w:rPr>
          <w:rFonts w:ascii="Arial;Helvetica;sans-serif" w:hAnsi="Arial;Helvetica;sans-serif"/>
          <w:sz w:val="22"/>
          <w:u w:val="single"/>
        </w:rPr>
        <w:t>Amendment</w:t>
      </w:r>
      <w:r>
        <w:rPr>
          <w:rFonts w:ascii="Arial;Helvetica;sans-serif" w:hAnsi="Arial;Helvetica;sans-serif"/>
          <w:sz w:val="20"/>
        </w:rPr>
        <w:t>”</w:t>
      </w:r>
      <w:r>
        <w:rPr>
          <w:rFonts w:ascii="Arial;Helvetica;sans-serif" w:hAnsi="Arial;Helvetica;sans-serif"/>
          <w:sz w:val="22"/>
        </w:rPr>
        <w:t>) dated as of August 16th, 2023 (the “</w:t>
      </w:r>
      <w:r>
        <w:rPr>
          <w:rFonts w:ascii="Arial;Helvetica;sans-serif" w:hAnsi="Arial;Helvetica;sans-serif"/>
          <w:sz w:val="22"/>
          <w:u w:val="single"/>
        </w:rPr>
        <w:t>Effective Date</w:t>
      </w:r>
      <w:r>
        <w:rPr>
          <w:rFonts w:ascii="Arial;Helvetica;sans-serif" w:hAnsi="Arial;Helvetica;sans-serif"/>
          <w:sz w:val="20"/>
        </w:rPr>
        <w:t>”</w:t>
      </w:r>
      <w:r>
        <w:rPr>
          <w:rFonts w:ascii="Arial;Helvetica;sans-serif" w:hAnsi="Arial;Helvetica;sans-serif"/>
          <w:sz w:val="22"/>
        </w:rPr>
        <w:t xml:space="preserve">) between </w:t>
      </w:r>
      <w:r>
        <w:rPr>
          <w:rFonts w:ascii="Arial;Helvetica;sans-serif" w:hAnsi="Arial;Helvetica;sans-serif"/>
          <w:b/>
          <w:sz w:val="22"/>
        </w:rPr>
        <w:t>RXR HB OWNER LLC</w:t>
      </w:r>
      <w:r>
        <w:rPr>
          <w:rFonts w:ascii="Arial;Helvetica;sans-serif" w:hAnsi="Arial;Helvetica;sans-serif"/>
          <w:sz w:val="22"/>
        </w:rPr>
        <w:t>, having an office c/o RXR Realty LLC, 625 RXR Plaza, Uniondale, New York 11556 (“</w:t>
      </w:r>
      <w:r>
        <w:rPr>
          <w:rFonts w:ascii="Arial;Helvetica;sans-serif" w:hAnsi="Arial;Helvetica;sans-serif"/>
          <w:sz w:val="22"/>
          <w:u w:val="single"/>
        </w:rPr>
        <w:t>Landlord</w:t>
      </w:r>
      <w:r>
        <w:rPr>
          <w:rFonts w:ascii="Arial;Helvetica;sans-serif" w:hAnsi="Arial;Helvetica;sans-serif"/>
          <w:sz w:val="20"/>
        </w:rPr>
        <w:t>”</w:t>
      </w:r>
      <w:r>
        <w:rPr>
          <w:rFonts w:ascii="Arial;Helvetica;sans-serif" w:hAnsi="Arial;Helvetica;sans-serif"/>
          <w:sz w:val="22"/>
        </w:rPr>
        <w:t xml:space="preserve">), and </w:t>
      </w:r>
      <w:r>
        <w:rPr>
          <w:rFonts w:ascii="Arial;Helvetica;sans-serif" w:hAnsi="Arial;Helvetica;sans-serif"/>
          <w:b/>
          <w:sz w:val="22"/>
        </w:rPr>
        <w:t xml:space="preserve">Y-MABS THERAPEUTICS, INC., </w:t>
      </w:r>
      <w:r>
        <w:rPr>
          <w:rFonts w:ascii="Arial;Helvetica;sans-serif" w:hAnsi="Arial;Helvetica;sans-serif"/>
          <w:sz w:val="22"/>
        </w:rPr>
        <w:t>having an office at 230 Park Avenue, New York, New York 10169 (“</w:t>
      </w:r>
      <w:r>
        <w:rPr>
          <w:rFonts w:ascii="Arial;Helvetica;sans-serif" w:hAnsi="Arial;Helvetica;sans-serif"/>
          <w:sz w:val="22"/>
          <w:u w:val="single"/>
        </w:rPr>
        <w:t>Tenant</w:t>
      </w:r>
      <w:r>
        <w:rPr>
          <w:rFonts w:ascii="Arial;Helvetica;sans-serif" w:hAnsi="Arial;Helvetica;sans-serif"/>
          <w:sz w:val="20"/>
        </w:rPr>
        <w:t>”</w:t>
      </w:r>
      <w:r>
        <w:rPr>
          <w:rFonts w:ascii="Arial;Helvetica;sans-serif" w:hAnsi="Arial;Helvetica;sans-serif"/>
          <w:sz w:val="22"/>
        </w:rPr>
        <w:t>).</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2"/>
          <w:u w:val="single"/>
        </w:rPr>
        <w:t>W I T N E S E T H</w:t>
      </w:r>
      <w:r>
        <w:rPr>
          <w:rFonts w:ascii="Arial;Helvetica;sans-serif" w:hAnsi="Arial;Helvetica;sans-serif"/>
          <w:sz w:val="22"/>
        </w:rPr>
        <w:t>:</w:t>
      </w:r>
    </w:p>
    <w:p>
      <w:pPr>
        <w:pStyle w:val="TextBody"/>
        <w:bidi w:val="0"/>
        <w:spacing w:before="0" w:after="120"/>
        <w:ind w:left="0" w:right="0" w:firstLine="1440"/>
        <w:jc w:val="both"/>
        <w:rPr>
          <w:rFonts w:ascii="Arial;Helvetica;sans-serif" w:hAnsi="Arial;Helvetica;sans-serif"/>
          <w:sz w:val="20"/>
        </w:rPr>
      </w:pPr>
      <w:r>
        <w:rPr>
          <w:rFonts w:ascii="Arial;Helvetica;sans-serif" w:hAnsi="Arial;Helvetica;sans-serif"/>
          <w:sz w:val="22"/>
        </w:rPr>
        <w:t>WHEREAS, Landlord and Tenant entered into that certain Lease dated as of January 10, 2018 (the “</w:t>
      </w:r>
      <w:r>
        <w:rPr>
          <w:rFonts w:ascii="Arial;Helvetica;sans-serif" w:hAnsi="Arial;Helvetica;sans-serif"/>
          <w:sz w:val="22"/>
          <w:u w:val="single"/>
        </w:rPr>
        <w:t>Existing Lease</w:t>
      </w:r>
      <w:r>
        <w:rPr>
          <w:rFonts w:ascii="Arial;Helvetica;sans-serif" w:hAnsi="Arial;Helvetica;sans-serif"/>
          <w:sz w:val="20"/>
        </w:rPr>
        <w:t>”</w:t>
      </w:r>
      <w:r>
        <w:rPr>
          <w:rFonts w:ascii="Arial;Helvetica;sans-serif" w:hAnsi="Arial;Helvetica;sans-serif"/>
          <w:sz w:val="22"/>
        </w:rPr>
        <w:t>) pursuant to which Tenant leases a portion of the thirty-third (33</w:t>
      </w:r>
      <w:r>
        <w:rPr>
          <w:rFonts w:ascii="Arial;Helvetica;sans-serif" w:hAnsi="Arial;Helvetica;sans-serif"/>
          <w:sz w:val="17"/>
        </w:rPr>
        <w:t>rd</w:t>
      </w:r>
      <w:r>
        <w:rPr>
          <w:rFonts w:ascii="Arial;Helvetica;sans-serif" w:hAnsi="Arial;Helvetica;sans-serif"/>
          <w:sz w:val="22"/>
        </w:rPr>
        <w:t>) floor (the “</w:t>
      </w:r>
      <w:r>
        <w:rPr>
          <w:rFonts w:ascii="Arial;Helvetica;sans-serif" w:hAnsi="Arial;Helvetica;sans-serif"/>
          <w:sz w:val="22"/>
          <w:u w:val="single"/>
        </w:rPr>
        <w:t>Premises</w:t>
      </w:r>
      <w:r>
        <w:rPr>
          <w:rFonts w:ascii="Arial;Helvetica;sans-serif" w:hAnsi="Arial;Helvetica;sans-serif"/>
          <w:sz w:val="20"/>
        </w:rPr>
        <w:t>”</w:t>
      </w:r>
      <w:r>
        <w:rPr>
          <w:rFonts w:ascii="Arial;Helvetica;sans-serif" w:hAnsi="Arial;Helvetica;sans-serif"/>
          <w:sz w:val="22"/>
        </w:rPr>
        <w:t>) of the building known as 230 Park Avenue, New York, New York (the “</w:t>
      </w:r>
      <w:r>
        <w:rPr>
          <w:rFonts w:ascii="Arial;Helvetica;sans-serif" w:hAnsi="Arial;Helvetica;sans-serif"/>
          <w:sz w:val="22"/>
          <w:u w:val="single"/>
        </w:rPr>
        <w:t>Building</w:t>
      </w:r>
      <w:r>
        <w:rPr>
          <w:rFonts w:ascii="Arial;Helvetica;sans-serif" w:hAnsi="Arial;Helvetica;sans-serif"/>
          <w:sz w:val="20"/>
        </w:rPr>
        <w:t>”</w:t>
      </w:r>
      <w:r>
        <w:rPr>
          <w:rFonts w:ascii="Arial;Helvetica;sans-serif" w:hAnsi="Arial;Helvetica;sans-serif"/>
          <w:sz w:val="22"/>
        </w:rPr>
        <w:t>), all as more particularly described in the Existing Lease; and</w:t>
      </w:r>
    </w:p>
    <w:p>
      <w:pPr>
        <w:pStyle w:val="TextBody"/>
        <w:bidi w:val="0"/>
        <w:spacing w:before="0" w:after="120"/>
        <w:ind w:left="0" w:right="0" w:firstLine="1440"/>
        <w:jc w:val="both"/>
        <w:rPr>
          <w:rFonts w:ascii="Arial;Helvetica;sans-serif" w:hAnsi="Arial;Helvetica;sans-serif"/>
          <w:sz w:val="20"/>
        </w:rPr>
      </w:pPr>
      <w:r>
        <w:rPr>
          <w:rFonts w:ascii="Arial;Helvetica;sans-serif" w:hAnsi="Arial;Helvetica;sans-serif"/>
          <w:sz w:val="22"/>
        </w:rPr>
        <w:t>WHEREAS, Landlord and Tenant desire to modify the Existing Lease to (i) extend the term of the Existing Lease, and (ii) otherwise modify the terms and conditions of the Existing Lease, all as hereinafter set forth (the Existing Lease, as modified by this Amendment, the “</w:t>
      </w:r>
      <w:r>
        <w:rPr>
          <w:rFonts w:ascii="Arial;Helvetica;sans-serif" w:hAnsi="Arial;Helvetica;sans-serif"/>
          <w:sz w:val="22"/>
          <w:u w:val="single"/>
        </w:rPr>
        <w:t>Lease</w:t>
      </w:r>
      <w:r>
        <w:rPr>
          <w:rFonts w:ascii="Arial;Helvetica;sans-serif" w:hAnsi="Arial;Helvetica;sans-serif"/>
          <w:sz w:val="20"/>
        </w:rPr>
        <w:t>”</w:t>
      </w:r>
      <w:r>
        <w:rPr>
          <w:rFonts w:ascii="Arial;Helvetica;sans-serif" w:hAnsi="Arial;Helvetica;sans-serif"/>
          <w:sz w:val="22"/>
        </w:rPr>
        <w:t>).</w:t>
      </w:r>
    </w:p>
    <w:p>
      <w:pPr>
        <w:pStyle w:val="TextBody"/>
        <w:bidi w:val="0"/>
        <w:spacing w:before="0" w:after="120"/>
        <w:ind w:left="0" w:right="0" w:firstLine="1440"/>
        <w:jc w:val="both"/>
        <w:rPr>
          <w:rFonts w:ascii="Arial;Helvetica;sans-serif" w:hAnsi="Arial;Helvetica;sans-serif"/>
          <w:sz w:val="22"/>
        </w:rPr>
      </w:pPr>
      <w:r>
        <w:rPr>
          <w:rFonts w:ascii="Arial;Helvetica;sans-serif" w:hAnsi="Arial;Helvetica;sans-serif"/>
          <w:sz w:val="22"/>
        </w:rPr>
        <w:t>NOW, THEREFORE, in consideration of the mutual covenants herein contained, and other good and valuable consideration, the receipt and sufficiency of which are hereby acknowledged, Landlord and Tenant agree as follows:</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w:t>
      </w:r>
      <w:r>
        <w:rPr>
          <w:rFonts w:ascii="Arial;Helvetica;sans-serif" w:hAnsi="Arial;Helvetica;sans-serif"/>
          <w:sz w:val="22"/>
          <w:u w:val="single"/>
        </w:rPr>
        <w:t>Capitalized Terms</w:t>
      </w:r>
      <w:r>
        <w:rPr>
          <w:rFonts w:ascii="Arial;Helvetica;sans-serif" w:hAnsi="Arial;Helvetica;sans-serif"/>
          <w:sz w:val="22"/>
        </w:rPr>
        <w:t>.  All capitalized terms used and not otherwise defined in this Amendment shall have the respective meanings ascribed to them in the Existing Lease.  All references to “the Lease” or “this Lease” in the Existing Lease or in this Amendment shall be deemed to mean the Existing Lease, as amended by this Amendment.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2.</w:t>
      </w:r>
      <w:r>
        <w:rPr>
          <w:rFonts w:ascii="Arial;Helvetica;sans-serif" w:hAnsi="Arial;Helvetica;sans-serif"/>
          <w:sz w:val="22"/>
          <w:u w:val="single"/>
        </w:rPr>
        <w:t>Extension of Term; Rent</w:t>
      </w:r>
      <w:r>
        <w:rPr>
          <w:rFonts w:ascii="Arial;Helvetica;sans-serif" w:hAnsi="Arial;Helvetica;sans-serif"/>
          <w:sz w:val="22"/>
        </w:rPr>
        <w:t>.  (a) The term of the Existing Lease is hereby extended for the 12-month period (the “</w:t>
      </w:r>
      <w:r>
        <w:rPr>
          <w:rFonts w:ascii="Arial;Helvetica;sans-serif" w:hAnsi="Arial;Helvetica;sans-serif"/>
          <w:sz w:val="22"/>
          <w:u w:val="single"/>
        </w:rPr>
        <w:t>Extension Period</w:t>
      </w:r>
      <w:r>
        <w:rPr>
          <w:rFonts w:ascii="Arial;Helvetica;sans-serif" w:hAnsi="Arial;Helvetica;sans-serif"/>
          <w:sz w:val="20"/>
        </w:rPr>
        <w:t>”</w:t>
      </w:r>
      <w:r>
        <w:rPr>
          <w:rFonts w:ascii="Arial;Helvetica;sans-serif" w:hAnsi="Arial;Helvetica;sans-serif"/>
          <w:sz w:val="22"/>
        </w:rPr>
        <w:t>) commencing on May 1, 2024 and expiring on April 30, 2025 (the “</w:t>
      </w:r>
      <w:r>
        <w:rPr>
          <w:rFonts w:ascii="Arial;Helvetica;sans-serif" w:hAnsi="Arial;Helvetica;sans-serif"/>
          <w:sz w:val="22"/>
          <w:u w:val="single"/>
        </w:rPr>
        <w:t>Extended Expiration Date</w:t>
      </w:r>
      <w:r>
        <w:rPr>
          <w:rFonts w:ascii="Arial;Helvetica;sans-serif" w:hAnsi="Arial;Helvetica;sans-serif"/>
          <w:sz w:val="20"/>
        </w:rPr>
        <w:t>”</w:t>
      </w:r>
      <w:r>
        <w:rPr>
          <w:rFonts w:ascii="Arial;Helvetica;sans-serif" w:hAnsi="Arial;Helvetica;sans-serif"/>
          <w:sz w:val="22"/>
        </w:rPr>
        <w:t>), or such earlier date upon which the term may expire or be terminated pursuant to any of the conditions of limitation or other provisions of the Lease or pursuant to law, upon all of the terms and conditions of the Existing Lease, as modified by this Amendment.  All references in the Existing Lease to Expiration Date shall be deemed to be references to the Extended Expiration Date and all references to “term” or “term of this Lease” or words of similar import shall be deemed to refer to the term of the Existing Lease as extended by the Extension Period.</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3.</w:t>
      </w:r>
      <w:r>
        <w:rPr>
          <w:rFonts w:ascii="Arial;Helvetica;sans-serif" w:hAnsi="Arial;Helvetica;sans-serif"/>
          <w:sz w:val="22"/>
          <w:u w:val="single"/>
        </w:rPr>
        <w:t>Terms.</w:t>
      </w:r>
      <w:r>
        <w:rPr>
          <w:rFonts w:ascii="Arial;Helvetica;sans-serif" w:hAnsi="Arial;Helvetica;sans-serif"/>
          <w:sz w:val="20"/>
        </w:rPr>
        <w:t xml:space="preserve">  </w:t>
      </w:r>
      <w:r>
        <w:rPr>
          <w:rFonts w:ascii="Arial;Helvetica;sans-serif" w:hAnsi="Arial;Helvetica;sans-serif"/>
          <w:sz w:val="22"/>
        </w:rPr>
        <w:t>(a) During the Extension Period, Tenant shall lease the Premises upon all of the terms and conditions of the Existing Lease, including, without limitation the payment of all Additional Rent, except that Fixed Rent shall be in the amount of $407,915.20 per year, payable in equal monthly installments of $33,992.93.</w:t>
      </w:r>
    </w:p>
    <w:p>
      <w:pPr>
        <w:pStyle w:val="TextBody"/>
        <w:bidi w:val="0"/>
        <w:spacing w:before="0" w:after="0"/>
        <w:ind w:left="72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(b)</w:t>
      </w:r>
      <w:r>
        <w:rPr>
          <w:rFonts w:ascii="Arial;Helvetica;sans-serif" w:hAnsi="Arial;Helvetica;sans-serif"/>
          <w:sz w:val="22"/>
        </w:rPr>
        <w:t>Tenant acknowledges that it is currently occupying the Premises pursuant to the Existing Lease and accepts same in its current as-is condition. Landlord has no obligation to perform any work, supply any materials, incur any expenses or make any alterations or improvements to the Premises in connection with Tenant’s continued occupancy thereof during the Extension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pPr>
      <w:r>
        <w:rPr/>
        <w:t>​</w:t>
      </w:r>
    </w:p>
    <w:p>
      <w:pPr>
        <w:pStyle w:val="TextBody"/>
        <w:bidi w:val="0"/>
        <w:spacing w:before="0" w:after="120"/>
        <w:ind w:left="720" w:right="0" w:firstLine="720"/>
        <w:jc w:val="both"/>
        <w:rPr>
          <w:rFonts w:ascii="Arial;Helvetica;sans-serif" w:hAnsi="Arial;Helvetica;sans-serif"/>
          <w:sz w:val="22"/>
        </w:rPr>
      </w:pPr>
      <w:r>
        <w:rPr>
          <w:rFonts w:ascii="Arial;Helvetica;sans-serif" w:hAnsi="Arial;Helvetica;sans-serif"/>
          <w:sz w:val="22"/>
        </w:rPr>
        <w:t>(c) Each reference in the Existing Lease to “this Lease”, “herein”, “hereunder” or words of similar import shall be deemed to refer to the Lease.</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4.</w:t>
      </w:r>
      <w:r>
        <w:rPr>
          <w:rFonts w:ascii="Arial;Helvetica;sans-serif" w:hAnsi="Arial;Helvetica;sans-serif"/>
          <w:sz w:val="22"/>
          <w:u w:val="single"/>
        </w:rPr>
        <w:t>Brokerage</w:t>
      </w:r>
      <w:r>
        <w:rPr>
          <w:rFonts w:ascii="Arial;Helvetica;sans-serif" w:hAnsi="Arial;Helvetica;sans-serif"/>
          <w:sz w:val="22"/>
        </w:rPr>
        <w:t>.  Each of Landlord and Tenant represents and warrants to the other that it has not dealt with any broker in connection with this Amendment, except RXR Property Management LLC (the “</w:t>
      </w:r>
      <w:r>
        <w:rPr>
          <w:rFonts w:ascii="Arial;Helvetica;sans-serif" w:hAnsi="Arial;Helvetica;sans-serif"/>
          <w:sz w:val="22"/>
          <w:u w:val="single"/>
        </w:rPr>
        <w:t>Broker</w:t>
      </w:r>
      <w:r>
        <w:rPr>
          <w:rFonts w:ascii="Arial;Helvetica;sans-serif" w:hAnsi="Arial;Helvetica;sans-serif"/>
          <w:sz w:val="20"/>
        </w:rPr>
        <w:t>”</w:t>
      </w:r>
      <w:r>
        <w:rPr>
          <w:rFonts w:ascii="Arial;Helvetica;sans-serif" w:hAnsi="Arial;Helvetica;sans-serif"/>
          <w:sz w:val="22"/>
        </w:rPr>
        <w:t xml:space="preserve">) and that to the best of its knowledge, no other broker negotiated this Amendment or is entitled to any fee or commission in connection herewith.  Each of Landlord and Tenant shall indemnify, defend, protect and hold the other party harmless from and against any and all losses, liabilities, damages, claims, judgments, fines, suits, demands, costs, interest and expenses of any kind or nature (including reasonable attorneys’ fees and disbursements) incurred in connection with any claim, proceeding or judgment and the defense thereof which the indemnified party may incur by reason of any claim of or liability to any broker, finder or like agent (except the Broker) arising out of any dealings claimed to have occurred between the indemnifying party and the claimant in connection with this Amendment, and the above representation being false.  The provisions of this </w:t>
      </w:r>
      <w:r>
        <w:rPr>
          <w:rFonts w:ascii="Arial;Helvetica;sans-serif" w:hAnsi="Arial;Helvetica;sans-serif"/>
          <w:sz w:val="22"/>
          <w:u w:val="single"/>
        </w:rPr>
        <w:t>Section 4</w:t>
      </w:r>
      <w:r>
        <w:rPr>
          <w:rFonts w:ascii="Arial;Helvetica;sans-serif" w:hAnsi="Arial;Helvetica;sans-serif"/>
          <w:sz w:val="20"/>
        </w:rPr>
        <w:t xml:space="preserve"> </w:t>
      </w:r>
      <w:r>
        <w:rPr>
          <w:rFonts w:ascii="Arial;Helvetica;sans-serif" w:hAnsi="Arial;Helvetica;sans-serif"/>
          <w:sz w:val="22"/>
        </w:rPr>
        <w:t>shall survive the expiration or earlier termination of the term of the Lease.</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5.</w:t>
      </w:r>
      <w:r>
        <w:rPr>
          <w:rFonts w:ascii="Arial;Helvetica;sans-serif" w:hAnsi="Arial;Helvetica;sans-serif"/>
          <w:sz w:val="22"/>
          <w:u w:val="single"/>
        </w:rPr>
        <w:t>Miscellaneous</w:t>
      </w:r>
      <w:r>
        <w:rPr>
          <w:rFonts w:ascii="Arial;Helvetica;sans-serif" w:hAnsi="Arial;Helvetica;sans-serif"/>
          <w:sz w:val="22"/>
        </w:rPr>
        <w:t>.  (a)Except as set forth herein, nothing contained in this Amendment shall be deemed to amend or modify in any respect the terms of the Existing Lease and such terms shall remain in full force and effect as modified hereby.  If there is any inconsistency between the terms of this Amendment and the terms of the Existing Lease, the terms of this Amendment shall be controlling and prevail.</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(b)</w:t>
      </w:r>
      <w:r>
        <w:rPr>
          <w:rFonts w:ascii="Arial;Helvetica;sans-serif" w:hAnsi="Arial;Helvetica;sans-serif"/>
          <w:sz w:val="22"/>
        </w:rPr>
        <w:t>This Amendment contains the entire agreement of the parties with respect to its subject matter and all prior negotiations, discussions, representations, agreements and understandings heretofore had among the parties with respect thereto are merged herein.</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(c)</w:t>
      </w:r>
      <w:r>
        <w:rPr>
          <w:rFonts w:ascii="Arial;Helvetica;sans-serif" w:hAnsi="Arial;Helvetica;sans-serif"/>
          <w:sz w:val="22"/>
        </w:rPr>
        <w:t>Tenant represents and warrants to Landlord that as of the Effective Date, there are no defaults existing under the Lease.</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(d)</w:t>
      </w:r>
      <w:r>
        <w:rPr>
          <w:rFonts w:ascii="Arial;Helvetica;sans-serif" w:hAnsi="Arial;Helvetica;sans-serif"/>
          <w:sz w:val="22"/>
        </w:rPr>
        <w:t>This Amendment may be executed in duplicate counterparts, each of which shall be deemed an original and all of which, when taken together, shall constitute one and the same instrument.  Transmission of a facsimile or by email of a pdf copy of the signed counterpart of this Amendment shall be deemed the equivalent of the delivery of the original, and any party so delivering a facsimile or pdf copy of the signed counterpart of this Amendment by email transmission shall in all events deliver to the other parties an original signature promptly upon request.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(e)</w:t>
      </w:r>
      <w:r>
        <w:rPr>
          <w:rFonts w:ascii="Arial;Helvetica;sans-serif" w:hAnsi="Arial;Helvetica;sans-serif"/>
          <w:sz w:val="22"/>
        </w:rPr>
        <w:t>This Amendment shall not be binding upon Landlord or Tenant unless and until Landlord shall have delivered a fully executed counterpart of this Amendment to Tenant.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(f)</w:t>
      </w:r>
      <w:r>
        <w:rPr>
          <w:rFonts w:ascii="Arial;Helvetica;sans-serif" w:hAnsi="Arial;Helvetica;sans-serif"/>
          <w:sz w:val="22"/>
        </w:rPr>
        <w:t>This Amendment shall be binding upon and inure to the benefit of Landlord and Tenant and their successors and permitted assigns.</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(g)</w:t>
      </w:r>
      <w:r>
        <w:rPr>
          <w:rFonts w:ascii="Arial;Helvetica;sans-serif" w:hAnsi="Arial;Helvetica;sans-serif"/>
          <w:sz w:val="22"/>
        </w:rPr>
        <w:t>This Amendment shall be governed by the laws of the State of New York without giving effect to conflict of laws principles thereof.</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(h)</w:t>
      </w:r>
      <w:r>
        <w:rPr>
          <w:rFonts w:ascii="Arial;Helvetica;sans-serif" w:hAnsi="Arial;Helvetica;sans-serif"/>
          <w:sz w:val="22"/>
        </w:rPr>
        <w:t>The captions, headings, and titles in this Amendment are solely for convenience of reference and shall not affect its interpretation.</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sz w:val="22"/>
        </w:rPr>
        <w:t>[NO FURTHER TEXT ON THIS PAGE].</w:t>
      </w:r>
    </w:p>
    <w:p>
      <w:pPr>
        <w:pStyle w:val="TextBody"/>
        <w:bidi w:val="0"/>
        <w:spacing w:before="0" w:after="12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pPr>
      <w:r>
        <w:rPr/>
        <w:t>​</w:t>
      </w:r>
    </w:p>
    <w:p>
      <w:pPr>
        <w:pStyle w:val="TextBody"/>
        <w:bidi w:val="0"/>
        <w:spacing w:before="0" w:after="120"/>
        <w:ind w:left="0" w:right="0" w:firstLine="1440"/>
        <w:jc w:val="both"/>
        <w:rPr>
          <w:rFonts w:ascii="Arial;Helvetica;sans-serif" w:hAnsi="Arial;Helvetica;sans-serif"/>
          <w:sz w:val="22"/>
        </w:rPr>
      </w:pPr>
      <w:r>
        <w:rPr>
          <w:rFonts w:ascii="Arial;Helvetica;sans-serif" w:hAnsi="Arial;Helvetica;sans-serif"/>
          <w:sz w:val="22"/>
        </w:rPr>
        <w:t>IN WITNESS WHEREOF, Landlord and Tenant have executed this Amendment as of the day and year first above written.</w:t>
      </w:r>
    </w:p>
    <w:p>
      <w:pPr>
        <w:pStyle w:val="TextBody"/>
        <w:bidi w:val="0"/>
        <w:spacing w:before="0" w:after="120"/>
        <w:ind w:left="4320" w:right="0" w:hanging="0"/>
        <w:jc w:val="both"/>
        <w:rPr>
          <w:rFonts w:ascii="Arial;Helvetica;sans-serif" w:hAnsi="Arial;Helvetica;sans-serif"/>
          <w:sz w:val="22"/>
        </w:rPr>
      </w:pPr>
      <w:r>
        <w:rPr>
          <w:rFonts w:ascii="Arial;Helvetica;sans-serif" w:hAnsi="Arial;Helvetica;sans-serif"/>
          <w:sz w:val="22"/>
        </w:rPr>
        <w:t>LANDLORD:</w:t>
      </w:r>
    </w:p>
    <w:p>
      <w:pPr>
        <w:pStyle w:val="TextBody"/>
        <w:bidi w:val="0"/>
        <w:spacing w:before="0" w:after="360"/>
        <w:ind w:left="4320" w:right="0" w:hanging="0"/>
        <w:jc w:val="both"/>
        <w:rPr>
          <w:rFonts w:ascii="Arial;Helvetica;sans-serif" w:hAnsi="Arial;Helvetica;sans-serif"/>
          <w:b/>
          <w:sz w:val="22"/>
        </w:rPr>
      </w:pPr>
      <w:r>
        <w:rPr>
          <w:rFonts w:ascii="Arial;Helvetica;sans-serif" w:hAnsi="Arial;Helvetica;sans-serif"/>
          <w:b/>
          <w:sz w:val="22"/>
        </w:rPr>
        <w:t>RXR HB OWNER LLC</w:t>
      </w:r>
    </w:p>
    <w:p>
      <w:pPr>
        <w:pStyle w:val="TextBody"/>
        <w:bidi w:val="0"/>
        <w:spacing w:before="0" w:after="0"/>
        <w:ind w:left="4320" w:right="0" w:hanging="0"/>
        <w:jc w:val="both"/>
        <w:rPr>
          <w:rFonts w:ascii="Arial;Helvetica;sans-serif" w:hAnsi="Arial;Helvetica;sans-serif"/>
          <w:sz w:val="20"/>
        </w:rPr>
      </w:pPr>
      <w:r>
        <w:rPr>
          <w:rFonts w:ascii="Arial;Helvetica;sans-serif" w:hAnsi="Arial;Helvetica;sans-serif"/>
          <w:sz w:val="22"/>
        </w:rPr>
        <w:t xml:space="preserve">By: </w:t>
      </w:r>
      <w:r>
        <w:rPr>
          <w:rFonts w:ascii="Arial;Helvetica;sans-serif" w:hAnsi="Arial;Helvetica;sans-serif"/>
          <w:sz w:val="22"/>
          <w:u w:val="single"/>
        </w:rPr>
        <w:t>/s/ FRANK PUSINELLI</w:t>
      </w:r>
    </w:p>
    <w:p>
      <w:pPr>
        <w:pStyle w:val="TextBody"/>
        <w:bidi w:val="0"/>
        <w:spacing w:before="0" w:after="0"/>
        <w:ind w:left="4320" w:right="0" w:firstLine="360"/>
        <w:jc w:val="both"/>
        <w:rPr>
          <w:rFonts w:ascii="Arial;Helvetica;sans-serif" w:hAnsi="Arial;Helvetica;sans-serif"/>
          <w:sz w:val="22"/>
        </w:rPr>
      </w:pPr>
      <w:r>
        <w:rPr>
          <w:rFonts w:ascii="Arial;Helvetica;sans-serif" w:hAnsi="Arial;Helvetica;sans-serif"/>
          <w:sz w:val="22"/>
        </w:rPr>
        <w:t>Name: Frank Pusinelli</w:t>
      </w:r>
    </w:p>
    <w:p>
      <w:pPr>
        <w:pStyle w:val="TextBody"/>
        <w:bidi w:val="0"/>
        <w:spacing w:before="0" w:after="0"/>
        <w:ind w:left="4320" w:right="0" w:firstLine="360"/>
        <w:jc w:val="both"/>
        <w:rPr>
          <w:rFonts w:ascii="Arial;Helvetica;sans-serif" w:hAnsi="Arial;Helvetica;sans-serif"/>
          <w:sz w:val="22"/>
        </w:rPr>
      </w:pPr>
      <w:r>
        <w:rPr>
          <w:rFonts w:ascii="Arial;Helvetica;sans-serif" w:hAnsi="Arial;Helvetica;sans-serif"/>
          <w:sz w:val="22"/>
        </w:rPr>
        <w:t>Title:  Authorized Person</w:t>
      </w:r>
    </w:p>
    <w:p>
      <w:pPr>
        <w:pStyle w:val="TextBody"/>
        <w:bidi w:val="0"/>
        <w:spacing w:before="0" w:after="360"/>
        <w:ind w:left="4320" w:right="0" w:firstLine="360"/>
        <w:jc w:val="both"/>
        <w:rPr>
          <w:rFonts w:ascii="Arial;Helvetica;sans-serif" w:hAnsi="Arial;Helvetica;sans-serif"/>
          <w:sz w:val="22"/>
        </w:rPr>
      </w:pPr>
      <w:r>
        <w:rPr>
          <w:rFonts w:ascii="Arial;Helvetica;sans-serif" w:hAnsi="Arial;Helvetica;sans-serif"/>
          <w:sz w:val="22"/>
        </w:rPr>
        <w:t>August 16, 2023</w:t>
      </w:r>
    </w:p>
    <w:p>
      <w:pPr>
        <w:pStyle w:val="TextBody"/>
        <w:bidi w:val="0"/>
        <w:spacing w:before="0" w:after="120"/>
        <w:ind w:left="4320" w:right="0" w:hanging="0"/>
        <w:jc w:val="both"/>
        <w:rPr>
          <w:rFonts w:ascii="Arial;Helvetica;sans-serif" w:hAnsi="Arial;Helvetica;sans-serif"/>
          <w:sz w:val="22"/>
        </w:rPr>
      </w:pPr>
      <w:r>
        <w:rPr>
          <w:rFonts w:ascii="Arial;Helvetica;sans-serif" w:hAnsi="Arial;Helvetica;sans-serif"/>
          <w:sz w:val="22"/>
        </w:rPr>
        <w:t>TENANT:</w:t>
      </w:r>
    </w:p>
    <w:p>
      <w:pPr>
        <w:pStyle w:val="TextBody"/>
        <w:bidi w:val="0"/>
        <w:spacing w:before="0" w:after="360"/>
        <w:ind w:left="4320" w:right="0" w:hanging="0"/>
        <w:jc w:val="both"/>
        <w:rPr>
          <w:rFonts w:ascii="Arial;Helvetica;sans-serif" w:hAnsi="Arial;Helvetica;sans-serif"/>
          <w:b/>
          <w:sz w:val="22"/>
        </w:rPr>
      </w:pPr>
      <w:r>
        <w:rPr>
          <w:rFonts w:ascii="Arial;Helvetica;sans-serif" w:hAnsi="Arial;Helvetica;sans-serif"/>
          <w:b/>
          <w:sz w:val="22"/>
        </w:rPr>
        <w:t>Y-MABS THERAPEUTICS, INC.</w:t>
      </w:r>
    </w:p>
    <w:p>
      <w:pPr>
        <w:pStyle w:val="TextBody"/>
        <w:bidi w:val="0"/>
        <w:spacing w:before="0" w:after="0"/>
        <w:ind w:left="4320" w:right="0" w:hanging="0"/>
        <w:jc w:val="both"/>
        <w:rPr>
          <w:rFonts w:ascii="Arial;Helvetica;sans-serif" w:hAnsi="Arial;Helvetica;sans-serif"/>
          <w:sz w:val="20"/>
        </w:rPr>
      </w:pPr>
      <w:r>
        <w:rPr>
          <w:rFonts w:ascii="Arial;Helvetica;sans-serif" w:hAnsi="Arial;Helvetica;sans-serif"/>
          <w:sz w:val="22"/>
        </w:rPr>
        <w:t>By:</w:t>
      </w:r>
      <w:r>
        <w:rPr>
          <w:rFonts w:ascii="Arial;Helvetica;sans-serif" w:hAnsi="Arial;Helvetica;sans-serif"/>
          <w:sz w:val="22"/>
          <w:u w:val="single"/>
        </w:rPr>
        <w:t>/s/ THOMAS GAD</w:t>
      </w:r>
    </w:p>
    <w:p>
      <w:pPr>
        <w:pStyle w:val="TextBody"/>
        <w:bidi w:val="0"/>
        <w:spacing w:before="0" w:after="0"/>
        <w:ind w:left="4320" w:right="0" w:firstLine="360"/>
        <w:jc w:val="both"/>
        <w:rPr>
          <w:rFonts w:ascii="Arial;Helvetica;sans-serif" w:hAnsi="Arial;Helvetica;sans-serif"/>
          <w:sz w:val="22"/>
        </w:rPr>
      </w:pPr>
      <w:r>
        <w:rPr>
          <w:rFonts w:ascii="Arial;Helvetica;sans-serif" w:hAnsi="Arial;Helvetica;sans-serif"/>
          <w:sz w:val="22"/>
        </w:rPr>
        <w:t>Name:</w:t>
      </w:r>
    </w:p>
    <w:p>
      <w:pPr>
        <w:pStyle w:val="TextBody"/>
        <w:bidi w:val="0"/>
        <w:spacing w:before="0" w:after="0"/>
        <w:ind w:left="4320" w:right="0" w:firstLine="360"/>
        <w:jc w:val="both"/>
        <w:rPr>
          <w:rFonts w:ascii="Arial;Helvetica;sans-serif" w:hAnsi="Arial;Helvetica;sans-serif"/>
          <w:sz w:val="22"/>
        </w:rPr>
      </w:pPr>
      <w:r>
        <w:rPr>
          <w:rFonts w:ascii="Arial;Helvetica;sans-serif" w:hAnsi="Arial;Helvetica;sans-serif"/>
          <w:sz w:val="22"/>
        </w:rPr>
        <w:t>Title: CEO, interim</w:t>
      </w:r>
    </w:p>
    <w:p>
      <w:pPr>
        <w:pStyle w:val="TextBody"/>
        <w:bidi w:val="0"/>
        <w:spacing w:before="0" w:after="0"/>
        <w:ind w:left="4320" w:right="0" w:firstLine="360"/>
        <w:jc w:val="both"/>
        <w:rPr>
          <w:rFonts w:ascii="Arial;Helvetica;sans-serif" w:hAnsi="Arial;Helvetica;sans-serif"/>
          <w:sz w:val="22"/>
        </w:rPr>
      </w:pPr>
      <w:r>
        <w:rPr>
          <w:rFonts w:ascii="Arial;Helvetica;sans-serif" w:hAnsi="Arial;Helvetica;sans-serif"/>
          <w:sz w:val="22"/>
        </w:rPr>
        <w:t>Date: Aug 20, 2023</w:t>
      </w:r>
    </w:p>
    <w:p>
      <w:pPr>
        <w:pStyle w:val="TextBody"/>
        <w:bidi w:val="0"/>
        <w:spacing w:before="0" w:after="360"/>
        <w:ind w:left="4320" w:right="0" w:hanging="0"/>
        <w:jc w:val="both"/>
        <w:rPr/>
      </w:pPr>
      <w:r>
        <w:rPr/>
        <w:t>​</w:t>
      </w:r>
    </w:p>
    <w:p>
      <w:pPr>
        <w:pStyle w:val="TextBody"/>
        <w:bidi w:val="0"/>
        <w:spacing w:before="0" w:after="120"/>
        <w:ind w:left="4320" w:right="0" w:hanging="0"/>
        <w:jc w:val="both"/>
        <w:rPr>
          <w:rFonts w:ascii="Arial;Helvetica;sans-serif" w:hAnsi="Arial;Helvetica;sans-serif"/>
          <w:sz w:val="22"/>
        </w:rPr>
      </w:pPr>
      <w:r>
        <w:rPr>
          <w:rFonts w:ascii="Arial;Helvetica;sans-serif" w:hAnsi="Arial;Helvetica;sans-serif"/>
          <w:sz w:val="22"/>
        </w:rPr>
        <w:t>TENANT:</w:t>
      </w:r>
    </w:p>
    <w:p>
      <w:pPr>
        <w:pStyle w:val="TextBody"/>
        <w:bidi w:val="0"/>
        <w:spacing w:before="0" w:after="360"/>
        <w:ind w:left="4320" w:right="0" w:hanging="0"/>
        <w:jc w:val="both"/>
        <w:rPr>
          <w:rFonts w:ascii="Arial;Helvetica;sans-serif" w:hAnsi="Arial;Helvetica;sans-serif"/>
          <w:b/>
          <w:sz w:val="22"/>
        </w:rPr>
      </w:pPr>
      <w:r>
        <w:rPr>
          <w:rFonts w:ascii="Arial;Helvetica;sans-serif" w:hAnsi="Arial;Helvetica;sans-serif"/>
          <w:b/>
          <w:sz w:val="22"/>
        </w:rPr>
        <w:t>Y-MABS THERAPEUTICS, INC.</w:t>
      </w:r>
    </w:p>
    <w:p>
      <w:pPr>
        <w:pStyle w:val="TextBody"/>
        <w:bidi w:val="0"/>
        <w:spacing w:before="0" w:after="0"/>
        <w:ind w:left="4320" w:right="0" w:hanging="0"/>
        <w:jc w:val="both"/>
        <w:rPr>
          <w:rFonts w:ascii="Arial;Helvetica;sans-serif" w:hAnsi="Arial;Helvetica;sans-serif"/>
          <w:sz w:val="20"/>
        </w:rPr>
      </w:pPr>
      <w:r>
        <w:rPr>
          <w:rFonts w:ascii="Arial;Helvetica;sans-serif" w:hAnsi="Arial;Helvetica;sans-serif"/>
          <w:sz w:val="22"/>
        </w:rPr>
        <w:t>By:</w:t>
      </w:r>
      <w:r>
        <w:rPr>
          <w:rFonts w:ascii="Arial;Helvetica;sans-serif" w:hAnsi="Arial;Helvetica;sans-serif"/>
          <w:sz w:val="22"/>
          <w:u w:val="single"/>
        </w:rPr>
        <w:t>/s/ BO KRUSE</w:t>
      </w:r>
    </w:p>
    <w:p>
      <w:pPr>
        <w:pStyle w:val="TextBody"/>
        <w:bidi w:val="0"/>
        <w:spacing w:before="0" w:after="0"/>
        <w:ind w:left="4320" w:right="0" w:firstLine="360"/>
        <w:jc w:val="both"/>
        <w:rPr>
          <w:rFonts w:ascii="Arial;Helvetica;sans-serif" w:hAnsi="Arial;Helvetica;sans-serif"/>
          <w:sz w:val="22"/>
        </w:rPr>
      </w:pPr>
      <w:r>
        <w:rPr>
          <w:rFonts w:ascii="Arial;Helvetica;sans-serif" w:hAnsi="Arial;Helvetica;sans-serif"/>
          <w:sz w:val="22"/>
        </w:rPr>
        <w:t>Name: Bo Kruse</w:t>
      </w:r>
    </w:p>
    <w:p>
      <w:pPr>
        <w:pStyle w:val="TextBody"/>
        <w:bidi w:val="0"/>
        <w:spacing w:before="0" w:after="0"/>
        <w:ind w:left="4320" w:right="0" w:firstLine="360"/>
        <w:jc w:val="both"/>
        <w:rPr>
          <w:rFonts w:ascii="Arial;Helvetica;sans-serif" w:hAnsi="Arial;Helvetica;sans-serif"/>
          <w:sz w:val="22"/>
        </w:rPr>
      </w:pPr>
      <w:r>
        <w:rPr>
          <w:rFonts w:ascii="Arial;Helvetica;sans-serif" w:hAnsi="Arial;Helvetica;sans-serif"/>
          <w:sz w:val="22"/>
        </w:rPr>
        <w:t>Title: CFO</w:t>
      </w:r>
    </w:p>
    <w:p>
      <w:pPr>
        <w:pStyle w:val="TextBody"/>
        <w:bidi w:val="0"/>
        <w:spacing w:before="0" w:after="0"/>
        <w:ind w:left="4320" w:right="0" w:firstLine="360"/>
        <w:jc w:val="both"/>
        <w:rPr>
          <w:rFonts w:ascii="Arial;Helvetica;sans-serif" w:hAnsi="Arial;Helvetica;sans-serif"/>
          <w:sz w:val="22"/>
        </w:rPr>
      </w:pPr>
      <w:r>
        <w:rPr>
          <w:rFonts w:ascii="Arial;Helvetica;sans-serif" w:hAnsi="Arial;Helvetica;sans-serif"/>
          <w:sz w:val="22"/>
        </w:rPr>
        <w:t>Date: Aug 10, 2023</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44" w:name="ymab-20230930xex31d1.htm"/>
      <w:bookmarkStart w:id="1045" w:name="ksymab20230930xex31d1"/>
      <w:bookmarkEnd w:id="1044"/>
      <w:bookmarkEnd w:id="1045"/>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b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Michael Rossi certify that: </w:t>
      </w:r>
    </w:p>
    <w:tbl>
      <w:tblPr>
        <w:tblW w:w="6813" w:type="dxa"/>
        <w:jc w:val="left"/>
        <w:tblInd w:w="0" w:type="dxa"/>
        <w:tblLayout w:type="fixed"/>
        <w:tblCellMar>
          <w:top w:w="0" w:type="dxa"/>
          <w:left w:w="0" w:type="dxa"/>
          <w:bottom w:w="0" w:type="dxa"/>
          <w:right w:w="0" w:type="dxa"/>
        </w:tblCellMar>
      </w:tblPr>
      <w:tblGrid>
        <w:gridCol w:w="23"/>
        <w:gridCol w:w="170"/>
        <w:gridCol w:w="66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Y-mAbs Therapeutics,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6349" w:type="dxa"/>
        <w:jc w:val="center"/>
        <w:tblInd w:w="0" w:type="dxa"/>
        <w:tblLayout w:type="fixed"/>
        <w:tblCellMar>
          <w:top w:w="0" w:type="dxa"/>
          <w:left w:w="0" w:type="dxa"/>
          <w:bottom w:w="0" w:type="dxa"/>
          <w:right w:w="0" w:type="dxa"/>
        </w:tblCellMar>
      </w:tblPr>
      <w:tblGrid>
        <w:gridCol w:w="2356"/>
        <w:gridCol w:w="406"/>
        <w:gridCol w:w="631"/>
        <w:gridCol w:w="2956"/>
      </w:tblGrid>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956"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8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Rossi</w:t>
            </w:r>
          </w:p>
        </w:tc>
      </w:tr>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Rossi</w:t>
            </w:r>
          </w:p>
        </w:tc>
      </w:tr>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Chief Executive Officer </w:t>
            </w:r>
          </w:p>
        </w:tc>
      </w:tr>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46" w:name="ymab-20230930xex31d2.htm"/>
      <w:bookmarkStart w:id="1047" w:name="ksymab20230930xex31d2"/>
      <w:bookmarkEnd w:id="1046"/>
      <w:bookmarkEnd w:id="1047"/>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b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Bo Kruse, certify that: </w:t>
      </w:r>
    </w:p>
    <w:tbl>
      <w:tblPr>
        <w:tblW w:w="6813" w:type="dxa"/>
        <w:jc w:val="left"/>
        <w:tblInd w:w="0" w:type="dxa"/>
        <w:tblLayout w:type="fixed"/>
        <w:tblCellMar>
          <w:top w:w="0" w:type="dxa"/>
          <w:left w:w="0" w:type="dxa"/>
          <w:bottom w:w="0" w:type="dxa"/>
          <w:right w:w="0" w:type="dxa"/>
        </w:tblCellMar>
      </w:tblPr>
      <w:tblGrid>
        <w:gridCol w:w="23"/>
        <w:gridCol w:w="170"/>
        <w:gridCol w:w="66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Y-mAbs Therapeutics,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5854" w:type="dxa"/>
        <w:jc w:val="center"/>
        <w:tblInd w:w="0" w:type="dxa"/>
        <w:tblLayout w:type="fixed"/>
        <w:tblCellMar>
          <w:top w:w="0" w:type="dxa"/>
          <w:left w:w="0" w:type="dxa"/>
          <w:bottom w:w="0" w:type="dxa"/>
          <w:right w:w="0" w:type="dxa"/>
        </w:tblCellMar>
      </w:tblPr>
      <w:tblGrid>
        <w:gridCol w:w="2356"/>
        <w:gridCol w:w="406"/>
        <w:gridCol w:w="631"/>
        <w:gridCol w:w="2461"/>
      </w:tblGrid>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461"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9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Bo Kruse</w:t>
            </w:r>
          </w:p>
        </w:tc>
      </w:tr>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 Kruse</w:t>
            </w:r>
          </w:p>
        </w:tc>
      </w:tr>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EVP, Chief Financial Officer</w:t>
            </w:r>
          </w:p>
        </w:tc>
      </w:tr>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560" w:right="0" w:hanging="0"/>
        <w:jc w:val="right"/>
        <w:rPr>
          <w:rFonts w:ascii="Times New Roman;Times;serif" w:hAnsi="Times New Roman;Times;serif"/>
          <w:b/>
          <w:sz w:val="20"/>
        </w:rPr>
      </w:pPr>
      <w:bookmarkStart w:id="1048" w:name="ymab-20230930xex32d1.htm"/>
      <w:bookmarkStart w:id="1049" w:name="ksymab20230930xex32d1"/>
      <w:bookmarkEnd w:id="1048"/>
      <w:bookmarkEnd w:id="1049"/>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18 U.S.C. § 1350, as created by Section 906 of the Sarbanes-Oxley Act of 2002, the undersigned officer of Y-mAbs Therapeutics, Inc. (the “Company”) hereby certifies, to his knowledge, that:</w:t>
      </w:r>
    </w:p>
    <w:tbl>
      <w:tblPr>
        <w:tblW w:w="7923" w:type="dxa"/>
        <w:jc w:val="left"/>
        <w:tblInd w:w="0" w:type="dxa"/>
        <w:tblLayout w:type="fixed"/>
        <w:tblCellMar>
          <w:top w:w="0" w:type="dxa"/>
          <w:left w:w="0" w:type="dxa"/>
          <w:bottom w:w="0" w:type="dxa"/>
          <w:right w:w="0" w:type="dxa"/>
        </w:tblCellMar>
      </w:tblPr>
      <w:tblGrid>
        <w:gridCol w:w="23"/>
        <w:gridCol w:w="200"/>
        <w:gridCol w:w="77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Quarterly Report on Form 10-Q of the Company for the fiscal quarter ended </w:t>
            </w:r>
          </w:p>
        </w:tc>
      </w:tr>
    </w:tbl>
    <w:p>
      <w:pPr>
        <w:pStyle w:val="TextBody"/>
        <w:bidi w:val="0"/>
        <w:spacing w:before="0" w:after="0"/>
        <w:ind w:left="1570" w:right="0" w:hanging="0"/>
        <w:jc w:val="left"/>
        <w:rPr>
          <w:rFonts w:ascii="Times New Roman;Times;serif" w:hAnsi="Times New Roman;Times;serif"/>
          <w:sz w:val="20"/>
        </w:rPr>
      </w:pPr>
      <w:r>
        <w:rPr>
          <w:rFonts w:ascii="Times New Roman;Times;serif" w:hAnsi="Times New Roman;Times;serif"/>
          <w:sz w:val="20"/>
        </w:rPr>
        <w:t>September 30, 2023 (the “Report”) fully complies with the requirements of Section 13(a) or Section 15(d), as applicable, of the Securities Exchange Act of 1934, as amended; and</w:t>
      </w:r>
    </w:p>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6349" w:type="dxa"/>
        <w:jc w:val="center"/>
        <w:tblInd w:w="0" w:type="dxa"/>
        <w:tblLayout w:type="fixed"/>
        <w:tblCellMar>
          <w:top w:w="0" w:type="dxa"/>
          <w:left w:w="0" w:type="dxa"/>
          <w:bottom w:w="0" w:type="dxa"/>
          <w:right w:w="0" w:type="dxa"/>
        </w:tblCellMar>
      </w:tblPr>
      <w:tblGrid>
        <w:gridCol w:w="2356"/>
        <w:gridCol w:w="406"/>
        <w:gridCol w:w="631"/>
        <w:gridCol w:w="2956"/>
      </w:tblGrid>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956"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8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Rossi</w:t>
            </w:r>
          </w:p>
        </w:tc>
      </w:tr>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Rossi</w:t>
            </w:r>
          </w:p>
        </w:tc>
      </w:tr>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Chief Executive Officer </w:t>
            </w:r>
          </w:p>
        </w:tc>
      </w:tr>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560" w:right="0" w:hanging="0"/>
        <w:jc w:val="right"/>
        <w:rPr>
          <w:rFonts w:ascii="Times New Roman;Times;serif" w:hAnsi="Times New Roman;Times;serif"/>
          <w:b/>
          <w:sz w:val="20"/>
        </w:rPr>
      </w:pPr>
      <w:bookmarkStart w:id="1050" w:name="ymab-20230930xex32d2.htm"/>
      <w:bookmarkStart w:id="1051" w:name="ksymab20230930xex32d2"/>
      <w:bookmarkEnd w:id="1050"/>
      <w:bookmarkEnd w:id="1051"/>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18 U.S.C. § 1350, as created by Section 906 of the Sarbanes-Oxley Act of 2002, the undersigned officer of Y-mAbs Therapeutics, Inc. (the “Company”) hereby certifies, to his knowledge, that:</w:t>
      </w:r>
    </w:p>
    <w:tbl>
      <w:tblPr>
        <w:tblW w:w="7923" w:type="dxa"/>
        <w:jc w:val="left"/>
        <w:tblInd w:w="0" w:type="dxa"/>
        <w:tblLayout w:type="fixed"/>
        <w:tblCellMar>
          <w:top w:w="0" w:type="dxa"/>
          <w:left w:w="0" w:type="dxa"/>
          <w:bottom w:w="0" w:type="dxa"/>
          <w:right w:w="0" w:type="dxa"/>
        </w:tblCellMar>
      </w:tblPr>
      <w:tblGrid>
        <w:gridCol w:w="23"/>
        <w:gridCol w:w="200"/>
        <w:gridCol w:w="77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Quarterly Report on Form 10-Q of the Company for the fiscal quarter ended </w:t>
            </w:r>
          </w:p>
        </w:tc>
      </w:tr>
    </w:tbl>
    <w:p>
      <w:pPr>
        <w:pStyle w:val="TextBody"/>
        <w:bidi w:val="0"/>
        <w:spacing w:before="0" w:after="0"/>
        <w:ind w:left="1570" w:right="0" w:hanging="0"/>
        <w:jc w:val="left"/>
        <w:rPr>
          <w:rFonts w:ascii="Times New Roman;Times;serif" w:hAnsi="Times New Roman;Times;serif"/>
          <w:sz w:val="20"/>
        </w:rPr>
      </w:pPr>
      <w:r>
        <w:rPr>
          <w:rFonts w:ascii="Times New Roman;Times;serif" w:hAnsi="Times New Roman;Times;serif"/>
          <w:sz w:val="20"/>
        </w:rPr>
        <w:t>September 30, 2023 (the “Report”) fully complies with the requirements of Section 13(a) or Section 15(d), as applicable, of the Securities Exchange Act of 1934, as amended; and</w:t>
      </w:r>
    </w:p>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5899" w:type="dxa"/>
        <w:jc w:val="center"/>
        <w:tblInd w:w="0" w:type="dxa"/>
        <w:tblLayout w:type="fixed"/>
        <w:tblCellMar>
          <w:top w:w="0" w:type="dxa"/>
          <w:left w:w="0" w:type="dxa"/>
          <w:bottom w:w="0" w:type="dxa"/>
          <w:right w:w="0" w:type="dxa"/>
        </w:tblCellMar>
      </w:tblPr>
      <w:tblGrid>
        <w:gridCol w:w="2356"/>
        <w:gridCol w:w="406"/>
        <w:gridCol w:w="631"/>
        <w:gridCol w:w="2506"/>
      </w:tblGrid>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3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Bo Kruse</w:t>
            </w:r>
          </w:p>
        </w:tc>
      </w:tr>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 Kruse</w:t>
            </w:r>
          </w:p>
        </w:tc>
      </w:tr>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EVP, Chief Financial Officer </w:t>
            </w:r>
          </w:p>
        </w:tc>
      </w:tr>
      <w:tr>
        <w:trPr/>
        <w:tc>
          <w:tcPr>
            <w:tcW w:w="23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22964/000110465923109860/tm2328636d1_ex10-1.htm" TargetMode="External"/><Relationship Id="rId3" Type="http://schemas.openxmlformats.org/officeDocument/2006/relationships/hyperlink" Target="https://www.sec.gov/Archives/edgar/data/1722964/000110465923109860/tm2328636d1_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76021</Words>
  <Characters>423159</Characters>
  <CharactersWithSpaces>499055</CharactersWithSpaces>
  <Paragraphs>5791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