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12, 2019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Y-MABS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Y-mAbs Therapeutics, Inc., (the “Company”) is furnishing the company presentation attached as Exhibit 99.1 to this report for use at Cowen’s 39th Annual Health Care Conference in Boston, Massachusetts on March 12, 2019 and in other meetings with investors and analysts.</w:t>
      </w:r>
    </w:p>
    <w:p>
      <w:pPr>
        <w:spacing w:after="0" w:line="14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The Company’s updated corporate presentation has been posted to the Company’s website, www.ymabs.com. The Company plans to use its website to disseminate future updates to its corporate presentation and does not intend to file or furnish a Form 8-K alerting investors each time the presentation is updated.</w:t>
      </w:r>
    </w:p>
    <w:p>
      <w:pPr>
        <w:spacing w:after="0" w:line="18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information furnished pursuant to Item 7.01 on this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By filing this Current Report on Form 8-K and furnishing the information in this Item 7.01, the Company makes no admission as to the materiality of Item 7.01 in this report or the presentation available on the Company’s website. The information contained in the presentation is summary information that is intended to be considered in the context of the Company’s filings with the Securities and Exchange Commission (the “SEC”) and other public announcements that the Company makes, by press release or otherwise, from time to time. The Company undertakes no duty or obligation to publicly update or revise the information contained in this Current Report on Form 8-K, although it may do so from time to time as its management believes is appropriate or as required by applicable law. Any such updating may be made through the filing of other reports or documents with the SEC, through press releases, by updating its website or through other public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0" w:type="dxa"/>
            <w:vAlign w:val="bottom"/>
          </w:tcPr>
          <w:p>
            <w:pPr>
              <w:spacing w:after="0"/>
              <w:rPr>
                <w:sz w:val="14"/>
                <w:szCs w:val="14"/>
                <w:color w:val="auto"/>
              </w:rPr>
            </w:pPr>
          </w:p>
        </w:tc>
        <w:tc>
          <w:tcPr>
            <w:tcW w:w="7660" w:type="dxa"/>
            <w:vAlign w:val="bottom"/>
            <w:vMerge w:val="restart"/>
          </w:tcPr>
          <w:p>
            <w:pPr>
              <w:jc w:val="right"/>
              <w:ind w:right="470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600" w:type="dxa"/>
            <w:vAlign w:val="bottom"/>
          </w:tcPr>
          <w:p>
            <w:pPr>
              <w:spacing w:after="0"/>
              <w:rPr>
                <w:sz w:val="14"/>
                <w:szCs w:val="14"/>
                <w:color w:val="auto"/>
              </w:rPr>
            </w:pPr>
          </w:p>
        </w:tc>
        <w:tc>
          <w:tcPr>
            <w:tcW w:w="7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2600" w:type="dxa"/>
            <w:vAlign w:val="bottom"/>
            <w:tcBorders>
              <w:top w:val="single" w:sz="8" w:color="auto"/>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Company Presentation, March 2019</w:t>
              </w:r>
            </w:hyperlink>
          </w:p>
        </w:tc>
        <w:tc>
          <w:tcPr>
            <w:tcW w:w="7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800" w:type="dxa"/>
            <w:vAlign w:val="bottom"/>
            <w:gridSpan w:val="2"/>
          </w:tcPr>
          <w:p>
            <w:pPr>
              <w:ind w:left="2160"/>
              <w:spacing w:after="0"/>
              <w:rPr>
                <w:sz w:val="20"/>
                <w:szCs w:val="20"/>
                <w:color w:val="auto"/>
              </w:rPr>
            </w:pPr>
            <w:r>
              <w:rPr>
                <w:rFonts w:ascii="Arial" w:cs="Arial" w:eastAsia="Arial" w:hAnsi="Arial"/>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12, 2019</w:t>
            </w:r>
          </w:p>
        </w:tc>
        <w:tc>
          <w:tcPr>
            <w:tcW w:w="7800" w:type="dxa"/>
            <w:vAlign w:val="bottom"/>
            <w:gridSpan w:val="2"/>
          </w:tcPr>
          <w:p>
            <w:pPr>
              <w:ind w:left="2160"/>
              <w:spacing w:after="0"/>
              <w:rPr>
                <w:sz w:val="20"/>
                <w:szCs w:val="20"/>
                <w:color w:val="auto"/>
              </w:rPr>
            </w:pPr>
            <w:r>
              <w:rPr>
                <w:rFonts w:ascii="Arial" w:cs="Arial" w:eastAsia="Arial" w:hAnsi="Arial"/>
                <w:sz w:val="18"/>
                <w:szCs w:val="18"/>
                <w:color w:val="auto"/>
              </w:rPr>
              <w:t>By:   /s/ Thomas Gad</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6"/>
              </w:rPr>
              <w:t>Founder, Chairman, President and Head of Business Development</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6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234950</wp:posOffset>
            </wp:positionV>
            <wp:extent cx="7134860" cy="4013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34860" cy="4013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97790</wp:posOffset>
            </wp:positionV>
            <wp:extent cx="7126605" cy="4004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2660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97790</wp:posOffset>
            </wp:positionV>
            <wp:extent cx="7143750" cy="4004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143750"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97790</wp:posOffset>
            </wp:positionV>
            <wp:extent cx="7126605" cy="4004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2660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2019-12-28T14:36:09Z</dcterms:created>
  <dcterms:modified xsi:type="dcterms:W3CDTF">2019-12-28T14:36:09Z</dcterms:modified>
</cp:coreProperties>
</file>