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3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2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0"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highlight w:val="black"/>
        </w:rPr>
      </w:pPr>
    </w:p>
    <w:p>
      <w:pPr>
        <w:ind w:left="1260"/>
        <w:spacing w:after="0" w:line="207" w:lineRule="exact"/>
        <w:rPr>
          <w:rFonts w:ascii="MS PGothic" w:cs="MS PGothic" w:eastAsia="MS PGothic" w:hAnsi="MS PGothic"/>
          <w:sz w:val="18"/>
          <w:szCs w:val="18"/>
          <w:color w:val="auto"/>
          <w:highlight w:val="black"/>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8" w:lineRule="exact"/>
        <w:rPr>
          <w:rFonts w:ascii="MS PGothic" w:cs="MS PGothic" w:eastAsia="MS PGothic" w:hAnsi="MS PGothic"/>
          <w:sz w:val="18"/>
          <w:szCs w:val="18"/>
          <w:color w:val="auto"/>
          <w:highlight w:val="black"/>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24130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314960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1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3896360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509905</wp:posOffset>
            </wp:positionV>
            <wp:extent cx="199707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230 PARK AVENUE, SUITE 3350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NY 10169</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(646) 885-8505</w:t>
      </w:r>
    </w:p>
    <w:p>
      <w:pPr>
        <w:spacing w:after="0" w:line="9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April 29, 2022</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am pleased to invite you to attend the 2022 Annual Meeting of Stockholders (the “Annual Meeting”)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Y-mAbs Therapeutics, Inc., (the “Company”), which will be held on Thursday, June 9, 2022 at</w:t>
      </w:r>
    </w:p>
    <w:p>
      <w:pPr>
        <w:spacing w:after="0" w:line="9" w:lineRule="exact"/>
        <w:rPr>
          <w:sz w:val="20"/>
          <w:szCs w:val="20"/>
          <w:color w:val="auto"/>
        </w:rPr>
      </w:pPr>
    </w:p>
    <w:p>
      <w:pPr>
        <w:ind w:left="1260" w:right="1380"/>
        <w:spacing w:after="0" w:line="253" w:lineRule="auto"/>
        <w:rPr>
          <w:sz w:val="20"/>
          <w:szCs w:val="20"/>
          <w:color w:val="auto"/>
        </w:rPr>
      </w:pPr>
      <w:r>
        <w:rPr>
          <w:rFonts w:ascii="Times New Roman" w:cs="Times New Roman" w:eastAsia="Times New Roman" w:hAnsi="Times New Roman"/>
          <w:sz w:val="18"/>
          <w:szCs w:val="18"/>
          <w:color w:val="auto"/>
        </w:rPr>
        <w:t>10:00 a.m., Eastern Time. Due to the coronavirus pandemic (“COVID-19”), the Annual Meeting will be conducted entirely online through a virtual meeting only format via live audio webcast. You will be able to attend the meeting in a listen-only mode, vote your shares electronically, and submit your questions during the meeting by visiting: https://web.lumiagm.com/257688918 (password:ymabs2022). You will not be able to attend the Annual Meeting in person.</w:t>
      </w:r>
    </w:p>
    <w:p>
      <w:pPr>
        <w:spacing w:after="0" w:line="38" w:lineRule="exact"/>
        <w:rPr>
          <w:sz w:val="20"/>
          <w:szCs w:val="20"/>
          <w:color w:val="auto"/>
        </w:rPr>
      </w:pPr>
    </w:p>
    <w:p>
      <w:pPr>
        <w:ind w:left="1260" w:right="1380" w:firstLine="360"/>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of proxy materials provides you with information on how to access the proxy materials and obtain the details of the business to be conducted at the meeting.</w:t>
      </w:r>
    </w:p>
    <w:p>
      <w:pPr>
        <w:spacing w:after="0" w:line="27" w:lineRule="exact"/>
        <w:rPr>
          <w:sz w:val="20"/>
          <w:szCs w:val="20"/>
          <w:color w:val="auto"/>
        </w:rPr>
      </w:pPr>
    </w:p>
    <w:p>
      <w:pPr>
        <w:ind w:left="1260" w:right="1320" w:firstLine="360"/>
        <w:spacing w:after="0" w:line="255" w:lineRule="auto"/>
        <w:rPr>
          <w:sz w:val="20"/>
          <w:szCs w:val="20"/>
          <w:color w:val="auto"/>
        </w:rPr>
      </w:pPr>
      <w:r>
        <w:rPr>
          <w:rFonts w:ascii="Times New Roman" w:cs="Times New Roman" w:eastAsia="Times New Roman" w:hAnsi="Times New Roman"/>
          <w:sz w:val="18"/>
          <w:szCs w:val="18"/>
          <w:color w:val="auto"/>
        </w:rPr>
        <w:t>At the Annual Meeting, stockholders will consider and vote on the following matters: (1) The election of two (2) Class I directors each to serve for a three (3) year term to expire at the 2025 annual meeting of stockholders; (2) The ratification of the appointment of PricewaterhouseCoopers LLP as our independent registered public accounting firm for the fiscal year ending December 31, 2022; (3) A non-binding advisory vote on the compensation of the Company’s named executive officers as disclosed in these proxy materials; and (4) The transaction of any other business that may properly come before the Annual Meeting or any adjournment or postponement thereof.</w:t>
      </w:r>
    </w:p>
    <w:p>
      <w:pPr>
        <w:spacing w:after="0" w:line="40" w:lineRule="exact"/>
        <w:rPr>
          <w:sz w:val="20"/>
          <w:szCs w:val="20"/>
          <w:color w:val="auto"/>
        </w:rPr>
      </w:pPr>
    </w:p>
    <w:p>
      <w:pPr>
        <w:ind w:left="1260" w:right="1280" w:firstLine="360"/>
        <w:spacing w:after="0" w:line="255" w:lineRule="auto"/>
        <w:rPr>
          <w:sz w:val="20"/>
          <w:szCs w:val="20"/>
          <w:color w:val="auto"/>
        </w:rPr>
      </w:pPr>
      <w:r>
        <w:rPr>
          <w:rFonts w:ascii="Times New Roman" w:cs="Times New Roman" w:eastAsia="Times New Roman" w:hAnsi="Times New Roman"/>
          <w:sz w:val="18"/>
          <w:szCs w:val="18"/>
          <w:color w:val="auto"/>
        </w:rPr>
        <w:t>Stockholders of record at the close of business on April 20, 2022 will be entitled to notice of, and to vote, at the Annual Meeting or any adjournment or postponement thereof. We encourage all stockholders to attend the Annual Meeting. However, whether or not you plan to attend the Annual Meeting, you can ensure that your shares are represented at the meeting by promptly voting and submitting your proxy or voting instruction card by Internet or, if you have requested to receive a paper copy of the proxy materials, by completing, signing, dating and returning your proxy card in the enclosed envelope. You may also vote your shares electronically during the virtual meeting.</w:t>
      </w:r>
    </w:p>
    <w:p>
      <w:pPr>
        <w:spacing w:after="0" w:line="40" w:lineRule="exact"/>
        <w:rPr>
          <w:sz w:val="20"/>
          <w:szCs w:val="20"/>
          <w:color w:val="auto"/>
        </w:rPr>
      </w:pPr>
    </w:p>
    <w:p>
      <w:pPr>
        <w:jc w:val="both"/>
        <w:ind w:left="1260" w:right="1300" w:firstLine="360"/>
        <w:spacing w:after="0" w:line="266" w:lineRule="auto"/>
        <w:rPr>
          <w:sz w:val="20"/>
          <w:szCs w:val="20"/>
          <w:color w:val="auto"/>
        </w:rPr>
      </w:pPr>
      <w:r>
        <w:rPr>
          <w:rFonts w:ascii="Times New Roman" w:cs="Times New Roman" w:eastAsia="Times New Roman" w:hAnsi="Times New Roman"/>
          <w:sz w:val="18"/>
          <w:szCs w:val="18"/>
          <w:color w:val="auto"/>
        </w:rPr>
        <w:t>You will find the proxy card or voting instruction card by accessing the Internet websites mentioned on the Notice of Internet Availability and by following the instructions thereon. We encourage you to read this proxy statement and submit your proxy or voting instructions as soon as possible.</w:t>
      </w:r>
    </w:p>
    <w:p>
      <w:pPr>
        <w:spacing w:after="0" w:line="108" w:lineRule="exact"/>
        <w:rPr>
          <w:sz w:val="20"/>
          <w:szCs w:val="20"/>
          <w:color w:val="auto"/>
        </w:rPr>
      </w:pPr>
    </w:p>
    <w:p>
      <w:pPr>
        <w:ind w:left="1260" w:right="1280" w:firstLine="360"/>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period ended December 31, 2021 is available by Internet or by mail in accordance with the instructions found on the Notice of Internet Availability. We urge you to read it carefully.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Thank you for your ongoing support and continued interest in the Company.</w:t>
            </w:r>
          </w:p>
        </w:tc>
        <w:tc>
          <w:tcPr>
            <w:tcW w:w="1300" w:type="dxa"/>
            <w:vAlign w:val="bottom"/>
          </w:tcPr>
          <w:p>
            <w:pPr>
              <w:spacing w:after="0"/>
              <w:rPr>
                <w:sz w:val="20"/>
                <w:szCs w:val="20"/>
                <w:color w:val="auto"/>
              </w:rPr>
            </w:pPr>
          </w:p>
        </w:tc>
      </w:tr>
      <w:tr>
        <w:trPr>
          <w:trHeight w:val="346"/>
        </w:trPr>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 ​ By order of the Board of Directors,</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587"/>
        </w:trPr>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i w:val="1"/>
                <w:iCs w:val="1"/>
                <w:color w:val="auto"/>
              </w:rPr>
              <w:t>​</w:t>
            </w:r>
          </w:p>
        </w:tc>
        <w:tc>
          <w:tcPr>
            <w:tcW w:w="7960" w:type="dxa"/>
            <w:vAlign w:val="bottom"/>
          </w:tcPr>
          <w:p>
            <w:pPr>
              <w:ind w:left="3800"/>
              <w:spacing w:after="0"/>
              <w:rPr>
                <w:sz w:val="20"/>
                <w:szCs w:val="20"/>
                <w:color w:val="auto"/>
              </w:rPr>
            </w:pP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Thomas Gad</w:t>
            </w:r>
          </w:p>
        </w:tc>
        <w:tc>
          <w:tcPr>
            <w:tcW w:w="13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16"/>
        </w:trPr>
        <w:tc>
          <w:tcPr>
            <w:tcW w:w="1460" w:type="dxa"/>
            <w:vAlign w:val="bottom"/>
          </w:tcPr>
          <w:p>
            <w:pPr>
              <w:spacing w:after="0"/>
              <w:rPr>
                <w:sz w:val="18"/>
                <w:szCs w:val="18"/>
                <w:color w:val="auto"/>
              </w:rPr>
            </w:pPr>
          </w:p>
        </w:tc>
        <w:tc>
          <w:tcPr>
            <w:tcW w:w="7960" w:type="dxa"/>
            <w:vAlign w:val="bottom"/>
          </w:tcPr>
          <w:p>
            <w:pPr>
              <w:ind w:left="4020"/>
              <w:spacing w:after="0"/>
              <w:rPr>
                <w:sz w:val="20"/>
                <w:szCs w:val="20"/>
                <w:color w:val="auto"/>
              </w:rPr>
            </w:pPr>
            <w:r>
              <w:rPr>
                <w:rFonts w:ascii="Times New Roman" w:cs="Times New Roman" w:eastAsia="Times New Roman" w:hAnsi="Times New Roman"/>
                <w:sz w:val="18"/>
                <w:szCs w:val="18"/>
                <w:i w:val="1"/>
                <w:iCs w:val="1"/>
                <w:color w:val="auto"/>
              </w:rPr>
              <w:t>Founder, President, Interim Chief Executive Officer</w:t>
            </w:r>
          </w:p>
        </w:tc>
        <w:tc>
          <w:tcPr>
            <w:tcW w:w="1300" w:type="dxa"/>
            <w:vAlign w:val="bottom"/>
          </w:tcPr>
          <w:p>
            <w:pPr>
              <w:spacing w:after="0"/>
              <w:rPr>
                <w:sz w:val="18"/>
                <w:szCs w:val="18"/>
                <w:color w:val="auto"/>
              </w:rPr>
            </w:pPr>
          </w:p>
        </w:tc>
      </w:tr>
      <w:tr>
        <w:trPr>
          <w:trHeight w:val="236"/>
        </w:trPr>
        <w:tc>
          <w:tcPr>
            <w:tcW w:w="1460" w:type="dxa"/>
            <w:vAlign w:val="bottom"/>
          </w:tcPr>
          <w:p>
            <w:pPr>
              <w:spacing w:after="0"/>
              <w:rPr>
                <w:sz w:val="20"/>
                <w:szCs w:val="20"/>
                <w:color w:val="auto"/>
              </w:rPr>
            </w:pPr>
          </w:p>
        </w:tc>
        <w:tc>
          <w:tcPr>
            <w:tcW w:w="7960" w:type="dxa"/>
            <w:vAlign w:val="bottom"/>
          </w:tcPr>
          <w:p>
            <w:pPr>
              <w:ind w:left="4020"/>
              <w:spacing w:after="0"/>
              <w:rPr>
                <w:sz w:val="20"/>
                <w:szCs w:val="20"/>
                <w:color w:val="auto"/>
              </w:rPr>
            </w:pPr>
            <w:r>
              <w:rPr>
                <w:rFonts w:ascii="Times New Roman" w:cs="Times New Roman" w:eastAsia="Times New Roman" w:hAnsi="Times New Roman"/>
                <w:sz w:val="18"/>
                <w:szCs w:val="18"/>
                <w:i w:val="1"/>
                <w:iCs w:val="1"/>
                <w:color w:val="auto"/>
              </w:rPr>
              <w:t>and Head of Business Development and Strategy</w:t>
            </w:r>
          </w:p>
        </w:tc>
        <w:tc>
          <w:tcPr>
            <w:tcW w:w="1300" w:type="dxa"/>
            <w:vAlign w:val="bottom"/>
          </w:tcPr>
          <w:p>
            <w:pPr>
              <w:spacing w:after="0"/>
              <w:rPr>
                <w:sz w:val="20"/>
                <w:szCs w:val="20"/>
                <w:color w:val="auto"/>
              </w:rPr>
            </w:pPr>
          </w:p>
        </w:tc>
      </w:tr>
      <w:tr>
        <w:trPr>
          <w:trHeight w:val="1033"/>
        </w:trPr>
        <w:tc>
          <w:tcPr>
            <w:tcW w:w="146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-1422400</wp:posOffset>
            </wp:positionV>
            <wp:extent cx="951230"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230" cy="28257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QUESTIONS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BOARD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DIRECTORS, NOMINEES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Election of Directors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Corporate Governance Matters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Information Regarding Committees of the Board of Directors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OFFICER AND DIRECTOR COMPENSATION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Executive Officers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Compensation Discussion and Analysis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Summary Compensation Table</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Narrative Disclosure to Summary Compensation Table</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Grant of Plan-Based Awards in 2021</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Outstanding Equity Awards at Year End 2021</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2021 Option Exercises and Stock Vested Table</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Employment Agreements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Estimated Payments and Benefits Upon Termination or Change of Control</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Chief Executive Officer Pay Ratio</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Other Benefit Plans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Limitations on Liability and Indemnification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Tax Considerations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Accounting Considerations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Risk Analysis of the Compensation Program</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-3068320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5212080" cy="3077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3077210"/>
                    </a:xfrm>
                    <a:prstGeom prst="rect">
                      <a:avLst/>
                    </a:prstGeom>
                    <a:noFill/>
                  </pic:spPr>
                </pic:pic>
              </a:graphicData>
            </a:graphic>
          </wp:anchor>
        </w:drawing>
      </w:r>
    </w:p>
    <w:p>
      <w:pPr>
        <w:spacing w:after="0" w:line="3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u w:val="single" w:color="auto"/>
          <w:color w:val="0000EE"/>
        </w:rPr>
        <w:t>SECURITIES AUTHORIZED FOR ISSUANCE UNDER EQUITY COMPENSATION</w:t>
      </w:r>
    </w:p>
    <w:p>
      <w:pPr>
        <w:spacing w:after="0" w:line="23" w:lineRule="exact"/>
        <w:rPr>
          <w:sz w:val="20"/>
          <w:szCs w:val="20"/>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PLANS</w:t>
      </w:r>
    </w:p>
    <w:p>
      <w:pPr>
        <w:spacing w:after="0" w:line="58"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Equity Compensation Plan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COMPENSATION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COMMITTEE REPORT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AUDIT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COMMITTEE REPORT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PROPOSALS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BE VOTED UPON AT THE ANNUAL MEETING</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1: Election of Two (2) Class I Directors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2: Ratification of the Appointment of Independent Registered Public Accounting Firm</w:t>
      </w:r>
    </w:p>
    <w:p>
      <w:pPr>
        <w:spacing w:after="0" w:line="54"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3: Non-binding Advisory Vote on the Compensation of the Company’s Named Executive</w:t>
      </w:r>
    </w:p>
    <w:p>
      <w:pPr>
        <w:spacing w:after="0" w:line="2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-464820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-1150620</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-833755</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OWNERSHIP AND REPORTING</w:t>
      </w:r>
    </w:p>
    <w:p>
      <w:pPr>
        <w:spacing w:after="0" w:line="63" w:lineRule="exact"/>
        <w:rPr>
          <w:sz w:val="20"/>
          <w:szCs w:val="20"/>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Security Ownership of Certain Beneficial Owners and Management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STOCKHOLDER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PROPOSALS FOR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OTHER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Notice and Access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Householding of Annual Meeting Materials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ADDITIONAL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-179070</wp:posOffset>
            </wp:positionV>
            <wp:extent cx="6831965" cy="827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827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ectPr>
          <w:pgSz w:w="11900" w:h="16838" w:orient="portrait"/>
          <w:cols w:equalWidth="0" w:num="2">
            <w:col w:w="8860" w:space="260"/>
            <w:col w:w="75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Y-MABS THERAPEUTICS, INC.</w:t>
      </w:r>
    </w:p>
    <w:p>
      <w:pPr>
        <w:spacing w:after="0" w:line="2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230 Park Avenue, Suite 3350</w:t>
      </w: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10169</w:t>
      </w:r>
      <w:r>
        <w:rPr>
          <w:rFonts w:ascii="Times New Roman" w:cs="Times New Roman" w:eastAsia="Times New Roman" w:hAnsi="Times New Roman"/>
          <w:sz w:val="25"/>
          <w:szCs w:val="25"/>
          <w:color w:val="auto"/>
        </w:rPr>
        <w:t>​</w:t>
      </w:r>
    </w:p>
    <w:p>
      <w:pPr>
        <w:spacing w:after="0" w:line="1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2022 Annual Meeting of Stockholders (the “Annual Meeting”) of Y-mAbs Therapeutics, Inc., will be held on Thursday, June 9, 2022 at 10:00 a.m., Eastern Time, virtually at the following website: https://web.lumiagm.com/257688918 (password: ymabs2022), and can be accessed by entering the 11-digit control number included on the proxy card. We recommend that you log in a few minutes before the Annual Meeting begins to ensure you are logged in when the meeting starts. The following items of business will be brought before the Stockholders at the Annual Meeting:</w:t>
      </w:r>
    </w:p>
    <w:p>
      <w:pPr>
        <w:spacing w:after="0" w:line="114" w:lineRule="exact"/>
        <w:rPr>
          <w:sz w:val="20"/>
          <w:szCs w:val="20"/>
          <w:color w:val="auto"/>
        </w:rPr>
      </w:pPr>
    </w:p>
    <w:p>
      <w:pPr>
        <w:ind w:left="1980" w:right="439" w:hanging="360"/>
        <w:spacing w:after="0" w:line="261"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 directors, Dr. Gérard Ber and David N. Gill, each nominated by our Board of Directors to serve for a three (3) year term to expire at the 2025 annual meeting of stockholders, each such nominee to hold office until his successor has been duly elected and qualified or until his earlier death, resignation or removal;</w:t>
      </w:r>
    </w:p>
    <w:p>
      <w:pPr>
        <w:spacing w:after="0" w:line="98" w:lineRule="exact"/>
        <w:rPr>
          <w:rFonts w:ascii="Times New Roman" w:cs="Times New Roman" w:eastAsia="Times New Roman" w:hAnsi="Times New Roman"/>
          <w:sz w:val="18"/>
          <w:szCs w:val="18"/>
          <w:color w:val="auto"/>
        </w:rPr>
      </w:pPr>
    </w:p>
    <w:p>
      <w:pPr>
        <w:ind w:left="1980" w:right="95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registered public accounting firm for the fiscal year ending December 31, 2022;</w:t>
      </w:r>
    </w:p>
    <w:p>
      <w:pPr>
        <w:spacing w:after="0" w:line="80"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non-binding advisory vote on the compensation of the Company’s named executive officers as disclosed in these proxy materials; and</w:t>
      </w:r>
    </w:p>
    <w:p>
      <w:pPr>
        <w:spacing w:after="0" w:line="80" w:lineRule="exact"/>
        <w:rPr>
          <w:rFonts w:ascii="Times New Roman" w:cs="Times New Roman" w:eastAsia="Times New Roman" w:hAnsi="Times New Roman"/>
          <w:sz w:val="18"/>
          <w:szCs w:val="18"/>
          <w:color w:val="auto"/>
        </w:rPr>
      </w:pPr>
    </w:p>
    <w:p>
      <w:pPr>
        <w:ind w:left="1980" w:right="1239" w:hanging="360"/>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81"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Annual Meeting is being held entirely online due to the public health impact of the coronavirus pandemic (“COVID-19”) and to allow us to continue to proceed with the meeting while mitigating health and safety risks to participants. </w:t>
      </w:r>
      <w:r>
        <w:rPr>
          <w:rFonts w:ascii="Times New Roman" w:cs="Times New Roman" w:eastAsia="Times New Roman" w:hAnsi="Times New Roman"/>
          <w:sz w:val="18"/>
          <w:szCs w:val="18"/>
          <w:b w:val="1"/>
          <w:bCs w:val="1"/>
          <w:color w:val="auto"/>
        </w:rPr>
        <w:t>You will not be able to attend the Annual Meeting in person.</w:t>
      </w:r>
    </w:p>
    <w:p>
      <w:pPr>
        <w:spacing w:after="0" w:line="10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 which forms a part of this notice and is incorporated herein by reference. Our board of directors has fixed the close of business on April 20, 2022 as the record date for the determination of stockholders entitled to notice of and to vote at the annual meeting or any adjournment or postponement thereof.</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We have elected to take advantage of U.S. Securities and Exchange Commission (“SEC”)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Most of our stockholders will not receive printed copies of our proxy materials unless requested, but instead will receive a notice with instructions on how they may access and review our proxy materials on the Internet and how they may cast their vote via the Internet. If you would like to receive a printed or e-mail copy of our proxy materials, please follow the instructions for requesting the materials in the Notice of Internet Availability that is being sent to you.</w:t>
      </w:r>
    </w:p>
    <w:p>
      <w:pPr>
        <w:spacing w:after="0" w:line="114" w:lineRule="exact"/>
        <w:rPr>
          <w:sz w:val="20"/>
          <w:szCs w:val="20"/>
          <w:color w:val="auto"/>
        </w:rPr>
      </w:pPr>
    </w:p>
    <w:p>
      <w:pPr>
        <w:ind w:left="1260" w:right="459" w:firstLine="360"/>
        <w:spacing w:after="0" w:line="260"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expect to attend our virtual Annual Meeting, please vote as soon as possible. If you received the Notice of Internet Availability, a proxy card was not sent to you and you may vote only via the Internet unless you attend the annual meeting virtually, in which case you will be able to vote via live webcast at https://web.lumiagm.com/257688918 (password: ymabs2022), or request that a proxy card and proxy materials be mailed to you. If you have requested that a proxy card and proxy materials be mailed to you, and you have received those materials, then you may vote via the Internet, by telephone or by mailing a completed proxy card. For specific voting instructions, please refer to the information provided in the accompanying Proxy Statement and in the Notice of Internet Availability.</w:t>
      </w:r>
    </w:p>
    <w:p>
      <w:pPr>
        <w:spacing w:after="0" w:line="10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To vote shares, submit questions, or access the virtual meeting, stockholders will need to enter the 11-digit control number appearing on the Notice of Internet Availability, voting instruction form, or paper proxy card. Guests without a control number may also attend the meeting, but will not be permitted to vote or submit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582930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urge stockholders to vote and submit proxies in advance of the meeting by one of the methods described in the proxy materials for the Annual Meeting. Stockholders who have sent in proxies or voted via telephone or internet do not need to take any further action. Any stockholder who has not yet voted on the day of the Annual Meeting may do so by clicking on the voting button on the virtual Annual Meeting website and following the applicable voting instructions. You may revoke your proxy in the manner described in the 2022 Proxy Statement at any time before it has been voted at the Annual Meeting.</w:t>
      </w:r>
    </w:p>
    <w:p>
      <w:pPr>
        <w:spacing w:after="0" w:line="116"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9, 2022:</w:t>
      </w:r>
    </w:p>
    <w:p>
      <w:pPr>
        <w:spacing w:after="0" w:line="9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This notice of annual meeting, the proxy statement and our Annual Report on Form 10-K for the fiscal year ended December 31, 2021, as filed with the SEC, except for exhibits (the “Annual Report”), are available for viewing, printing and downloading at </w:t>
      </w:r>
      <w:r>
        <w:rPr>
          <w:rFonts w:ascii="Times New Roman" w:cs="Times New Roman" w:eastAsia="Times New Roman" w:hAnsi="Times New Roman"/>
          <w:sz w:val="18"/>
          <w:szCs w:val="18"/>
          <w:i w:val="1"/>
          <w:iCs w:val="1"/>
          <w:color w:val="auto"/>
        </w:rPr>
        <w:t>www.astproxyportal.com/ast/22412</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A copy of our Annual Report will be furnished without charge to any stockholder upon written or oral request to Y-mAbs Therapeutics, Inc., 230 Park Avenue, Suite 3350, New York, New York 10169, Attention: Investor Relations. This proxy statement and our Annual Report on Form 10-K for the fiscal year December 31, 2021 as filed with the SEC, with exhibits, are also available on the SEC’s website at </w:t>
      </w:r>
      <w:r>
        <w:rPr>
          <w:rFonts w:ascii="Times New Roman" w:cs="Times New Roman" w:eastAsia="Times New Roman" w:hAnsi="Times New Roman"/>
          <w:sz w:val="17"/>
          <w:szCs w:val="17"/>
          <w:b w:val="1"/>
          <w:bCs w:val="1"/>
          <w:i w:val="1"/>
          <w:iCs w:val="1"/>
          <w:color w:val="auto"/>
        </w:rPr>
        <w:t>www.sec.gov.</w:t>
      </w:r>
    </w:p>
    <w:p>
      <w:pPr>
        <w:spacing w:after="0" w:line="98"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We are making this proxy statement, the related proxy card and our Annual Report available to stockholders for the first time on or about April 29, 2022.</w:t>
      </w:r>
    </w:p>
    <w:p>
      <w:pPr>
        <w:spacing w:after="0" w:line="9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have fully set forth the proposals in the accompanying proxy statement, which you are urged to read thoroughly. For the reasons set forth in the proxy statement, our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(1) the nominees to the Board listed on the proxy card (Proposal No.1); (2) the ratification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the Company’s independent Registered Public Accounting Firm for 2022 (Proposal No. 2); and (3) approval, on an advisory basis, of the executive compensation program for the Company’s named executive officers (Proposal No. 3).</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 By order of the Board of Directors,</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 Thomas Gad</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-479425</wp:posOffset>
            </wp:positionV>
            <wp:extent cx="95123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1230" cy="28257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18"/>
          <w:szCs w:val="18"/>
          <w:i w:val="1"/>
          <w:iCs w:val="1"/>
          <w:color w:val="auto"/>
        </w:rPr>
        <w:t>Founder, President, Interim Chief Executive Officer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and Head of Business Development and Strategy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3225165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509905</wp:posOffset>
            </wp:positionV>
            <wp:extent cx="204851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85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Y-MABS THERAPEUTICS, INC.</w:t>
      </w:r>
    </w:p>
    <w:p>
      <w:pPr>
        <w:spacing w:after="0" w:line="4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230 PARK AVENUE, SUITE 3350</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NEW YORK, NY 10169</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(646) 885-8505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228600</wp:posOffset>
            </wp:positionV>
            <wp:extent cx="123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are furnishing this proxy statement in connection with the solicitation by our Board of Directors of proxies to be used at the Annual Meeting of Stockholders (the “Annual Meeting”) to be held on Thursday, June 9, 2022, at 10:00 a.m. Eastern Time, virtually via live webcast at https://web.lumiagm.com/257688918 (password: ymabs2022), and which can be accessed by entering the 11-digit control number included on the proxy card, and at any meeting following adjournment thereof. We recommend that you log in a few minutes before the Annual Meeting begins to ensure you are logged in when the meeting starts. The Annual Meeting is being held entirely online due to the public health impact of the coronavirus pandemic (“COVID-19”) and to allow us to continue to proceed with the meeting while mitigating the health and safety risks to participants. You will not be able to attend the Annual Meeting in person.</w:t>
      </w:r>
    </w:p>
    <w:p>
      <w:pPr>
        <w:spacing w:after="0" w:line="10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Annual Meeting of Stockholders. You may revoke your proxy at any time before it is exercised at the Annual Meeting by giving our Secretary written notice to that effect.</w:t>
      </w:r>
    </w:p>
    <w:p>
      <w:pPr>
        <w:spacing w:after="0" w:line="11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are providing access to our proxy materials online under the U.S. Securities and Exchange Commission’s (“SEC”) “notice and access” rules. As a result, we are mailing to many of our stockholders a Notice of Internet Availability of Proxy Materials (the “Notice of Internet Availability”) instead of a paper copy of this proxy statement and our Annual Report.</w:t>
      </w:r>
    </w:p>
    <w:p>
      <w:pPr>
        <w:spacing w:after="0" w:line="112"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The Notice of Internet Availability will be mailed to our stockholders on or about April 29, 2022. The Notice of Internet Availability contains instructions on how to access documents online. Utilizing this method of delivery expedites receipt of proxy materials by our stockholders and lowers the cost of the Annual Meeting. The Notice of Internet Availability also contains instructions on how stockholders can receive a paper copy of our materials, including this proxy statement, our Annual Report, and a form of proxy card or voting instruction card. Those who do not receive the Notice of Internet Availability, including stockholders who have previously requested to receive paper copies of proxy materials, will receive a paper copy by mail unless they have previously requested delivery of materials electronically.</w:t>
      </w:r>
    </w:p>
    <w:p>
      <w:pPr>
        <w:spacing w:after="0" w:line="11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this proxy statement and the accompanying proxy card are first being distributed and made available to stockholders on or about April 29, 2022. In addition, our proxy materials will be posted on both our corporate website https://ir.ymabs.com/financial-information/annual-reports, as well as on the website referenced in the Notice of Internet Availability.</w:t>
      </w:r>
    </w:p>
    <w:p>
      <w:pPr>
        <w:spacing w:after="0" w:line="108"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 copy of our Annual Report on Form 10-K for the fiscal year ended December 31, 2021, as filed with the SEC, except for exhibits (the “Annual Report”), will be furnished without charge to any stockholder upon written request to Y-mAbs Therapeutics, Inc., 230 Park Avenue, Suite 3350, New York, New York 10169,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576580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Investor Relations. This proxy statement and our Annual Report on Form 10-K for the fiscal year ended December 31, 2021 as filed with the SEC, with exhibits, are also available on the SEC’s website at </w:t>
      </w:r>
      <w:r>
        <w:rPr>
          <w:rFonts w:ascii="Times New Roman" w:cs="Times New Roman" w:eastAsia="Times New Roman" w:hAnsi="Times New Roman"/>
          <w:sz w:val="17"/>
          <w:szCs w:val="17"/>
          <w:b w:val="1"/>
          <w:bCs w:val="1"/>
          <w:i w:val="1"/>
          <w:iCs w:val="1"/>
          <w:color w:val="auto"/>
        </w:rPr>
        <w:t>www.sec.gov</w:t>
      </w:r>
      <w:r>
        <w:rPr>
          <w:rFonts w:ascii="Times New Roman" w:cs="Times New Roman" w:eastAsia="Times New Roman" w:hAnsi="Times New Roman"/>
          <w:sz w:val="17"/>
          <w:szCs w:val="17"/>
          <w:b w:val="1"/>
          <w:bCs w:val="1"/>
          <w:color w:val="auto"/>
        </w:rPr>
        <w:t>.</w:t>
      </w:r>
    </w:p>
    <w:p>
      <w:pPr>
        <w:spacing w:after="0" w:line="13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9, 2022:</w:t>
      </w:r>
    </w:p>
    <w:p>
      <w:pPr>
        <w:spacing w:after="0" w:line="203" w:lineRule="exact"/>
        <w:rPr>
          <w:sz w:val="20"/>
          <w:szCs w:val="20"/>
          <w:color w:val="auto"/>
        </w:rPr>
      </w:pPr>
    </w:p>
    <w:p>
      <w:pPr>
        <w:ind w:left="2240" w:right="1379" w:firstLine="2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The Notice of Annual Meeting, this proxy statement and the Annual Report are available for viewing, printing and downloading at </w:t>
      </w:r>
      <w:r>
        <w:rPr>
          <w:rFonts w:ascii="Times New Roman" w:cs="Times New Roman" w:eastAsia="Times New Roman" w:hAnsi="Times New Roman"/>
          <w:sz w:val="17"/>
          <w:szCs w:val="17"/>
          <w:b w:val="1"/>
          <w:bCs w:val="1"/>
          <w:i w:val="1"/>
          <w:iCs w:val="1"/>
          <w:color w:val="auto"/>
        </w:rPr>
        <w:t>www.astproxyportal.com/ast/22412.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7002780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16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The information provided in the “question and answer” format below addresses certain frequently</w:t>
      </w:r>
    </w:p>
    <w:p>
      <w:pPr>
        <w:spacing w:after="0" w:line="27" w:lineRule="exact"/>
        <w:rPr>
          <w:sz w:val="20"/>
          <w:szCs w:val="20"/>
          <w:color w:val="auto"/>
        </w:rPr>
      </w:pPr>
    </w:p>
    <w:p>
      <w:pPr>
        <w:ind w:left="1260" w:right="499"/>
        <w:spacing w:after="0" w:line="276" w:lineRule="auto"/>
        <w:rPr>
          <w:sz w:val="20"/>
          <w:szCs w:val="20"/>
          <w:color w:val="auto"/>
        </w:rPr>
      </w:pPr>
      <w:r>
        <w:rPr>
          <w:rFonts w:ascii="Times New Roman" w:cs="Times New Roman" w:eastAsia="Times New Roman" w:hAnsi="Times New Roman"/>
          <w:sz w:val="18"/>
          <w:szCs w:val="18"/>
          <w:color w:val="auto"/>
        </w:rPr>
        <w:t>asked questions but is not intended to be a summary of all matters contained in this proxy statement. Please read the entire proxy statement carefully before voting your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Annual Meeting being held virtually this year?</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Annual Meeting is being held virtually this year because of the coronavirus pandemic (“COVID-19”) and our desire to protect the health and well-being of our stockholders, directors and employees.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148" w:lineRule="exact"/>
        <w:rPr>
          <w:sz w:val="20"/>
          <w:szCs w:val="20"/>
          <w:color w:val="auto"/>
        </w:rPr>
      </w:pPr>
    </w:p>
    <w:p>
      <w:pPr>
        <w:ind w:left="1260" w:right="759" w:firstLine="360"/>
        <w:spacing w:after="0" w:line="281" w:lineRule="auto"/>
        <w:rPr>
          <w:sz w:val="20"/>
          <w:szCs w:val="20"/>
          <w:color w:val="auto"/>
        </w:rPr>
      </w:pPr>
      <w:r>
        <w:rPr>
          <w:rFonts w:ascii="Times New Roman" w:cs="Times New Roman" w:eastAsia="Times New Roman" w:hAnsi="Times New Roman"/>
          <w:sz w:val="18"/>
          <w:szCs w:val="18"/>
          <w:color w:val="auto"/>
        </w:rPr>
        <w:t>You may attend and participate in the Annual Meeting virtually online at: https://web.lumiagm.com/257688918 (password: ymabs2022). You will not be able to attend the Annual Meeting in person.</w:t>
      </w:r>
    </w:p>
    <w:p>
      <w:pPr>
        <w:spacing w:after="0" w:line="9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To attend and participate in the virtual Annual Meeting, you will need the 11-digit control number included in your proxy card or on the instructions that accompanied your proxy materials. If you lose your 11-digit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questions at the virtual Annual Meeting?</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will hold a live question and answer session in connection with the annual meeting. Stockholders may submit questions via our virtual stockholder meeting website at https://web.lumiagm.com/257688918 (password: ymabs2022). We intend to answer properly submitted questions that are pertinent to the Company and the meeting matters, as time permits. However, we reserve the right to edit profanity or other inappropriate language, or to exclude questions that are not pertinent to meeting matters or that are otherwise inappropriate. Questions and answers will be grouped by topic and substantially similar questions will be grouped and answered once.</w:t>
      </w:r>
    </w:p>
    <w:p>
      <w:pPr>
        <w:spacing w:after="0" w:line="186" w:lineRule="exact"/>
        <w:rPr>
          <w:sz w:val="20"/>
          <w:szCs w:val="20"/>
          <w:color w:val="auto"/>
        </w:rPr>
      </w:pPr>
    </w:p>
    <w:p>
      <w:pPr>
        <w:ind w:left="1260" w:right="479"/>
        <w:spacing w:after="0" w:line="302" w:lineRule="auto"/>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77"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82"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78"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Notice and Access Rules adopted by the SEC allow companies to choose the method for delivering proxy materials to stockholders. We have elected this year to use the Notice and Access Rules and, therefore, to mail the one-page Notice of Internet Availability regarding the availability of proxy materials on the Internet instead of sending a full set of proxy materials in the mail to our stockholders. This Notice of Internet Availability will be mailed to our stockholders on or about April 29, 2022, and our proxy materials will be posted on both our corporate website at https://ir.ymabs.com/financial-information/annual-reports, the website referenced in the Notice of Internet Availability as well at www.astproxyportal.com/AST/22412 on the same day. Utilizing this method of delivery expedites receipt of proxy materials by our stockholders and lowers the cost of the annual meeting. If you are a stockholder and would like to receive a paper or email copy of the proxy materials, you should follow the instructions in the Notice of Internet Availability for requesting copies.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Our Board of Directors is providing these proxy materials to you in connection with our Board of Directors’ solicitation of proxies for use at the Company’s Annual Meeting, which will take place on June 9, 2022. Stockholders are invited to attend the Annual Meeting virtually and are requested to vote on the proposals described in this Proxy Statement. </w:t>
      </w:r>
      <w:r>
        <w:rPr>
          <w:rFonts w:ascii="Times New Roman" w:cs="Times New Roman" w:eastAsia="Times New Roman" w:hAnsi="Times New Roman"/>
          <w:sz w:val="18"/>
          <w:szCs w:val="18"/>
          <w:b w:val="1"/>
          <w:bCs w:val="1"/>
          <w:color w:val="auto"/>
        </w:rPr>
        <w:t>You will not be able to attend the Annual Meeting in person.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three (3) proposals scheduled to be voted on at the Annual Meeting:</w:t>
      </w:r>
    </w:p>
    <w:p>
      <w:pPr>
        <w:spacing w:after="0" w:line="117" w:lineRule="exact"/>
        <w:rPr>
          <w:sz w:val="20"/>
          <w:szCs w:val="20"/>
          <w:color w:val="auto"/>
        </w:rPr>
      </w:pPr>
    </w:p>
    <w:p>
      <w:pPr>
        <w:ind w:left="1800" w:right="739" w:hanging="180"/>
        <w:spacing w:after="0" w:line="261"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(2) Class I directors, Dr. Gérard Ber and David N. Gill each nominated by our Board of Directors to serve for a three (3) year term to expire at the 2025 annual meeting of stockholders, each such nominee to hold office until his successor has been duly elected and qualified or until his earlier death, resignation or removal;</w:t>
      </w:r>
    </w:p>
    <w:p>
      <w:pPr>
        <w:spacing w:after="0" w:line="71"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December 31, 2022; and</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non-binding advisory vote on the compensation of the Company’s named executive officers as disclosed in these proxy materials.</w:t>
      </w:r>
    </w:p>
    <w:p>
      <w:pPr>
        <w:spacing w:after="0" w:line="8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At the time this proxy statement was made available, our management and Board of Directors were not aware of any other matters to be presented at the Annual Meeting other than those set forth in this proxy statement and in the notice accompanying this proxy statement.</w:t>
      </w:r>
    </w:p>
    <w:p>
      <w:pPr>
        <w:spacing w:after="0" w:line="16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b w:val="1"/>
          <w:bCs w:val="1"/>
          <w:color w:val="auto"/>
        </w:rPr>
        <w:t>How does our Board of Directors recommend that I vote?</w:t>
      </w:r>
    </w:p>
    <w:p>
      <w:pPr>
        <w:spacing w:after="0" w:line="1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13" w:lineRule="exact"/>
        <w:rPr>
          <w:sz w:val="20"/>
          <w:szCs w:val="20"/>
          <w:color w:val="auto"/>
        </w:rPr>
      </w:pPr>
    </w:p>
    <w:p>
      <w:pPr>
        <w:ind w:left="1800" w:right="579" w:hanging="180"/>
        <w:spacing w:after="0" w:line="26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(2) directors nominated by our Board of Directors and named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as Class I directors to serve for a three (3) year term to expire at the 2025 annual meeting of stockholders, each such nominee to hold office until his successor has been duly elected and qualified or until his earlier death, resignation or removal;</w:t>
      </w:r>
    </w:p>
    <w:p>
      <w:pPr>
        <w:spacing w:after="0" w:line="68" w:lineRule="exact"/>
        <w:rPr>
          <w:rFonts w:ascii="Times New Roman" w:cs="Times New Roman" w:eastAsia="Times New Roman" w:hAnsi="Times New Roman"/>
          <w:sz w:val="18"/>
          <w:szCs w:val="18"/>
          <w:color w:val="auto"/>
        </w:rPr>
      </w:pPr>
    </w:p>
    <w:p>
      <w:pPr>
        <w:ind w:left="1800" w:right="1099" w:hanging="180"/>
        <w:spacing w:after="0" w:line="28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our fiscal year ending December 31, 2022; and</w:t>
      </w:r>
    </w:p>
    <w:p>
      <w:pPr>
        <w:spacing w:after="0" w:line="33" w:lineRule="exact"/>
        <w:rPr>
          <w:rFonts w:ascii="Times New Roman" w:cs="Times New Roman" w:eastAsia="Times New Roman" w:hAnsi="Times New Roman"/>
          <w:sz w:val="18"/>
          <w:szCs w:val="18"/>
          <w:color w:val="auto"/>
        </w:rPr>
      </w:pPr>
    </w:p>
    <w:p>
      <w:pPr>
        <w:ind w:left="1800" w:right="719" w:hanging="180"/>
        <w:spacing w:after="0" w:line="28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Company’s executive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in these proxy materials.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20, 2022 (the “Record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Holders of our common stock at the close of business on the Record Date are entitled to notice of, and to vote at, the Annual Meeting. Each stockholder is entitled to one (1) vote for each share of our common stock held as of the Record Date. As of the Record Date, there were 43,714,891 shares of our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 You will need to obtain your own Internet access if you choose to attend the Annual Meeting online and/or vote over the Internet.</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60" w:lineRule="exact"/>
        <w:rPr>
          <w:sz w:val="20"/>
          <w:szCs w:val="20"/>
          <w:color w:val="auto"/>
        </w:rPr>
      </w:pPr>
    </w:p>
    <w:p>
      <w:pPr>
        <w:ind w:left="1260" w:right="6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at the close of business on the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your shares were registered directly in your name with American Stock Transfer &amp; Trust Company,</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LLC (“AST”), our transfer agent, then you are considered the stockholder of record with respect to those shares. As the stockholder of record, you have the right to grant your voting proxy directly to the individuals listed on the proxy card or to vote virtually at the Annual Meeting.</w:t>
      </w:r>
    </w:p>
    <w:p>
      <w:pPr>
        <w:spacing w:after="0" w:line="100"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Beneficial Owners: Shares Registered in the Name of a Broker, Bank or Other Nominee. </w:t>
      </w:r>
      <w:r>
        <w:rPr>
          <w:rFonts w:ascii="Times New Roman" w:cs="Times New Roman" w:eastAsia="Times New Roman" w:hAnsi="Times New Roman"/>
          <w:sz w:val="18"/>
          <w:szCs w:val="18"/>
          <w:color w:val="auto"/>
        </w:rPr>
        <w:t>If,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of business on the Record Date, your shares were not held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information, see “</w:t>
      </w:r>
      <w:r>
        <w:rPr>
          <w:rFonts w:ascii="Times New Roman" w:cs="Times New Roman" w:eastAsia="Times New Roman" w:hAnsi="Times New Roman"/>
          <w:sz w:val="18"/>
          <w:szCs w:val="18"/>
          <w:i w:val="1"/>
          <w:iCs w:val="1"/>
          <w:color w:val="auto"/>
        </w:rPr>
        <w:t>What if I do not specify how my shares are to be voted?</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 and what are the voting deadlines?</w:t>
      </w:r>
    </w:p>
    <w:p>
      <w:pPr>
        <w:spacing w:after="0" w:line="160"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you are a stockholder of record, you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in one of the following ways:</w:t>
      </w:r>
    </w:p>
    <w:p>
      <w:pPr>
        <w:spacing w:after="0" w:line="89" w:lineRule="exact"/>
        <w:rPr>
          <w:sz w:val="20"/>
          <w:szCs w:val="20"/>
          <w:color w:val="auto"/>
        </w:rPr>
      </w:pPr>
    </w:p>
    <w:p>
      <w:pPr>
        <w:jc w:val="both"/>
        <w:ind w:left="1260" w:right="519" w:firstLine="36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You may vote via the Internet. </w:t>
      </w:r>
      <w:r>
        <w:rPr>
          <w:rFonts w:ascii="Times New Roman" w:cs="Times New Roman" w:eastAsia="Times New Roman" w:hAnsi="Times New Roman"/>
          <w:sz w:val="18"/>
          <w:szCs w:val="18"/>
          <w:color w:val="auto"/>
        </w:rPr>
        <w:t>A registered holder through AST (if you choose to use Internet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through AST) can vote through the Internet by going to </w:t>
      </w:r>
      <w:r>
        <w:rPr>
          <w:rFonts w:ascii="Times New Roman" w:cs="Times New Roman" w:eastAsia="Times New Roman" w:hAnsi="Times New Roman"/>
          <w:sz w:val="18"/>
          <w:szCs w:val="18"/>
          <w:i w:val="1"/>
          <w:iCs w:val="1"/>
          <w:color w:val="auto"/>
        </w:rPr>
        <w:t>www.voteproxy.com.</w:t>
      </w:r>
      <w:r>
        <w:rPr>
          <w:rFonts w:ascii="Times New Roman" w:cs="Times New Roman" w:eastAsia="Times New Roman" w:hAnsi="Times New Roman"/>
          <w:sz w:val="18"/>
          <w:szCs w:val="18"/>
          <w:color w:val="auto"/>
        </w:rPr>
        <w:t xml:space="preserve"> You will be asked to complete an electronic proxy card and to provide the control number from the proxy card you received in the mail.</w:t>
      </w:r>
    </w:p>
    <w:p>
      <w:pPr>
        <w:spacing w:after="0" w:line="1"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color w:val="auto"/>
        </w:rPr>
        <w:t>Your vote must be received by 11:59 p.m. Eastern Time on June 8, 2022 to be counted. If you vote via the Internet, you do not need to return a proxy card by mail.</w:t>
      </w:r>
    </w:p>
    <w:p>
      <w:pPr>
        <w:spacing w:after="0" w:line="110" w:lineRule="exact"/>
        <w:rPr>
          <w:sz w:val="20"/>
          <w:szCs w:val="20"/>
          <w:color w:val="auto"/>
        </w:rPr>
      </w:pPr>
    </w:p>
    <w:p>
      <w:pPr>
        <w:jc w:val="both"/>
        <w:ind w:left="1260" w:right="45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You may vote by telephone. </w:t>
      </w:r>
      <w:r>
        <w:rPr>
          <w:rFonts w:ascii="Times New Roman" w:cs="Times New Roman" w:eastAsia="Times New Roman" w:hAnsi="Times New Roman"/>
          <w:sz w:val="18"/>
          <w:szCs w:val="18"/>
          <w:color w:val="auto"/>
        </w:rPr>
        <w:t>To vote by telephone, dial toll-free 1-800-PROXIES (1-800-776-9437)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and Canada, or 1-718- 921- 8500 from countries outside the United States and Canada and follow the recorded instructions. You will be asked to provide the control number from the proxy card. Your vote must be received by 11:59 p.m. Eastern Time on June 8, 2022 to be counted. If you vote by telephone, you do not need to return a proxy card by mail.</w:t>
      </w:r>
    </w:p>
    <w:p>
      <w:pPr>
        <w:spacing w:after="0" w:line="109"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You may vote by mail. </w:t>
      </w:r>
      <w:r>
        <w:rPr>
          <w:rFonts w:ascii="Times New Roman" w:cs="Times New Roman" w:eastAsia="Times New Roman" w:hAnsi="Times New Roman"/>
          <w:sz w:val="18"/>
          <w:szCs w:val="18"/>
          <w:color w:val="auto"/>
        </w:rPr>
        <w:t>If you requested printed copies of the proxy materials by mail, you may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mail by using the proxy card you received by mail. You will need to complete, date and sign the proxy card and return it promptly by mail in the envelope to be provided so that it is received no later than June 8, 2022.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110"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Beneficial Owner: Share Held in “Street Name”. </w:t>
      </w:r>
      <w:r>
        <w:rPr>
          <w:rFonts w:ascii="Times New Roman" w:cs="Times New Roman" w:eastAsia="Times New Roman" w:hAnsi="Times New Roman"/>
          <w:sz w:val="18"/>
          <w:szCs w:val="18"/>
          <w:color w:val="auto"/>
        </w:rPr>
        <w:t>If you are a beneficial owner and hold your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“street name”, you will need to contact your bank, broker, or other nominee to determine whether you will be able to vote by telephone or electronically through the Internet.</w:t>
      </w:r>
    </w:p>
    <w:p>
      <w:pPr>
        <w:spacing w:after="0" w:line="10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Voting by telephone or over the Internet or returning your proxy card by mail will not affect your right to attend the virtual Annual Meeting and vote.</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Whether or not you plan to attend the virtual Annual Meeting, we urge you to vote.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 during the virtual Annual Meeting?</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You may attend the Annual Meeting and vote your shares at https://web.lumiagm.com/257688918 (password: ymabs2022) during the meeting. Follow the instructions provided to vote.</w:t>
      </w:r>
    </w:p>
    <w:p>
      <w:pPr>
        <w:spacing w:after="0" w:line="9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will need the 11-digit control number found on your proxy card and the meeting password: ymabs2022 (case sensitive).</w:t>
      </w:r>
    </w:p>
    <w:p>
      <w:pPr>
        <w:spacing w:after="0" w:line="81"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If you are a beneficial owner and hold your shares in “street name,” you must first obtain a valid legal proxy from your bank, broker, or other nominee and then register in advance to attend the Annual Meeting. Follow the instructions from your bank, broker, or other nominee included with these proxy materials, or contact your bank, broker, or other nominee to request a legal proxy form. After obtaining a valid legal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39"/>
        <w:spacing w:after="0" w:line="250" w:lineRule="auto"/>
        <w:rPr>
          <w:sz w:val="20"/>
          <w:szCs w:val="20"/>
          <w:color w:val="auto"/>
        </w:rPr>
      </w:pPr>
      <w:r>
        <w:rPr>
          <w:rFonts w:ascii="Times New Roman" w:cs="Times New Roman" w:eastAsia="Times New Roman" w:hAnsi="Times New Roman"/>
          <w:sz w:val="18"/>
          <w:szCs w:val="18"/>
          <w:color w:val="auto"/>
        </w:rPr>
        <w:t>from your bank, broker, or other nominee, to then register to attend the Annual Meeting, you must submit proof of your legal proxy reflecting the number of your shares along with your name and email address to AST. Requests for registration should be directed to proxy@astfinancial.com or to facsimile number 718-765-8730. Written requests can be mailed to:</w:t>
      </w:r>
    </w:p>
    <w:p>
      <w:pPr>
        <w:spacing w:after="0" w:line="11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ind w:left="4000"/>
        <w:spacing w:after="0" w:line="220" w:lineRule="auto"/>
        <w:rPr>
          <w:sz w:val="20"/>
          <w:szCs w:val="20"/>
          <w:color w:val="auto"/>
        </w:rPr>
      </w:pPr>
      <w:r>
        <w:rPr>
          <w:rFonts w:ascii="Times New Roman" w:cs="Times New Roman" w:eastAsia="Times New Roman" w:hAnsi="Times New Roman"/>
          <w:sz w:val="18"/>
          <w:szCs w:val="18"/>
          <w:color w:val="auto"/>
        </w:rPr>
        <w:t>Attn: Proxy Tabulation Department</w:t>
      </w:r>
    </w:p>
    <w:p>
      <w:pPr>
        <w:ind w:left="4680"/>
        <w:spacing w:after="0" w:line="206" w:lineRule="auto"/>
        <w:rPr>
          <w:sz w:val="20"/>
          <w:szCs w:val="20"/>
          <w:color w:val="auto"/>
        </w:rPr>
      </w:pPr>
      <w:r>
        <w:rPr>
          <w:rFonts w:ascii="Times New Roman" w:cs="Times New Roman" w:eastAsia="Times New Roman" w:hAnsi="Times New Roman"/>
          <w:sz w:val="18"/>
          <w:szCs w:val="18"/>
          <w:color w:val="auto"/>
        </w:rPr>
        <w:t>6201 15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12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Requests for registration must be labeled as “Legal Proxy” and be received no later than 5:00 p.m., Eastern Time, on Wednesday, June 1, 2022.</w:t>
      </w:r>
    </w:p>
    <w:p>
      <w:pPr>
        <w:spacing w:after="0" w:line="81"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Even if you plan to attend the virtual Annual Meeting, we recommend that you vote your shares in advance as described above so that your vote will be counted if you later decide not to attend the Annual Meeting.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46" w:lineRule="exact"/>
        <w:rPr>
          <w:sz w:val="20"/>
          <w:szCs w:val="20"/>
          <w:color w:val="auto"/>
        </w:rPr>
      </w:pPr>
    </w:p>
    <w:p>
      <w:pPr>
        <w:ind w:left="1620"/>
        <w:spacing w:after="0"/>
        <w:tabs>
          <w:tab w:leader="none" w:pos="6060" w:val="left"/>
        </w:tabs>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sz w:val="20"/>
          <w:szCs w:val="20"/>
          <w:color w:val="auto"/>
        </w:rPr>
        <w:tab/>
      </w:r>
      <w:r>
        <w:rPr>
          <w:rFonts w:ascii="Times New Roman" w:cs="Times New Roman" w:eastAsia="Times New Roman" w:hAnsi="Times New Roman"/>
          <w:sz w:val="18"/>
          <w:szCs w:val="18"/>
          <w:color w:val="auto"/>
        </w:rPr>
        <w:t>If you are a stockholder of record, you may</w:t>
      </w:r>
    </w:p>
    <w:p>
      <w:pPr>
        <w:spacing w:after="0" w:line="29" w:lineRule="exact"/>
        <w:rPr>
          <w:sz w:val="20"/>
          <w:szCs w:val="20"/>
          <w:color w:val="auto"/>
        </w:rPr>
      </w:pPr>
    </w:p>
    <w:p>
      <w:pPr>
        <w:ind w:left="1260" w:right="639"/>
        <w:spacing w:after="0" w:line="245" w:lineRule="auto"/>
        <w:rPr>
          <w:sz w:val="20"/>
          <w:szCs w:val="20"/>
          <w:color w:val="auto"/>
        </w:rPr>
      </w:pPr>
      <w:r>
        <w:rPr>
          <w:rFonts w:ascii="Times New Roman" w:cs="Times New Roman" w:eastAsia="Times New Roman" w:hAnsi="Times New Roman"/>
          <w:sz w:val="18"/>
          <w:szCs w:val="18"/>
          <w:color w:val="auto"/>
        </w:rPr>
        <w:t>revoke your proxy or change your proxy instructions at any time before your proxy is voted at the Annual Meeting by:</w:t>
      </w:r>
    </w:p>
    <w:p>
      <w:pPr>
        <w:spacing w:after="0" w:line="72"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proxy card with a later date;</w:t>
      </w:r>
    </w:p>
    <w:p>
      <w:pPr>
        <w:spacing w:after="0" w:line="10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revocation to our Secretary at Y-mAbs Therapeutics, Inc., 230 Park Avenue, Suite 3350, New York, New York 10169, by 11:59 p.m. Eastern Time on June 8, 2022;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electronically at the virtual Annual Meeting (your attendance at the Annual Meeting will not, in and of itself, revoke your prior proxy).</w:t>
      </w:r>
    </w:p>
    <w:p>
      <w:pPr>
        <w:spacing w:after="0" w:line="9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Beneficial Owners: Shares Registered in the Name of a Broker, Bank or Other Nominee. </w:t>
      </w:r>
      <w:r>
        <w:rPr>
          <w:rFonts w:ascii="Times New Roman" w:cs="Times New Roman" w:eastAsia="Times New Roman" w:hAnsi="Times New Roman"/>
          <w:sz w:val="18"/>
          <w:szCs w:val="18"/>
          <w:color w:val="auto"/>
        </w:rPr>
        <w:t>If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beneficial owner of your shares, you must contact the broker, bank or other nominee holding your shares and follow their instructions to change your vote or revoke your proxy.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you are a stockholder of record and you indicate when voting on the Internet or by telephone that you wish to vote as recommended by the Board of Directors, then your shares will be voted at the Annual Meeting in accordance with the Board’s recommendation on all matters presented for a vote at the Annual Meeting. If no specific instructions are given,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60"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you are a stockholder of record and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a proxy but you do not provide voting instructions, your shares will be voted:</w:t>
      </w:r>
    </w:p>
    <w:p>
      <w:pPr>
        <w:spacing w:after="0" w:line="49" w:lineRule="exact"/>
        <w:rPr>
          <w:sz w:val="20"/>
          <w:szCs w:val="20"/>
          <w:color w:val="auto"/>
        </w:rPr>
      </w:pPr>
    </w:p>
    <w:p>
      <w:pPr>
        <w:ind w:left="1800" w:right="599" w:hanging="180"/>
        <w:spacing w:after="0" w:line="26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(2) directors nominated by our Board of Directors and named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as Class I directors each to serve for a three (3) year term to expire at the 2025 annual meeting of stockholders, each such nominee to hold office until his successor has been duly elected and qualified or until his earlier death, resignation or removal (Proposal No. 1);</w:t>
      </w: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739" w:hanging="180"/>
        <w:spacing w:after="0" w:line="28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for our fiscal year ending December 31, 2022 (Proposal No. 2);</w:t>
      </w:r>
    </w:p>
    <w:p>
      <w:pPr>
        <w:spacing w:after="0" w:line="46" w:lineRule="exact"/>
        <w:rPr>
          <w:rFonts w:ascii="Times New Roman" w:cs="Times New Roman" w:eastAsia="Times New Roman" w:hAnsi="Times New Roman"/>
          <w:sz w:val="18"/>
          <w:szCs w:val="18"/>
          <w:color w:val="auto"/>
        </w:rPr>
      </w:pPr>
    </w:p>
    <w:p>
      <w:pPr>
        <w:ind w:left="1800" w:right="719" w:hanging="180"/>
        <w:spacing w:after="0" w:line="28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on a non-binding advisory basis, the Company’s executive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in these proxy materials (Proposal No. 3); and</w:t>
      </w:r>
    </w:p>
    <w:p>
      <w:pPr>
        <w:spacing w:after="0" w:line="64"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named proxy holders regarding any other matters properly presented for a vote at the Annual Meeting.</w:t>
      </w:r>
    </w:p>
    <w:p>
      <w:pPr>
        <w:spacing w:after="0" w:line="79"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Beneficial Owners: Shares Registered in the Name of a Broker, Bank or Other Nominee. </w:t>
      </w:r>
      <w:r>
        <w:rPr>
          <w:rFonts w:ascii="Times New Roman" w:cs="Times New Roman" w:eastAsia="Times New Roman" w:hAnsi="Times New Roman"/>
          <w:sz w:val="18"/>
          <w:szCs w:val="18"/>
          <w:color w:val="auto"/>
        </w:rPr>
        <w:t>If you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3 (Say-on-Pay) are non-routine matters, while Proposal No. 2 (ratification of appointment of independent registered public accounting firm) is a routine matter. As a result, if you do not provide voting instructions to your broker, bank or other nominee, then your broker, bank or other nominee may not vote your shares with respect to Proposals No. 1 or 3 which would result in a “broker non-vote,” but such broker, bank or other nominee may, in its discretion, vote your shares with respect to Proposal No.</w:t>
      </w:r>
    </w:p>
    <w:p>
      <w:pPr>
        <w:spacing w:after="0" w:line="1" w:lineRule="exact"/>
        <w:rPr>
          <w:sz w:val="20"/>
          <w:szCs w:val="20"/>
          <w:color w:val="auto"/>
        </w:rPr>
      </w:pPr>
    </w:p>
    <w:p>
      <w:pPr>
        <w:ind w:left="1260" w:right="919"/>
        <w:spacing w:after="0" w:line="260" w:lineRule="auto"/>
        <w:tabs>
          <w:tab w:leader="none" w:pos="14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broker non-votes, see “</w:t>
      </w:r>
      <w:r>
        <w:rPr>
          <w:rFonts w:ascii="Times New Roman" w:cs="Times New Roman" w:eastAsia="Times New Roman" w:hAnsi="Times New Roman"/>
          <w:sz w:val="18"/>
          <w:szCs w:val="18"/>
          <w:i w:val="1"/>
          <w:iCs w:val="1"/>
          <w:color w:val="auto"/>
        </w:rPr>
        <w:t>What are the effects of abstentions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below.</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Proposals No. 2, and 3). However, because the outcome of Proposal No. 1 (election of directors) will be determined by a plurality vote, abstentions will have no impact on the outcome of such proposal as long as a quorum exists.</w:t>
      </w:r>
    </w:p>
    <w:p>
      <w:pPr>
        <w:spacing w:after="0" w:line="12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virtually at the Annual Meeting for the meeting to be properly held under our amended and restated bylaws and Delaware law. A majority of the shares of common stock outstanding and entitled to vote, virtually or by proxy, constitutes a quorum for the transaction of business at the Annual Meeting. As noted above, as of the Record Date, there were a total of 43,714,891 shares of common stock outstanding, which means that 21,857,446 shares of common stock must be represented virtually or by proxy at the Annual Meeting to have a quorum. If there is no quorum, a majority of the shares virtually present at the Annual Meeting may adjourn the meeting to a later date.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119" w:lineRule="exact"/>
        <w:rPr>
          <w:sz w:val="20"/>
          <w:szCs w:val="20"/>
          <w:color w:val="auto"/>
        </w:rPr>
      </w:pPr>
    </w:p>
    <w:p>
      <w:pPr>
        <w:ind w:left="1800" w:right="419" w:hanging="180"/>
        <w:spacing w:after="0" w:line="258"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The election of Class I directors requires a plurality vote of the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present in person or by proxy at the Annual Meeting and entitled to vote thereon to be approved. This means that the two (2) nominees that receive the most FOR votes will be elected. You may (i) vote FOR all nominees, (ii) WITHHOLD your vote as to all nominees, or (iii) vote FOR all nominees except for those specific nominees from whom you WITHHOLD your vote. Any</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spacing w:after="0" w:line="259" w:lineRule="auto"/>
        <w:rPr>
          <w:sz w:val="20"/>
          <w:szCs w:val="20"/>
          <w:color w:val="auto"/>
        </w:rPr>
      </w:pPr>
      <w:r>
        <w:rPr>
          <w:rFonts w:ascii="Times New Roman" w:cs="Times New Roman" w:eastAsia="Times New Roman" w:hAnsi="Times New Roman"/>
          <w:sz w:val="18"/>
          <w:szCs w:val="18"/>
          <w:color w:val="auto"/>
        </w:rPr>
        <w:t>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such proposal.</w:t>
      </w:r>
    </w:p>
    <w:p>
      <w:pPr>
        <w:spacing w:after="0" w:line="306" w:lineRule="exact"/>
        <w:rPr>
          <w:sz w:val="20"/>
          <w:szCs w:val="20"/>
          <w:color w:val="auto"/>
        </w:rPr>
      </w:pPr>
    </w:p>
    <w:p>
      <w:pPr>
        <w:ind w:left="1800" w:right="459" w:hanging="180"/>
        <w:spacing w:after="0" w:line="258"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The ratification of the appointment of PricewaterhouseCoopers LLP requires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of the shares of our common stock present in person or by proxy at the Annual Meeting and entitled to vote thereon to be approved. You may vote FOR, AGAINST or ABSTAIN. If you ABSTAIN from voting on Proposal No. 2, the abstention will have the same effect as a vote AGAINST such proposal.</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The approval, on a non-binding, advisory basis, of the Company’s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disclosed in these proxy materials requires an affirmative vote of a majority of the shares of our common stock present in person or by proxy at the Annual Meeting and entitled to vote thereon to be approved. You may vote FOR, AGAINST or ABSTAIN. If you ABSTAIN from voting on Proposal No. 3, the abstention will have the same effect as a vote AGAINST such proposal. This vote is advisory and not binding on the Company, the Board or the Compensation Committee of the Board (the “Compensation Committee”) in any way. To the extent there is any significant vote against the executive compensation as disclosed in this Proxy Statement, the Board and the Compensation Committee will evaluate what actions, if any, may be appropriate to address stockholder concerns.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have engaged D.F. King, at an anticipated cost of approximately $10,500, for proxy solicitation services related to the Annual Meeting.</w:t>
      </w:r>
    </w:p>
    <w:p>
      <w:pPr>
        <w:spacing w:after="0" w:line="127"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multiple stockholders share the same address?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reduce expense we have adopted an SEC-approved procedure called “householding.” Under this procedure, we are delivering a single copy of the Notice of Internet Availability and, if applicable, the proxy materials to certain stockholders who share a single address, unless otherwise requested by one of the stockholders. A separate proxy card is included in the voting materials for each of these stockholders. To receive a separate copy of the Notice of Internet Availability and, if applicable, the proxy materials you may contact us as follows: Y-mAbs Therapeutics, Inc., Attention: Secretary, 230 Park Avenue, Suite 3350, New York, New York 10169, Telephone No. (646) 885-8505. You may also contact us by calling or writing if you would like to receive separate materials for future annual meetings.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broker-dealer or other nominee to request information about householding.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 the SEC within four</w:t>
      </w:r>
    </w:p>
    <w:p>
      <w:pPr>
        <w:ind w:left="1260" w:right="439"/>
        <w:spacing w:after="0" w:line="255"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Annual Meeting. If final voting results are not available to us at that time, we intend to file a Current Report on Form 8-K to publish preliminary results and, within four (4) business days after the final results are known to us, file an amendment to the Current Report on Form 8-K to publish the final results.</w:t>
      </w:r>
    </w:p>
    <w:p>
      <w:pPr>
        <w:spacing w:after="0" w:line="398"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Proposals to be Included in Proxy Statement</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the next annual meeting of stockholders by submitting their proposals in writing to our Secretary in a timely manner. Stockholder proposals must comply with the requirements of Rule 14a-8 under the Securities Exchange Act of 1934, as amended (the “Exchange Act”), regarding the inclusion of stockholder proposals in company-sponsored proxy materials. For a stockholder proposal to be considered for inclusion in our proxy statement for our 2023 annual meeting of stockholders, our Secretary must receive the written proposal at our principal executive offices not later than December 28, 2022. Stockholder proposals should be addressed to: Y-mAbs Therapeutics, Inc., Attention: Secretary, 230 Park Avenue, Suite 3350, New York, New York 10169.</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Proposals Not Included in Proxy Statement</w:t>
      </w:r>
    </w:p>
    <w:p>
      <w:pPr>
        <w:spacing w:after="0" w:line="14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establish an advance notice procedure for stockholders who wish to present a proposal before an annual meeting of stockholders but do not intend for the proposal to be included in our proxy statement. Our amended and restated bylaws also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amended and restated bylaws.</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amended and restated bylaws, to be timely for our 2023 annual meeting of stockholders,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Secretary must receive the written notice at our principal executive offices:</w:t>
      </w:r>
    </w:p>
    <w:p>
      <w:pPr>
        <w:spacing w:after="0" w:line="112"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8, 2023;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10, 2023.</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the event that we hold our 2023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(2) dates:</w:t>
      </w:r>
    </w:p>
    <w:p>
      <w:pPr>
        <w:spacing w:after="0" w:line="308"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annual meeting is first made.</w:t>
      </w:r>
    </w:p>
    <w:p>
      <w:pPr>
        <w:spacing w:after="0" w:line="8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Nomination of Director Candidates</w:t>
      </w:r>
    </w:p>
    <w:p>
      <w:pPr>
        <w:spacing w:after="0" w:line="160"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You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 — Stockholder Recommendations for Nominations to the Board of Directors.”</w:t>
      </w:r>
    </w:p>
    <w:p>
      <w:pPr>
        <w:spacing w:after="0" w:line="12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 described above under “Stockholder Proposals Not Included in Proxy Statement” for stockholder proposals that are not intended to be included in a proxy statement.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 copy of our amended and restated bylaws may be obtained by accessing our public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our Secretary at our principal executive office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BOARD OF DIRECTORS, NOMINEES AND 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divided into three (3) classes with staggered three (3) year terms. As of the date of this Proxy Statement, there are currently two (2) Class I directors (Dr. Gérard Ber and David N. Gill), whose terms expire at the Annual Meeting; three (3) Class II directors (James I. Healy, M.D., Ashutosh Tyagi, M.D. and Laura J. Hamill), whose terms expire at the 2023 annual meeting of stockholders; and two (2) Class III directors (Thomas Gad and Johan Wedell-Wedellsborg), whose terms expire at the 2024 annual meeting of stockholders (in all cases subject to the election and qualification of their successors or to their earlier death, resignation or removal).</w:t>
      </w:r>
    </w:p>
    <w:p>
      <w:pPr>
        <w:spacing w:after="0" w:line="33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Dr. Ber, who stands for re-election as a Class I director at the Annual Meeting will continue to serve as member of our Board of Directors and as a member of our Compensation Committee until the Annual Meeting. If elected at the Annual Meeting, he will continue to serve in those positions until his term expires at the 2025 annual meeting of stockholders, subject to the election and qualification of his successor or to his earlier death, resignation or removal.</w:t>
      </w:r>
    </w:p>
    <w:p>
      <w:pPr>
        <w:spacing w:after="0" w:line="10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Mr. Gill who stands for re-election as Class I director at the Annual Meeting, will continue to serve as member of our Board of Directors and as chairman of our Audit Committee, member of our Compensation Committee and member of our Nominating and Corporate Governance Committee until the Annual Meeting. If elected at the Annual Meeting, he will continue to serve in those positions until his term expires at the 2025 annual meeting of stockholders, subject to the election and qualification of his successors or to his earlier death, resignation or removal.</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Following the Annual Meeting, assuming the election of Dr. Ber and Mr. Gill, six (6) of our seven</w:t>
      </w:r>
    </w:p>
    <w:p>
      <w:pPr>
        <w:spacing w:after="0" w:line="27" w:lineRule="exact"/>
        <w:rPr>
          <w:sz w:val="20"/>
          <w:szCs w:val="20"/>
          <w:color w:val="auto"/>
        </w:rPr>
      </w:pPr>
    </w:p>
    <w:p>
      <w:pPr>
        <w:ind w:left="1260" w:right="699"/>
        <w:spacing w:after="0" w:line="255" w:lineRule="auto"/>
        <w:tabs>
          <w:tab w:leader="none" w:pos="15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Dr. Ber, Mr. Gill, Dr. Healy, Dr. Tyagi, Mr. Wedell-Wedellsborg and Ms. Hamill, have been determined by our Board of Directors to be independent within the meaning of the independent director requirements of Nasdaq Listing Rules and SEC Rules.</w:t>
      </w:r>
    </w:p>
    <w:p>
      <w:pPr>
        <w:spacing w:after="0" w:line="11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Set forth below are the names, ages and positions of the members of our Board of Directors and nominees, and the committees of the Board on which they will serve following the Annual Meeting, including the two (2) nominees for election as Class I directors, Dr. Ber and Mr. Gill. The information presented includes each director’s and nominee’s principal occupation and business experience for the past five (5) years, and the names of other public companies of which he/she has served as a director during the past five (5) years. The information presented below regarding the specific experience, qualifications, attributes and skills of each director and nominee led our Nominating and Corporate Governance Committee and our Board of Directors to conclude that each such individual should serve as a director. In addition, we believe that all of our directors and nominees possess the attributes or characteristics described in “Corporate Governance Matters — Director Nomination Process” that the Nominating and Corporate Governance Committee expects of each director.</w:t>
      </w:r>
    </w:p>
    <w:p>
      <w:pPr>
        <w:spacing w:after="0" w:line="329"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Each person nominated for election has consented to being named as a nominee in this Proxy Statement and has agreed to serve if elected, and the Board has no reason to believe that any nominee will be unable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I Directors and Nominees</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Gérard Ber, Ph.D.</w:t>
            </w:r>
            <w:r>
              <w:rPr>
                <w:rFonts w:ascii="Times New Roman" w:cs="Times New Roman" w:eastAsia="Times New Roman" w:hAnsi="Times New Roman"/>
                <w:sz w:val="23"/>
                <w:szCs w:val="23"/>
                <w:color w:val="auto"/>
                <w:vertAlign w:val="superscript"/>
              </w:rPr>
              <w:t>(2)</w:t>
            </w:r>
          </w:p>
        </w:tc>
        <w:tc>
          <w:tcPr>
            <w:tcW w:w="40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64</w:t>
            </w:r>
          </w:p>
        </w:tc>
        <w:tc>
          <w:tcPr>
            <w:tcW w:w="176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Director</w:t>
            </w:r>
          </w:p>
        </w:tc>
        <w:tc>
          <w:tcPr>
            <w:tcW w:w="2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N. Gill</w:t>
            </w:r>
            <w:r>
              <w:rPr>
                <w:rFonts w:ascii="Times New Roman" w:cs="Times New Roman" w:eastAsia="Times New Roman" w:hAnsi="Times New Roman"/>
                <w:sz w:val="23"/>
                <w:szCs w:val="23"/>
                <w:color w:val="auto"/>
                <w:vertAlign w:val="superscript"/>
              </w:rPr>
              <w:t>(1)(2)(3)</w:t>
            </w:r>
          </w:p>
        </w:tc>
        <w:tc>
          <w:tcPr>
            <w:tcW w:w="400" w:type="dxa"/>
            <w:vAlign w:val="bottom"/>
            <w:gridSpan w:val="2"/>
          </w:tcPr>
          <w:p>
            <w:pPr>
              <w:spacing w:after="0" w:line="28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67</w:t>
            </w:r>
          </w:p>
        </w:tc>
        <w:tc>
          <w:tcPr>
            <w:tcW w:w="1760" w:type="dxa"/>
            <w:vAlign w:val="bottom"/>
            <w:gridSpan w:val="2"/>
          </w:tcPr>
          <w:p>
            <w:pPr>
              <w:spacing w:after="0" w:line="28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Director</w:t>
            </w:r>
          </w:p>
        </w:tc>
        <w:tc>
          <w:tcPr>
            <w:tcW w:w="2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II Directors</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James I. Healy, M.D.</w:t>
            </w:r>
            <w:r>
              <w:rPr>
                <w:rFonts w:ascii="Times New Roman" w:cs="Times New Roman" w:eastAsia="Times New Roman" w:hAnsi="Times New Roman"/>
                <w:sz w:val="23"/>
                <w:szCs w:val="23"/>
                <w:color w:val="auto"/>
                <w:vertAlign w:val="superscript"/>
              </w:rPr>
              <w:t>(1)</w:t>
            </w:r>
          </w:p>
        </w:tc>
        <w:tc>
          <w:tcPr>
            <w:tcW w:w="4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57</w:t>
            </w:r>
          </w:p>
        </w:tc>
        <w:tc>
          <w:tcPr>
            <w:tcW w:w="3940" w:type="dxa"/>
            <w:vAlign w:val="bottom"/>
            <w:gridSpan w:val="3"/>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Director – Chairman of the Board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Ashutosh Tyagi, M.D.</w:t>
            </w:r>
            <w:r>
              <w:rPr>
                <w:rFonts w:ascii="Times New Roman" w:cs="Times New Roman" w:eastAsia="Times New Roman" w:hAnsi="Times New Roman"/>
                <w:sz w:val="23"/>
                <w:szCs w:val="23"/>
                <w:color w:val="auto"/>
                <w:vertAlign w:val="superscript"/>
              </w:rPr>
              <w:t>(3)</w:t>
            </w:r>
          </w:p>
        </w:tc>
        <w:tc>
          <w:tcPr>
            <w:tcW w:w="40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45</w:t>
            </w:r>
          </w:p>
        </w:tc>
        <w:tc>
          <w:tcPr>
            <w:tcW w:w="176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Director</w:t>
            </w:r>
          </w:p>
        </w:tc>
        <w:tc>
          <w:tcPr>
            <w:tcW w:w="2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Laura J. Hamill</w:t>
            </w:r>
            <w:r>
              <w:rPr>
                <w:rFonts w:ascii="Times New Roman" w:cs="Times New Roman" w:eastAsia="Times New Roman" w:hAnsi="Times New Roman"/>
                <w:sz w:val="23"/>
                <w:szCs w:val="23"/>
                <w:color w:val="auto"/>
                <w:vertAlign w:val="superscript"/>
              </w:rPr>
              <w:t>(2)(3)</w:t>
            </w:r>
          </w:p>
        </w:tc>
        <w:tc>
          <w:tcPr>
            <w:tcW w:w="400" w:type="dxa"/>
            <w:vAlign w:val="bottom"/>
            <w:gridSpan w:val="2"/>
          </w:tcPr>
          <w:p>
            <w:pPr>
              <w:spacing w:after="0" w:line="28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57</w:t>
            </w:r>
          </w:p>
        </w:tc>
        <w:tc>
          <w:tcPr>
            <w:tcW w:w="1760" w:type="dxa"/>
            <w:vAlign w:val="bottom"/>
            <w:gridSpan w:val="2"/>
          </w:tcPr>
          <w:p>
            <w:pPr>
              <w:spacing w:after="0" w:line="28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Director</w:t>
            </w:r>
          </w:p>
        </w:tc>
        <w:tc>
          <w:tcPr>
            <w:tcW w:w="2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III Directors</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Gad</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w:t>
            </w: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​​Founder, President, Interim Chief Executive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 Head of Business Development and</w:t>
            </w:r>
          </w:p>
        </w:tc>
        <w:tc>
          <w:tcPr>
            <w:tcW w:w="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Strategy and Director</w:t>
            </w: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75"/>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Johan Wedell-Wedellsborg</w:t>
            </w:r>
            <w:r>
              <w:rPr>
                <w:rFonts w:ascii="Times New Roman" w:cs="Times New Roman" w:eastAsia="Times New Roman" w:hAnsi="Times New Roman"/>
                <w:sz w:val="23"/>
                <w:szCs w:val="23"/>
                <w:color w:val="auto"/>
                <w:vertAlign w:val="superscript"/>
              </w:rPr>
              <w:t>(1)</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52</w:t>
            </w:r>
          </w:p>
        </w:tc>
        <w:tc>
          <w:tcPr>
            <w:tcW w:w="17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Director</w:t>
            </w:r>
          </w:p>
        </w:tc>
        <w:tc>
          <w:tcPr>
            <w:tcW w:w="2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1234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7" w:lineRule="exact"/>
        <w:rPr>
          <w:sz w:val="20"/>
          <w:szCs w:val="20"/>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I Directors and Director Nominees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 Gérard Ber, Director and Director Nominee</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Dr. Ber has been a member of our Board of Directors since December 2018. Dr. Ber has more than 30 years of experience in Molecular Nuclear Medicine (“MNM”) including development, production and commercialization of diagnostics and therapeutic products for several indications in oncology, cardiology, neurology and infectious/inflammatory diseases. In 2002, Dr. Ber co-founded Advanced Accelerator Applications S.A., and was its Chief Operating Officer from 2002 to 2018, when it was sold to Novartis AG. Dr. Ber grew Advanced Accelerator Applications S.A. from a start-up to a global leader in MNM and was member of its board of directors from 2002 to 2015, when Advanced Accelerator Applications S.A. listed on The Nasdaq Global Select Market. Dr. Ber currently serves on the board of Lantheus Holdings, Inc. (Nasdaq: LNTH) which is the parent company of Lantheus Medical Imaging, Inc., a company focused on diagnostic imaging. From 2019 until June 2020, Dr. Ber served on the board of Progenics Pharmaceuticals, Inc. (Nasdaq: PGNX). He received his Ph.D. degree in Pharmacy from the Scientific and Medical University of Grenoble. Dr. Ber currently serves as a member of our Compensation Committee and, if elected as a Class I director at the Annual Meeting, he will continue to serve in that capacity.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David N. Gill, Director and Director Nominee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Mr. Gill has been a member of our Board of Directors since December 2017. Mr. Gill has more than 30 years experience in medical device and life sciences industries. Mr. Gill served as Chief Financial Officer of Perspectum Ltd., a UK based diagnostic tools company from February 2021 to October 2021. Mr. Gill served as the President and Chief Financial Officer of EndoChoice, Inc., a medical device company focused on gastrointestinal disease, from April 2016 through the sale of the company in November 2016 and as Chief Financial Officer from August 2014 to November 2016. Previously, he served as the Chief Financial Officer of INC Research (now known as Syneos Health), a clinical research organization, from February 2011 to August 2013 after having served as a board member and its audit committee chairman from 2007 to 2010. Mr. Gill also currently serves on the board of Evolus, Inc. (EOLS). He previously served on the board of Strongbridge Biopharma plc. (SBBP), (acquired by Xeris Pharmaceuticals, Inc., in October 2021), Histogenics, Inc. (HSGX) (now Ocugen, Inc.), Melinta Therapeutics, Inc (MLNT)., and Strata Skin Sciences, Inc. (SSKN). Earlier in his career, Mr. Gill served in a variety of senior executive leadership roles for several medical device companies, including TransEnterix, NxStage Medical, CTI Molecular Imaging, Inc., Novoste Corporation and Dornier Medical. Mr. Gill holds a B.S. degree, cum laude, in accounting from Wake Forest University and an M.B.A. degree, with honors, from Emory University,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66" w:lineRule="auto"/>
        <w:rPr>
          <w:sz w:val="20"/>
          <w:szCs w:val="20"/>
          <w:color w:val="auto"/>
        </w:rPr>
      </w:pPr>
      <w:r>
        <w:rPr>
          <w:rFonts w:ascii="Times New Roman" w:cs="Times New Roman" w:eastAsia="Times New Roman" w:hAnsi="Times New Roman"/>
          <w:sz w:val="18"/>
          <w:szCs w:val="18"/>
          <w:color w:val="auto"/>
        </w:rPr>
        <w:t>and was formerly a certified public accountant. Mr. Gill currently serves as Chair of our Audit Committee, as a member of our Compensation Committee and our Nominating and Corporate Governance Committee and, if elected as a Class I director at the Annual Meeting, he will continue to serve in those capacities.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James I. Healy, M.D., Ph.D., Chairman of the Board of Directors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Dr. Healy has served as a member of our Board of Directors since November 2017 and was appointed as Chairman of the Board of Directors on April 22, 2022. Dr. Healy has been a General Partner at Sofinnova Investments (formerly Sofinnova Ventures), a biotech investment firm, since June 2000. Prior to June 2000, Dr. Healy held various positions at Sanderling Ventures, Bayer Healthcare Pharmaceuticals (as successor to Miles Laboratories) and ISTA Pharmaceuticals, Inc. Dr. Healy is currently on the board of directors of Ascendis Pharma A/S (Nasdaq: ASND), Bolt Therapeutics, Inc. (Nasdaq: BOLT), CinCor Pharma, Inc. (Nasdaq: CINC), NuCana plc (Nasdaq: NCNA), Karuna Therapeutics, Inc. (Nasdaq: KRTX), Natera, Inc. (Nasdaq: NTRA) and one private company. Previously, he served as a board member of Amarin Corporation, Auris Medical Holding AG, Edge Therapeutics, Inc., Hyperion Therapeutics, Inc., ObsEva SA, InterMune, Inc., Iterum Therapeutics plc, Anthera Pharmaceuticals, Inc., Coherus BioSciences, Inc., Durata Therapeutics, Inc., CoTherix, Inc., Movetis NV and several private companies. In 2011, Dr. Healy won the IBF Risk Innovator Award and was named as one of the industry’s top leading Life Science investors in 2013 by Forbes Magazine. Dr. Healy holds an M.D. and a Ph.D. in Immunology from Stanford University School of Medicine and holds a B.A. in Molecular Biology and a B.A. in Scandinavian Studies from the University of California, Berkeley. He was previously a Director on the National Venture Capital Association (NVCA) and the Board of the Biotechnology Industry Organization (BIO). Dr. Healy currently serves as a member of our Audit Committee.</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Ashutosh Tyagi, M.D., Director</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Dr. Tyagi has been a member of our Board of Directors since November 2017, representing until the end of 2018 Scopia Capital Management LP, or Scopia Capital, an institutional alternative asset management firm. Dr. Tyagi was with Scopia Capital from 2010 to 2018 (as a partner from 2012 to 2018). At Scopia Capital, Dr. Tyagi managed global health care investments and was a Co-Portfolio Manager of Scopia Capital’s health care funds. Prior to joining Scopia, he worked at Lombard Odier, Morgan Stanley, and Citigroup. Dr. Tyagi received a B.A. in Asian Studies from the University of Michigan, an MBA from the University of Michigan Business School and an M.D. from the University of Michigan School of Medicine. Dr. Tyagi currently serves as Chair of our Nominating and Corporate Governance Committee.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Laura Jean Hamill, Director</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Ms. Hamill has been a member of our Board of Directors since June 2020. Ms. Hamill has extensive experience in the biopharmaceutical industry, with over 30 years of global commercial experience in a variety of executive leadership positions. Most recently Ms. Hamill served as Executive Vice President, Worldwide Commercial Operations, for Gilead Sciences, Inc., where she was accountable for 2,200 employees, $22 billion in annual revenue and led the commercial strategy and long-term planning. As a member of the executive team she contributed to the corporate strategy and governance. Ms. Hamill also held a number of U.S. and international executive roles at Amgen, Inc., over an 18-year career with her last role being Senior Vice President US Commercial Operations, managing 2,000 employees across all Amgen’s therapeutic areas with annual revenue of $20 billion. Ms. Hamill’s areas of therapeutic expertise include inflammation, oncology, gene therapy, nephrology, osteoporosis, cardiovascular disease, migraine, HIV, hepatology, GI and anti-infectives. Ms. Hamill currently serves on the board of directors of AnaptysBio, Inc., (Nasdaq: ANAB), Pardes Biosciences, Inc. (Nasdaq: PRDS) and BB Biotech AG, (a Swiss public listed company). Ms. Hamill also is a board member for two private companies, Unchained Labs and Scilex Pharmaceuticals. Ms. Hamill previously served on the board of Acceleron Pharma Inc. Ms. Hamill holds a B.A. in business administration from the University of Arizona. Ms. Hamill currently serves as Chair of our Compensation Committee and a member of our Nominating and Corporate Governance Committee.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p>
      <w:pPr>
        <w:spacing w:after="0" w:line="225"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Thomas Gad, Founder, President, Interim Chief Executive Officer and Head of Business Development and Strategy, Director</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Gad founded our Company in April 2015 and served as our Chairman, until April 22, 2022.</w:t>
      </w:r>
    </w:p>
    <w:p>
      <w:pPr>
        <w:spacing w:after="0" w:line="16"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Mr. Gad has served as our President and Head of Business Development and Strategy since April 2015 and as our Interim Chief Executive Officer since April 22, 2022. Mr. Gad has been a member of our Board of Directors since our inception. Mr. Gad founded our Company inspired by his daughter, who went through six years of various cancer treatments before receiving breakthrough cancer immunotherapy at Memorial Sloan Kettering Cancer Center (“MSK”) and overcoming high-risk neuroblastoma.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B.S. in Business Administration from Pepperdine University.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Johan Wedell-Wedellsborg, Director</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Mr. Wedell-Wedellsborg has been a member of our Board of Directors since September 2015. Mr. Wedell -Wedellsborg has been the owner and Chairman of the board of Weco A/S (“Weco”) since May 2001. Weco is involved in shipping, investments in biotechnology companies, real estate investments and the financial services industry. Mr. Wedell-Wedellsborg is the majority owner of WG Biotech ApS, one of our principal stockholders. Mr. Wedell-Wedellsborg currently serves as a member of our Audit Committee.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has the responsibility for establishing broad corporate policies and for overseeing our overall performance. Members of our Board of Directors are kept informed of our business activities through discussions with our Interim Chief Executive Officer and President, our Chief Financial Officer and other officers, by reviewing analyses and reports sent to them, and by participating in Board of Directors and committee meetings. Mr. Gad currently serves as our Interim Chief Executive Officer, and we have not designated a lead independent director. Dr. Healy was appointed as the Chairman of our Board of Directors on April 22, 2022 and currently acts in that capacity. We believe that having the offices of Chairman of our Board of Directors and Chief Executive Officer held by two (2) different people is appropriate for a company of our size and stage of development in order to maximize efficiencies of our limited available personnel resources. In accordance with our amended and restated bylaws, our Board of Directors is divided into three (3) classes with staggered three-year terms. Our Board of Directors presently has an Audit Committee, a Compensation Committee and a Nominating and Corporate Governance Committee. As noted above, Mr. Gill is Chair of our Audit Committee, Ms. Hamill is Chair of our Compensation Committee and Dr. Tyagi is Chair of our Nominating and Corporate Governance Committee.</w:t>
      </w:r>
    </w:p>
    <w:p>
      <w:pPr>
        <w:spacing w:after="0" w:line="116"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believes that sound governance practices and policies provide an important framework to assist them in fulfilling their duty to stockholders. Our Board of Directors has implemented separate committees for the areas of audit, compensation and nomination of directors, annual review of the independence of our Audit and Compensation Committee members, maintenance of a majority of independent directors, and written expectations of management and directors, among other best practices.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Determination of Independence</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Rule 5605 of the Nasdaq Listing Rules requires a majority of a listed company’s board of directors to be comprised of independent directors within one (1) year of listing. In addition, the Nasdaq Listing Rules require that, subject to specified exceptions, each member of a listed company’s audit, compensation and nominating and corporate governance committees be independent under the Exchange Act. Audit committee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the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a company’s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343"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April 2022, our Board of Directors undertook a review of the composition of our Board of Directors and its committees and the independence of each director including the two director nominees. Based upon information requested from and provided by each director including the two director nominees concerning his or her background, employment and affiliations, including family relationships, our Board of Directors has determined that following the Annual Meeting, each of our directors, other than Mr. Gad, is an “independent director” as defined under Rule 5605(a)(2) of the Nasdaq Listing Rules. Mr. Gad is not an independent director under Rule 5605(a)(2) because he is our President and Interim Chief Executive Officer. Our Board of Directors also determined that each of Mr. Gill (if elected), Dr. Healy and Mr. Wedell-Wedellsborg, all of whom will continue to comprise our Audit Committee following the Annual Meeting, satisfies the independence standards for the Audit Committee established by the SEC and the Nasdaq Listing Rules, including the independence requirements contemplated by Rule 10A-3 under the Exchange Act. Our Board of Directors further determined that, each of Dr. Ber (if elected), Mr. Gill (if elected), and Ms. Hamill, members of our Compensation Committee, are independent within the meaning of Rule 10C-1 under the Exchange Act. Finally, our Board of Directors determined that each of Mr. Gill (if elected),</w:t>
      </w:r>
    </w:p>
    <w:p>
      <w:pPr>
        <w:spacing w:after="0" w:line="12" w:lineRule="exact"/>
        <w:rPr>
          <w:sz w:val="20"/>
          <w:szCs w:val="20"/>
          <w:color w:val="auto"/>
        </w:rPr>
      </w:pPr>
    </w:p>
    <w:p>
      <w:pPr>
        <w:ind w:left="1260" w:right="519"/>
        <w:spacing w:after="0" w:line="252" w:lineRule="auto"/>
        <w:rPr>
          <w:sz w:val="20"/>
          <w:szCs w:val="20"/>
          <w:color w:val="auto"/>
        </w:rPr>
      </w:pPr>
      <w:r>
        <w:rPr>
          <w:rFonts w:ascii="Times New Roman" w:cs="Times New Roman" w:eastAsia="Times New Roman" w:hAnsi="Times New Roman"/>
          <w:sz w:val="18"/>
          <w:szCs w:val="18"/>
          <w:color w:val="auto"/>
        </w:rPr>
        <w:t>Ms. Hamill and Dr. Tyagi, members of our Nominating and Corporate Governance Committee, meets the independence requirements of the Nasdaq Listing Rules with regard to the independence of the members of nominating and corporate governance committees. In making such determinations, our Board of Directors considered the relationships that each such non-employee director and nominee has with the Company and all other facts and circumstances our Board of Directors deemed relevant in determining independence, including the beneficial ownership of our capital stock by each non-employee director and nominee.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value diverse perspectives and believe different points of view brought through diverse representation lead to better business performance, decision making and understanding. In addition to industry expertise and professional experience, our Board values representation that reflects diversity in other important categories including gender, race/ethnicity and sexual orientation. As a listed company on The Nasdaq Global Select Market, Nasdaq Rule 5605(f) requires that we have at least two diverse board members (or to explain the Company’s reasons for not meeting this diversity objective) and at least one diverse director must self-identify as female, and the other director must self-identify as either a racial or ethnic minority or a member of the LGBTQ+ community. Based on information provided by our directors in connection with the preparation of this Proxy Statement, our Board of Directors has determined that we meet the diversity requirements related to board composition set forth in Nasdaq Rule5605(f). Set forth below is a matrix related to such diversity determination.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80" w:firstLine="360"/>
        <w:spacing w:after="0" w:line="282" w:lineRule="auto"/>
        <w:rPr>
          <w:sz w:val="20"/>
          <w:szCs w:val="20"/>
          <w:color w:val="auto"/>
        </w:rPr>
      </w:pPr>
      <w:r>
        <w:rPr>
          <w:rFonts w:ascii="Times New Roman" w:cs="Times New Roman" w:eastAsia="Times New Roman" w:hAnsi="Times New Roman"/>
          <w:sz w:val="18"/>
          <w:szCs w:val="18"/>
          <w:color w:val="auto"/>
        </w:rPr>
        <w:t>The Company’s Board Diversity Matrix identifies each director’s self-identified diversity characteristics, as follows:</w:t>
      </w:r>
    </w:p>
    <w:p>
      <w:pPr>
        <w:spacing w:after="0" w:line="9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 (As of April 29, 2022)</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5"/>
              </w:rPr>
              <w:t>Board​</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Diversity Matrix</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4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6"/>
        </w:trPr>
        <w:tc>
          <w:tcPr>
            <w:tcW w:w="36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1220" w:type="dxa"/>
            <w:vAlign w:val="bottom"/>
            <w:gridSpan w:val="5"/>
          </w:tcPr>
          <w:p>
            <w:pPr>
              <w:ind w:left="40"/>
              <w:spacing w:after="0" w:line="305"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Female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Male</w:t>
            </w:r>
          </w:p>
        </w:tc>
        <w:tc>
          <w:tcPr>
            <w:tcW w:w="960" w:type="dxa"/>
            <w:vAlign w:val="bottom"/>
            <w:gridSpan w:val="4"/>
          </w:tcPr>
          <w:p>
            <w:pPr>
              <w:jc w:val="right"/>
              <w:spacing w:after="0" w:line="305"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Non-Binary</w:t>
            </w:r>
            <w:r>
              <w:rPr>
                <w:rFonts w:ascii="Times New Roman" w:cs="Times New Roman" w:eastAsia="Times New Roman" w:hAnsi="Times New Roman"/>
                <w:sz w:val="28"/>
                <w:szCs w:val="28"/>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53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Number of Directors Who Identify in Any of the Categories Below:</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Hispanic or Latinx</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0" w:type="dxa"/>
            <w:vAlign w:val="bottom"/>
          </w:tcPr>
          <w:p>
            <w:pPr>
              <w:spacing w:after="0"/>
              <w:rPr>
                <w:sz w:val="23"/>
                <w:szCs w:val="23"/>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5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LGBTQ+</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-1705610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-1705610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-1705610</wp:posOffset>
            </wp:positionV>
            <wp:extent cx="120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&amp; Governance (“ESG”) Overview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701" w:lineRule="exact"/>
        <w:rPr>
          <w:sz w:val="20"/>
          <w:szCs w:val="20"/>
          <w:color w:val="auto"/>
        </w:rPr>
      </w:pPr>
    </w:p>
    <w:p>
      <w:pPr>
        <w:sectPr>
          <w:pgSz w:w="11900" w:h="16838" w:orient="portrait"/>
          <w:cols w:equalWidth="0" w:num="2">
            <w:col w:w="9140" w:space="320"/>
            <w:col w:w="419"/>
          </w:cols>
          <w:pgMar w:left="580" w:top="97" w:right="1440" w:bottom="1440" w:gutter="0" w:footer="0" w:header="0"/>
          <w:type w:val="continuous"/>
        </w:sect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aim to operate all of our operations in a safe and responsible manner that respects the environment and protects the safety and health of our employees, our business partners and our communities. We are committed to conducting our business in an ethical manner in every culture and geography that we operate. We are committed to making our workforce inclusive, our business sustainable and friendly to the environment.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Sustainability Efforts</w:t>
      </w:r>
    </w:p>
    <w:p>
      <w:pPr>
        <w:spacing w:after="0" w:line="16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believe that sustainable practices are essential to the long-term success of our business and that we have a responsibility to consider how our business interacts with society, impacts the environment, and can affect the global economy.</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and our employees are committed to:</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21"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employees from hazardous materials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management of waste and prevention of pollution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121"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culture that promotes personal health and safety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 culture that promotes transparency and clear communication</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Embracing diversity, equity, and inclusion, both in the workplace and with customers, suppliers, and vendors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compensating our employees commensurate with skills and experience in each market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Upholding fair and ethical labor, governance, and finance practices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ethical organizational governance through training of our employee base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transparency, accountability, and engagement with our stockholders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Some of the materials and chemicals traditionally used in our operations could cause harm to the environment and the people who handle the materials and chemicals, if proper safeguards and protocols are not implemented. We believe in responsible environmental management to protect our employees, patients, community, stockholders and the environment. We may use hazardous materials in our laboratories, and we have put in place routines to handle such materials in a way that minimizes the impact on the environment. However, as we operate our laboratories from rented facilities where services for the proper handling and disposal of hazardous materials are readily available and we conduct our business in a highly regulated industry, our potential impact on the environment and climate is viewed as limited. As a result, no specific environment and climate policies have been adopted to date.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strive to create and maintain a professional and safe work environment that fosters a collaborative culture among employees. We promote diversity, equity, and inclusion, continuous learning, and seek to engage employees with development opportunities. We are committed to individual employee success.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A key component of our success is a strong foundation of corporate governance practices and policies that promote transparency, accountability and engagement exemplified by our Board of Directors. We maintain our corporate governance guidelines to provide direction to our Board of Directors and senior management on topics such as board member qualifications, the evaluation process for our CEO and board members and reporting conflicts of interest. In addition to the guidelines and governance practices that are described throughout this Proxy Statement, each committee of the Board of Directors has a charter. All of these documents are available on our website at www.ymabs.com.</w:t>
      </w:r>
    </w:p>
    <w:p>
      <w:pPr>
        <w:spacing w:after="0" w:line="104" w:lineRule="exact"/>
        <w:rPr>
          <w:sz w:val="20"/>
          <w:szCs w:val="20"/>
          <w:color w:val="auto"/>
        </w:rPr>
      </w:pPr>
    </w:p>
    <w:p>
      <w:pPr>
        <w:ind w:left="1260" w:right="55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(“DEI”). </w:t>
      </w:r>
      <w:r>
        <w:rPr>
          <w:rFonts w:ascii="Times New Roman" w:cs="Times New Roman" w:eastAsia="Times New Roman" w:hAnsi="Times New Roman"/>
          <w:sz w:val="18"/>
          <w:szCs w:val="18"/>
          <w:color w:val="auto"/>
        </w:rPr>
        <w:t>We seek to recruit and maintain a diverse and inclusive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 that reflects the communities that we serve. Our recruitment process works to locate candidates, from diverse backgrounds, for all open positions. We are committed to having a diverse talent pipeline.</w:t>
      </w:r>
    </w:p>
    <w:p>
      <w:pPr>
        <w:spacing w:after="0" w:line="103"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 to Values and Ethics. </w:t>
      </w:r>
      <w:r>
        <w:rPr>
          <w:rFonts w:ascii="Times New Roman" w:cs="Times New Roman" w:eastAsia="Times New Roman" w:hAnsi="Times New Roman"/>
          <w:sz w:val="18"/>
          <w:szCs w:val="18"/>
          <w:color w:val="auto"/>
        </w:rPr>
        <w:t>We discuss and act in accordance with our Code of Conduct,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outlines our expectations and provides guidance for all employees. Our Code of Conduct and related corporate codes and guidelines include topics such as anti-corruption, discrimination, harassment, privacy, appropriate use of company assets, protecting confidential information, and reporting violations. Our Code of Conduct and related corporate codes and guidelines reinforce the importance of fostering an open, welcoming environment in which all employees have a voice and a confidential outlet to raise concerns regarding potential violations.</w:t>
      </w:r>
    </w:p>
    <w:p>
      <w:pPr>
        <w:spacing w:after="0" w:line="34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addition, we maintain high standards for all employees which include reasonable work hours and time off, equal opportunity employment, and a professional work environment that does not tolerate any form of harassment or discrimination. We and our employees strive to achieve and maintain a positive work environment. We believe the emphasis we place on selecting and training supervisors positively impacts their ability to lead people. Our leadership principles of communications, collaboration and career development are designed to improve the employee experience and strengthen working relationships.</w:t>
      </w:r>
    </w:p>
    <w:p>
      <w:pPr>
        <w:spacing w:after="0" w:line="102" w:lineRule="exact"/>
        <w:rPr>
          <w:sz w:val="20"/>
          <w:szCs w:val="20"/>
          <w:color w:val="auto"/>
        </w:rPr>
      </w:pPr>
    </w:p>
    <w:p>
      <w:pPr>
        <w:ind w:left="1260" w:right="5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Health &amp; Safety. </w:t>
      </w:r>
      <w:r>
        <w:rPr>
          <w:rFonts w:ascii="Times New Roman" w:cs="Times New Roman" w:eastAsia="Times New Roman" w:hAnsi="Times New Roman"/>
          <w:sz w:val="18"/>
          <w:szCs w:val="18"/>
          <w:color w:val="auto"/>
        </w:rPr>
        <w:t>We managed the ongoing COVID-19 pandemic in 2021 by building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experiences from 2020 and with an emphasis on flexibility and timely communication. Our goal has been and continues to be to keep our employees safe through ability to work from home, social distancing, and regular communication with our employees.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Meetings and Attendance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held five (5) meetings and acted by written consent three (3) times, during the year ended December 31, 2021 (“fiscal 2021”). During fiscal 2021, each of the directors then in office attended at least 75% of the aggregate of the number of Board of Director meetings and the number of meetings held by all committees of the Board of Directors on which such director then served. Members of our Board of Directors are invited to attend each annual meeting of stockholders.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Communicating with the Independent Directors</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will give appropriate attention to written communications that are submitted by stockholders, and will respond if and as appropriate. The Chairman of our Board of Directors (if an independent director), or the lead independent director (if one is appointed), or otherwise the Chair of the Nominating and Corporate Governance Committee, subject to advice and assistance from our Chief Financial Officer, is primarily responsible for monitoring communications from stockholders and for providing copies or summaries to the other directors as he or she considers appropriate.</w:t>
      </w:r>
    </w:p>
    <w:p>
      <w:pPr>
        <w:spacing w:after="0" w:line="106"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the Chairman of our Board of Directors, Chair of our Audit Committee, Chair of our Compensation Committee or Chair of our Nominating and Corporate Governance Committee, as applicable,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2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of Directors should address such communications to Y-mAbs Therapeutics, Inc., Attention: Secretary, 230 Park Avenue, Suite 3350, New York, New York 10169.</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 Relations —  Corporate Governance — Governance Overview” section of our website, which is located at www.ymabs.com.</w:t>
      </w:r>
    </w:p>
    <w:p>
      <w:pPr>
        <w:spacing w:after="0" w:line="322"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fiscal 2021 for each of the committees of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 Gérard Ber</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David N. Gill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 James I. Healy</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 Ashutosh Tyagi</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Laura J. Hamill</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meetings in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Committee Chair for fiscal 2021.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Nominating and</w:t>
            </w: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4"/>
                <w:szCs w:val="14"/>
                <w:color w:val="auto"/>
              </w:rPr>
            </w:pPr>
          </w:p>
        </w:tc>
      </w:tr>
      <w:tr>
        <w:trPr>
          <w:trHeight w:val="214"/>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Audit </w:t>
            </w:r>
            <w:r>
              <w:rPr>
                <w:rFonts w:ascii="Times New Roman" w:cs="Times New Roman" w:eastAsia="Times New Roman" w:hAnsi="Times New Roman"/>
                <w:sz w:val="24"/>
                <w:szCs w:val="24"/>
                <w:b w:val="1"/>
                <w:bCs w:val="1"/>
                <w:color w:val="auto"/>
                <w:vertAlign w:val="subscript"/>
              </w:rPr>
              <w:t>​</w:t>
            </w:r>
          </w:p>
        </w:tc>
        <w:tc>
          <w:tcPr>
            <w:tcW w:w="108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Compensation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18"/>
                <w:szCs w:val="18"/>
                <w:color w:val="auto"/>
                <w:w w:val="91"/>
              </w:rPr>
              <w:t>X</w:t>
            </w:r>
          </w:p>
        </w:tc>
        <w:tc>
          <w:tcPr>
            <w:tcW w:w="240" w:type="dxa"/>
            <w:vAlign w:val="bottom"/>
          </w:tcPr>
          <w:p>
            <w:pPr>
              <w:spacing w:after="0"/>
              <w:rPr>
                <w:sz w:val="21"/>
                <w:szCs w:val="21"/>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00"/>
              <w:spacing w:after="0" w:line="256" w:lineRule="exact"/>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18"/>
                <w:szCs w:val="18"/>
                <w:color w:val="auto"/>
                <w:w w:val="91"/>
              </w:rPr>
              <w:t>X</w:t>
            </w:r>
          </w:p>
        </w:tc>
        <w:tc>
          <w:tcPr>
            <w:tcW w:w="240" w:type="dxa"/>
            <w:vAlign w:val="bottom"/>
          </w:tcPr>
          <w:p>
            <w:pPr>
              <w:spacing w:after="0"/>
              <w:rPr>
                <w:sz w:val="22"/>
                <w:szCs w:val="22"/>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X</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6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29"/>
                <w:szCs w:val="29"/>
                <w:color w:val="auto"/>
                <w:vertAlign w:val="subscript"/>
              </w:rPr>
              <w:t>X</w:t>
            </w:r>
            <w:r>
              <w:rPr>
                <w:rFonts w:ascii="Times New Roman" w:cs="Times New Roman" w:eastAsia="Times New Roman" w:hAnsi="Times New Roman"/>
                <w:sz w:val="11"/>
                <w:szCs w:val="11"/>
                <w:color w:val="auto"/>
              </w:rPr>
              <w:t>(1)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0"/>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line="300" w:lineRule="exact"/>
              <w:rPr>
                <w:sz w:val="20"/>
                <w:szCs w:val="20"/>
                <w:color w:val="auto"/>
              </w:rPr>
            </w:pP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color w:val="auto"/>
                <w:vertAlign w:val="subscript"/>
              </w:rPr>
              <w:t>X</w:t>
            </w:r>
            <w:r>
              <w:rPr>
                <w:rFonts w:ascii="Times New Roman" w:cs="Times New Roman" w:eastAsia="Times New Roman" w:hAnsi="Times New Roman"/>
                <w:sz w:val="12"/>
                <w:szCs w:val="12"/>
                <w:color w:val="auto"/>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0"/>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line="300" w:lineRule="exact"/>
              <w:rPr>
                <w:sz w:val="20"/>
                <w:szCs w:val="20"/>
                <w:color w:val="auto"/>
              </w:rPr>
            </w:pPr>
            <w:r>
              <w:rPr>
                <w:rFonts w:ascii="Times New Roman" w:cs="Times New Roman" w:eastAsia="Times New Roman" w:hAnsi="Times New Roman"/>
                <w:sz w:val="34"/>
                <w:szCs w:val="34"/>
                <w:b w:val="1"/>
                <w:bCs w:val="1"/>
                <w:color w:val="auto"/>
                <w:vertAlign w:val="subscript"/>
              </w:rPr>
              <w:t>​</w:t>
            </w:r>
            <w:r>
              <w:rPr>
                <w:rFonts w:ascii="Times New Roman" w:cs="Times New Roman" w:eastAsia="Times New Roman" w:hAnsi="Times New Roman"/>
                <w:sz w:val="34"/>
                <w:szCs w:val="34"/>
                <w:color w:val="auto"/>
                <w:vertAlign w:val="subscript"/>
              </w:rPr>
              <w:t>X</w:t>
            </w:r>
            <w:r>
              <w:rPr>
                <w:rFonts w:ascii="Times New Roman" w:cs="Times New Roman" w:eastAsia="Times New Roman" w:hAnsi="Times New Roman"/>
                <w:sz w:val="12"/>
                <w:szCs w:val="12"/>
                <w:color w:val="auto"/>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240" w:type="dxa"/>
            <w:vAlign w:val="bottom"/>
          </w:tcPr>
          <w:p>
            <w:pPr>
              <w:spacing w:after="0"/>
              <w:rPr>
                <w:sz w:val="22"/>
                <w:szCs w:val="22"/>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-856615</wp:posOffset>
            </wp:positionV>
            <wp:extent cx="474916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-530860</wp:posOffset>
            </wp:positionV>
            <wp:extent cx="474916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-187960</wp:posOffset>
            </wp:positionV>
            <wp:extent cx="474916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-1190625</wp:posOffset>
            </wp:positionV>
            <wp:extent cx="47491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580" w:space="720"/>
            <w:col w:w="3579"/>
          </w:cols>
          <w:pgMar w:left="580" w:top="97" w:right="1440" w:bottom="1440" w:gutter="0" w:footer="0" w:header="0"/>
          <w:type w:val="continuous"/>
        </w:sectPr>
      </w:pPr>
    </w:p>
    <w:p>
      <w:pPr>
        <w:ind w:left="1620" w:right="85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Laura J. Hamill replaced Dr. Gérard Ber as member of the Nominating and Corporate Governance Committee on August 3, 2021.</w:t>
      </w:r>
    </w:p>
    <w:p>
      <w:pPr>
        <w:spacing w:after="0" w:line="80"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 description of each committee of the Board of Directors.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1800" w:right="5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 related complaints and concerns;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current members of our Audit Committee are Mr. Gill, Dr. Healy and Mr. Wedell-Wedellsborg. Mr. Gill is Chair of our Audit Committee. Our Board of Directors has determined that Mr. Gill qualifies as an “Audit Committee financial expert” within the meaning of applicable SEC rules. Our Audit Committee held four (4) meetings during fiscal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Compensation Committee’s responsibilities include:</w:t>
      </w:r>
    </w:p>
    <w:p>
      <w:pPr>
        <w:spacing w:after="0" w:line="131" w:lineRule="exact"/>
        <w:rPr>
          <w:sz w:val="20"/>
          <w:szCs w:val="20"/>
          <w:color w:val="auto"/>
        </w:rPr>
      </w:pPr>
    </w:p>
    <w:p>
      <w:pPr>
        <w:ind w:left="1800" w:right="14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senior executives;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17"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such disclosure is then required by SEC rules;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then required by SEC rules.</w:t>
      </w:r>
    </w:p>
    <w:p>
      <w:pPr>
        <w:spacing w:after="0" w:line="144"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processes and procedures followed by our Compensation Committee in considering and determining executive and director compensation are described below under the heading “Narrative Disclosure to Summary Compensation Table”.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current members of our Compensation Committee are Dr. Ber, Mr. Gill and Ms. Hamill.</w:t>
      </w:r>
    </w:p>
    <w:p>
      <w:pPr>
        <w:spacing w:after="0" w:line="27" w:lineRule="exact"/>
        <w:rPr>
          <w:sz w:val="20"/>
          <w:szCs w:val="20"/>
          <w:color w:val="auto"/>
        </w:rPr>
      </w:pPr>
    </w:p>
    <w:p>
      <w:pPr>
        <w:ind w:left="1260" w:right="599"/>
        <w:spacing w:after="0" w:line="255" w:lineRule="auto"/>
        <w:rPr>
          <w:sz w:val="20"/>
          <w:szCs w:val="20"/>
          <w:color w:val="auto"/>
        </w:rPr>
      </w:pPr>
      <w:r>
        <w:rPr>
          <w:rFonts w:ascii="Times New Roman" w:cs="Times New Roman" w:eastAsia="Times New Roman" w:hAnsi="Times New Roman"/>
          <w:sz w:val="18"/>
          <w:szCs w:val="18"/>
          <w:color w:val="auto"/>
        </w:rPr>
        <w:t>Ms. Hamill is Chair of our Compensation Committee. Our Compensation Committee held 1 (one) meeting and acted by written consent four (4) times during fiscal 2021. Effective April 26, 2022, Ms. Hamill replaced Dr. Healy as Chair of the Compensation Committee.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1800" w:right="5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of our board’s committees;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 and board committee structure;</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our board.</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Ms. Hamill, Mr. Gill and Dr. Tyagi. Dr. Tyagi is the current Chair of the Nominating and Corporate Governance Committee. The Nominating and Corporate Governance Committee held one (1) meeting during fiscal 2021.</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Criteria and Diversity</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integrity, business acumen, knowledge of our business and industry, the ability to act in the interests of all stockholders and lack of conflicts of interest. Pursuant to our Corporate Governance Guidelines, it is the general policy of the Board of Directors to seek to have on the Board of Directors at least two members who are “Diverse” as defined by Nasdaq Stock Market Rule 5605(f).</w:t>
      </w:r>
    </w:p>
    <w:p>
      <w:pPr>
        <w:spacing w:after="0" w:line="11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biographies for the director nominees set forth in this proxy statement under the heading “Board of Directors and Corporate Governance — Election of Directors,” indicate each nominee’s experience, qualifications, attributes and skills that led our Nominating and Corporate Governance Committee and our Board of Directors to conclude that she or he should be elected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Nominating and Corporate Governance Committee does not have a specific policy (formal or informal) with respect to diversity, but believes that our board, taken as a whole, should embody a diverse set of skills, experiences and backgrounds. In this regard, the Nominating and Corporate Governance Committee also takes into consideration the diversity of members of our Board of Directors, including members and candidates who self-identify their gender as female and candidates from underrepresented communities. The Nominating and Corporate Governance Committee does not make any particular weighting of diversity or any other characteristic in evaluating nominees and directors. Our Nominating and Corporate Governence Committee reviews information provided by our directors and potential candidates for membership on the Board taking into consideration the diversity requirements set forth in Nasdaq Rule 5605(f), which, as noted above, requires that we have at least two diverse board members (or to explain the Company’s reasons for not meeting this diversity objective) and at least one diverse director must self- identify as female, and the other director must self-identify as either a racial or ethnic minority or a member of the LGBTQ+ community.</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16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Stockholders may recommend individuals to our Nominating and Corporate Governance Committee for consideration as potential director candidates by submitting their names, together with appropriate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biographical information and background materials, to Y-mAbs Therapeutics, Inc., Attention: Secretary, 230 Park Avenue, Suite 3350, New York, New York 10169. Assuming that appropriate biographical and background material has been provided on or before the dates set forth in this proxy statement under the heading “Stockholder Proposals for our 2023 Annual Meeting”, the Nominating and Corporate Governance Committee will evaluate stockholder-recommended candidates by following substantially the same process, and applying substantially the same criteria, as it follows for candidates submitted by others. If our Board of Directors determines to nominate a stockholder-recommended candidate and recommends his or her election, then his or her name will be included in our proxy card for the next annual meeting.</w:t>
      </w:r>
    </w:p>
    <w:p>
      <w:pPr>
        <w:spacing w:after="0" w:line="11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Stockholders also have the right under our amended and restated by-laws to directly nominate director candidates, without any action or recommendation on the part of the Nominating and Corporate Governance Committee or our Board of Directors, by following the procedures set forth in this proxy statement under the heading “Stockholder Proposals for our 2023 Annual Meeting.”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Oversight of Risk</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oversees our risk management processes directly and through its committees. Our management is responsible for risk management on a day to day basis. The role of our Board of Directors and its committees is to oversee the risk management activities of management. Our Board of Directors fulfills this duty by discussing with management the policies and practices utilized by management in assessing and managing risks and providing input on those policies and practices. In general, our Board of Directors oversees risk management activities relating to business strategy, acquisitions, capital allocation, organizational structure and certain operational risks.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the composition of our Board of Directors and management succession planning. Each committee reports to the full Board of Directors on a regular basis, including reports with respect to the committee’s risk oversight activities as appropriate. In addition, since risk issues often overlap, committees from time to time request that the full Board of Directors discuss particular risks.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During fiscal 2021, the members of our Compensation Committee were Dr. Healy (chair), Dr. Ber and Mr. Gill. No director serving on the Compensation Committee during any part of fiscal 2021 was, at any time either during or before such fiscal year, an officer or employee of the Company or any of its subsidiaries. 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62"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or among the directors, executive officers or persons nominated or chosen by us to become directors or executive officers.</w:t>
      </w:r>
    </w:p>
    <w:p>
      <w:pPr>
        <w:spacing w:after="0" w:line="9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There are no arrangements or understandings between any two (2) or more of our directors or executive officers or between any of our directors or executive officers and any other person pursuant to which any director or officer was or is to be selected as a director or officer, and there is no arrangement, plan or understanding as to whether non-management stockholders will exercise their voting rights to continue to elect the current Board of Directors. There are also no arrangements, agreements or understandings between non -management stockholders that may directly or indirectly participate in or influence the management of our affairs.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Compliance Policy</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prepaid variable forward contracts, equity swaps, collars and exchange funds) create a heightened compliance risk or could create the appearance of misalignment between management</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 public information or otherwise is not permitted to trade in Company securities. Our insider trading compliance policy expressly prohibits our employees, officers and directors, or any of their designees, from purchasing any such financial instruments, pledging our stock or otherwise engaging in transactions that hedge or offset, or are designed to hedge or offset, any decrease in the market value of any of our securities. Our insider trading compliance policy also provides that such individuals should not engage in the trading of options to purchase or sell our securities or in derivative transactions of our stock and expressly prohibits purchases of any derivative securities that provide the economic equivalent of ownership.</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4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Our Board of Directors has adopted a written Code of Conduct that applies to our directors, officers and employees, including our principal executive officer, principal financial officer, principal accounting officer or controller, or persons performing similar functions. Our Code of Conduct has been distributed to all directors, officers, and employees. A copy of our Code of Conduct can be found under the “Investors —  Corporate Governance — Governance Overview” section of our website at www.ymabs.com. We intend to disclose future amendments to certain provisions of our Code of Conduct, or waivers of such provisions, applicable to our directors and executive officers, at the same location on our website identified above. The inclusion of our website address in this proxy statement does not include or incorporate by reference the information on our website into this proxy statement.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to set forth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 (a “related party transaction”). Additionally, for the purposes of such related person transaction policy, our Board of Directors has determined that MSK shall be regarded as a related person irrespective of MSK’s beneficial ownership level.</w:t>
      </w:r>
    </w:p>
    <w:p>
      <w:pPr>
        <w:spacing w:after="0" w:line="11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Any proposed related party transaction must be reported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1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 related person transaction reviewed under this policy will be considered approved or ratified if it is authorized by our Audit Committee in accordance with the standards set forth in the policy after full disclosure of the related person’s interests in the transaction. As appropriate for the circumstances, the policy provides that our Audit Committee will review and consider:</w:t>
      </w:r>
    </w:p>
    <w:p>
      <w:pPr>
        <w:spacing w:after="0" w:line="72"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the terms that could have been reached with an unrelated third party;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Audit Committee may approve or ratify the related person transaction only if our Audit Committee determines that, under all of the circumstances, the transaction is in our best interests. Our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elsewhere in this proxy statement, since January 1, 2021, we have engaged in, or currently propose to engage in, the following transactions in which the amount involved exceeds $120,000 and any of our executive officers, directors, director nominees or 5% stockholders, or their immediate family members, or any person who was in any of those categories at the time of such transaction, had or has a direct or indirect material interest. We believe that all of these transactions were on terms comparable to terms that could have been obtained from unrelated third parties.</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Provision of Glucan to MSK for the conduct of clinical studies</w:t>
      </w:r>
    </w:p>
    <w:p>
      <w:pPr>
        <w:spacing w:after="0" w:line="14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November 2021 we entered into two memorandum of understandings with MSK concerning our supply of oral ß-glucan to support the conduct of two investigator initiated studies (Study 05-075 and 21-206). Oral ß-glucan is required as an adjuvant for the development of our investigational bivalent GD2-GD3 Vaccine. We agreed to source at our costs from a third-party manufacturer up to three batches of 150 liters of Oral ß-glucan to be delivered to MSK. The total value of three batches of Oral ß-glucan was a total of approx. $550,000. This value represents the manufacturing and delivery costs that Y-mAbs pays to the third party manufacturer.</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Lactonization, Sterile Fill, Finish and release of investigational bivalent GD2-GD3 Vaccine</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October 2021, we agreed with MSK that MSK would perform certain services including lactonization, sterile fill, finish and release of our investigational bivalent GD2-GD3 Vaccine at a total price of approx. $132,000.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Certain information regarding our executive officers as of the date of this Proxy Statement is set forth below.</w:t>
      </w:r>
    </w:p>
    <w:p>
      <w:pPr>
        <w:sectPr>
          <w:pgSz w:w="11900" w:h="16838" w:orient="portrait"/>
          <w:cols w:equalWidth="0" w:num="1">
            <w:col w:w="9879"/>
          </w:cols>
          <w:pgMar w:left="580" w:top="97" w:right="1440" w:bottom="1440" w:gutter="0" w:footer="0" w:header="0"/>
        </w:sectPr>
      </w:pPr>
    </w:p>
    <w:p>
      <w:pPr>
        <w:spacing w:after="0" w:line="1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2143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Thomas Gad</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 Kruse</w:t>
      </w:r>
    </w:p>
    <w:p>
      <w:pPr>
        <w:spacing w:after="0" w:line="2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Torben Lund-Hansen, Ph.D.</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Steen Lisby, M.D., DMSc</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Joris Wiel Jan Wilms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Susan Smith</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Vignesh Rajah, M.D.</w:t>
      </w:r>
    </w:p>
    <w:p>
      <w:pPr>
        <w:spacing w:after="0" w:line="20" w:lineRule="exact"/>
        <w:rPr>
          <w:sz w:val="20"/>
          <w:szCs w:val="20"/>
          <w:color w:val="auto"/>
        </w:rPr>
      </w:pPr>
      <w:r>
        <w:rPr>
          <w:sz w:val="20"/>
          <w:szCs w:val="20"/>
          <w:color w:val="auto"/>
        </w:rPr>
        <w:br w:type="column"/>
      </w:r>
    </w:p>
    <w:p>
      <w:pPr>
        <w:ind w:left="5"/>
        <w:spacing w:after="0"/>
        <w:tabs>
          <w:tab w:leader="none" w:pos="2424"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27305</wp:posOffset>
            </wp:positionV>
            <wp:extent cx="2983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6" w:lineRule="exact"/>
        <w:rPr>
          <w:sz w:val="20"/>
          <w:szCs w:val="20"/>
          <w:color w:val="auto"/>
        </w:rPr>
      </w:pPr>
    </w:p>
    <w:p>
      <w:pPr>
        <w:ind w:left="505" w:hanging="505"/>
        <w:spacing w:after="0" w:line="271" w:lineRule="auto"/>
        <w:tabs>
          <w:tab w:leader="none" w:pos="1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 Founder, President, Interim Chief Executive Officer and Head of Business Development and Strategy</w:t>
      </w:r>
    </w:p>
    <w:p>
      <w:pPr>
        <w:spacing w:after="0" w:line="1" w:lineRule="exact"/>
        <w:rPr>
          <w:rFonts w:ascii="Times New Roman" w:cs="Times New Roman" w:eastAsia="Times New Roman" w:hAnsi="Times New Roman"/>
          <w:sz w:val="18"/>
          <w:szCs w:val="18"/>
          <w:color w:val="auto"/>
        </w:rPr>
      </w:pPr>
    </w:p>
    <w:p>
      <w:pPr>
        <w:ind w:left="505" w:right="380" w:hanging="505"/>
        <w:spacing w:after="0" w:line="273" w:lineRule="auto"/>
        <w:tabs>
          <w:tab w:leader="none" w:pos="1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 Executive Vice President, Secretary, Treasurer, and Chief Financial Officer</w:t>
      </w:r>
    </w:p>
    <w:p>
      <w:pPr>
        <w:spacing w:after="0" w:line="1" w:lineRule="exact"/>
        <w:rPr>
          <w:rFonts w:ascii="Times New Roman" w:cs="Times New Roman" w:eastAsia="Times New Roman" w:hAnsi="Times New Roman"/>
          <w:sz w:val="18"/>
          <w:szCs w:val="18"/>
          <w:color w:val="auto"/>
        </w:rPr>
      </w:pPr>
    </w:p>
    <w:p>
      <w:pPr>
        <w:ind w:left="165" w:hanging="165"/>
        <w:spacing w:after="0" w:line="180" w:lineRule="auto"/>
        <w:tabs>
          <w:tab w:leader="none" w:pos="165"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Senior Vice President and Chief Technical Officer</w:t>
      </w:r>
    </w:p>
    <w:p>
      <w:pPr>
        <w:spacing w:after="0" w:line="1" w:lineRule="exact"/>
        <w:rPr>
          <w:rFonts w:ascii="Times New Roman" w:cs="Times New Roman" w:eastAsia="Times New Roman" w:hAnsi="Times New Roman"/>
          <w:sz w:val="36"/>
          <w:szCs w:val="36"/>
          <w:color w:val="auto"/>
          <w:vertAlign w:val="superscript"/>
        </w:rPr>
      </w:pPr>
    </w:p>
    <w:p>
      <w:pPr>
        <w:ind w:left="165" w:hanging="165"/>
        <w:spacing w:after="0" w:line="184" w:lineRule="auto"/>
        <w:tabs>
          <w:tab w:leader="none" w:pos="165"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 xml:space="preserve">58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Senior Vice President and Chief Scientific Officer</w:t>
      </w:r>
    </w:p>
    <w:p>
      <w:pPr>
        <w:ind w:left="165" w:hanging="165"/>
        <w:spacing w:after="0" w:line="181" w:lineRule="auto"/>
        <w:tabs>
          <w:tab w:leader="none" w:pos="165" w:val="left"/>
        </w:tabs>
        <w:numPr>
          <w:ilvl w:val="0"/>
          <w:numId w:val="32"/>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Senior Vice President and Chief Operating Officer</w:t>
      </w:r>
    </w:p>
    <w:p>
      <w:pPr>
        <w:spacing w:after="0" w:line="1" w:lineRule="exact"/>
        <w:rPr>
          <w:rFonts w:ascii="Times New Roman" w:cs="Times New Roman" w:eastAsia="Times New Roman" w:hAnsi="Times New Roman"/>
          <w:sz w:val="31"/>
          <w:szCs w:val="31"/>
          <w:color w:val="auto"/>
          <w:vertAlign w:val="superscript"/>
        </w:rPr>
      </w:pPr>
    </w:p>
    <w:p>
      <w:pPr>
        <w:ind w:left="165" w:hanging="165"/>
        <w:spacing w:after="0" w:line="181" w:lineRule="auto"/>
        <w:tabs>
          <w:tab w:leader="none" w:pos="165" w:val="left"/>
        </w:tabs>
        <w:numPr>
          <w:ilvl w:val="0"/>
          <w:numId w:val="32"/>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Senior Vice President and Chief Commercial Officer</w:t>
      </w:r>
    </w:p>
    <w:p>
      <w:pPr>
        <w:spacing w:after="0" w:line="1" w:lineRule="exact"/>
        <w:rPr>
          <w:rFonts w:ascii="Times New Roman" w:cs="Times New Roman" w:eastAsia="Times New Roman" w:hAnsi="Times New Roman"/>
          <w:sz w:val="31"/>
          <w:szCs w:val="31"/>
          <w:color w:val="auto"/>
          <w:vertAlign w:val="superscript"/>
        </w:rPr>
      </w:pPr>
    </w:p>
    <w:p>
      <w:pPr>
        <w:ind w:left="165" w:hanging="165"/>
        <w:spacing w:after="0" w:line="211" w:lineRule="auto"/>
        <w:tabs>
          <w:tab w:leader="none" w:pos="165" w:val="left"/>
        </w:tabs>
        <w:numPr>
          <w:ilvl w:val="0"/>
          <w:numId w:val="3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Senior Vice President and Chief Medical Officer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1" w:lineRule="exact"/>
        <w:rPr>
          <w:sz w:val="20"/>
          <w:szCs w:val="20"/>
          <w:color w:val="auto"/>
        </w:rPr>
      </w:pPr>
    </w:p>
    <w:p>
      <w:pPr>
        <w:sectPr>
          <w:pgSz w:w="11900" w:h="16838" w:orient="portrait"/>
          <w:cols w:equalWidth="0" w:num="3">
            <w:col w:w="3915" w:space="720"/>
            <w:col w:w="4745" w:space="80"/>
            <w:col w:w="419"/>
          </w:cols>
          <w:pgMar w:left="580" w:top="97" w:right="1440" w:bottom="1440" w:gutter="0" w:footer="0" w:header="0"/>
          <w:type w:val="continuous"/>
        </w:sect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Certain additional information concerning the individuals named above is set forth below. This information is based on information furnished us by each individual noted.</w:t>
      </w:r>
    </w:p>
    <w:p>
      <w:pPr>
        <w:spacing w:after="0" w:line="98" w:lineRule="exact"/>
        <w:rPr>
          <w:sz w:val="20"/>
          <w:szCs w:val="20"/>
          <w:color w:val="auto"/>
        </w:rPr>
      </w:pPr>
    </w:p>
    <w:p>
      <w:pPr>
        <w:jc w:val="both"/>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Gad, Founder, President, Interim Chief Executive Officer and Head of Business Development and Strategy — </w:t>
      </w:r>
      <w:r>
        <w:rPr>
          <w:rFonts w:ascii="Times New Roman" w:cs="Times New Roman" w:eastAsia="Times New Roman" w:hAnsi="Times New Roman"/>
          <w:sz w:val="18"/>
          <w:szCs w:val="18"/>
          <w:color w:val="auto"/>
        </w:rPr>
        <w:t>Please see “Board of Directors and Corporate Governance — Election of Directors” above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regarding Mr. Gad.</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Bo Kruse, Chief Financial Officer, Treasurer and Secretary — </w:t>
      </w:r>
      <w:r>
        <w:rPr>
          <w:rFonts w:ascii="Times New Roman" w:cs="Times New Roman" w:eastAsia="Times New Roman" w:hAnsi="Times New Roman"/>
          <w:sz w:val="17"/>
          <w:szCs w:val="17"/>
          <w:color w:val="auto"/>
        </w:rPr>
        <w:t>Mr. Kruse has served as our Executive Vice</w:t>
      </w:r>
    </w:p>
    <w:p>
      <w:pPr>
        <w:spacing w:after="0" w:line="43" w:lineRule="exact"/>
        <w:rPr>
          <w:sz w:val="20"/>
          <w:szCs w:val="20"/>
          <w:color w:val="auto"/>
        </w:rPr>
      </w:pPr>
    </w:p>
    <w:p>
      <w:pPr>
        <w:ind w:left="1260" w:right="559"/>
        <w:spacing w:after="0" w:line="239" w:lineRule="auto"/>
        <w:rPr>
          <w:sz w:val="20"/>
          <w:szCs w:val="20"/>
          <w:color w:val="auto"/>
        </w:rPr>
      </w:pPr>
      <w:r>
        <w:rPr>
          <w:rFonts w:ascii="Times New Roman" w:cs="Times New Roman" w:eastAsia="Times New Roman" w:hAnsi="Times New Roman"/>
          <w:sz w:val="18"/>
          <w:szCs w:val="18"/>
          <w:color w:val="auto"/>
        </w:rPr>
        <w:t>President, Secretary, Treasurer and Chief Financial Officer since June 2015. Mr. Kruse also served as a member of our Board of Directors from June 2015 to June 2019. Mr. Kruse has broad international finance experience, including knowledge of capital markets, accounting and other financing activities. Prior to joining our company, Mr. Kruse was Azanta’s Chief Financial Officer from 2009 to 2015. Further,</w:t>
      </w:r>
    </w:p>
    <w:p>
      <w:pPr>
        <w:spacing w:after="0" w:line="1"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M.Sc. in Business Economics and Auditing from the Copenhagen Business School.</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Torben Lund-Hansen, Ph.D., Senior Vice President and Chief Technical Officer — </w:t>
      </w:r>
      <w:r>
        <w:rPr>
          <w:rFonts w:ascii="Times New Roman" w:cs="Times New Roman" w:eastAsia="Times New Roman" w:hAnsi="Times New Roman"/>
          <w:sz w:val="18"/>
          <w:szCs w:val="18"/>
          <w:color w:val="auto"/>
        </w:rPr>
        <w:t>Dr. Lund-Hansen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Senior Vice President and Chief Technical Officer since January 2016. Dr. Lund-Hansen has substantial experience in antibody process development, commercial manufacturing and global project management. Dr. Lund-Hansen was Vice President and Head of Manufacturing from 2002 to 2006, Vice President and Head of Manufacturing and Preclinical Safety from 2006 to 2008 and Senior Vice President, Technical Operations from 2008 to 2009 at Genmab and President and Treasurer at Genmab MN Inc., a wholly owned subsidiary of Genmab located near Minneapolis-St. Paul, Minnesota, from 2008 to 2009. At Genmab, Dr. Lund-Hansen was responsible for outsourcing of clinical and commercial drug substance and drug product manufacturing. He was also President and Treasurer from 2008 to 2009 of Genmab MN Inc.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documentation packages submitted to global regulatory agencies followed by approval and launch of several biologics. Dr. Lund-Hansen received his M.Sc. and Ph.D. from the University of Copenhagen.</w:t>
      </w:r>
    </w:p>
    <w:p>
      <w:pPr>
        <w:spacing w:after="0" w:line="11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Steen Lisby, M.D., DMSc, Senior Vice President and Chief Scientific Officer — </w:t>
      </w:r>
      <w:r>
        <w:rPr>
          <w:rFonts w:ascii="Times New Roman" w:cs="Times New Roman" w:eastAsia="Times New Roman" w:hAnsi="Times New Roman"/>
          <w:sz w:val="18"/>
          <w:szCs w:val="18"/>
          <w:color w:val="auto"/>
        </w:rPr>
        <w:t>Dr. Lisby joined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June 2017 as our Senior Vice President and Chief Medical Officer and he served in that capacity until June 2020 when his position was changed to Senior Vice President and Chief Scientific Officer. Dr. Lisby has extensive clinical and scientific experience, and is the author of over 50 scientific peer-reviewed publications in clinical research. Previously, Dr. Lisby was Vice President, Head of Medical at Genmab</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 Dr. Lisby oversees our Research &amp; Development Laboratories located in Nutley, New Jersey.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Joris Wiel Jan Wilms, Senior Vice President and Chief Operating Officer — </w:t>
      </w:r>
      <w:r>
        <w:rPr>
          <w:rFonts w:ascii="Times New Roman" w:cs="Times New Roman" w:eastAsia="Times New Roman" w:hAnsi="Times New Roman"/>
          <w:sz w:val="18"/>
          <w:szCs w:val="18"/>
          <w:color w:val="auto"/>
        </w:rPr>
        <w:t>Mr. Wilms has served as our</w:t>
      </w:r>
    </w:p>
    <w:p>
      <w:pPr>
        <w:spacing w:after="0" w:line="3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Senior Vice President and Chief Operating Officer since November 2017. Mr. Wilms joined our Company in July 2016 as Vice President and Head of Clinical Operations and has extensive industry experience in clinical development, primarily within oncology and hematology indications. Mr. Wilms was at KLIFO A/S (“KLIFO”) from 2010 to 2016, where he served as Vice President — Clinical Trial Services and Pharmacovigilance Services, and at Genmab from 2004 to 2010, where he served as Associate Director of Clinical Development from 2008 to 2010. At KLIFO and Genmab, he was responsible for overseeing several first-in- human studies and pivotal clinical trials, leading to the approval of two monoclonal antibody-based products. Mr. Wilms received his M.Sc. in Pharmacy from the University of Groningen in The Netherlands.</w:t>
      </w:r>
    </w:p>
    <w:p>
      <w:pPr>
        <w:spacing w:after="0" w:line="3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Susan Smith, Senior Vice President and Chief Commercial Officer — </w:t>
      </w:r>
      <w:r>
        <w:rPr>
          <w:rFonts w:ascii="Times New Roman" w:cs="Times New Roman" w:eastAsia="Times New Roman" w:hAnsi="Times New Roman"/>
          <w:sz w:val="18"/>
          <w:szCs w:val="18"/>
          <w:color w:val="auto"/>
        </w:rPr>
        <w:t>Ms. Smith joined our Company in</w:t>
      </w:r>
    </w:p>
    <w:p>
      <w:pPr>
        <w:spacing w:after="0" w:line="3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January 2022 as Vice President and Chief Commercial Officer. Ms. Smith has extensive commercial experience including from several successful product launches within cancer, rare diseases and endocrinology. Ms. Smith has more than 25 years of US and global oncology and rare disease experience. From 2012 to 2021 she was employed by Kyowa Kirin, Inc., in various commercial positions of increasing responsibility — most recently as its Vice President, US Oncology Business Unit Head. Previous positions include Head, Oncology Marketing at EUSA Pharma Inc., Vice President at Interlink Healthcare Communications and several managerial positions at Bristol-Meyers Squibb. Ms. Smith received her Master of Science from Purdue University, Indiana.</w:t>
      </w:r>
    </w:p>
    <w:p>
      <w:pPr>
        <w:spacing w:after="0" w:line="324" w:lineRule="exact"/>
        <w:rPr>
          <w:sz w:val="20"/>
          <w:szCs w:val="20"/>
          <w:color w:val="auto"/>
        </w:rPr>
      </w:pPr>
    </w:p>
    <w:p>
      <w:pPr>
        <w:jc w:val="both"/>
        <w:ind w:left="1260" w:right="1039" w:firstLine="36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Vignesh Rajah, MBBS, DCH, MRCP(UK), MBA, Senior Vice President and Chief Medical Officer — </w:t>
      </w:r>
      <w:r>
        <w:rPr>
          <w:rFonts w:ascii="Times New Roman" w:cs="Times New Roman" w:eastAsia="Times New Roman" w:hAnsi="Times New Roman"/>
          <w:sz w:val="17"/>
          <w:szCs w:val="17"/>
          <w:color w:val="auto"/>
        </w:rPr>
        <w:t>Dr. Rajah joined our company in June 2020 as our Senior Vice President and Chief Medical Officer.</w:t>
      </w:r>
    </w:p>
    <w:p>
      <w:pPr>
        <w:spacing w:after="0" w:line="1"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Dr. Rajah qualified as physician in University of London, and has 10 years’ experience in hospital practice, specializing in Internal Medicine and Paediatric Critical Care in the United Kingdom. He brings extensive experience in medical affairs since joining the industry in 2001, with roles of increasing seniority in global pharma companies including Sanofi, Wyeth LLC and most recently GlaxoSmithKline plc, (“GSK”), covering multiple therapeutic areas such as Oncology, Vaccines, Immunology and Respiratory. In his most recent role in GSK, from 2015 to 2020 he was VP, Europe Area Medical Head managing a large medical organization, accountable for medical affair activities in pre-launch and post-launch phase, life-cycle management of medicines, safety and pharmacovigilance, medical governance, and building industry-leading medical capabilities.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58"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color w:val="auto"/>
        </w:rPr>
        <w:t>This section sets forth our Compensation Discussion and Analysis (“</w:t>
      </w:r>
      <w:r>
        <w:rPr>
          <w:rFonts w:ascii="Times New Roman" w:cs="Times New Roman" w:eastAsia="Times New Roman" w:hAnsi="Times New Roman"/>
          <w:sz w:val="18"/>
          <w:szCs w:val="18"/>
          <w:b w:val="1"/>
          <w:bCs w:val="1"/>
          <w:color w:val="auto"/>
        </w:rPr>
        <w:t>CD&amp;A</w:t>
      </w:r>
      <w:r>
        <w:rPr>
          <w:rFonts w:ascii="Times New Roman" w:cs="Times New Roman" w:eastAsia="Times New Roman" w:hAnsi="Times New Roman"/>
          <w:sz w:val="18"/>
          <w:szCs w:val="18"/>
          <w:color w:val="auto"/>
        </w:rPr>
        <w:t>”) and presents the material elements of our executive compensation policies and practices for our “named executive officers” and the most important factors relevant to an analysis of these policies. 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spacing w:after="0" w:line="111"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For fiscal 2021, our “named executive officers” were: Thomas Gad, our Founder, Chairman, President and Head of Business Development and Strategy, Claus Juan Møller-San Pedro, M.D., Ph.D., our Chief Executive Officer, Bo Kruse, our Executive Vice President, Secretary, Treasurer and Chief Financial Officer, Dr. Steen Lisby, our Senior Vice President and Chief Scientific Officer and Dr. Vignesh Rajah, our Senior Vice President and Chief Medical Officer. Effective April 22, 2022, Dr. Møller stepped down from his position as our Chief Executive Officer and Mr. Gad was appointed as our Interim Chief Executive Officer. At the same time, Mr. Gad stepped down as our Chairman of the Board of Directors.</w:t>
      </w:r>
    </w:p>
    <w:p>
      <w:pPr>
        <w:spacing w:after="0" w:line="114"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For fiscal 2021, Dr. Møller was our Principal Executive Officer and Mr. Kruse is our Principal Financial Officer. Effective April 22, 2022, Mr. Gad is our Principal Executive Officer.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Main objectives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main objectives of our executive compensation program are to (i) attract, retain and reward executive officers who contribute to our long-term success; (ii) align compensation with the short- and long-term interests of stockholders; and (iii) motivate and reward high levels of team and individual performance. These objectives collectively seek to link executive officer compensation to our overall performance, which helps to align the interests of our executives with the interests of our stockholders.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Components of Executive Compensation</w:t>
      </w:r>
    </w:p>
    <w:p>
      <w:pPr>
        <w:spacing w:after="0" w:line="14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believe that by structuring the executive compensation program so that a significant portion of our named executive officers’ pay is at risk, including a meaningful equity-based component, we can best ensure our named executive officers are incentivized to maximize our performance and increase value for our stockholders. To this end, our program is comprised of three primary elements:</w:t>
      </w:r>
    </w:p>
    <w:p>
      <w:pPr>
        <w:spacing w:after="0" w:line="3" w:lineRule="exact"/>
        <w:rPr>
          <w:sz w:val="20"/>
          <w:szCs w:val="20"/>
          <w:color w:val="auto"/>
        </w:rPr>
      </w:pPr>
    </w:p>
    <w:p>
      <w:pPr>
        <w:jc w:val="right"/>
        <w:ind w:right="379"/>
        <w:spacing w:after="0"/>
        <w:tabs>
          <w:tab w:leader="none" w:pos="6000" w:val="left"/>
          <w:tab w:leader="none" w:pos="4840" w:val="left"/>
          <w:tab w:leader="none" w:pos="3200" w:val="left"/>
          <w:tab w:leader="none" w:pos="1920" w:val="left"/>
          <w:tab w:leader="none" w:pos="20" w:val="left"/>
        </w:tabs>
        <w:rPr>
          <w:sz w:val="20"/>
          <w:szCs w:val="20"/>
          <w:color w:val="auto"/>
        </w:rPr>
      </w:pPr>
      <w:r>
        <w:rPr>
          <w:rFonts w:ascii="Times New Roman" w:cs="Times New Roman" w:eastAsia="Times New Roman" w:hAnsi="Times New Roman"/>
          <w:sz w:val="14"/>
          <w:szCs w:val="14"/>
          <w:b w:val="1"/>
          <w:bCs w:val="1"/>
          <w:color w:val="auto"/>
        </w:rPr>
        <w:t>Compensation Element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Objective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Key Features</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 Salary (fixed cash)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spacing w:after="0" w:line="282" w:lineRule="auto"/>
        <w:rPr>
          <w:sz w:val="20"/>
          <w:szCs w:val="20"/>
          <w:color w:val="auto"/>
        </w:rPr>
      </w:pPr>
      <w:r>
        <w:rPr>
          <w:rFonts w:ascii="Times New Roman" w:cs="Times New Roman" w:eastAsia="Times New Roman" w:hAnsi="Times New Roman"/>
          <w:sz w:val="18"/>
          <w:szCs w:val="18"/>
          <w:color w:val="auto"/>
        </w:rPr>
        <w:t>Annual Performance Bonus (at-risk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right="80"/>
        <w:spacing w:after="0" w:line="282" w:lineRule="auto"/>
        <w:rPr>
          <w:sz w:val="20"/>
          <w:szCs w:val="20"/>
          <w:color w:val="auto"/>
        </w:rPr>
      </w:pPr>
      <w:r>
        <w:rPr>
          <w:rFonts w:ascii="Times New Roman" w:cs="Times New Roman" w:eastAsia="Times New Roman" w:hAnsi="Times New Roman"/>
          <w:sz w:val="18"/>
          <w:szCs w:val="18"/>
          <w:color w:val="auto"/>
        </w:rPr>
        <w:t>Long Term Equity Awards (at-risk equity)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00" w:hanging="100"/>
        <w:spacing w:after="0"/>
        <w:tabs>
          <w:tab w:leader="none" w:pos="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attract and retain executives.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220" w:right="160" w:hanging="220"/>
        <w:spacing w:after="0" w:line="266" w:lineRule="auto"/>
        <w:tabs>
          <w:tab w:leader="none" w:pos="1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motivate and reward the achievement of our short-term strategic and business goals that support our longer term objectives.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8" w:lineRule="exact"/>
        <w:rPr>
          <w:rFonts w:ascii="Times New Roman" w:cs="Times New Roman" w:eastAsia="Times New Roman" w:hAnsi="Times New Roman"/>
          <w:sz w:val="18"/>
          <w:szCs w:val="18"/>
          <w:color w:val="auto"/>
        </w:rPr>
      </w:pPr>
    </w:p>
    <w:p>
      <w:pPr>
        <w:ind w:left="220" w:hanging="220"/>
        <w:spacing w:after="0" w:line="258" w:lineRule="auto"/>
        <w:tabs>
          <w:tab w:leader="none" w:pos="1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motivate and reward executives for long-term company performance; aligns executives’ interests with stockholder interests and changes in stockholder value. Attracts highly qualified executives and encourages their continued employment over the long-term.</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12" w:right="60" w:hanging="212"/>
        <w:spacing w:after="0" w:line="261" w:lineRule="auto"/>
        <w:tabs>
          <w:tab w:leader="none" w:pos="1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Fixed compensation that is competitive with peer company data and that recognizes each executive’s position, role, responsibility and experience.</w:t>
      </w:r>
    </w:p>
    <w:p>
      <w:pPr>
        <w:ind w:left="212" w:right="200" w:hanging="212"/>
        <w:spacing w:after="0" w:line="269" w:lineRule="auto"/>
        <w:tabs>
          <w:tab w:leader="none" w:pos="1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Target annual performance bonus opportunities, which are expressed as a percentage of base salary, are reviewed annually.</w:t>
      </w:r>
    </w:p>
    <w:p>
      <w:pPr>
        <w:spacing w:after="0" w:line="66" w:lineRule="exact"/>
        <w:rPr>
          <w:sz w:val="20"/>
          <w:szCs w:val="20"/>
          <w:color w:val="auto"/>
        </w:rPr>
      </w:pPr>
    </w:p>
    <w:p>
      <w:pPr>
        <w:ind w:left="212"/>
        <w:spacing w:after="0" w:line="256" w:lineRule="auto"/>
        <w:rPr>
          <w:sz w:val="20"/>
          <w:szCs w:val="20"/>
          <w:color w:val="auto"/>
        </w:rPr>
      </w:pPr>
      <w:r>
        <w:rPr>
          <w:rFonts w:ascii="Times New Roman" w:cs="Times New Roman" w:eastAsia="Times New Roman" w:hAnsi="Times New Roman"/>
          <w:sz w:val="18"/>
          <w:szCs w:val="18"/>
          <w:color w:val="auto"/>
        </w:rPr>
        <w:t>Actual bonus payments are determined at the end of the year and are dependent upon the actual achievement of specific corporate performance objectives, determined by our Compensation Committee and our Board of Directors.</w:t>
      </w:r>
    </w:p>
    <w:p>
      <w:pPr>
        <w:spacing w:after="0" w:line="12" w:lineRule="exact"/>
        <w:rPr>
          <w:sz w:val="20"/>
          <w:szCs w:val="20"/>
          <w:color w:val="auto"/>
        </w:rPr>
      </w:pPr>
    </w:p>
    <w:p>
      <w:pPr>
        <w:ind w:left="212" w:right="80" w:hanging="212"/>
        <w:spacing w:after="0" w:line="295" w:lineRule="auto"/>
        <w:tabs>
          <w:tab w:leader="none" w:pos="1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Stock options that are subject to multi-year vesting based on continued service.</w:t>
      </w:r>
    </w:p>
    <w:p>
      <w:pPr>
        <w:spacing w:after="0" w:line="274" w:lineRule="exact"/>
        <w:rPr>
          <w:sz w:val="20"/>
          <w:szCs w:val="20"/>
          <w:color w:val="auto"/>
        </w:rPr>
      </w:pPr>
    </w:p>
    <w:p>
      <w:pPr>
        <w:ind w:left="212" w:right="20"/>
        <w:spacing w:after="0" w:line="255" w:lineRule="auto"/>
        <w:rPr>
          <w:sz w:val="20"/>
          <w:szCs w:val="20"/>
          <w:color w:val="auto"/>
        </w:rPr>
      </w:pPr>
      <w:r>
        <w:rPr>
          <w:rFonts w:ascii="Times New Roman" w:cs="Times New Roman" w:eastAsia="Times New Roman" w:hAnsi="Times New Roman"/>
          <w:sz w:val="18"/>
          <w:szCs w:val="18"/>
          <w:color w:val="auto"/>
        </w:rPr>
        <w:t>Individual awards are determined based on a number of factors, including current corporate and individual performance, outstanding equity holdings and their retention value and total ownership, internal equity among executives and competitive market data.</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15" w:lineRule="exact"/>
        <w:rPr>
          <w:sz w:val="20"/>
          <w:szCs w:val="20"/>
          <w:color w:val="auto"/>
        </w:rPr>
      </w:pPr>
    </w:p>
    <w:p>
      <w:pPr>
        <w:sectPr>
          <w:pgSz w:w="11900" w:h="16838" w:orient="portrait"/>
          <w:cols w:equalWidth="0" w:num="4">
            <w:col w:w="3340" w:space="80"/>
            <w:col w:w="2800" w:space="8"/>
            <w:col w:w="3232" w:space="0"/>
            <w:col w:w="419"/>
          </w:cols>
          <w:pgMar w:left="580" w:top="97" w:right="1440" w:bottom="1440" w:gutter="0" w:footer="0" w:header="0"/>
          <w:type w:val="continuous"/>
        </w:sectPr>
      </w:pPr>
    </w:p>
    <w:p>
      <w:pPr>
        <w:spacing w:after="0" w:line="15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These individual compensation elements are intended to create a total compensation package for each named executive officer that we believe supports the achievement of our compensation objectives and provides competitive compensation opportunities.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review compensation for our executive officers annually.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our Compensation Committee, Management and Consultant</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4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Compensation Committee makes recommendations to our Board with respect to base salaries, bonuses and grants of equity incentive awards for our executive management team, which, as of the date of this Proxy Statement, consists of Mr. Gad and Mr. Kruse. In proposing base salaries, bonuses and equity</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incentive awards, our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a long-term commitment to our company. The Compensation Committee conducts performance evaluations of our executive management team.</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60"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Compensation Committee consults with our executive management team and with the Board of Directors as to the achievement of corporate objectives that drive contingent compensation awards. Performance evaluations of other employees, including our other named executive officers, are performed by the executive management team. Based on this evaluation, base salary for the coming year and cash bonuses for the current year are determined.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Consultant</w:t>
      </w:r>
    </w:p>
    <w:p>
      <w:pPr>
        <w:spacing w:after="0" w:line="16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Our Compensation Committee has the authority to retain compensation consultants and other outside advisors to assist in the evaluation of executive officer compensation. Our Compensation Committee considered compensation information provided in fiscal years 2018, 2019, 2020 and 2021 by Radford, part of Aon Hewitt, a business unit of Aon plc, as its independent compensation consultant, in determining cash compensation and equity awards. The Compensation Committee assessed Radford’s independence and concluded that no conflict of interest existed that would prevent Radford from independently advising the Compensation Committee. The Compensation Committee intends to continue to assess the independence of any of our compensation advisors, consistent with applicable Nasdaq Listing Rules and rules and regulations under the Exchange Act.</w:t>
      </w:r>
    </w:p>
    <w:p>
      <w:pPr>
        <w:spacing w:after="0" w:line="32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Compensation Committee has the authority to engage and terminate Radford’s services. While we compensate Radford for its services, Radford has no authority to make compensation decisions on behalf of the Compensation Committee or the Company. From time to time Radford may attend Compensation Committee meetings either in person or via conference call as deemed appropriate by the Chair of the Compensation Committee. Our executive management team provides historical data, reviews reports for accuracy and interacts directly with Radford. The Compensation Committee, at its discretion, may also communicate and meet separately with Radford.</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Radford provided the following services to the Compensation Committee:</w:t>
      </w:r>
    </w:p>
    <w:p>
      <w:pPr>
        <w:spacing w:after="0" w:line="117"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provided recommendations on the composition of our peer group;</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compensation data related to executives and directors at our peer group based on data from SEC filings and the Radford Global Life Sciences Survey;</w:t>
      </w:r>
    </w:p>
    <w:p>
      <w:pPr>
        <w:spacing w:after="0" w:line="4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 competitive review of the compensation of our executive management team, consisting of Mr. Gad, Dr. Møller and Mr. Kruse and members of our Board of Directors, including advising on the design and structure of our equity incentive compensation program; and</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an analysis of our share usage under our 2018 Equity Incentive Plan (the “2018 Plan”), in comparison to our peer group based on data from SEC filings.</w:t>
      </w:r>
    </w:p>
    <w:p>
      <w:pPr>
        <w:spacing w:after="0" w:line="9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Radford’s fee for this engagement in 2021 was less than $120,000. The Compensation Committee determined that these services did not constitute a conflict of interest or prevent Radford from objectively performing its work for the Compensation Committee.</w:t>
      </w:r>
    </w:p>
    <w:p>
      <w:pPr>
        <w:spacing w:after="0" w:line="10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Compensation Committee believes it is important when making its compensation-related decisions to be informed as to current compensation practices of comparable publicly held companies in the life sciences industry. As noted above, Radford was engaged by our Compensation Committee to develop a peer group for market assessment and conduct a competitive compensation assessment for our executive management team and our Board of Directors. Among other things, Radford provided competitive compensation data for purposes of benchmarking our equity grant values and targets, our bonus targets and structure, our total direct compensation, our target incentive opportunities and our base salaries and target total cash compensation for executive officers and directors. The peer group is a group of publicly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519"/>
        <w:spacing w:after="0" w:line="282" w:lineRule="auto"/>
        <w:rPr>
          <w:sz w:val="20"/>
          <w:szCs w:val="20"/>
          <w:color w:val="auto"/>
        </w:rPr>
      </w:pPr>
      <w:r>
        <w:rPr>
          <w:rFonts w:ascii="Times New Roman" w:cs="Times New Roman" w:eastAsia="Times New Roman" w:hAnsi="Times New Roman"/>
          <w:sz w:val="18"/>
          <w:szCs w:val="18"/>
          <w:color w:val="auto"/>
        </w:rPr>
        <w:t>traded, early commercial-stage, national and regional companies in the biopharmaceutical and biotechnology industries that were selected based on a balance of the following criteria:</w:t>
      </w:r>
    </w:p>
    <w:p>
      <w:pPr>
        <w:spacing w:after="0" w:line="67"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stage of lead product candidate;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(market capitalization);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since its initial public offering;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similarity/relevance (biologics, therapeutic area, etc.).</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in consultation with Radford, annually evaluates the composition of our peer group and adjusts its composition for factors such as recent acquisitions of peer companies, new markets that we have entered or changes in the technology market landscape. We believe that our peer group for fiscal 2021, referred to herein as our “2021 peer group”, continues to be aligned with our strategic vision and positions us to attract, retain and engage high performing leaders.</w:t>
      </w:r>
    </w:p>
    <w:p>
      <w:pPr>
        <w:spacing w:after="0" w:line="10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Based on these criteria, our 2021 peer group was approved by our Compensation Committee and was comprised of the companies listed below:</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Agios​</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c>
          <w:tcPr>
            <w:tcW w:w="2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Apellis Pharmaceuticals, Inc.</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Atara Biotherapeutics, Inc.</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5"/>
                <w:szCs w:val="15"/>
                <w:color w:val="auto"/>
              </w:rPr>
            </w:pPr>
          </w:p>
        </w:tc>
        <w:tc>
          <w:tcPr>
            <w:tcW w:w="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Deciphera Pharmaceuticals, Inc.</w:t>
            </w:r>
          </w:p>
        </w:tc>
        <w:tc>
          <w:tcPr>
            <w:tcW w:w="2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Esperion Therapeutics, Inc.</w:t>
            </w: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4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Blueprint Medicines, Corp.</w:t>
            </w:r>
          </w:p>
        </w:tc>
        <w:tc>
          <w:tcPr>
            <w:tcW w:w="360" w:type="dxa"/>
            <w:vAlign w:val="bottom"/>
          </w:tcPr>
          <w:p>
            <w:pPr>
              <w:spacing w:after="0"/>
              <w:rPr>
                <w:sz w:val="6"/>
                <w:szCs w:val="6"/>
                <w:color w:val="auto"/>
              </w:rPr>
            </w:pPr>
          </w:p>
        </w:tc>
        <w:tc>
          <w:tcPr>
            <w:tcW w:w="2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5"/>
                <w:szCs w:val="15"/>
                <w:color w:val="auto"/>
              </w:rPr>
            </w:pPr>
          </w:p>
        </w:tc>
        <w:tc>
          <w:tcPr>
            <w:tcW w:w="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Global Blood Therapeutics. Inc.</w:t>
            </w:r>
          </w:p>
        </w:tc>
        <w:tc>
          <w:tcPr>
            <w:tcW w:w="2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Heron Therapeutics, Inc.</w:t>
            </w: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G1 Therapeutics, Inc.</w:t>
            </w:r>
          </w:p>
        </w:tc>
        <w:tc>
          <w:tcPr>
            <w:tcW w:w="3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5"/>
                <w:szCs w:val="15"/>
                <w:color w:val="auto"/>
              </w:rPr>
            </w:pPr>
          </w:p>
        </w:tc>
        <w:tc>
          <w:tcPr>
            <w:tcW w:w="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2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Karyopharm Therapeutics Inc.</w:t>
            </w: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Intra-Cellular Therapies, Inc.</w:t>
            </w:r>
          </w:p>
        </w:tc>
        <w:tc>
          <w:tcPr>
            <w:tcW w:w="3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5"/>
                <w:szCs w:val="15"/>
                <w:color w:val="auto"/>
              </w:rPr>
            </w:pPr>
          </w:p>
        </w:tc>
        <w:tc>
          <w:tcPr>
            <w:tcW w:w="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Reata Pharmaceuticals, Inc.</w:t>
            </w:r>
          </w:p>
        </w:tc>
        <w:tc>
          <w:tcPr>
            <w:tcW w:w="2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Revance Therapeutics, Inc.</w:t>
            </w: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MacroGenics, Inc.</w:t>
            </w:r>
          </w:p>
        </w:tc>
        <w:tc>
          <w:tcPr>
            <w:tcW w:w="3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5"/>
                <w:szCs w:val="15"/>
                <w:color w:val="auto"/>
              </w:rPr>
            </w:pPr>
          </w:p>
        </w:tc>
        <w:tc>
          <w:tcPr>
            <w:tcW w:w="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Rigel Pharmaceuticals, Inc.</w:t>
            </w:r>
          </w:p>
        </w:tc>
        <w:tc>
          <w:tcPr>
            <w:tcW w:w="2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TG Therapeutics, Inc.</w:t>
            </w: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2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Rhythm Pharmaceuticals, Inc.</w:t>
            </w:r>
          </w:p>
        </w:tc>
        <w:tc>
          <w:tcPr>
            <w:tcW w:w="3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5"/>
                <w:szCs w:val="15"/>
                <w:color w:val="auto"/>
              </w:rPr>
            </w:pPr>
          </w:p>
        </w:tc>
        <w:tc>
          <w:tcPr>
            <w:tcW w:w="36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Xencor, Inc.</w:t>
            </w:r>
          </w:p>
        </w:tc>
        <w:tc>
          <w:tcPr>
            <w:tcW w:w="2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Zogenix, Inc.</w:t>
            </w:r>
          </w:p>
        </w:tc>
        <w:tc>
          <w:tcPr>
            <w:tcW w:w="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Travere Therapeutics, Inc.</w:t>
            </w:r>
          </w:p>
        </w:tc>
        <w:tc>
          <w:tcPr>
            <w:tcW w:w="36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At the time of the determination, these companies each had a market capitalization generally between $500 million and $4.5 billion, had an employee head count generally between 60 and 600 and were generally at a comparable stage to us in the development of their lead product candidate as well as primarily doing business within oncology and immunology with revenues of less than $350 million. The Compensation Committee determined that the foregoing selection criteria were appropriate for selecting the 2021 peer group because at such time, we were an early commercial-stage biopharmaceutical company with a market capitalization of approx. $1.4 billion with approx. 150 employees and revenues of less than $350 million which placed us within the range of the 2021 peer group.</w:t>
      </w:r>
    </w:p>
    <w:p>
      <w:pPr>
        <w:spacing w:after="0" w:line="11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believe that the compensation practices of our 2021 peer group provided the Compensation Committee with an appropriate understanding of the competitive market when evaluating and determining the compensation of our executive management team, consisting of Mr. Gad, Dr. Møller and Mr. Kruse during fiscal 2021. However, due to the nature of our business, we compete for executive talent with many public companies, including pharmaceutical companies, that are larger and more established than we are or that possess greater resources than we do, or with smaller private companies that may be able to offer greater equity compensation potential, as well as with prestigious academic and non-profit institutions. In addition, while we generally target total direct compensation at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compensation paid to similarly situated executives at the companies in our 2021 peer group, the assessment of our compensation practices against the competitive market (based on the peer group data) is just one of several factors that inform our Compensation Committee’s judgment in setting executive compensation. Our executive compensation decisions are made on a case-by-case basis and comparability to specific percentile rankings do not, in and of itself, determine individual target compensation opportunities. Although our Compensation Committee uses the 50th percentile as a reference, it also considers other factors, including market conditions, the recommendation of our Chief Executive Officer with respect to executive officers other than</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himself, the experience level of each executive officer and their performance against established corporate goals, in determining actual compensation amounts.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Key Performance Factors in Determining Executive Compensation</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As the biopharmaceutical industry is characterized by very long product development cycles, including lengthy research and development periods and rigorous approval phases involving human testing and governmental regulatory approval, many of the traditional measures for evaluating performance, such as product sales, revenues and profits are inappropriate measures for a newly commercial-stage biopharmaceutical company that has only recently launched its first commercial product such as our company. Instead, the specific performance factors our compensation committee considers when determining the cash compensation of our named executive officers include:</w:t>
      </w:r>
    </w:p>
    <w:p>
      <w:pPr>
        <w:spacing w:after="0" w:line="73"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from sales of approved products;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achievements which advance the development of our lead product candidates;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progression and completion of clinical studies for our lead product candidates;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non-clinical activities for our lead product candidates;</w:t>
      </w:r>
    </w:p>
    <w:p>
      <w:pPr>
        <w:spacing w:after="0" w:line="11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regulatory goals; and the establishment and maintenance of key business activities and strategic relationships, which include financings.</w:t>
      </w:r>
    </w:p>
    <w:p>
      <w:pPr>
        <w:spacing w:after="0" w:line="8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These and other performance factors are considered by our Compensation Committee in connection with annual performance reviews and are key components in the determination of annual cash bonus for our named executive officers.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Compensation Decisions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Mr. Gad, Dr. Møller and Mr. Kruse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Compensation Committee has conducted an annual performance review of each of Mr. Gad,</w:t>
      </w:r>
    </w:p>
    <w:p>
      <w:pPr>
        <w:spacing w:after="0" w:line="27"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Dr. Møller and Mr. Kruse and approved the target compensation opportunity of each of Mr. Gad, Dr. Møller and Mr. Kruse based, in part, on this review. Each year annual corporate goals are determined by our Board of Directors and set forth in writing. Before the end of each year, our Compensation Committee has determined cash incentive compensation award amounts for such year as well as the compensation levels for each of Mr. Gad, Dr. Møller and Mr. Kruse for the following year after carefully reviewing overall corporate goals, determining achievement of the established corporate goals and the achievement of individual performance goals. Any merit-based increases in base salary and the size of equity awards are based on the achievement of these corporate performance goals and individual performance goals, a review of competitive market data (based on our 2021 peer group), and consideration of the other factors described above. The cash bonus to Mr. Gad, Dr. Møller and Mr. Kruse for services during fiscal 2021 were based upon achievement of the corporate goals approved by our Board of Directors and individual performance. Typically, our Board of Directors grants annual equity awards to executive management and determines adjustments to their base salary and the amount of any annual cash incentive compensation award, at its last regularly scheduled meeting of the year.</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Named Executive Officers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During the last quarter of each year, our executive management team, which for fiscal 2021 consisted of Mr. Gad, Dr. Møller and Mr. Kruse, has evaluated our corporate performance and each of our named executive officer’s individual performance (other than themselves). Based on this evaluation, base salary for the coming year and cash bonuses for the current year are determined. For 2019 and 2020 this determination was made on a discretionary basis. Beginning in 2021, our executive management team determined overall corporate goals and individual performance goals for each of our named executive officers (other than themselves) and increases in base salary, and based their determination of cash bonus on achievement of the corporate goals and individual performance and a review of competitive market data and consideration of other factors.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Components</w:t>
      </w:r>
    </w:p>
    <w:p>
      <w:pPr>
        <w:spacing w:after="0" w:line="162" w:lineRule="exact"/>
        <w:rPr>
          <w:sz w:val="20"/>
          <w:szCs w:val="20"/>
          <w:color w:val="auto"/>
        </w:rPr>
      </w:pPr>
    </w:p>
    <w:p>
      <w:pPr>
        <w:ind w:left="1260" w:right="860" w:firstLine="360"/>
        <w:spacing w:after="0" w:line="254" w:lineRule="auto"/>
        <w:rPr>
          <w:sz w:val="20"/>
          <w:szCs w:val="20"/>
          <w:color w:val="auto"/>
        </w:rPr>
      </w:pPr>
      <w:r>
        <w:rPr>
          <w:rFonts w:ascii="Times New Roman" w:cs="Times New Roman" w:eastAsia="Times New Roman" w:hAnsi="Times New Roman"/>
          <w:sz w:val="18"/>
          <w:szCs w:val="18"/>
          <w:color w:val="auto"/>
        </w:rPr>
        <w:t>As noted above, the principal components of our executive compensation program for all our named executive officers are (i) base salary, (ii) performance-based annual cash bonus and (iii) long-term equity incentives. Beyond the competitive compensation data provided by Radford for purposes of benchmarking our equity grant values and targets, our bonus targets and structure, our total direct compensation, our target incentive opportunities and our base salaries and target total cash compensation, we have not adopted any formal guidelines for allocating total compensation between long-term and short-term compensation, cash compensation and non-cash compensation, or among different forms of non-cash compensation. We do not have any pre-established target levels for allocations or apportionment by type of compensation.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or earned by our five (5)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named executive officers for each of the fiscal years set forth below:</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center"/>
              <w:ind w:right="247"/>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78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vertAlign w:val="superscript"/>
              </w:rPr>
              <w:t>(1)(2)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260" w:type="dxa"/>
            <w:vAlign w:val="bottom"/>
          </w:tcPr>
          <w:p>
            <w:pPr>
              <w:spacing w:after="0"/>
              <w:rPr>
                <w:sz w:val="19"/>
                <w:szCs w:val="19"/>
                <w:color w:val="auto"/>
              </w:rPr>
            </w:pPr>
          </w:p>
        </w:tc>
        <w:tc>
          <w:tcPr>
            <w:tcW w:w="640" w:type="dxa"/>
            <w:vAlign w:val="bottom"/>
          </w:tcPr>
          <w:p>
            <w:pPr>
              <w:jc w:val="center"/>
              <w:ind w:right="167"/>
              <w:spacing w:after="0" w:line="227"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9"/>
                <w:szCs w:val="9"/>
                <w:b w:val="1"/>
                <w:bCs w:val="1"/>
                <w:color w:val="auto"/>
                <w:w w:val="87"/>
              </w:rPr>
              <w:t>(2)(3)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6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(5)</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3"/>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Gad</w:t>
            </w:r>
          </w:p>
        </w:tc>
        <w:tc>
          <w:tcPr>
            <w:tcW w:w="1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​2021</w:t>
            </w: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800" w:type="dxa"/>
            <w:vAlign w:val="bottom"/>
            <w:gridSpan w:val="3"/>
            <w:shd w:val="clear" w:color="auto" w:fill="CCEEFF"/>
          </w:tcPr>
          <w:p>
            <w:pPr>
              <w:jc w:val="right"/>
              <w:ind w:right="20"/>
              <w:spacing w:after="0" w:line="264" w:lineRule="exact"/>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continue"/>
            <w:shd w:val="clear" w:color="auto" w:fill="CCEEFF"/>
          </w:tcPr>
          <w:p>
            <w:pPr>
              <w:spacing w:after="0"/>
              <w:rPr>
                <w:sz w:val="22"/>
                <w:szCs w:val="22"/>
                <w:color w:val="auto"/>
              </w:rPr>
            </w:pPr>
          </w:p>
        </w:tc>
        <w:tc>
          <w:tcPr>
            <w:tcW w:w="900" w:type="dxa"/>
            <w:vAlign w:val="bottom"/>
            <w:tcBorders>
              <w:left w:val="single" w:sz="8" w:color="CCEEFF"/>
              <w:right w:val="single" w:sz="8" w:color="CCEEFF"/>
            </w:tcBorders>
            <w:gridSpan w:val="2"/>
            <w:shd w:val="clear" w:color="auto" w:fill="CCEEFF"/>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$187,500</w:t>
            </w:r>
          </w:p>
        </w:tc>
        <w:tc>
          <w:tcPr>
            <w:tcW w:w="22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1,095,366</w:t>
            </w:r>
          </w:p>
        </w:tc>
        <w:tc>
          <w:tcPr>
            <w:tcW w:w="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$84,835</w:t>
            </w:r>
          </w:p>
        </w:tc>
        <w:tc>
          <w:tcPr>
            <w:tcW w:w="22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bscript"/>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1,867,701</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82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Founder, President, Interim Chief Executive</w:t>
            </w:r>
          </w:p>
        </w:tc>
        <w:tc>
          <w:tcPr>
            <w:tcW w:w="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​2020</w:t>
            </w:r>
          </w:p>
        </w:tc>
        <w:tc>
          <w:tcPr>
            <w:tcW w:w="2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bscript"/>
              </w:rPr>
              <w:t>$</w:t>
            </w:r>
          </w:p>
        </w:tc>
        <w:tc>
          <w:tcPr>
            <w:tcW w:w="80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4"/>
                <w:szCs w:val="14"/>
                <w:color w:val="auto"/>
              </w:rPr>
              <w:t>470,800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4"/>
                <w:szCs w:val="14"/>
                <w:color w:val="auto"/>
              </w:rPr>
              <w:t>​​​</w:t>
            </w:r>
          </w:p>
        </w:tc>
        <w:tc>
          <w:tcPr>
            <w:tcW w:w="90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$205,975</w:t>
            </w:r>
          </w:p>
        </w:tc>
        <w:tc>
          <w:tcPr>
            <w:tcW w:w="2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bscript"/>
              </w:rPr>
              <w:t>$</w:t>
            </w:r>
          </w:p>
        </w:tc>
        <w:tc>
          <w:tcPr>
            <w:tcW w:w="9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4"/>
                <w:szCs w:val="14"/>
                <w:color w:val="auto"/>
              </w:rPr>
              <w:t>2,916,341</w:t>
            </w:r>
            <w:r>
              <w:rPr>
                <w:rFonts w:ascii="Times New Roman" w:cs="Times New Roman" w:eastAsia="Times New Roman" w:hAnsi="Times New Roman"/>
                <w:sz w:val="23"/>
                <w:szCs w:val="23"/>
                <w:color w:val="auto"/>
                <w:vertAlign w:val="superscript"/>
              </w:rPr>
              <w:t>​​​</w:t>
            </w:r>
          </w:p>
        </w:tc>
        <w:tc>
          <w:tcPr>
            <w:tcW w:w="8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$84,778</w:t>
            </w:r>
          </w:p>
        </w:tc>
        <w:tc>
          <w:tcPr>
            <w:tcW w:w="22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bscript"/>
              </w:rPr>
              <w:t>$</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3,677,894</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820" w:type="dxa"/>
            <w:vAlign w:val="bottom"/>
            <w:gridSpan w:val="3"/>
            <w:vMerge w:val="restart"/>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Officer and Head of Business Development and</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8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440,000​​​​$242,000​​​</w:t>
            </w:r>
          </w:p>
        </w:tc>
        <w:tc>
          <w:tcPr>
            <w:tcW w:w="260" w:type="dxa"/>
            <w:vAlign w:val="bottom"/>
            <w:tcBorders>
              <w:lef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b w:val="1"/>
                <w:bCs w:val="1"/>
                <w:color w:val="auto"/>
              </w:rPr>
              <w:t>(4)</w:t>
            </w:r>
          </w:p>
        </w:tc>
        <w:tc>
          <w:tcPr>
            <w:tcW w:w="80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​$84,747</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3,062,547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Strategy</w:t>
            </w:r>
          </w:p>
        </w:tc>
        <w:tc>
          <w:tcPr>
            <w:tcW w:w="1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480" w:type="dxa"/>
            <w:vAlign w:val="bottom"/>
            <w:gridSpan w:val="6"/>
            <w:vMerge w:val="continue"/>
            <w:shd w:val="clear" w:color="auto" w:fill="CCEEFF"/>
          </w:tcPr>
          <w:p>
            <w:pPr>
              <w:spacing w:after="0"/>
              <w:rPr>
                <w:sz w:val="18"/>
                <w:szCs w:val="18"/>
                <w:color w:val="auto"/>
              </w:rPr>
            </w:pPr>
          </w:p>
        </w:tc>
        <w:tc>
          <w:tcPr>
            <w:tcW w:w="260" w:type="dxa"/>
            <w:vAlign w:val="bottom"/>
            <w:tcBorders>
              <w:left w:val="single" w:sz="8" w:color="CCEEFF"/>
            </w:tcBorders>
            <w:vMerge w:val="continue"/>
            <w:shd w:val="clear" w:color="auto" w:fill="CCEEFF"/>
          </w:tcPr>
          <w:p>
            <w:pPr>
              <w:spacing w:after="0"/>
              <w:rPr>
                <w:sz w:val="18"/>
                <w:szCs w:val="18"/>
                <w:color w:val="auto"/>
              </w:rPr>
            </w:pPr>
          </w:p>
        </w:tc>
        <w:tc>
          <w:tcPr>
            <w:tcW w:w="6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2,295,800​​​</w:t>
            </w:r>
          </w:p>
        </w:tc>
        <w:tc>
          <w:tcPr>
            <w:tcW w:w="8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left w:val="single" w:sz="8" w:color="CCEEFF"/>
            </w:tcBorders>
            <w:shd w:val="clear" w:color="auto" w:fill="CCEEFF"/>
          </w:tcPr>
          <w:p>
            <w:pPr>
              <w:spacing w:after="0"/>
              <w:rPr>
                <w:sz w:val="5"/>
                <w:szCs w:val="5"/>
                <w:color w:val="auto"/>
              </w:rPr>
            </w:pPr>
          </w:p>
        </w:tc>
        <w:tc>
          <w:tcPr>
            <w:tcW w:w="64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Bo Kruse</w:t>
            </w: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​2021</w:t>
            </w: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800" w:type="dxa"/>
            <w:vAlign w:val="bottom"/>
            <w:gridSpan w:val="3"/>
          </w:tcPr>
          <w:p>
            <w:pPr>
              <w:jc w:val="right"/>
              <w:ind w:right="20"/>
              <w:spacing w:after="0" w:line="239" w:lineRule="exact"/>
              <w:rPr>
                <w:sz w:val="20"/>
                <w:szCs w:val="20"/>
                <w:color w:val="auto"/>
              </w:rPr>
            </w:pPr>
            <w:r>
              <w:rPr>
                <w:rFonts w:ascii="Times New Roman" w:cs="Times New Roman" w:eastAsia="Times New Roman" w:hAnsi="Times New Roman"/>
                <w:sz w:val="15"/>
                <w:szCs w:val="15"/>
                <w:color w:val="auto"/>
              </w:rPr>
              <w:t>464,000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28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c>
          <w:tcPr>
            <w:tcW w:w="900" w:type="dxa"/>
            <w:vAlign w:val="bottom"/>
            <w:gridSpan w:val="2"/>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$174,000</w:t>
            </w: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92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15"/>
                <w:szCs w:val="15"/>
                <w:color w:val="auto"/>
              </w:rPr>
              <w:t>846,396</w:t>
            </w:r>
            <w:r>
              <w:rPr>
                <w:rFonts w:ascii="Times New Roman" w:cs="Times New Roman" w:eastAsia="Times New Roman" w:hAnsi="Times New Roman"/>
                <w:sz w:val="27"/>
                <w:szCs w:val="27"/>
                <w:color w:val="auto"/>
                <w:vertAlign w:val="superscript"/>
              </w:rPr>
              <w:t>​​​</w:t>
            </w:r>
          </w:p>
        </w:tc>
        <w:tc>
          <w:tcPr>
            <w:tcW w:w="200" w:type="dxa"/>
            <w:vAlign w:val="bottom"/>
          </w:tcPr>
          <w:p>
            <w:pPr>
              <w:ind w:left="4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78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15"/>
                <w:szCs w:val="15"/>
                <w:color w:val="auto"/>
              </w:rPr>
              <w:t>1,485,231</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234"/>
        </w:trPr>
        <w:tc>
          <w:tcPr>
            <w:tcW w:w="382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Secretary, Treasurer</w:t>
            </w:r>
          </w:p>
        </w:tc>
        <w:tc>
          <w:tcPr>
            <w:tcW w:w="40" w:type="dxa"/>
            <w:vAlign w:val="bottom"/>
          </w:tcPr>
          <w:p>
            <w:pPr>
              <w:spacing w:after="0"/>
              <w:rPr>
                <w:sz w:val="20"/>
                <w:szCs w:val="20"/>
                <w:color w:val="auto"/>
              </w:rPr>
            </w:pPr>
          </w:p>
        </w:tc>
        <w:tc>
          <w:tcPr>
            <w:tcW w:w="600" w:type="dxa"/>
            <w:vAlign w:val="bottom"/>
            <w:gridSpan w:val="3"/>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800" w:type="dxa"/>
            <w:vAlign w:val="bottom"/>
            <w:gridSpan w:val="3"/>
          </w:tcPr>
          <w:p>
            <w:pPr>
              <w:jc w:val="right"/>
              <w:ind w:right="20"/>
              <w:spacing w:after="0" w:line="235" w:lineRule="exact"/>
              <w:rPr>
                <w:sz w:val="20"/>
                <w:szCs w:val="20"/>
                <w:color w:val="auto"/>
              </w:rPr>
            </w:pPr>
            <w:r>
              <w:rPr>
                <w:rFonts w:ascii="Times New Roman" w:cs="Times New Roman" w:eastAsia="Times New Roman" w:hAnsi="Times New Roman"/>
                <w:sz w:val="15"/>
                <w:szCs w:val="15"/>
                <w:color w:val="auto"/>
              </w:rPr>
              <w:t>420,700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280" w:type="dxa"/>
            <w:vAlign w:val="bottom"/>
            <w:gridSpan w:val="2"/>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c>
          <w:tcPr>
            <w:tcW w:w="900" w:type="dxa"/>
            <w:vAlign w:val="bottom"/>
            <w:gridSpan w:val="2"/>
          </w:tcPr>
          <w:p>
            <w:pPr>
              <w:ind w:left="10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$184,056</w:t>
            </w:r>
          </w:p>
        </w:tc>
        <w:tc>
          <w:tcPr>
            <w:tcW w:w="220" w:type="dxa"/>
            <w:vAlign w:val="bottom"/>
            <w:gridSpan w:val="2"/>
          </w:tcPr>
          <w:p>
            <w:pPr>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92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15"/>
                <w:szCs w:val="15"/>
                <w:color w:val="auto"/>
              </w:rPr>
              <w:t>2,307,242</w:t>
            </w:r>
            <w:r>
              <w:rPr>
                <w:rFonts w:ascii="Times New Roman" w:cs="Times New Roman" w:eastAsia="Times New Roman" w:hAnsi="Times New Roman"/>
                <w:sz w:val="27"/>
                <w:szCs w:val="27"/>
                <w:color w:val="auto"/>
                <w:vertAlign w:val="superscript"/>
              </w:rPr>
              <w:t>​​​</w:t>
            </w:r>
          </w:p>
        </w:tc>
        <w:tc>
          <w:tcPr>
            <w:tcW w:w="200" w:type="dxa"/>
            <w:vAlign w:val="bottom"/>
          </w:tcPr>
          <w:p>
            <w:pPr>
              <w:ind w:left="40"/>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gridSpan w:val="2"/>
          </w:tcPr>
          <w:p>
            <w:pPr>
              <w:spacing w:after="0" w:line="23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780" w:type="dxa"/>
            <w:vAlign w:val="bottom"/>
            <w:gridSpan w:val="3"/>
          </w:tcPr>
          <w:p>
            <w:pPr>
              <w:jc w:val="right"/>
              <w:spacing w:after="0" w:line="235" w:lineRule="exact"/>
              <w:rPr>
                <w:sz w:val="20"/>
                <w:szCs w:val="20"/>
                <w:color w:val="auto"/>
              </w:rPr>
            </w:pPr>
            <w:r>
              <w:rPr>
                <w:rFonts w:ascii="Times New Roman" w:cs="Times New Roman" w:eastAsia="Times New Roman" w:hAnsi="Times New Roman"/>
                <w:sz w:val="15"/>
                <w:szCs w:val="15"/>
                <w:color w:val="auto"/>
              </w:rPr>
              <w:t>2,912,776</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175"/>
        </w:trPr>
        <w:tc>
          <w:tcPr>
            <w:tcW w:w="38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and Chief Financial Officer</w:t>
            </w:r>
          </w:p>
        </w:tc>
        <w:tc>
          <w:tcPr>
            <w:tcW w:w="40" w:type="dxa"/>
            <w:vAlign w:val="bottom"/>
          </w:tcPr>
          <w:p>
            <w:pPr>
              <w:spacing w:after="0"/>
              <w:rPr>
                <w:sz w:val="15"/>
                <w:szCs w:val="15"/>
                <w:color w:val="auto"/>
              </w:rPr>
            </w:pPr>
          </w:p>
        </w:tc>
        <w:tc>
          <w:tcPr>
            <w:tcW w:w="600" w:type="dxa"/>
            <w:vAlign w:val="bottom"/>
            <w:gridSpan w:val="3"/>
            <w:vMerge w:val="restart"/>
          </w:tcPr>
          <w:p>
            <w:pPr>
              <w:jc w:val="right"/>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1480" w:type="dxa"/>
            <w:vAlign w:val="bottom"/>
            <w:gridSpan w:val="6"/>
            <w:vMerge w:val="restart"/>
          </w:tcPr>
          <w:p>
            <w:pPr>
              <w:jc w:val="right"/>
              <w:spacing w:after="0" w:line="338" w:lineRule="exact"/>
              <w:rPr>
                <w:sz w:val="20"/>
                <w:szCs w:val="20"/>
                <w:color w:val="auto"/>
              </w:rPr>
            </w:pPr>
            <w:r>
              <w:rPr>
                <w:rFonts w:ascii="Times New Roman" w:cs="Times New Roman" w:eastAsia="Times New Roman" w:hAnsi="Times New Roman"/>
                <w:sz w:val="18"/>
                <w:szCs w:val="18"/>
                <w:color w:val="auto"/>
              </w:rPr>
              <w:t>392,000</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$215,600</w:t>
            </w:r>
            <w:r>
              <w:rPr>
                <w:rFonts w:ascii="Times New Roman" w:cs="Times New Roman" w:eastAsia="Times New Roman" w:hAnsi="Times New Roman"/>
                <w:sz w:val="35"/>
                <w:szCs w:val="35"/>
                <w:color w:val="auto"/>
                <w:vertAlign w:val="superscript"/>
              </w:rPr>
              <w:t>​​​</w:t>
            </w:r>
          </w:p>
        </w:tc>
        <w:tc>
          <w:tcPr>
            <w:tcW w:w="260" w:type="dxa"/>
            <w:vAlign w:val="bottom"/>
            <w:vMerge w:val="restart"/>
          </w:tcPr>
          <w:p>
            <w:pPr>
              <w:ind w:left="100"/>
              <w:spacing w:after="0" w:line="33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spacing w:after="0" w:line="33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(4)</w:t>
            </w:r>
          </w:p>
        </w:tc>
        <w:tc>
          <w:tcPr>
            <w:tcW w:w="200" w:type="dxa"/>
            <w:vAlign w:val="bottom"/>
            <w:vMerge w:val="restart"/>
          </w:tcPr>
          <w:p>
            <w:pPr>
              <w:ind w:left="40"/>
              <w:spacing w:after="0" w:line="33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gridSpan w:val="2"/>
            <w:vMerge w:val="restart"/>
          </w:tcPr>
          <w:p>
            <w:pPr>
              <w:spacing w:after="0" w:line="33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780" w:type="dxa"/>
            <w:vAlign w:val="bottom"/>
            <w:gridSpan w:val="3"/>
            <w:vMerge w:val="restart"/>
          </w:tcPr>
          <w:p>
            <w:pPr>
              <w:jc w:val="right"/>
              <w:spacing w:after="0" w:line="338" w:lineRule="exact"/>
              <w:rPr>
                <w:sz w:val="20"/>
                <w:szCs w:val="20"/>
                <w:color w:val="auto"/>
              </w:rPr>
            </w:pPr>
            <w:r>
              <w:rPr>
                <w:rFonts w:ascii="Times New Roman" w:cs="Times New Roman" w:eastAsia="Times New Roman" w:hAnsi="Times New Roman"/>
                <w:sz w:val="18"/>
                <w:szCs w:val="18"/>
                <w:color w:val="auto"/>
              </w:rPr>
              <w:t>2,904,147</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480" w:type="dxa"/>
            <w:vAlign w:val="bottom"/>
            <w:gridSpan w:val="6"/>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920" w:type="dxa"/>
            <w:vAlign w:val="bottom"/>
            <w:gridSpan w:val="4"/>
          </w:tcPr>
          <w:p>
            <w:pPr>
              <w:jc w:val="right"/>
              <w:spacing w:after="0" w:line="162" w:lineRule="exact"/>
              <w:rPr>
                <w:sz w:val="20"/>
                <w:szCs w:val="20"/>
                <w:color w:val="auto"/>
              </w:rPr>
            </w:pPr>
            <w:r>
              <w:rPr>
                <w:rFonts w:ascii="Times New Roman" w:cs="Times New Roman" w:eastAsia="Times New Roman" w:hAnsi="Times New Roman"/>
                <w:sz w:val="12"/>
                <w:szCs w:val="12"/>
                <w:color w:val="auto"/>
              </w:rPr>
              <w:t>2,295,800</w:t>
            </w:r>
            <w:r>
              <w:rPr>
                <w:rFonts w:ascii="Times New Roman" w:cs="Times New Roman" w:eastAsia="Times New Roman" w:hAnsi="Times New Roman"/>
                <w:sz w:val="18"/>
                <w:szCs w:val="18"/>
                <w:color w:val="auto"/>
                <w:vertAlign w:val="superscript"/>
              </w:rPr>
              <w:t>​​​</w:t>
            </w:r>
          </w:p>
        </w:tc>
        <w:tc>
          <w:tcPr>
            <w:tcW w:w="2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Dr. Steen Lisby</w:t>
            </w:r>
            <w:r>
              <w:rPr>
                <w:rFonts w:ascii="Times New Roman" w:cs="Times New Roman" w:eastAsia="Times New Roman" w:hAnsi="Times New Roman"/>
                <w:sz w:val="23"/>
                <w:szCs w:val="23"/>
                <w:color w:val="auto"/>
                <w:vertAlign w:val="superscript"/>
              </w:rPr>
              <w:t>(6)</w:t>
            </w:r>
          </w:p>
        </w:tc>
        <w:tc>
          <w:tcPr>
            <w:tcW w:w="178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327,923​​​​$</w:t>
            </w: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65,585</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318,643​​​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and  Chief  Scientific</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Vignesh Rajah</w:t>
            </w:r>
          </w:p>
        </w:tc>
        <w:tc>
          <w:tcPr>
            <w:tcW w:w="1780" w:type="dxa"/>
            <w:vAlign w:val="bottom"/>
          </w:tcPr>
          <w:p>
            <w:pPr>
              <w:spacing w:after="0"/>
              <w:rPr>
                <w:sz w:val="20"/>
                <w:szCs w:val="20"/>
                <w:color w:val="auto"/>
              </w:rPr>
            </w:pPr>
          </w:p>
        </w:tc>
        <w:tc>
          <w:tcPr>
            <w:tcW w:w="64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​2021</w:t>
            </w: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800" w:type="dxa"/>
            <w:vAlign w:val="bottom"/>
            <w:gridSpan w:val="3"/>
          </w:tcPr>
          <w:p>
            <w:pPr>
              <w:jc w:val="right"/>
              <w:ind w:right="20"/>
              <w:spacing w:after="0" w:line="239" w:lineRule="exact"/>
              <w:rPr>
                <w:sz w:val="20"/>
                <w:szCs w:val="20"/>
                <w:color w:val="auto"/>
              </w:rPr>
            </w:pPr>
            <w:r>
              <w:rPr>
                <w:rFonts w:ascii="Times New Roman" w:cs="Times New Roman" w:eastAsia="Times New Roman" w:hAnsi="Times New Roman"/>
                <w:sz w:val="15"/>
                <w:szCs w:val="15"/>
                <w:color w:val="auto"/>
              </w:rPr>
              <w:t>314,324</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28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w:t>
            </w:r>
          </w:p>
        </w:tc>
        <w:tc>
          <w:tcPr>
            <w:tcW w:w="260" w:type="dxa"/>
            <w:vAlign w:val="bottom"/>
          </w:tcPr>
          <w:p>
            <w:pPr>
              <w:ind w:left="10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8"/>
                <w:szCs w:val="18"/>
                <w:color w:val="auto"/>
              </w:rPr>
              <w:t>62,865</w:t>
            </w: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92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15"/>
                <w:szCs w:val="15"/>
                <w:color w:val="auto"/>
              </w:rPr>
              <w:t>318,643</w:t>
            </w:r>
            <w:r>
              <w:rPr>
                <w:rFonts w:ascii="Times New Roman" w:cs="Times New Roman" w:eastAsia="Times New Roman" w:hAnsi="Times New Roman"/>
                <w:sz w:val="27"/>
                <w:szCs w:val="27"/>
                <w:color w:val="auto"/>
                <w:vertAlign w:val="superscript"/>
              </w:rPr>
              <w:t>​​​</w:t>
            </w:r>
          </w:p>
        </w:tc>
        <w:tc>
          <w:tcPr>
            <w:tcW w:w="80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$29,086</w:t>
            </w:r>
          </w:p>
        </w:tc>
        <w:tc>
          <w:tcPr>
            <w:tcW w:w="220" w:type="dxa"/>
            <w:vAlign w:val="bottom"/>
            <w:gridSpan w:val="2"/>
          </w:tcPr>
          <w:p>
            <w:pPr>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724,918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820" w:type="dxa"/>
            <w:vAlign w:val="bottom"/>
          </w:tcPr>
          <w:p>
            <w:pPr>
              <w:ind w:left="180"/>
              <w:spacing w:after="0" w:line="36" w:lineRule="exact"/>
              <w:rPr>
                <w:sz w:val="20"/>
                <w:szCs w:val="20"/>
                <w:color w:val="auto"/>
              </w:rPr>
            </w:pPr>
            <w:r>
              <w:rPr>
                <w:rFonts w:ascii="Times New Roman" w:cs="Times New Roman" w:eastAsia="Times New Roman" w:hAnsi="Times New Roman"/>
                <w:sz w:val="4"/>
                <w:szCs w:val="4"/>
                <w:i w:val="1"/>
                <w:iCs w:val="1"/>
                <w:color w:val="auto"/>
              </w:rPr>
              <w:t>Senior</w:t>
            </w:r>
          </w:p>
        </w:tc>
        <w:tc>
          <w:tcPr>
            <w:tcW w:w="1220" w:type="dxa"/>
            <w:vAlign w:val="bottom"/>
          </w:tcPr>
          <w:p>
            <w:pPr>
              <w:jc w:val="center"/>
              <w:spacing w:after="0" w:line="36" w:lineRule="exact"/>
              <w:rPr>
                <w:sz w:val="20"/>
                <w:szCs w:val="20"/>
                <w:color w:val="auto"/>
              </w:rPr>
            </w:pPr>
            <w:r>
              <w:rPr>
                <w:rFonts w:ascii="Times New Roman" w:cs="Times New Roman" w:eastAsia="Times New Roman" w:hAnsi="Times New Roman"/>
                <w:sz w:val="4"/>
                <w:szCs w:val="4"/>
                <w:i w:val="1"/>
                <w:iCs w:val="1"/>
                <w:color w:val="auto"/>
              </w:rPr>
              <w:t>Vice  President</w:t>
            </w:r>
          </w:p>
        </w:tc>
        <w:tc>
          <w:tcPr>
            <w:tcW w:w="2420" w:type="dxa"/>
            <w:vAlign w:val="bottom"/>
            <w:gridSpan w:val="5"/>
          </w:tcPr>
          <w:p>
            <w:pPr>
              <w:jc w:val="right"/>
              <w:spacing w:after="0" w:line="36" w:lineRule="exact"/>
              <w:rPr>
                <w:sz w:val="20"/>
                <w:szCs w:val="20"/>
                <w:color w:val="auto"/>
              </w:rPr>
            </w:pPr>
            <w:r>
              <w:rPr>
                <w:rFonts w:ascii="Times New Roman" w:cs="Times New Roman" w:eastAsia="Times New Roman" w:hAnsi="Times New Roman"/>
                <w:sz w:val="2"/>
                <w:szCs w:val="2"/>
                <w:i w:val="1"/>
                <w:iCs w:val="1"/>
                <w:color w:val="auto"/>
              </w:rPr>
              <w:t xml:space="preserve">and  Chief  Medical </w:t>
            </w: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2020</w:t>
            </w: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800" w:type="dxa"/>
            <w:vAlign w:val="bottom"/>
            <w:gridSpan w:val="3"/>
          </w:tcPr>
          <w:p>
            <w:pPr>
              <w:jc w:val="right"/>
              <w:ind w:right="20"/>
              <w:spacing w:after="0" w:line="36" w:lineRule="exact"/>
              <w:rPr>
                <w:sz w:val="20"/>
                <w:szCs w:val="20"/>
                <w:color w:val="auto"/>
              </w:rPr>
            </w:pPr>
            <w:r>
              <w:rPr>
                <w:rFonts w:ascii="Times New Roman" w:cs="Times New Roman" w:eastAsia="Times New Roman" w:hAnsi="Times New Roman"/>
                <w:sz w:val="2"/>
                <w:szCs w:val="2"/>
                <w:color w:val="auto"/>
              </w:rPr>
              <w:t>171,453</w:t>
            </w: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w:t>
            </w:r>
          </w:p>
        </w:tc>
        <w:tc>
          <w:tcPr>
            <w:tcW w:w="680" w:type="dxa"/>
            <w:vAlign w:val="bottom"/>
            <w:gridSpan w:val="3"/>
          </w:tcPr>
          <w:p>
            <w:pPr>
              <w:jc w:val="right"/>
              <w:spacing w:after="0" w:line="36" w:lineRule="exact"/>
              <w:rPr>
                <w:sz w:val="20"/>
                <w:szCs w:val="20"/>
                <w:color w:val="auto"/>
              </w:rPr>
            </w:pPr>
            <w:r>
              <w:rPr>
                <w:rFonts w:ascii="Times New Roman" w:cs="Times New Roman" w:eastAsia="Times New Roman" w:hAnsi="Times New Roman"/>
                <w:sz w:val="2"/>
                <w:szCs w:val="2"/>
                <w:color w:val="auto"/>
              </w:rPr>
              <w:t>36,740</w:t>
            </w:r>
            <w:r>
              <w:rPr>
                <w:rFonts w:ascii="Times New Roman" w:cs="Times New Roman" w:eastAsia="Times New Roman" w:hAnsi="Times New Roman"/>
                <w:sz w:val="4"/>
                <w:szCs w:val="4"/>
                <w:color w:val="auto"/>
                <w:vertAlign w:val="superscript"/>
              </w:rPr>
              <w:t>​​​</w:t>
            </w:r>
          </w:p>
        </w:tc>
        <w:tc>
          <w:tcPr>
            <w:tcW w:w="260" w:type="dxa"/>
            <w:vAlign w:val="bottom"/>
          </w:tcPr>
          <w:p>
            <w:pPr>
              <w:ind w:left="100"/>
              <w:spacing w:after="0" w:line="36" w:lineRule="exact"/>
              <w:rPr>
                <w:sz w:val="20"/>
                <w:szCs w:val="20"/>
                <w:color w:val="auto"/>
              </w:rPr>
            </w:pP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640" w:type="dxa"/>
            <w:vAlign w:val="bottom"/>
          </w:tcPr>
          <w:p>
            <w:pPr>
              <w:jc w:val="right"/>
              <w:ind w:right="27"/>
              <w:spacing w:after="0" w:line="36" w:lineRule="exact"/>
              <w:rPr>
                <w:sz w:val="20"/>
                <w:szCs w:val="20"/>
                <w:color w:val="auto"/>
              </w:rPr>
            </w:pPr>
            <w:r>
              <w:rPr>
                <w:rFonts w:ascii="Times New Roman" w:cs="Times New Roman" w:eastAsia="Times New Roman" w:hAnsi="Times New Roman"/>
                <w:sz w:val="4"/>
                <w:szCs w:val="4"/>
                <w:color w:val="auto"/>
              </w:rPr>
              <w:t>—</w:t>
            </w:r>
          </w:p>
        </w:tc>
        <w:tc>
          <w:tcPr>
            <w:tcW w:w="220" w:type="dxa"/>
            <w:vAlign w:val="bottom"/>
            <w:gridSpan w:val="2"/>
          </w:tcPr>
          <w:p>
            <w:pPr>
              <w:spacing w:after="0" w:line="36" w:lineRule="exact"/>
              <w:rPr>
                <w:sz w:val="20"/>
                <w:szCs w:val="20"/>
                <w:color w:val="auto"/>
              </w:rPr>
            </w:pP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920" w:type="dxa"/>
            <w:vAlign w:val="bottom"/>
            <w:gridSpan w:val="4"/>
          </w:tcPr>
          <w:p>
            <w:pPr>
              <w:jc w:val="right"/>
              <w:spacing w:after="0" w:line="36" w:lineRule="exact"/>
              <w:rPr>
                <w:sz w:val="20"/>
                <w:szCs w:val="20"/>
                <w:color w:val="auto"/>
              </w:rPr>
            </w:pPr>
            <w:r>
              <w:rPr>
                <w:rFonts w:ascii="Times New Roman" w:cs="Times New Roman" w:eastAsia="Times New Roman" w:hAnsi="Times New Roman"/>
                <w:sz w:val="2"/>
                <w:szCs w:val="2"/>
                <w:color w:val="auto"/>
              </w:rPr>
              <w:t>1,754,600</w:t>
            </w:r>
            <w:r>
              <w:rPr>
                <w:rFonts w:ascii="Times New Roman" w:cs="Times New Roman" w:eastAsia="Times New Roman" w:hAnsi="Times New Roman"/>
                <w:sz w:val="4"/>
                <w:szCs w:val="4"/>
                <w:color w:val="auto"/>
                <w:vertAlign w:val="superscript"/>
              </w:rPr>
              <w:t>​​​</w:t>
            </w:r>
          </w:p>
        </w:tc>
        <w:tc>
          <w:tcPr>
            <w:tcW w:w="800" w:type="dxa"/>
            <w:vAlign w:val="bottom"/>
            <w:gridSpan w:val="2"/>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$16,324</w:t>
            </w:r>
          </w:p>
        </w:tc>
        <w:tc>
          <w:tcPr>
            <w:tcW w:w="220" w:type="dxa"/>
            <w:vAlign w:val="bottom"/>
            <w:gridSpan w:val="2"/>
          </w:tcPr>
          <w:p>
            <w:pPr>
              <w:spacing w:after="0" w:line="36" w:lineRule="exact"/>
              <w:rPr>
                <w:sz w:val="20"/>
                <w:szCs w:val="20"/>
                <w:color w:val="auto"/>
              </w:rPr>
            </w:pP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780" w:type="dxa"/>
            <w:vAlign w:val="bottom"/>
            <w:gridSpan w:val="3"/>
          </w:tcPr>
          <w:p>
            <w:pPr>
              <w:jc w:val="right"/>
              <w:spacing w:after="0" w:line="36" w:lineRule="exact"/>
              <w:rPr>
                <w:sz w:val="20"/>
                <w:szCs w:val="20"/>
                <w:color w:val="auto"/>
              </w:rPr>
            </w:pPr>
            <w:r>
              <w:rPr>
                <w:rFonts w:ascii="Times New Roman" w:cs="Times New Roman" w:eastAsia="Times New Roman" w:hAnsi="Times New Roman"/>
                <w:sz w:val="2"/>
                <w:szCs w:val="2"/>
                <w:color w:val="auto"/>
              </w:rPr>
              <w:t>1,979,117</w:t>
            </w:r>
            <w:r>
              <w:rPr>
                <w:rFonts w:ascii="Times New Roman" w:cs="Times New Roman" w:eastAsia="Times New Roman" w:hAnsi="Times New Roman"/>
                <w:sz w:val="4"/>
                <w:szCs w:val="4"/>
                <w:color w:val="auto"/>
                <w:vertAlign w:val="superscript"/>
              </w:rPr>
              <w:t>​</w:t>
            </w:r>
          </w:p>
        </w:tc>
        <w:tc>
          <w:tcPr>
            <w:tcW w:w="0" w:type="dxa"/>
            <w:vAlign w:val="bottom"/>
          </w:tcPr>
          <w:p>
            <w:pPr>
              <w:spacing w:after="0" w:line="20" w:lineRule="exact"/>
              <w:rPr>
                <w:sz w:val="1"/>
                <w:szCs w:val="1"/>
                <w:color w:val="auto"/>
              </w:rPr>
            </w:pPr>
          </w:p>
        </w:tc>
      </w:tr>
      <w:tr>
        <w:trPr>
          <w:trHeight w:val="152"/>
        </w:trPr>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2"/>
              </w:rPr>
              <w:t>(7)</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8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jc w:val="right"/>
              <w:spacing w:after="0" w:line="34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line="34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400" w:type="dxa"/>
            <w:vAlign w:val="bottom"/>
          </w:tcPr>
          <w:p>
            <w:pPr>
              <w:spacing w:after="0"/>
              <w:rPr>
                <w:sz w:val="24"/>
                <w:szCs w:val="24"/>
                <w:color w:val="auto"/>
              </w:rPr>
            </w:pPr>
          </w:p>
        </w:tc>
        <w:tc>
          <w:tcPr>
            <w:tcW w:w="280" w:type="dxa"/>
            <w:vAlign w:val="bottom"/>
            <w:gridSpan w:val="2"/>
          </w:tcPr>
          <w:p>
            <w:pPr>
              <w:jc w:val="right"/>
              <w:spacing w:after="0" w:line="34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260" w:type="dxa"/>
            <w:vAlign w:val="bottom"/>
          </w:tcPr>
          <w:p>
            <w:pPr>
              <w:ind w:left="100"/>
              <w:spacing w:after="0" w:line="34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34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540" w:type="dxa"/>
            <w:vAlign w:val="bottom"/>
          </w:tcPr>
          <w:p>
            <w:pPr>
              <w:spacing w:after="0"/>
              <w:rPr>
                <w:sz w:val="24"/>
                <w:szCs w:val="24"/>
                <w:color w:val="auto"/>
              </w:rPr>
            </w:pPr>
          </w:p>
        </w:tc>
        <w:tc>
          <w:tcPr>
            <w:tcW w:w="380" w:type="dxa"/>
            <w:vAlign w:val="bottom"/>
            <w:gridSpan w:val="3"/>
          </w:tcPr>
          <w:p>
            <w:pPr>
              <w:jc w:val="right"/>
              <w:spacing w:after="0" w:line="34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200" w:type="dxa"/>
            <w:vAlign w:val="bottom"/>
          </w:tcPr>
          <w:p>
            <w:pPr>
              <w:ind w:left="40"/>
              <w:spacing w:after="0" w:line="34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34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500" w:type="dxa"/>
            <w:vAlign w:val="bottom"/>
          </w:tcPr>
          <w:p>
            <w:pPr>
              <w:spacing w:after="0"/>
              <w:rPr>
                <w:sz w:val="24"/>
                <w:szCs w:val="24"/>
                <w:color w:val="auto"/>
              </w:rPr>
            </w:pPr>
          </w:p>
        </w:tc>
        <w:tc>
          <w:tcPr>
            <w:tcW w:w="280" w:type="dxa"/>
            <w:vAlign w:val="bottom"/>
            <w:gridSpan w:val="2"/>
          </w:tcPr>
          <w:p>
            <w:pPr>
              <w:jc w:val="right"/>
              <w:spacing w:after="0" w:line="34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6"/>
        </w:trPr>
        <w:tc>
          <w:tcPr>
            <w:tcW w:w="3820" w:type="dxa"/>
            <w:vAlign w:val="bottom"/>
            <w:gridSpan w:val="3"/>
          </w:tcPr>
          <w:p>
            <w:pPr>
              <w:spacing w:after="0"/>
              <w:rPr>
                <w:sz w:val="3"/>
                <w:szCs w:val="3"/>
                <w:color w:val="auto"/>
              </w:rPr>
            </w:pPr>
          </w:p>
        </w:tc>
        <w:tc>
          <w:tcPr>
            <w:tcW w:w="4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09"/>
        </w:trPr>
        <w:tc>
          <w:tcPr>
            <w:tcW w:w="3820" w:type="dxa"/>
            <w:vAlign w:val="bottom"/>
            <w:tcBorders>
              <w:bottom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Former Named Executive Officers</w:t>
            </w:r>
          </w:p>
        </w:tc>
        <w:tc>
          <w:tcPr>
            <w:tcW w:w="44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Borders>
              <w:bottom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left w:val="single" w:sz="8" w:color="CCEEFF"/>
              <w:bottom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Borders>
              <w:bottom w:val="single" w:sz="8" w:color="CCEEFF"/>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Borders>
              <w:bottom w:val="single" w:sz="8" w:color="CCEEFF"/>
              <w:right w:val="single" w:sz="8" w:color="CCEEFF"/>
            </w:tcBorders>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Claus Juan Møller-San Pedro M.D., Ph.D.</w:t>
            </w:r>
          </w:p>
        </w:tc>
        <w:tc>
          <w:tcPr>
            <w:tcW w:w="64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​2021</w:t>
            </w: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800" w:type="dxa"/>
            <w:vAlign w:val="bottom"/>
            <w:gridSpan w:val="3"/>
          </w:tcPr>
          <w:p>
            <w:pPr>
              <w:jc w:val="right"/>
              <w:ind w:right="20"/>
              <w:spacing w:after="0" w:line="232" w:lineRule="exact"/>
              <w:rPr>
                <w:sz w:val="20"/>
                <w:szCs w:val="20"/>
                <w:color w:val="auto"/>
              </w:rPr>
            </w:pPr>
            <w:r>
              <w:rPr>
                <w:rFonts w:ascii="Times New Roman" w:cs="Times New Roman" w:eastAsia="Times New Roman" w:hAnsi="Times New Roman"/>
                <w:sz w:val="15"/>
                <w:szCs w:val="15"/>
                <w:color w:val="auto"/>
              </w:rPr>
              <w:t>630,000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00" w:type="dxa"/>
            <w:vAlign w:val="bottom"/>
          </w:tcPr>
          <w:p>
            <w:pPr>
              <w:spacing w:after="0"/>
              <w:rPr>
                <w:sz w:val="20"/>
                <w:szCs w:val="20"/>
                <w:color w:val="auto"/>
              </w:rPr>
            </w:pPr>
          </w:p>
        </w:tc>
        <w:tc>
          <w:tcPr>
            <w:tcW w:w="28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w:t>
            </w:r>
          </w:p>
        </w:tc>
        <w:tc>
          <w:tcPr>
            <w:tcW w:w="900" w:type="dxa"/>
            <w:vAlign w:val="bottom"/>
            <w:gridSpan w:val="2"/>
          </w:tcPr>
          <w:p>
            <w:pPr>
              <w:ind w:left="10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$283,500</w:t>
            </w:r>
          </w:p>
        </w:tc>
        <w:tc>
          <w:tcPr>
            <w:tcW w:w="220" w:type="dxa"/>
            <w:vAlign w:val="bottom"/>
            <w:gridSpan w:val="2"/>
          </w:tcPr>
          <w:p>
            <w:pPr>
              <w:spacing w:after="0" w:line="23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gridSpan w:val="4"/>
          </w:tcPr>
          <w:p>
            <w:pPr>
              <w:jc w:val="right"/>
              <w:spacing w:after="0" w:line="232" w:lineRule="exact"/>
              <w:rPr>
                <w:sz w:val="20"/>
                <w:szCs w:val="20"/>
                <w:color w:val="auto"/>
              </w:rPr>
            </w:pPr>
            <w:r>
              <w:rPr>
                <w:rFonts w:ascii="Times New Roman" w:cs="Times New Roman" w:eastAsia="Times New Roman" w:hAnsi="Times New Roman"/>
                <w:sz w:val="15"/>
                <w:szCs w:val="15"/>
                <w:color w:val="auto"/>
              </w:rPr>
              <w:t>2,290,248</w:t>
            </w:r>
            <w:r>
              <w:rPr>
                <w:rFonts w:ascii="Times New Roman" w:cs="Times New Roman" w:eastAsia="Times New Roman" w:hAnsi="Times New Roman"/>
                <w:sz w:val="26"/>
                <w:szCs w:val="26"/>
                <w:color w:val="auto"/>
                <w:vertAlign w:val="superscript"/>
              </w:rPr>
              <w:t>​​​</w:t>
            </w:r>
          </w:p>
        </w:tc>
        <w:tc>
          <w:tcPr>
            <w:tcW w:w="800" w:type="dxa"/>
            <w:vAlign w:val="bottom"/>
            <w:gridSpan w:val="2"/>
          </w:tcPr>
          <w:p>
            <w:pPr>
              <w:ind w:left="40"/>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$84,835</w:t>
            </w:r>
          </w:p>
        </w:tc>
        <w:tc>
          <w:tcPr>
            <w:tcW w:w="220" w:type="dxa"/>
            <w:vAlign w:val="bottom"/>
            <w:gridSpan w:val="2"/>
          </w:tcPr>
          <w:p>
            <w:pPr>
              <w:spacing w:after="0" w:line="23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3,288,583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9"/>
        </w:trPr>
        <w:tc>
          <w:tcPr>
            <w:tcW w:w="3820" w:type="dxa"/>
            <w:vAlign w:val="bottom"/>
            <w:gridSpan w:val="3"/>
          </w:tcPr>
          <w:p>
            <w:pPr>
              <w:ind w:left="180"/>
              <w:spacing w:after="0" w:line="199" w:lineRule="exact"/>
              <w:rPr>
                <w:sz w:val="20"/>
                <w:szCs w:val="20"/>
                <w:color w:val="auto"/>
              </w:rPr>
            </w:pPr>
            <w:r>
              <w:rPr>
                <w:rFonts w:ascii="Times New Roman" w:cs="Times New Roman" w:eastAsia="Times New Roman" w:hAnsi="Times New Roman"/>
                <w:sz w:val="18"/>
                <w:szCs w:val="18"/>
                <w:i w:val="1"/>
                <w:iCs w:val="1"/>
                <w:color w:val="auto"/>
              </w:rPr>
              <w:t>Former Chief Executive Officer</w:t>
            </w:r>
            <w:r>
              <w:rPr>
                <w:rFonts w:ascii="Times New Roman" w:cs="Times New Roman" w:eastAsia="Times New Roman" w:hAnsi="Times New Roman"/>
                <w:sz w:val="23"/>
                <w:szCs w:val="23"/>
                <w:i w:val="1"/>
                <w:iCs w:val="1"/>
                <w:color w:val="auto"/>
                <w:vertAlign w:val="superscript"/>
              </w:rPr>
              <w:t>(8)</w:t>
            </w:r>
          </w:p>
        </w:tc>
        <w:tc>
          <w:tcPr>
            <w:tcW w:w="40" w:type="dxa"/>
            <w:vAlign w:val="bottom"/>
          </w:tcPr>
          <w:p>
            <w:pPr>
              <w:spacing w:after="0"/>
              <w:rPr>
                <w:sz w:val="17"/>
                <w:szCs w:val="17"/>
                <w:color w:val="auto"/>
              </w:rPr>
            </w:pPr>
          </w:p>
        </w:tc>
        <w:tc>
          <w:tcPr>
            <w:tcW w:w="400" w:type="dxa"/>
            <w:vAlign w:val="bottom"/>
          </w:tcPr>
          <w:p>
            <w:pPr>
              <w:jc w:val="right"/>
              <w:ind w:right="267"/>
              <w:spacing w:after="0" w:line="19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574,000</w:t>
            </w:r>
          </w:p>
        </w:tc>
        <w:tc>
          <w:tcPr>
            <w:tcW w:w="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7"/>
                <w:szCs w:val="17"/>
                <w:color w:val="auto"/>
              </w:rPr>
            </w:pPr>
          </w:p>
        </w:tc>
        <w:tc>
          <w:tcPr>
            <w:tcW w:w="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7,232,652</w:t>
            </w:r>
          </w:p>
        </w:tc>
        <w:tc>
          <w:tcPr>
            <w:tcW w:w="2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7"/>
                <w:szCs w:val="17"/>
                <w:color w:val="auto"/>
              </w:rPr>
            </w:pPr>
          </w:p>
        </w:tc>
        <w:tc>
          <w:tcPr>
            <w:tcW w:w="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8,192,780</w:t>
            </w:r>
          </w:p>
        </w:tc>
        <w:tc>
          <w:tcPr>
            <w:tcW w:w="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​2020</w:t>
            </w:r>
          </w:p>
        </w:tc>
        <w:tc>
          <w:tcPr>
            <w:tcW w:w="20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22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27"/>
              <w:spacing w:after="0" w:line="76" w:lineRule="exact"/>
              <w:rPr>
                <w:sz w:val="20"/>
                <w:szCs w:val="20"/>
                <w:color w:val="auto"/>
              </w:rPr>
            </w:pPr>
            <w:r>
              <w:rPr>
                <w:rFonts w:ascii="Times New Roman" w:cs="Times New Roman" w:eastAsia="Times New Roman" w:hAnsi="Times New Roman"/>
                <w:sz w:val="8"/>
                <w:szCs w:val="8"/>
                <w:color w:val="auto"/>
              </w:rPr>
              <w:t>$301,350</w:t>
            </w:r>
          </w:p>
        </w:tc>
        <w:tc>
          <w:tcPr>
            <w:tcW w:w="22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auto"/>
              </w:rPr>
              <w:t>$84,778</w:t>
            </w:r>
          </w:p>
        </w:tc>
        <w:tc>
          <w:tcPr>
            <w:tcW w:w="22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7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3"/>
          </w:tcPr>
          <w:p>
            <w:pPr>
              <w:jc w:val="right"/>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​2019</w:t>
            </w: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w:t>
            </w:r>
          </w:p>
        </w:tc>
        <w:tc>
          <w:tcPr>
            <w:tcW w:w="1480" w:type="dxa"/>
            <w:vAlign w:val="bottom"/>
            <w:gridSpan w:val="6"/>
          </w:tcPr>
          <w:p>
            <w:pPr>
              <w:jc w:val="right"/>
              <w:spacing w:after="0" w:line="36" w:lineRule="exact"/>
              <w:rPr>
                <w:sz w:val="20"/>
                <w:szCs w:val="20"/>
                <w:color w:val="auto"/>
              </w:rPr>
            </w:pPr>
            <w:r>
              <w:rPr>
                <w:rFonts w:ascii="Times New Roman" w:cs="Times New Roman" w:eastAsia="Times New Roman" w:hAnsi="Times New Roman"/>
                <w:sz w:val="2"/>
                <w:szCs w:val="2"/>
                <w:color w:val="auto"/>
              </w:rPr>
              <w:t>550,000</w:t>
            </w: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$332,750</w:t>
            </w:r>
            <w:r>
              <w:rPr>
                <w:rFonts w:ascii="Times New Roman" w:cs="Times New Roman" w:eastAsia="Times New Roman" w:hAnsi="Times New Roman"/>
                <w:sz w:val="4"/>
                <w:szCs w:val="4"/>
                <w:color w:val="auto"/>
                <w:vertAlign w:val="superscript"/>
              </w:rPr>
              <w:t>​​​</w:t>
            </w:r>
          </w:p>
        </w:tc>
        <w:tc>
          <w:tcPr>
            <w:tcW w:w="260" w:type="dxa"/>
            <w:vAlign w:val="bottom"/>
          </w:tcPr>
          <w:p>
            <w:pPr>
              <w:ind w:left="10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w:t>
            </w:r>
          </w:p>
        </w:tc>
        <w:tc>
          <w:tcPr>
            <w:tcW w:w="640" w:type="dxa"/>
            <w:vAlign w:val="bottom"/>
          </w:tcPr>
          <w:p>
            <w:pPr>
              <w:jc w:val="right"/>
              <w:ind w:right="27"/>
              <w:spacing w:after="0" w:line="36" w:lineRule="exact"/>
              <w:rPr>
                <w:sz w:val="20"/>
                <w:szCs w:val="20"/>
                <w:color w:val="auto"/>
              </w:rPr>
            </w:pPr>
            <w:r>
              <w:rPr>
                <w:rFonts w:ascii="Times New Roman" w:cs="Times New Roman" w:eastAsia="Times New Roman" w:hAnsi="Times New Roman"/>
                <w:sz w:val="4"/>
                <w:szCs w:val="4"/>
                <w:color w:val="auto"/>
              </w:rPr>
              <w:t>—</w:t>
            </w:r>
          </w:p>
        </w:tc>
        <w:tc>
          <w:tcPr>
            <w:tcW w:w="220" w:type="dxa"/>
            <w:vAlign w:val="bottom"/>
            <w:gridSpan w:val="2"/>
          </w:tcPr>
          <w:p>
            <w:pPr>
              <w:spacing w:after="0" w:line="36" w:lineRule="exact"/>
              <w:rPr>
                <w:sz w:val="20"/>
                <w:szCs w:val="20"/>
                <w:color w:val="auto"/>
              </w:rPr>
            </w:pP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920" w:type="dxa"/>
            <w:vAlign w:val="bottom"/>
            <w:gridSpan w:val="4"/>
          </w:tcPr>
          <w:p>
            <w:pPr>
              <w:jc w:val="right"/>
              <w:spacing w:after="0" w:line="36" w:lineRule="exact"/>
              <w:rPr>
                <w:sz w:val="20"/>
                <w:szCs w:val="20"/>
                <w:color w:val="auto"/>
              </w:rPr>
            </w:pPr>
            <w:r>
              <w:rPr>
                <w:rFonts w:ascii="Times New Roman" w:cs="Times New Roman" w:eastAsia="Times New Roman" w:hAnsi="Times New Roman"/>
                <w:sz w:val="2"/>
                <w:szCs w:val="2"/>
                <w:color w:val="auto"/>
              </w:rPr>
              <w:t>4,856,500</w:t>
            </w:r>
            <w:r>
              <w:rPr>
                <w:rFonts w:ascii="Times New Roman" w:cs="Times New Roman" w:eastAsia="Times New Roman" w:hAnsi="Times New Roman"/>
                <w:sz w:val="4"/>
                <w:szCs w:val="4"/>
                <w:color w:val="auto"/>
                <w:vertAlign w:val="superscript"/>
              </w:rPr>
              <w:t>​​​</w:t>
            </w:r>
          </w:p>
        </w:tc>
        <w:tc>
          <w:tcPr>
            <w:tcW w:w="800" w:type="dxa"/>
            <w:vAlign w:val="bottom"/>
            <w:gridSpan w:val="2"/>
          </w:tcPr>
          <w:p>
            <w:pPr>
              <w:ind w:left="40"/>
              <w:spacing w:after="0" w:line="36"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$84,747</w:t>
            </w:r>
          </w:p>
        </w:tc>
        <w:tc>
          <w:tcPr>
            <w:tcW w:w="220" w:type="dxa"/>
            <w:vAlign w:val="bottom"/>
            <w:gridSpan w:val="2"/>
          </w:tcPr>
          <w:p>
            <w:pPr>
              <w:spacing w:after="0" w:line="36" w:lineRule="exact"/>
              <w:rPr>
                <w:sz w:val="20"/>
                <w:szCs w:val="20"/>
                <w:color w:val="auto"/>
              </w:rPr>
            </w:pP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780" w:type="dxa"/>
            <w:vAlign w:val="bottom"/>
            <w:gridSpan w:val="3"/>
          </w:tcPr>
          <w:p>
            <w:pPr>
              <w:jc w:val="right"/>
              <w:spacing w:after="0" w:line="36" w:lineRule="exact"/>
              <w:rPr>
                <w:sz w:val="20"/>
                <w:szCs w:val="20"/>
                <w:color w:val="auto"/>
              </w:rPr>
            </w:pPr>
            <w:r>
              <w:rPr>
                <w:rFonts w:ascii="Times New Roman" w:cs="Times New Roman" w:eastAsia="Times New Roman" w:hAnsi="Times New Roman"/>
                <w:sz w:val="2"/>
                <w:szCs w:val="2"/>
                <w:color w:val="auto"/>
              </w:rPr>
              <w:t>5,823,997</w:t>
            </w:r>
            <w:r>
              <w:rPr>
                <w:rFonts w:ascii="Times New Roman" w:cs="Times New Roman" w:eastAsia="Times New Roman" w:hAnsi="Times New Roman"/>
                <w:sz w:val="4"/>
                <w:szCs w:val="4"/>
                <w:color w:val="auto"/>
                <w:vertAlign w:val="superscript"/>
              </w:rPr>
              <w:t>​</w:t>
            </w:r>
          </w:p>
        </w:tc>
        <w:tc>
          <w:tcPr>
            <w:tcW w:w="0" w:type="dxa"/>
            <w:vAlign w:val="bottom"/>
          </w:tcPr>
          <w:p>
            <w:pPr>
              <w:spacing w:after="0" w:line="20" w:lineRule="exact"/>
              <w:rPr>
                <w:sz w:val="1"/>
                <w:szCs w:val="1"/>
                <w:color w:val="auto"/>
              </w:rPr>
            </w:pPr>
          </w:p>
        </w:tc>
      </w:tr>
      <w:tr>
        <w:trPr>
          <w:trHeight w:val="152"/>
        </w:trPr>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(4)</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40" w:type="dxa"/>
            <w:vAlign w:val="bottom"/>
            <w:gridSpan w:val="2"/>
          </w:tcPr>
          <w:p>
            <w:pPr>
              <w:spacing w:after="0"/>
              <w:rPr>
                <w:sz w:val="9"/>
                <w:szCs w:val="9"/>
                <w:color w:val="auto"/>
              </w:rPr>
            </w:pP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Herman</w:t>
            </w:r>
            <w:r>
              <w:rPr>
                <w:rFonts w:ascii="Times New Roman" w:cs="Times New Roman" w:eastAsia="Times New Roman" w:hAnsi="Times New Roman"/>
                <w:sz w:val="23"/>
                <w:szCs w:val="23"/>
                <w:color w:val="auto"/>
                <w:vertAlign w:val="superscript"/>
              </w:rPr>
              <w:t>(9 )</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​2020</w:t>
            </w: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1480" w:type="dxa"/>
            <w:vAlign w:val="bottom"/>
            <w:gridSpan w:val="6"/>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403,920</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$141,372</w:t>
            </w:r>
            <w:r>
              <w:rPr>
                <w:rFonts w:ascii="Times New Roman" w:cs="Times New Roman" w:eastAsia="Times New Roman" w:hAnsi="Times New Roman"/>
                <w:sz w:val="32"/>
                <w:szCs w:val="32"/>
                <w:color w:val="auto"/>
                <w:vertAlign w:val="superscript"/>
              </w:rPr>
              <w:t>​​​</w:t>
            </w:r>
          </w:p>
        </w:tc>
        <w:tc>
          <w:tcPr>
            <w:tcW w:w="260" w:type="dxa"/>
            <w:vAlign w:val="bottom"/>
            <w:tcBorders>
              <w:left w:val="single" w:sz="8" w:color="CCEEFF"/>
            </w:tcBorders>
            <w:shd w:val="clear" w:color="auto" w:fill="CCEEFF"/>
          </w:tcPr>
          <w:p>
            <w:pPr>
              <w:ind w:left="10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64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920" w:type="dxa"/>
            <w:vAlign w:val="bottom"/>
            <w:gridSpan w:val="4"/>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1,196,200</w:t>
            </w:r>
            <w:r>
              <w:rPr>
                <w:rFonts w:ascii="Times New Roman" w:cs="Times New Roman" w:eastAsia="Times New Roman" w:hAnsi="Times New Roman"/>
                <w:sz w:val="32"/>
                <w:szCs w:val="32"/>
                <w:color w:val="auto"/>
                <w:vertAlign w:val="superscript"/>
              </w:rPr>
              <w:t>​​​</w:t>
            </w:r>
          </w:p>
        </w:tc>
        <w:tc>
          <w:tcPr>
            <w:tcW w:w="200" w:type="dxa"/>
            <w:vAlign w:val="bottom"/>
            <w:shd w:val="clear" w:color="auto" w:fill="CCEEFF"/>
          </w:tcPr>
          <w:p>
            <w:pPr>
              <w:ind w:left="4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60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1,741,936</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Former</w:t>
            </w:r>
          </w:p>
        </w:tc>
        <w:tc>
          <w:tcPr>
            <w:tcW w:w="12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rPr>
              <w:t>Senior  Vice</w:t>
            </w:r>
          </w:p>
        </w:tc>
        <w:tc>
          <w:tcPr>
            <w:tcW w:w="18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60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2019​​​​$</w:t>
            </w:r>
          </w:p>
        </w:tc>
        <w:tc>
          <w:tcPr>
            <w:tcW w:w="1480" w:type="dxa"/>
            <w:vAlign w:val="bottom"/>
            <w:gridSpan w:val="6"/>
          </w:tcPr>
          <w:p>
            <w:pPr>
              <w:jc w:val="right"/>
              <w:spacing w:after="0" w:line="195" w:lineRule="exact"/>
              <w:rPr>
                <w:sz w:val="20"/>
                <w:szCs w:val="20"/>
                <w:color w:val="auto"/>
              </w:rPr>
            </w:pPr>
            <w:r>
              <w:rPr>
                <w:rFonts w:ascii="Times New Roman" w:cs="Times New Roman" w:eastAsia="Times New Roman" w:hAnsi="Times New Roman"/>
                <w:sz w:val="18"/>
                <w:szCs w:val="18"/>
                <w:color w:val="auto"/>
              </w:rPr>
              <w:t>367,200​​​​$128,520​​​</w:t>
            </w:r>
          </w:p>
        </w:tc>
        <w:tc>
          <w:tcPr>
            <w:tcW w:w="2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27"/>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auto"/>
              </w:rPr>
              <w:t>640,200​​​</w:t>
            </w:r>
          </w:p>
        </w:tc>
        <w:tc>
          <w:tcPr>
            <w:tcW w:w="20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2"/>
              <w:spacing w:after="0" w:line="195" w:lineRule="exact"/>
              <w:rPr>
                <w:sz w:val="20"/>
                <w:szCs w:val="20"/>
                <w:color w:val="auto"/>
              </w:rPr>
            </w:pPr>
            <w:r>
              <w:rPr>
                <w:rFonts w:ascii="Times New Roman" w:cs="Times New Roman" w:eastAsia="Times New Roman" w:hAnsi="Times New Roman"/>
                <w:sz w:val="18"/>
                <w:szCs w:val="18"/>
                <w:color w:val="auto"/>
              </w:rPr>
              <w:t>420</w:t>
            </w:r>
          </w:p>
        </w:tc>
        <w:tc>
          <w:tcPr>
            <w:tcW w:w="2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w w:val="97"/>
              </w:rPr>
              <w:t>1,136,340</w:t>
            </w:r>
          </w:p>
        </w:tc>
        <w:tc>
          <w:tcPr>
            <w:tcW w:w="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Officer</w:t>
            </w: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-454025</wp:posOffset>
            </wp:positionV>
            <wp:extent cx="6180455" cy="514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80455" cy="5143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-3179445</wp:posOffset>
            </wp:positionV>
            <wp:extent cx="6180455" cy="600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80455" cy="60007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196850</wp:posOffset>
            </wp:positionV>
            <wp:extent cx="12344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1000" w:hanging="360"/>
        <w:spacing w:after="0" w:line="26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“Bonus” column represent discretionary annual cash bonuses awarded to our named executive officers. Our named executive officers have not received any non-cash compensation in lieu of salary or bonus.</w:t>
      </w:r>
    </w:p>
    <w:p>
      <w:pPr>
        <w:spacing w:after="0" w:line="54" w:lineRule="exact"/>
        <w:rPr>
          <w:rFonts w:ascii="Times New Roman" w:cs="Times New Roman" w:eastAsia="Times New Roman" w:hAnsi="Times New Roman"/>
          <w:sz w:val="18"/>
          <w:szCs w:val="18"/>
          <w:color w:val="auto"/>
        </w:rPr>
      </w:pPr>
    </w:p>
    <w:p>
      <w:pPr>
        <w:ind w:left="1620" w:right="1740"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of amounts in the column reflects the performance year to which the bonus/​ compensation relates, rather than the year in which the bonus/compensation is paid.</w:t>
      </w:r>
    </w:p>
    <w:p>
      <w:pPr>
        <w:spacing w:after="0" w:line="40" w:lineRule="exact"/>
        <w:rPr>
          <w:rFonts w:ascii="Times New Roman" w:cs="Times New Roman" w:eastAsia="Times New Roman" w:hAnsi="Times New Roman"/>
          <w:sz w:val="18"/>
          <w:szCs w:val="18"/>
          <w:color w:val="auto"/>
        </w:rPr>
      </w:pPr>
    </w:p>
    <w:p>
      <w:pPr>
        <w:ind w:left="1620" w:right="1120" w:hanging="360"/>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2020 and 2021 annual cash bonus plans provides more specificity and less discretion regarding the calculation of the level of achievement of the performance metrics than in prior years, payments made pursuant for 2020 and 2021 cash bonuses have been reported in the Non-equity Incentive Plan Compensation column instead of the Bonus column.</w:t>
      </w:r>
    </w:p>
    <w:p>
      <w:pPr>
        <w:spacing w:after="0" w:line="3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03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in January 2020 but were related to services rendered by the named executive officer in 2019 and are reflected in the table above as if granted in December 2019.</w:t>
      </w:r>
    </w:p>
    <w:p>
      <w:pPr>
        <w:spacing w:after="0" w:line="26"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Gad serves as a member of our Board of Directors but does not receive any additional compensation for his service as a director. Dr. Møller served as a member of our Board of Directors from our inception until April 22, 2022, but did not receive any additional compensation for his services as a director during that time. Mr. Kruse served as a member of our Board of Directors from our inception until June 2019, but did not receive any additional compensation for his services as a director during that time. Amounts in this column include a monthly housing allowance of $7,000 to cover rental expenses associated with the U.S. residence for each of Mr. Gad and Dr. Møller and a monthly housing allowance of approximately $2,000 to cover rental expenses associated with a Danish residence for Dr. Rajah. Amounts also include certain insurance premiums and technology expenses paid for by the Company.</w:t>
      </w:r>
    </w:p>
    <w:p>
      <w:pPr>
        <w:spacing w:after="0" w:line="255"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Lisby was employed by the Company during 2019 and 2020 but was not one of the five highest paid named executive officers for those years.</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Rajah joined the Company in June 2020 and therefore received a prorated bonus for 2020.</w:t>
      </w:r>
    </w:p>
    <w:p>
      <w:pPr>
        <w:spacing w:after="0" w:line="76" w:lineRule="exact"/>
        <w:rPr>
          <w:rFonts w:ascii="Times New Roman" w:cs="Times New Roman" w:eastAsia="Times New Roman" w:hAnsi="Times New Roman"/>
          <w:sz w:val="18"/>
          <w:szCs w:val="18"/>
          <w:color w:val="auto"/>
        </w:rPr>
      </w:pPr>
    </w:p>
    <w:p>
      <w:pPr>
        <w:ind w:left="1620" w:right="53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22, 2002, Dr. Møller stepped down as our Chief Executive Officer. Dr. Møller was one of our five (5) highest paid named executive officers for 2021.</w:t>
      </w:r>
    </w:p>
    <w:p>
      <w:pPr>
        <w:spacing w:after="0" w:line="13"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Herman left the Company effective December 31, 2021 and was not one of the five highest paid named executive officers for 2021, but he was one of the five (5) highest paid named executive officers for 2020 and 2019.</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 2019, we paid annual base salaries of $440,000 to Mr. Gad, $ 550,000 to Dr. Møller, $392,000 to Mr. Kruse, $367,200 to Mr. Herman. Dr. Rajah was not employed by us during 2019.</w:t>
      </w:r>
    </w:p>
    <w:p>
      <w:pPr>
        <w:spacing w:after="0" w:line="95"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In 2020, we paid annual base salaries of $470,800 to Mr. Gad, $574,000 to Dr. Møller, $420,700 to Mr. Kruse, $403,920 to Mr. Herman and $171,453 to Dr. Rajah. Dr. Rajah joined the Company on June 2, 2020 and the salary for Dr. Rajah represents his annual base salary of $293,920 prorated from his June 2, 2020 start date.</w:t>
      </w:r>
    </w:p>
    <w:p>
      <w:pPr>
        <w:spacing w:after="0" w:line="110"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2021, we paid annual base salaries of $500,000 to Mr. Gad, $630,000 to Dr. Møller, $464,000 to Mr. Kruse, $327,923 to Dr. Lisby and $314,324 to Dr. Rajah.</w:t>
      </w:r>
    </w:p>
    <w:p>
      <w:pPr>
        <w:spacing w:after="0" w:line="8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December 2021, our Board of Directors raised the base salary of each of Mr. Gad, Dr. Møller and Mr. Kruse to $525,900, $679,300 and $480,200, respectively, for fiscal 2022 effective as of January 1, 2022 (an increase of 5.2% compared to the 2021 base salary for Mr. Gad, an increase of 7.8% for Dr. Møller compared to his 2021 base salary and an increase of 3.5% for Mr. Kruse compared to his 2021 base salary). In addition, at the same time, the base salary for each of Dr. Lisby and Dr. Rajah was increased to $339,356 and $337,330, respectively (an increase of 8.0% compared to the 2021 base salary for Dr. Lisby and an increase of 12.0% for Dr. Rajah compared to his 2021 base salary).</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herein entitled “— Employment Agreements”.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From time to time, our Board of Directors has approved discretionary annual cash bonuses to our executive officers with respect to their prior year performance. Beginning 2019 our Board of Directors began to establish certain predetermined annual cash bonus performance targets for Mr. Gad, Dr. Møller and Mr. Kruse.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2019 and 2020, the other named executive officers were awarded discretionary annual cash bonuses which, for Mr. Herman was in an amount of 35% of his base salary and 25% for Dr. Rajah (prorated from his June 2020 start date) . Beginning in 2021, cash bonuses awarded to all named executive officers were performance-based with predetermined annual cash bonus performance targets.</w:t>
      </w:r>
    </w:p>
    <w:p>
      <w:pPr>
        <w:spacing w:after="0" w:line="11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 January 2020, our Board of Directors approved discretionary cash bonuses for Mr. Gad, Dr. Møller and Mr. Kruse in the amounts of $242,000, $332,750 and $215,600, respectively, for services performed during 2019. Such amounts were paid in January 2020. The cash bonus for 2019 had a target of 50% of Mr. Gad’s and Mr. Kruse’s annual base salary whereas for Dr. Møller, it was set to 55% of his annual base salary. The cash bonuses paid reflect that each of Mr. Gad, Dr. Møller and Mr. Kruse had met 110% of their 2019 targets. Mr. Herman received a discretionary cash bonus in the amount of $128,520 for services performed during 2019. Dr. Rajah was not employed by us in 2019.</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 December 2020, our Board of Directors approved performance based cash bonuses for Mr. Gad, Dr. Møller and Mr. Kruse in the amounts of $205,975, $301,350 and $184,056, respectively, for services performed during 2020. Such amounts were paid in December 2020. The annual incentive cash bonus for 2020 had a target of 50% of Mr. Gad’s and Mr. Kruse’s annual base salary whereas for Dr. Møller, it was set to 60% of his annual base salary. The cash bonuses paid reflect that each of Mr. Gad, Dr. Møller and</w:t>
      </w:r>
    </w:p>
    <w:p>
      <w:pPr>
        <w:spacing w:after="0" w:line="3" w:lineRule="exact"/>
        <w:rPr>
          <w:sz w:val="20"/>
          <w:szCs w:val="20"/>
          <w:color w:val="auto"/>
        </w:rPr>
      </w:pPr>
    </w:p>
    <w:p>
      <w:pPr>
        <w:jc w:val="both"/>
        <w:ind w:left="1260" w:right="439"/>
        <w:spacing w:after="0" w:line="246" w:lineRule="auto"/>
        <w:rPr>
          <w:sz w:val="20"/>
          <w:szCs w:val="20"/>
          <w:color w:val="auto"/>
        </w:rPr>
      </w:pPr>
      <w:r>
        <w:rPr>
          <w:rFonts w:ascii="Times New Roman" w:cs="Times New Roman" w:eastAsia="Times New Roman" w:hAnsi="Times New Roman"/>
          <w:sz w:val="18"/>
          <w:szCs w:val="18"/>
          <w:color w:val="auto"/>
        </w:rPr>
        <w:t>Mr. Kruse had met 87.5% of their 2020 performance based targets. The cash bonus paid to Mr. Gad amounts to 43.8% of his base salary for 2020. The cash bonus paid to Dr. Møller amounts to 52.5% of his base salary for 2020. The cash bonus paid to Mr. Kruse amounts to 43.8% of his base salary for 2020.</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December 2021, our Board of Directors approved performance based cash bonuses for Mr. Gad,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Møller and Mr. Kruse in the amounts of $187,500, $283,500 and $174,000, respectively, for services</w:t>
      </w:r>
    </w:p>
    <w:p>
      <w:pPr>
        <w:ind w:left="1260"/>
        <w:spacing w:after="0"/>
        <w:rPr>
          <w:sz w:val="20"/>
          <w:szCs w:val="20"/>
          <w:color w:val="auto"/>
        </w:rPr>
      </w:pPr>
      <w:r>
        <w:rPr>
          <w:rFonts w:ascii="Times New Roman" w:cs="Times New Roman" w:eastAsia="Times New Roman" w:hAnsi="Times New Roman"/>
          <w:sz w:val="18"/>
          <w:szCs w:val="18"/>
          <w:color w:val="auto"/>
        </w:rPr>
        <w:t>performed during 2021. Such amounts were paid in December 2021 for Mr. Gad and Mr. Kruse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January 2022 for Dr. Møller. The annual incentive cash bonus for 2021 had a target of 50% of Mr. Gad’s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Mr. Kruse’s annual base salary whereas for Dr. Møller, it was set to 60% of his annual base salary. The cash</w:t>
      </w:r>
    </w:p>
    <w:p>
      <w:pPr>
        <w:ind w:left="1260"/>
        <w:spacing w:after="0" w:line="235" w:lineRule="auto"/>
        <w:rPr>
          <w:sz w:val="20"/>
          <w:szCs w:val="20"/>
          <w:color w:val="auto"/>
        </w:rPr>
      </w:pPr>
      <w:r>
        <w:rPr>
          <w:rFonts w:ascii="Times New Roman" w:cs="Times New Roman" w:eastAsia="Times New Roman" w:hAnsi="Times New Roman"/>
          <w:sz w:val="18"/>
          <w:szCs w:val="18"/>
          <w:color w:val="auto"/>
        </w:rPr>
        <w:t>bonuses paid reflect that each of Mr. Gad, Dr. Møller and Mr. Kruse had met 75% of their 2021 performance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based targets. The cash bonus paid to Mr. Gad amounts to 37.5% of his base salary for 2021. The cash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bonus paid to Dr. Møller amounts to 45% of his base salary for 2021. The cash bonus paid to Mr. Kruse</w:t>
      </w:r>
    </w:p>
    <w:p>
      <w:pPr>
        <w:ind w:left="1260"/>
        <w:spacing w:after="0"/>
        <w:rPr>
          <w:sz w:val="20"/>
          <w:szCs w:val="20"/>
          <w:color w:val="auto"/>
        </w:rPr>
      </w:pPr>
      <w:r>
        <w:rPr>
          <w:rFonts w:ascii="Times New Roman" w:cs="Times New Roman" w:eastAsia="Times New Roman" w:hAnsi="Times New Roman"/>
          <w:sz w:val="18"/>
          <w:szCs w:val="18"/>
          <w:color w:val="auto"/>
        </w:rPr>
        <w:t>amounts to 37.5% of his base salary for 2021.</w:t>
      </w:r>
    </w:p>
    <w:p>
      <w:pPr>
        <w:spacing w:after="0" w:line="12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Mr. Herman and Dr. Rajah received a discretionary cash bonus of $141,372 and $36,740, respectively, for services performed during 2020. Dr. Rajah joined the Company on June 2, 2020 and, therefore, received a prorated bonus. The cash bonus paid to Mr. Herman amounts to 35.0% of his base salary for 2020. The cash bonus paid to Dr. Rajah amounts to 21.4% of his base salary for 2020.</w:t>
      </w:r>
    </w:p>
    <w:p>
      <w:pPr>
        <w:spacing w:after="0" w:line="11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Dr. Lisby and Dr. Rajah received performance based cash bonuses of $65,585 and $62,865 respectively, for services performed during 2021.</w:t>
      </w:r>
    </w:p>
    <w:p>
      <w:pPr>
        <w:spacing w:after="0" w:line="94"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annual incentive cash bonus for fiscal 2022 has a target of 50% of Mr. Gad’s and Mr. Kruse’s annual base salary whereas for Dr. Møller, it is set to 60% of his annual base salary. The annual incentive cash bonus may be increased if our Board of Directors determines that the named executive officer has exceeded the performance objectives that year. The annual incentive cash bonus for fiscal 2022 for Dr. Lisby and Dr. Rajah has a maximum and target of 25% of their annual base salary.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our 2018 Equity Incentive Plan (the “2018 Plan”), which may be granted as either incentive stock options or non-statutory stock options. Our Board of Directors may also grant other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based awards under the 2018 Plan. Our Board of Directors generally granted annual equity awards to</w:t>
      </w:r>
    </w:p>
    <w:p>
      <w:pPr>
        <w:spacing w:after="0" w:line="27" w:lineRule="exact"/>
        <w:rPr>
          <w:sz w:val="20"/>
          <w:szCs w:val="20"/>
          <w:color w:val="auto"/>
        </w:rPr>
      </w:pPr>
    </w:p>
    <w:p>
      <w:pPr>
        <w:jc w:val="both"/>
        <w:ind w:left="1260" w:right="579"/>
        <w:spacing w:after="0" w:line="255" w:lineRule="auto"/>
        <w:rPr>
          <w:sz w:val="20"/>
          <w:szCs w:val="20"/>
          <w:color w:val="auto"/>
        </w:rPr>
      </w:pPr>
      <w:r>
        <w:rPr>
          <w:rFonts w:ascii="Times New Roman" w:cs="Times New Roman" w:eastAsia="Times New Roman" w:hAnsi="Times New Roman"/>
          <w:sz w:val="18"/>
          <w:szCs w:val="18"/>
          <w:color w:val="auto"/>
        </w:rPr>
        <w:t>Mr. Gad, Dr. Møller, Mr. Kruse, Dr. Lisby and Dr. Rajah at its last regularly scheduled meeting of the year and anticipates to continue granting options at the end of each year for Mr. Gad, Mr. Kruse, Dr. Lisby and Dr. Rajah going forward.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Option Awards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Mr. Gad, Dr. Møller and Mr. Kruse did not receive option awards during fiscal 2019. On June 12, 2019, Mr. Herman received option grants of 20,000 shares of common stock, at an exercise price of $21.45 per share. On December 10, 2019, Mr. Herman received option grants of 20,000 shares of common stock, at an exercise price of $33.74 per share. Dr. Rajah was not employed with the Company in 2019 and did not receive option awards during fiscal 2019.</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On January 7, 2020 Mr. Gad, Dr. Møller and Mr. Kruse received option grants of 130,000, 275,000 and 130,000 shares of common stock, respectively, at an exercise price of $30.34 per share. On December 15, 2020 Mr. Gad, Dr. Møller and Mr. Kruse received option grants of 91,450, 226,800 and 72,350 shares of common stock, respectively, at an exercise price of $53.88 per share. On June 23, 2020 Mr. Herman received option grants of 20,000 shares of common stock, at an exercise price of $48.67 per share. On December 15, 2020, Mr. Herman received option grants of 20,000 shares of common stock, at an exercise price of $53.88 per share. On June 23, 2020 Dr. Rajah received option grants of 40,000 shares of common stock, at an exercise price of $48.67 per share. On December 15, 2020 Dr. Rajah received option grants of 20,000 shares of common stock, at an exercise price of $53.88 per share.</w:t>
      </w:r>
    </w:p>
    <w:p>
      <w:pPr>
        <w:spacing w:after="0" w:line="10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December 14, 2021 Mr. Gad, Dr. Møller, Mr. Kruse, Dr. Lisby and Dr. Rajah received option grants of 110,000, 230,000, 85,000, 32,000 and 32,000 shares of common stock, respectively, at an exercise price of $15.73 per share.</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All options were granted at an exercise price equal to the closing sale price of our common stock on the Nasdaq Global Select Market on the date of grant. The shares subject to each option will vest and become exercisable based on our “Standard Vesting Schedule” of 25% on the one-year anniversary of the date of grant, and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total shares subject to the options award vesting on the same day of the month as the grant date over the course of the next three (3) years, subject to the named executive officer’s continued employment on each vesting date.</w:t>
      </w:r>
    </w:p>
    <w:p>
      <w:pPr>
        <w:spacing w:after="0" w:line="135"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as defined in the 2018 Plan and the preceding 2015 Equity Incentive Plan (the “2015 Plan”), each option granted to our named executive officers under the 2015 Plan and under the 2018 Plan will fully vest and become immediately exercisable.</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event any of our named executive officers’ employment is terminated by the Company without “cause” or by either of the named executive officers for “good reason”, or by their “retirement” or “disability”, as such terms are defined in the 2015 Plan and/or as determined for grants made under the 2018 Plan (with respect to good reason, as summarized below), or by death, the options granted to the named executive named officers will continue to vest and become exercisable in accordance with our Standard Vesting Schedule. If a named executive officer’s employment is terminated for “cause” or by the named executive officer voluntarily (other than for retirement), the vesting schedule for options granted to the named executive officer will terminate immediately and shares subject to the option which have not vested prior to such termination will not become exercisable.</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defined in the 2015 Plan and the 2018 Plan:</w:t>
      </w:r>
    </w:p>
    <w:p>
      <w:pPr>
        <w:spacing w:after="0" w:line="117" w:lineRule="exact"/>
        <w:rPr>
          <w:sz w:val="20"/>
          <w:szCs w:val="20"/>
          <w:color w:val="auto"/>
        </w:rPr>
      </w:pPr>
    </w:p>
    <w:p>
      <w:pPr>
        <w:ind w:left="1800" w:right="419" w:hanging="180"/>
        <w:spacing w:after="0" w:line="25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generally means (1) the acquisition by a person or entity of more than 50% of our combined voting power (except a change in ownership as a result of a private financing of us that is approved by our Board of Directors), (2) the change in effective control of us which occurs on the date that a majority of members of our Board of Directors is replaced during any twelve (12) month period by directors whose appointment of election is not endorsed by a majority of the members of our Board of Directors prior to the date of the appointment or election (if any person or entity is considered to be in effective control of us, the acquisition of additional control of us by the same person or entity will not be considered a change in control), and (3) the acquisition by a person or</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20"/>
        <w:spacing w:after="0" w:line="282" w:lineRule="auto"/>
        <w:rPr>
          <w:sz w:val="20"/>
          <w:szCs w:val="20"/>
          <w:color w:val="auto"/>
        </w:rPr>
      </w:pPr>
      <w:r>
        <w:rPr>
          <w:rFonts w:ascii="Times New Roman" w:cs="Times New Roman" w:eastAsia="Times New Roman" w:hAnsi="Times New Roman"/>
          <w:sz w:val="18"/>
          <w:szCs w:val="18"/>
          <w:color w:val="auto"/>
        </w:rPr>
        <w:t>entity of a substantial portion of our assets with a total gross fair market value equal to or more than 50% of the total gross fair market value of all of our assets immediately prior to such acquisition.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defined in the 2015 Plan and as determined in connection with grants made under the 2018 Plan:</w:t>
      </w:r>
    </w:p>
    <w:p>
      <w:pPr>
        <w:spacing w:after="0" w:line="117" w:lineRule="exact"/>
        <w:rPr>
          <w:sz w:val="20"/>
          <w:szCs w:val="20"/>
          <w:color w:val="auto"/>
        </w:rPr>
      </w:pPr>
    </w:p>
    <w:p>
      <w:pPr>
        <w:ind w:left="1800" w:right="1060"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 abuse of alcohol or another drug while performing his or her duties as an employee of the Company, or a breach of or failure or refusal by participant to comply with any material provision of his or her employment agreement or arrangement with us if not cured within ten (10) days after written notice thereof from us; and</w:t>
      </w:r>
    </w:p>
    <w:p>
      <w:pPr>
        <w:spacing w:after="0" w:line="71" w:lineRule="exact"/>
        <w:rPr>
          <w:rFonts w:ascii="Times New Roman" w:cs="Times New Roman" w:eastAsia="Times New Roman" w:hAnsi="Times New Roman"/>
          <w:sz w:val="18"/>
          <w:szCs w:val="18"/>
          <w:color w:val="auto"/>
        </w:rPr>
      </w:pPr>
    </w:p>
    <w:p>
      <w:pPr>
        <w:ind w:left="1800" w:right="880" w:hanging="180"/>
        <w:spacing w:after="0" w:line="253"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means, during the term of the participant’s employment relationship with the Company, without the participant’s written consent, we cause a material reduction in base salary or compensation and bonus opportunity, a relocation of participant’s principal place of employment by more than 50 miles, any material breach by the Company of any provision in the participant’s employment agreement or arrangement or other agreements, the Company’s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spacing w:after="0" w:line="43" w:lineRule="exact"/>
        <w:rPr>
          <w:sz w:val="20"/>
          <w:szCs w:val="20"/>
          <w:color w:val="auto"/>
        </w:rPr>
      </w:pPr>
    </w:p>
    <w:p>
      <w:pPr>
        <w:ind w:left="1260" w:right="920" w:firstLine="360"/>
        <w:spacing w:after="0" w:line="282" w:lineRule="auto"/>
        <w:rPr>
          <w:sz w:val="20"/>
          <w:szCs w:val="20"/>
          <w:color w:val="auto"/>
        </w:rPr>
      </w:pPr>
      <w:r>
        <w:rPr>
          <w:rFonts w:ascii="Times New Roman" w:cs="Times New Roman" w:eastAsia="Times New Roman" w:hAnsi="Times New Roman"/>
          <w:sz w:val="18"/>
          <w:szCs w:val="18"/>
          <w:color w:val="auto"/>
        </w:rPr>
        <w:t>All options expire 10 years from the date of grant. None of the options granted to the named executive officers provide for tax-reimbursements or tax gross-ups.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2021</w:t>
      </w:r>
    </w:p>
    <w:p>
      <w:pPr>
        <w:spacing w:after="0" w:line="81" w:lineRule="exact"/>
        <w:rPr>
          <w:sz w:val="20"/>
          <w:szCs w:val="20"/>
          <w:color w:val="auto"/>
        </w:rPr>
      </w:pPr>
    </w:p>
    <w:p>
      <w:pPr>
        <w:ind w:left="1260" w:right="8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grants of plan-based awards during fiscal 2021, to our named executive officers:</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Option</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Awards:Number</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Securities</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Option</w:t>
            </w:r>
          </w:p>
        </w:tc>
        <w:tc>
          <w:tcPr>
            <w:tcW w:w="0" w:type="dxa"/>
            <w:vAlign w:val="bottom"/>
          </w:tcPr>
          <w:p>
            <w:pPr>
              <w:spacing w:after="0"/>
              <w:rPr>
                <w:sz w:val="1"/>
                <w:szCs w:val="1"/>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12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7"/>
                <w:szCs w:val="17"/>
                <w:b w:val="1"/>
                <w:bCs w:val="1"/>
                <w:color w:val="auto"/>
                <w:vertAlign w:val="superscript"/>
              </w:rPr>
              <w:t>(1)</w:t>
            </w:r>
          </w:p>
        </w:tc>
        <w:tc>
          <w:tcPr>
            <w:tcW w:w="106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Target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820" w:type="dxa"/>
            <w:vAlign w:val="bottom"/>
            <w:gridSpan w:val="7"/>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($/share)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560" w:type="dxa"/>
            <w:vAlign w:val="bottom"/>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3"/>
        </w:trPr>
        <w:tc>
          <w:tcPr>
            <w:tcW w:w="25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Thomas Gad</w:t>
            </w:r>
          </w:p>
        </w:tc>
        <w:tc>
          <w:tcPr>
            <w:tcW w:w="180" w:type="dxa"/>
            <w:vAlign w:val="bottom"/>
            <w:tcBorders>
              <w:bottom w:val="single" w:sz="8" w:color="CCEEFF"/>
            </w:tcBorders>
            <w:gridSpan w:val="2"/>
            <w:vMerge w:val="continue"/>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 Option</w:t>
            </w:r>
          </w:p>
        </w:tc>
        <w:tc>
          <w:tcPr>
            <w:tcW w:w="180" w:type="dxa"/>
            <w:vAlign w:val="bottom"/>
            <w:tcBorders>
              <w:bottom w:val="single" w:sz="8" w:color="CCEEFF"/>
            </w:tcBorders>
            <w:vMerge w:val="continue"/>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December 14, 2021</w:t>
            </w:r>
          </w:p>
        </w:tc>
        <w:tc>
          <w:tcPr>
            <w:tcW w:w="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5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020" w:type="dxa"/>
            <w:vAlign w:val="bottom"/>
            <w:tcBorders>
              <w:left w:val="single" w:sz="8" w:color="CCEEFF"/>
              <w:bottom w:val="single" w:sz="8" w:color="CCEEFF"/>
            </w:tcBorders>
            <w:gridSpan w:val="2"/>
            <w:shd w:val="clear" w:color="auto" w:fill="CCEEFF"/>
          </w:tcPr>
          <w:p>
            <w:pPr>
              <w:ind w:left="20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​110,000</w:t>
            </w:r>
          </w:p>
        </w:tc>
        <w:tc>
          <w:tcPr>
            <w:tcW w:w="1760" w:type="dxa"/>
            <w:vAlign w:val="bottom"/>
            <w:tcBorders>
              <w:bottom w:val="single" w:sz="8" w:color="CCEE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3"/>
                <w:szCs w:val="13"/>
                <w:color w:val="auto"/>
              </w:rPr>
              <w:t xml:space="preserve">$15.73 </w:t>
            </w: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3"/>
                <w:szCs w:val="13"/>
                <w:color w:val="auto"/>
              </w:rPr>
              <w:t>$1,095,366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6"/>
          </w:tcPr>
          <w:p>
            <w:pPr>
              <w:jc w:val="right"/>
              <w:ind w:right="7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4"/>
                <w:szCs w:val="14"/>
                <w:color w:val="auto"/>
              </w:rPr>
              <w:t xml:space="preserve">Performance Bonus </w:t>
            </w:r>
            <w:r>
              <w:rPr>
                <w:rFonts w:ascii="Times New Roman" w:cs="Times New Roman" w:eastAsia="Times New Roman" w:hAnsi="Times New Roman"/>
                <w:sz w:val="23"/>
                <w:szCs w:val="23"/>
                <w:color w:val="auto"/>
                <w:vertAlign w:val="superscript"/>
              </w:rPr>
              <w:t>​ ​​</w:t>
            </w:r>
          </w:p>
        </w:tc>
        <w:tc>
          <w:tcPr>
            <w:tcW w:w="1280" w:type="dxa"/>
            <w:vAlign w:val="bottom"/>
          </w:tcPr>
          <w:p>
            <w:pPr>
              <w:spacing w:after="0"/>
              <w:rPr>
                <w:sz w:val="17"/>
                <w:szCs w:val="17"/>
                <w:color w:val="auto"/>
              </w:rPr>
            </w:pPr>
          </w:p>
        </w:tc>
        <w:tc>
          <w:tcPr>
            <w:tcW w:w="10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4"/>
                <w:szCs w:val="14"/>
                <w:color w:val="auto"/>
              </w:rPr>
              <w:t xml:space="preserve">$250,000 </w:t>
            </w:r>
            <w:r>
              <w:rPr>
                <w:rFonts w:ascii="Times New Roman" w:cs="Times New Roman" w:eastAsia="Times New Roman" w:hAnsi="Times New Roman"/>
                <w:sz w:val="23"/>
                <w:szCs w:val="23"/>
                <w:color w:val="auto"/>
                <w:vertAlign w:val="superscript"/>
              </w:rPr>
              <w:t>​​ ​</w:t>
            </w:r>
          </w:p>
        </w:tc>
        <w:tc>
          <w:tcPr>
            <w:tcW w:w="280" w:type="dxa"/>
            <w:vAlign w:val="bottom"/>
          </w:tcPr>
          <w:p>
            <w:pPr>
              <w:ind w:left="200"/>
              <w:spacing w:after="0" w:line="20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bscript"/>
              </w:rPr>
              <w:t>​</w:t>
            </w:r>
          </w:p>
        </w:tc>
        <w:tc>
          <w:tcPr>
            <w:tcW w:w="74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3"/>
          </w:tcPr>
          <w:p>
            <w:pPr>
              <w:spacing w:after="0" w:line="202"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3"/>
                <w:szCs w:val="23"/>
                <w:color w:val="auto"/>
                <w:vertAlign w:val="subscript"/>
              </w:rPr>
              <w:t>​</w:t>
            </w:r>
          </w:p>
        </w:tc>
        <w:tc>
          <w:tcPr>
            <w:tcW w:w="6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 Kruse</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w:t>
            </w:r>
          </w:p>
        </w:tc>
        <w:tc>
          <w:tcPr>
            <w:tcW w:w="1660" w:type="dxa"/>
            <w:vAlign w:val="bottom"/>
            <w:gridSpan w:val="3"/>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December 14, 2021</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left w:val="single" w:sz="8" w:color="CCEEFF"/>
            </w:tcBorders>
            <w:shd w:val="clear" w:color="auto" w:fill="CCEEFF"/>
          </w:tcPr>
          <w:p>
            <w:pPr>
              <w:ind w:left="20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85,000</w:t>
            </w:r>
          </w:p>
        </w:tc>
        <w:tc>
          <w:tcPr>
            <w:tcW w:w="72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$15.73</w:t>
            </w:r>
          </w:p>
        </w:tc>
        <w:tc>
          <w:tcPr>
            <w:tcW w:w="420" w:type="dxa"/>
            <w:vAlign w:val="bottom"/>
            <w:gridSpan w:val="3"/>
            <w:shd w:val="clear" w:color="auto" w:fill="CCEEFF"/>
          </w:tcPr>
          <w:p>
            <w:pPr>
              <w:ind w:left="20"/>
              <w:spacing w:after="0" w:line="23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846,396</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4"/>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Performance Bonus </w:t>
            </w:r>
            <w:r>
              <w:rPr>
                <w:rFonts w:ascii="Times New Roman" w:cs="Times New Roman" w:eastAsia="Times New Roman" w:hAnsi="Times New Roman"/>
                <w:sz w:val="31"/>
                <w:szCs w:val="31"/>
                <w:color w:val="auto"/>
                <w:vertAlign w:val="superscript"/>
              </w:rPr>
              <w:t>​ ​​</w:t>
            </w:r>
          </w:p>
        </w:tc>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$232,000 </w:t>
            </w:r>
            <w:r>
              <w:rPr>
                <w:rFonts w:ascii="Times New Roman" w:cs="Times New Roman" w:eastAsia="Times New Roman" w:hAnsi="Times New Roman"/>
                <w:sz w:val="31"/>
                <w:szCs w:val="31"/>
                <w:color w:val="auto"/>
                <w:vertAlign w:val="superscript"/>
              </w:rPr>
              <w:t>​​ ​</w:t>
            </w:r>
          </w:p>
        </w:tc>
        <w:tc>
          <w:tcPr>
            <w:tcW w:w="280" w:type="dxa"/>
            <w:vAlign w:val="bottom"/>
            <w:tcBorders>
              <w:left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Dr. Steen Lisby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w:t>
            </w:r>
          </w:p>
        </w:tc>
        <w:tc>
          <w:tcPr>
            <w:tcW w:w="166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December 14, 2021</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0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32,000</w:t>
            </w:r>
          </w:p>
        </w:tc>
        <w:tc>
          <w:tcPr>
            <w:tcW w:w="720" w:type="dxa"/>
            <w:vAlign w:val="bottom"/>
            <w:gridSpan w:val="2"/>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$15.73</w:t>
            </w:r>
          </w:p>
        </w:tc>
        <w:tc>
          <w:tcPr>
            <w:tcW w:w="42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318,643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gridSpan w:val="5"/>
          </w:tcPr>
          <w:p>
            <w:pPr>
              <w:jc w:val="right"/>
              <w:ind w:right="7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Performance Bonus </w:t>
            </w:r>
            <w:r>
              <w:rPr>
                <w:rFonts w:ascii="Times New Roman" w:cs="Times New Roman" w:eastAsia="Times New Roman" w:hAnsi="Times New Roman"/>
                <w:sz w:val="31"/>
                <w:szCs w:val="31"/>
                <w:color w:val="auto"/>
                <w:vertAlign w:val="superscript"/>
              </w:rPr>
              <w:t>​ ​​</w:t>
            </w:r>
          </w:p>
        </w:tc>
        <w:tc>
          <w:tcPr>
            <w:tcW w:w="1280" w:type="dxa"/>
            <w:vAlign w:val="bottom"/>
          </w:tcPr>
          <w:p>
            <w:pPr>
              <w:spacing w:after="0"/>
              <w:rPr>
                <w:sz w:val="23"/>
                <w:szCs w:val="23"/>
                <w:color w:val="auto"/>
              </w:rPr>
            </w:pPr>
          </w:p>
        </w:tc>
        <w:tc>
          <w:tcPr>
            <w:tcW w:w="3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7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81,981 </w:t>
            </w:r>
            <w:r>
              <w:rPr>
                <w:rFonts w:ascii="Times New Roman" w:cs="Times New Roman" w:eastAsia="Times New Roman" w:hAnsi="Times New Roman"/>
                <w:sz w:val="31"/>
                <w:szCs w:val="31"/>
                <w:color w:val="auto"/>
                <w:vertAlign w:val="superscript"/>
              </w:rPr>
              <w:t>​​ ​</w:t>
            </w:r>
          </w:p>
        </w:tc>
        <w:tc>
          <w:tcPr>
            <w:tcW w:w="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Vignesh Rajah</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w:t>
            </w:r>
          </w:p>
        </w:tc>
        <w:tc>
          <w:tcPr>
            <w:tcW w:w="1660" w:type="dxa"/>
            <w:vAlign w:val="bottom"/>
            <w:gridSpan w:val="3"/>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December 14, 2021</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left w:val="single" w:sz="8" w:color="CCEEFF"/>
            </w:tcBorders>
            <w:shd w:val="clear" w:color="auto" w:fill="CCEEFF"/>
          </w:tcPr>
          <w:p>
            <w:pPr>
              <w:ind w:left="200"/>
              <w:spacing w:after="0" w:line="23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32,000</w:t>
            </w:r>
          </w:p>
        </w:tc>
        <w:tc>
          <w:tcPr>
            <w:tcW w:w="72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$15.73</w:t>
            </w:r>
          </w:p>
        </w:tc>
        <w:tc>
          <w:tcPr>
            <w:tcW w:w="420" w:type="dxa"/>
            <w:vAlign w:val="bottom"/>
            <w:gridSpan w:val="3"/>
            <w:shd w:val="clear" w:color="auto" w:fill="CCEEFF"/>
          </w:tcPr>
          <w:p>
            <w:pPr>
              <w:ind w:left="20"/>
              <w:spacing w:after="0" w:line="239"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318,643</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5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4"/>
            <w:shd w:val="clear" w:color="auto" w:fill="CCEEFF"/>
          </w:tcPr>
          <w:p>
            <w:pPr>
              <w:spacing w:after="0" w:line="266" w:lineRule="exact"/>
              <w:rPr>
                <w:sz w:val="20"/>
                <w:szCs w:val="20"/>
                <w:color w:val="auto"/>
              </w:rPr>
            </w:pPr>
            <w:r>
              <w:rPr>
                <w:rFonts w:ascii="Times New Roman" w:cs="Times New Roman" w:eastAsia="Times New Roman" w:hAnsi="Times New Roman"/>
                <w:sz w:val="16"/>
                <w:szCs w:val="16"/>
                <w:color w:val="auto"/>
              </w:rPr>
              <w:t xml:space="preserve">Performance Bonus </w:t>
            </w:r>
            <w:r>
              <w:rPr>
                <w:rFonts w:ascii="Times New Roman" w:cs="Times New Roman" w:eastAsia="Times New Roman" w:hAnsi="Times New Roman"/>
                <w:sz w:val="30"/>
                <w:szCs w:val="30"/>
                <w:color w:val="auto"/>
                <w:vertAlign w:val="superscript"/>
              </w:rPr>
              <w:t>​ ​​</w:t>
            </w:r>
          </w:p>
        </w:tc>
        <w:tc>
          <w:tcPr>
            <w:tcW w:w="1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ind w:left="40"/>
              <w:spacing w:after="0" w:line="26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700" w:type="dxa"/>
            <w:vAlign w:val="bottom"/>
            <w:tcBorders>
              <w:bottom w:val="single" w:sz="8" w:color="CCEEFF"/>
            </w:tcBorders>
            <w:gridSpan w:val="2"/>
            <w:shd w:val="clear" w:color="auto" w:fill="CCEEFF"/>
          </w:tcPr>
          <w:p>
            <w:pPr>
              <w:jc w:val="right"/>
              <w:spacing w:after="0" w:line="266" w:lineRule="exact"/>
              <w:rPr>
                <w:sz w:val="20"/>
                <w:szCs w:val="20"/>
                <w:color w:val="auto"/>
              </w:rPr>
            </w:pPr>
            <w:r>
              <w:rPr>
                <w:rFonts w:ascii="Times New Roman" w:cs="Times New Roman" w:eastAsia="Times New Roman" w:hAnsi="Times New Roman"/>
                <w:sz w:val="16"/>
                <w:szCs w:val="16"/>
                <w:color w:val="auto"/>
              </w:rPr>
              <w:t xml:space="preserve">78,581 </w:t>
            </w:r>
            <w:r>
              <w:rPr>
                <w:rFonts w:ascii="Times New Roman" w:cs="Times New Roman" w:eastAsia="Times New Roman" w:hAnsi="Times New Roman"/>
                <w:sz w:val="30"/>
                <w:szCs w:val="30"/>
                <w:color w:val="auto"/>
                <w:vertAlign w:val="superscript"/>
              </w:rPr>
              <w:t>​​ ​</w:t>
            </w:r>
          </w:p>
        </w:tc>
        <w:tc>
          <w:tcPr>
            <w:tcW w:w="280" w:type="dxa"/>
            <w:vAlign w:val="bottom"/>
            <w:tcBorders>
              <w:left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Former Named Executive Officer</w:t>
            </w:r>
          </w:p>
        </w:tc>
        <w:tc>
          <w:tcPr>
            <w:tcW w:w="40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1260" w:type="dxa"/>
            <w:vAlign w:val="bottom"/>
          </w:tcPr>
          <w:p>
            <w:pPr>
              <w:spacing w:after="0"/>
              <w:rPr>
                <w:sz w:val="17"/>
                <w:szCs w:val="17"/>
                <w:color w:val="auto"/>
              </w:rPr>
            </w:pPr>
          </w:p>
        </w:tc>
        <w:tc>
          <w:tcPr>
            <w:tcW w:w="3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1280" w:type="dxa"/>
            <w:vAlign w:val="bottom"/>
          </w:tcPr>
          <w:p>
            <w:pPr>
              <w:spacing w:after="0"/>
              <w:rPr>
                <w:sz w:val="17"/>
                <w:szCs w:val="17"/>
                <w:color w:val="auto"/>
              </w:rPr>
            </w:pPr>
          </w:p>
        </w:tc>
        <w:tc>
          <w:tcPr>
            <w:tcW w:w="3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 ​​ ​</w:t>
            </w: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 ​</w:t>
            </w:r>
          </w:p>
        </w:tc>
        <w:tc>
          <w:tcPr>
            <w:tcW w:w="4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 ​</w:t>
            </w:r>
          </w:p>
        </w:tc>
        <w:tc>
          <w:tcPr>
            <w:tcW w:w="62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Claus Juan Møller-San Pedro</w:t>
            </w:r>
          </w:p>
        </w:tc>
        <w:tc>
          <w:tcPr>
            <w:tcW w:w="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w:t>
            </w:r>
          </w:p>
        </w:tc>
        <w:tc>
          <w:tcPr>
            <w:tcW w:w="1660" w:type="dxa"/>
            <w:vAlign w:val="bottom"/>
            <w:gridSpan w:val="3"/>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December 14, 2021</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left w:val="single" w:sz="8" w:color="CCEEFF"/>
            </w:tcBorders>
            <w:gridSpan w:val="2"/>
            <w:shd w:val="clear" w:color="auto" w:fill="CCEEFF"/>
          </w:tcPr>
          <w:p>
            <w:pPr>
              <w:ind w:left="20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​230,000</w:t>
            </w:r>
          </w:p>
        </w:tc>
        <w:tc>
          <w:tcPr>
            <w:tcW w:w="720" w:type="dxa"/>
            <w:vAlign w:val="bottom"/>
            <w:gridSpan w:val="2"/>
            <w:shd w:val="clear" w:color="auto" w:fill="CCEEFF"/>
          </w:tcPr>
          <w:p>
            <w:pPr>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$15.73</w:t>
            </w:r>
          </w:p>
        </w:tc>
        <w:tc>
          <w:tcPr>
            <w:tcW w:w="1040" w:type="dxa"/>
            <w:vAlign w:val="bottom"/>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$2,290,248</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M.D., Ph.D.</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4"/>
            <w:shd w:val="clear" w:color="auto" w:fill="CCEEFF"/>
          </w:tcPr>
          <w:p>
            <w:pPr>
              <w:spacing w:after="0" w:line="369" w:lineRule="exact"/>
              <w:rPr>
                <w:sz w:val="20"/>
                <w:szCs w:val="20"/>
                <w:color w:val="auto"/>
              </w:rPr>
            </w:pPr>
            <w:r>
              <w:rPr>
                <w:rFonts w:ascii="Times New Roman" w:cs="Times New Roman" w:eastAsia="Times New Roman" w:hAnsi="Times New Roman"/>
                <w:sz w:val="18"/>
                <w:szCs w:val="18"/>
                <w:color w:val="auto"/>
              </w:rPr>
              <w:t xml:space="preserve">Performance Bonus </w:t>
            </w:r>
            <w:r>
              <w:rPr>
                <w:rFonts w:ascii="Times New Roman" w:cs="Times New Roman" w:eastAsia="Times New Roman" w:hAnsi="Times New Roman"/>
                <w:sz w:val="35"/>
                <w:szCs w:val="35"/>
                <w:color w:val="auto"/>
                <w:vertAlign w:val="superscript"/>
              </w:rPr>
              <w:t>​ ​​</w:t>
            </w:r>
          </w:p>
        </w:tc>
        <w:tc>
          <w:tcPr>
            <w:tcW w:w="128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ind w:left="40"/>
              <w:spacing w:after="0" w:line="369"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$378,000 </w:t>
            </w:r>
            <w:r>
              <w:rPr>
                <w:rFonts w:ascii="Times New Roman" w:cs="Times New Roman" w:eastAsia="Times New Roman" w:hAnsi="Times New Roman"/>
                <w:sz w:val="35"/>
                <w:szCs w:val="35"/>
                <w:color w:val="auto"/>
                <w:vertAlign w:val="superscript"/>
              </w:rPr>
              <w:t>​​ ​</w:t>
            </w:r>
          </w:p>
        </w:tc>
        <w:tc>
          <w:tcPr>
            <w:tcW w:w="28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-1859280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-1859280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-1859280</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-1859280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-1859280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-1859280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right="840" w:hanging="360"/>
        <w:spacing w:after="0" w:line="258"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were granted under the terms of our 2018 Plan, with an exercise price per share equal to the closing sale price of our common stock on Nasdaq Global Select Market on the grant date, and vest as to 25% of the shares on the anniversary of the grant date and thereafter as to 2.0833% of the shares in equal monthly installments through the fourth anniversary of the grant date. None of our named executive officers held or received other types of equity awards than stock options during 2021.</w:t>
      </w:r>
    </w:p>
    <w:p>
      <w:pPr>
        <w:spacing w:after="0" w:line="34" w:lineRule="exact"/>
        <w:rPr>
          <w:rFonts w:ascii="Times New Roman" w:cs="Times New Roman" w:eastAsia="Times New Roman" w:hAnsi="Times New Roman"/>
          <w:sz w:val="18"/>
          <w:szCs w:val="18"/>
          <w:color w:val="auto"/>
        </w:rPr>
      </w:pPr>
    </w:p>
    <w:p>
      <w:pPr>
        <w:jc w:val="both"/>
        <w:ind w:left="1620" w:right="1040" w:hanging="360"/>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the performance-based bonus opportunity for Mr. Gad, Dr. Møller, Mr. Kruse, Dr. Lisby and Dr. Rajah were eligible to earn in 2021 if certain performance metrics were achieved whether pursuant to an employment agreement with us or otherwise.</w:t>
      </w:r>
    </w:p>
    <w:p>
      <w:pPr>
        <w:sectPr>
          <w:pgSz w:w="11900" w:h="16838" w:orient="portrait"/>
          <w:cols w:equalWidth="0" w:num="1">
            <w:col w:w="10280"/>
          </w:cols>
          <w:pgMar w:left="580" w:top="97" w:right="1039" w:bottom="1440" w:gutter="0" w:footer="0" w:header="0"/>
        </w:sectPr>
      </w:pP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hanging="360"/>
        <w:spacing w:after="0" w:line="255"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 this column reflects the aggregate grant date fair value of the option awards granted during 2021 computed in accordance with FASB ASC Topic 718. See the information appearing under the heading entitled “Share-Based Compensation” in footnote 11 to our consolidated financial statements included as part of our Annual Report on Form 10-K for the year ended December 31, 2021 for certain assumptions made in the valuation of such stock options and restricted stock awards. These amounts do not reflect the actual economic value that will be realized by the named executive officer upon the vesting of the stock options, the exercise of the stock options, or the sale of the common stock underlying such stock options.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Year End 2021</w:t>
      </w:r>
    </w:p>
    <w:p>
      <w:pPr>
        <w:spacing w:after="0" w:line="162" w:lineRule="exact"/>
        <w:rPr>
          <w:sz w:val="20"/>
          <w:szCs w:val="20"/>
          <w:color w:val="auto"/>
        </w:rPr>
      </w:pPr>
    </w:p>
    <w:p>
      <w:pPr>
        <w:ind w:left="1260" w:right="42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well as our former named executive officers, Dr. Møller and Mr. Herman), as of December 31, 2021:</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 ​</w:t>
            </w:r>
          </w:p>
        </w:tc>
        <w:tc>
          <w:tcPr>
            <w:tcW w:w="326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0" w:type="dxa"/>
            <w:vAlign w:val="bottom"/>
          </w:tcPr>
          <w:p>
            <w:pPr>
              <w:spacing w:after="0"/>
              <w:rPr>
                <w:sz w:val="11"/>
                <w:szCs w:val="11"/>
                <w:color w:val="auto"/>
              </w:rPr>
            </w:pPr>
          </w:p>
        </w:tc>
        <w:tc>
          <w:tcPr>
            <w:tcW w:w="13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68"/>
        </w:trPr>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Underlying Unexercised Options</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6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21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400" w:type="dxa"/>
            <w:vAlign w:val="bottom"/>
          </w:tcPr>
          <w:p>
            <w:pPr>
              <w:spacing w:after="0"/>
              <w:rPr>
                <w:sz w:val="11"/>
                <w:szCs w:val="11"/>
                <w:color w:val="auto"/>
              </w:rPr>
            </w:pPr>
          </w:p>
        </w:tc>
        <w:tc>
          <w:tcPr>
            <w:tcW w:w="1320" w:type="dxa"/>
            <w:vAlign w:val="bottom"/>
          </w:tcPr>
          <w:p>
            <w:pPr>
              <w:jc w:val="center"/>
              <w:ind w:right="148"/>
              <w:spacing w:after="0" w:line="127"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00" w:type="dxa"/>
            <w:vAlign w:val="bottom"/>
            <w:gridSpan w:val="2"/>
          </w:tcPr>
          <w:p>
            <w:pPr>
              <w:ind w:left="140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Exercisable(#)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Unexercisable(#)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($/Sh)</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6"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8"/>
        </w:trPr>
        <w:tc>
          <w:tcPr>
            <w:tcW w:w="3020" w:type="dxa"/>
            <w:vAlign w:val="bottom"/>
            <w:tcBorders>
              <w:top w:val="single" w:sz="8" w:color="auto"/>
            </w:tcBorders>
          </w:tcPr>
          <w:p>
            <w:pPr>
              <w:spacing w:after="0" w:line="218" w:lineRule="exact"/>
              <w:rPr>
                <w:sz w:val="20"/>
                <w:szCs w:val="20"/>
                <w:color w:val="auto"/>
              </w:rPr>
            </w:pPr>
            <w:r>
              <w:rPr>
                <w:rFonts w:ascii="Times New Roman" w:cs="Times New Roman" w:eastAsia="Times New Roman" w:hAnsi="Times New Roman"/>
                <w:sz w:val="18"/>
                <w:szCs w:val="18"/>
                <w:color w:val="auto"/>
              </w:rPr>
              <w:t>Thomas Gad</w:t>
            </w:r>
            <w:r>
              <w:rPr>
                <w:rFonts w:ascii="Times New Roman" w:cs="Times New Roman" w:eastAsia="Times New Roman" w:hAnsi="Times New Roman"/>
                <w:sz w:val="23"/>
                <w:szCs w:val="23"/>
                <w:color w:val="auto"/>
                <w:vertAlign w:val="superscript"/>
              </w:rPr>
              <w:t>(1)</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9"/>
              </w:rPr>
              <w:t>​169,000</w:t>
            </w:r>
          </w:p>
        </w:tc>
        <w:tc>
          <w:tcPr>
            <w:tcW w:w="140" w:type="dxa"/>
            <w:vAlign w:val="bottom"/>
            <w:tcBorders>
              <w:top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​166,000</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91,667</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80,625</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62,292</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Bo Kruse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​300,000</w:t>
            </w:r>
          </w:p>
        </w:tc>
        <w:tc>
          <w:tcPr>
            <w:tcW w:w="1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​133,000</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80,625</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62,292</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Dr. Steen Lisby</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Dr. Vignesh Rajah</w:t>
            </w:r>
            <w:r>
              <w:rPr>
                <w:rFonts w:ascii="Times New Roman" w:cs="Times New Roman" w:eastAsia="Times New Roman" w:hAnsi="Times New Roman"/>
                <w:sz w:val="23"/>
                <w:szCs w:val="23"/>
                <w:color w:val="auto"/>
                <w:vertAlign w:val="superscript"/>
              </w:rPr>
              <w:t>(4)</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7"/>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Former Named Executive Officers</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Dr. Claus Juan Møller-San Pedro</w:t>
            </w:r>
            <w:r>
              <w:rPr>
                <w:rFonts w:ascii="Times New Roman" w:cs="Times New Roman" w:eastAsia="Times New Roman" w:hAnsi="Times New Roman"/>
                <w:sz w:val="23"/>
                <w:szCs w:val="23"/>
                <w:color w:val="auto"/>
                <w:vertAlign w:val="superscript"/>
              </w:rPr>
              <w:t>(5)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​500,000</w:t>
            </w:r>
          </w:p>
        </w:tc>
        <w:tc>
          <w:tcPr>
            <w:tcW w:w="1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​200,000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​114,583</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​158,625</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​131,771</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-4756785</wp:posOffset>
            </wp:positionV>
            <wp:extent cx="521208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-4465320</wp:posOffset>
            </wp:positionV>
            <wp:extent cx="521208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-4173855</wp:posOffset>
            </wp:positionV>
            <wp:extent cx="521208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-3882390</wp:posOffset>
            </wp:positionV>
            <wp:extent cx="521208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-3573780</wp:posOffset>
            </wp:positionV>
            <wp:extent cx="521208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-3282315</wp:posOffset>
            </wp:positionV>
            <wp:extent cx="52120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-2982595</wp:posOffset>
            </wp:positionV>
            <wp:extent cx="521208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-2673985</wp:posOffset>
            </wp:positionV>
            <wp:extent cx="52120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-2348230</wp:posOffset>
            </wp:positionV>
            <wp:extent cx="521208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-2039620</wp:posOffset>
            </wp:positionV>
            <wp:extent cx="52120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-1713865</wp:posOffset>
            </wp:positionV>
            <wp:extent cx="52120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52120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-1079500</wp:posOffset>
            </wp:positionV>
            <wp:extent cx="52120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-770890</wp:posOffset>
            </wp:positionV>
            <wp:extent cx="521208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-462280</wp:posOffset>
            </wp:positionV>
            <wp:extent cx="521208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Borders>
              <w:top w:val="single" w:sz="8" w:color="auto"/>
            </w:tcBorders>
          </w:tcPr>
          <w:p>
            <w:pPr>
              <w:ind w:left="220"/>
              <w:spacing w:after="0" w:line="21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0" w:type="dxa"/>
            <w:vAlign w:val="bottom"/>
          </w:tcPr>
          <w:p>
            <w:pPr>
              <w:ind w:left="220"/>
              <w:spacing w:after="0" w:line="23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0" w:type="dxa"/>
            <w:vAlign w:val="bottom"/>
          </w:tcPr>
          <w:p>
            <w:pPr>
              <w:ind w:left="220"/>
              <w:spacing w:after="0" w:line="23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40" w:type="dxa"/>
            <w:vAlign w:val="bottom"/>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26,875</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67,708</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68,588</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​110,000</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40" w:type="dxa"/>
            <w:vAlign w:val="bottom"/>
          </w:tcPr>
          <w:p>
            <w:pPr>
              <w:ind w:left="220"/>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40" w:type="dxa"/>
            <w:vAlign w:val="bottom"/>
          </w:tcPr>
          <w:p>
            <w:pPr>
              <w:ind w:left="220"/>
              <w:spacing w:after="0" w:line="23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40" w:type="dxa"/>
            <w:vAlign w:val="bottom"/>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0" w:type="dxa"/>
            <w:vAlign w:val="bottom"/>
          </w:tcPr>
          <w:p>
            <w:pPr>
              <w:ind w:left="220"/>
              <w:spacing w:after="0" w:line="23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26,875</w:t>
            </w:r>
          </w:p>
        </w:tc>
        <w:tc>
          <w:tcPr>
            <w:tcW w:w="2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67,708</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54,263</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85,000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340" w:type="dxa"/>
            <w:vAlign w:val="bottom"/>
          </w:tcPr>
          <w:p>
            <w:pPr>
              <w:ind w:left="2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40" w:type="dxa"/>
            <w:vAlign w:val="bottom"/>
          </w:tcPr>
          <w:p>
            <w:pPr>
              <w:ind w:left="22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10,000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15,000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32,000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820" w:type="dxa"/>
            <w:vAlign w:val="bottom"/>
            <w:gridSpan w:val="2"/>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25,000</w:t>
            </w:r>
          </w:p>
        </w:tc>
        <w:tc>
          <w:tcPr>
            <w:tcW w:w="2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15,000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9"/>
        </w:trPr>
        <w:tc>
          <w:tcPr>
            <w:tcW w:w="820" w:type="dxa"/>
            <w:vAlign w:val="bottom"/>
            <w:gridSpan w:val="2"/>
          </w:tcPr>
          <w:p>
            <w:pPr>
              <w:ind w:left="2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32,000</w:t>
            </w:r>
          </w:p>
        </w:tc>
        <w:tc>
          <w:tcPr>
            <w:tcW w:w="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79"/>
        </w:trPr>
        <w:tc>
          <w:tcPr>
            <w:tcW w:w="340" w:type="dxa"/>
            <w:vAlign w:val="bottom"/>
          </w:tcPr>
          <w:p>
            <w:pPr>
              <w:ind w:left="220"/>
              <w:spacing w:after="0" w:line="278"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40" w:type="dxa"/>
            <w:vAlign w:val="bottom"/>
          </w:tcPr>
          <w:p>
            <w:pPr>
              <w:ind w:left="22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40" w:type="dxa"/>
            <w:vAlign w:val="bottom"/>
          </w:tcPr>
          <w:p>
            <w:pPr>
              <w:ind w:left="220"/>
              <w:spacing w:after="0" w:line="243"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10,417</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52,875</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​143,229</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2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​170,100</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75"/>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​230,000</w:t>
            </w:r>
          </w:p>
        </w:tc>
        <w:tc>
          <w:tcPr>
            <w:tcW w:w="2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br w:type="column"/>
      </w:r>
    </w:p>
    <w:p>
      <w:pPr>
        <w:jc w:val="both"/>
        <w:ind w:right="40"/>
        <w:spacing w:after="0" w:line="186"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$ 2.00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$ 4.38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$ 8.50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$11.16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$21.97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$30.34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$53.88</w:t>
      </w:r>
    </w:p>
    <w:p>
      <w:pPr>
        <w:spacing w:after="0" w:line="4" w:lineRule="exact"/>
        <w:rPr>
          <w:sz w:val="20"/>
          <w:szCs w:val="20"/>
          <w:color w:val="auto"/>
        </w:rPr>
      </w:pPr>
    </w:p>
    <w:p>
      <w:pPr>
        <w:jc w:val="both"/>
        <w:ind w:right="40"/>
        <w:spacing w:after="0" w:line="181"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$15.73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$ 2.00</w:t>
      </w:r>
    </w:p>
    <w:p>
      <w:pPr>
        <w:jc w:val="both"/>
        <w:ind w:right="40"/>
        <w:spacing w:after="0" w:line="189"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$ 4.38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$ 8.50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$11.16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$21.97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$30.34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$53.88</w:t>
      </w:r>
    </w:p>
    <w:p>
      <w:pPr>
        <w:jc w:val="both"/>
        <w:ind w:right="40"/>
        <w:spacing w:after="0" w:line="184"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$15.73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$ 9.35</w:t>
      </w:r>
    </w:p>
    <w:p>
      <w:pPr>
        <w:spacing w:after="0" w:line="2" w:lineRule="exact"/>
        <w:rPr>
          <w:sz w:val="20"/>
          <w:szCs w:val="20"/>
          <w:color w:val="auto"/>
        </w:rPr>
      </w:pPr>
    </w:p>
    <w:p>
      <w:pPr>
        <w:jc w:val="both"/>
        <w:ind w:right="40"/>
        <w:spacing w:after="0" w:line="184"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$21.97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$33.74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$53.88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$15.73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$48.67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$53.88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$15.73</w:t>
      </w: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spacing w:after="0" w:line="16" w:lineRule="exact"/>
        <w:rPr>
          <w:sz w:val="20"/>
          <w:szCs w:val="20"/>
          <w:color w:val="auto"/>
        </w:rPr>
      </w:pPr>
    </w:p>
    <w:p>
      <w:pPr>
        <w:jc w:val="both"/>
        <w:ind w:right="40"/>
        <w:spacing w:after="0" w:line="185"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$ 2.00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$ 4.38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$ 8.50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$11.16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$21.97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$30.34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$53.88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$15.73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10, 2025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5"/>
                <w:szCs w:val="15"/>
                <w:color w:val="auto"/>
              </w:rPr>
              <w:t>October 21, 2026</w:t>
            </w:r>
            <w:r>
              <w:rPr>
                <w:rFonts w:ascii="Times New Roman" w:cs="Times New Roman" w:eastAsia="Times New Roman" w:hAnsi="Times New Roman"/>
                <w:sz w:val="26"/>
                <w:szCs w:val="26"/>
                <w:color w:val="auto"/>
                <w:vertAlign w:val="superscript"/>
              </w:rPr>
              <w:t>​</w:t>
            </w:r>
          </w:p>
        </w:tc>
      </w:tr>
      <w:tr>
        <w:trPr>
          <w:trHeight w:val="229"/>
        </w:trPr>
        <w:tc>
          <w:tcPr>
            <w:tcW w:w="1740" w:type="dxa"/>
            <w:vAlign w:val="bottom"/>
            <w:gridSpan w:val="2"/>
          </w:tcPr>
          <w:p>
            <w:pPr>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 xml:space="preserve"> December 14, 2026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24, 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740" w:type="dxa"/>
            <w:vAlign w:val="bottom"/>
            <w:gridSpan w:val="2"/>
          </w:tcPr>
          <w:p>
            <w:pPr>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 xml:space="preserve"> December 11, 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60" w:hanging="158"/>
        <w:spacing w:after="0" w:line="181" w:lineRule="auto"/>
        <w:tabs>
          <w:tab w:leader="none" w:pos="160" w:val="left"/>
        </w:tabs>
        <w:numPr>
          <w:ilvl w:val="0"/>
          <w:numId w:val="4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December 15, 2030</w:t>
      </w:r>
      <w:r>
        <w:rPr>
          <w:rFonts w:ascii="Times New Roman" w:cs="Times New Roman" w:eastAsia="Times New Roman" w:hAnsi="Times New Roman"/>
          <w:sz w:val="30"/>
          <w:szCs w:val="30"/>
          <w:color w:val="auto"/>
          <w:vertAlign w:val="superscript"/>
        </w:rPr>
        <w:t>​</w:t>
      </w:r>
    </w:p>
    <w:p>
      <w:pPr>
        <w:spacing w:after="0" w:line="1" w:lineRule="exact"/>
        <w:rPr>
          <w:rFonts w:ascii="Times New Roman" w:cs="Times New Roman" w:eastAsia="Times New Roman" w:hAnsi="Times New Roman"/>
          <w:sz w:val="31"/>
          <w:szCs w:val="31"/>
          <w:color w:val="auto"/>
          <w:vertAlign w:val="superscript"/>
        </w:rPr>
      </w:pPr>
    </w:p>
    <w:p>
      <w:pPr>
        <w:ind w:left="160" w:hanging="158"/>
        <w:spacing w:after="0" w:line="187" w:lineRule="auto"/>
        <w:tabs>
          <w:tab w:leader="none" w:pos="16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xml:space="preserve"> December 14, 2031</w:t>
      </w:r>
      <w:r>
        <w:rPr>
          <w:rFonts w:ascii="Times New Roman" w:cs="Times New Roman" w:eastAsia="Times New Roman" w:hAnsi="Times New Roman"/>
          <w:sz w:val="21"/>
          <w:szCs w:val="21"/>
          <w:color w:val="auto"/>
          <w:vertAlign w:val="superscript"/>
        </w:rPr>
        <w:t>​</w:t>
      </w:r>
    </w:p>
    <w:tbl>
      <w:tblPr>
        <w:tblLayout w:type="fixed"/>
        <w:tblInd w:w="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15"/>
                <w:szCs w:val="15"/>
                <w:color w:val="auto"/>
              </w:rPr>
              <w:t>June 10, 2025</w:t>
            </w:r>
            <w:r>
              <w:rPr>
                <w:rFonts w:ascii="Times New Roman" w:cs="Times New Roman" w:eastAsia="Times New Roman" w:hAnsi="Times New Roman"/>
                <w:sz w:val="27"/>
                <w:szCs w:val="27"/>
                <w:color w:val="auto"/>
                <w:vertAlign w:val="superscript"/>
              </w:rPr>
              <w:t>​</w:t>
            </w: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5"/>
                <w:szCs w:val="15"/>
                <w:color w:val="auto"/>
              </w:rPr>
              <w:t>October 21, 2026</w:t>
            </w:r>
            <w:r>
              <w:rPr>
                <w:rFonts w:ascii="Times New Roman" w:cs="Times New Roman" w:eastAsia="Times New Roman" w:hAnsi="Times New Roman"/>
                <w:sz w:val="26"/>
                <w:szCs w:val="26"/>
                <w:color w:val="auto"/>
                <w:vertAlign w:val="superscript"/>
              </w:rPr>
              <w:t>​</w:t>
            </w:r>
          </w:p>
        </w:tc>
      </w:tr>
      <w:tr>
        <w:trPr>
          <w:trHeight w:val="230"/>
        </w:trPr>
        <w:tc>
          <w:tcPr>
            <w:tcW w:w="1740" w:type="dxa"/>
            <w:vAlign w:val="bottom"/>
            <w:gridSpan w:val="2"/>
          </w:tcPr>
          <w:p>
            <w:pPr>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 xml:space="preserve"> December 14, 2026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24, 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40" w:type="dxa"/>
            <w:vAlign w:val="bottom"/>
            <w:gridSpan w:val="2"/>
          </w:tcPr>
          <w:p>
            <w:pPr>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 xml:space="preserve"> December 11, 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60" w:hanging="158"/>
        <w:spacing w:after="0" w:line="184" w:lineRule="auto"/>
        <w:tabs>
          <w:tab w:leader="none" w:pos="160" w:val="left"/>
        </w:tabs>
        <w:numPr>
          <w:ilvl w:val="0"/>
          <w:numId w:val="4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December 15, 2030</w:t>
      </w:r>
      <w:r>
        <w:rPr>
          <w:rFonts w:ascii="Times New Roman" w:cs="Times New Roman" w:eastAsia="Times New Roman" w:hAnsi="Times New Roman"/>
          <w:sz w:val="31"/>
          <w:szCs w:val="31"/>
          <w:color w:val="auto"/>
          <w:vertAlign w:val="superscript"/>
        </w:rPr>
        <w:t>​</w:t>
      </w:r>
    </w:p>
    <w:p>
      <w:pPr>
        <w:spacing w:after="0" w:line="1" w:lineRule="exact"/>
        <w:rPr>
          <w:rFonts w:ascii="Times New Roman" w:cs="Times New Roman" w:eastAsia="Times New Roman" w:hAnsi="Times New Roman"/>
          <w:sz w:val="32"/>
          <w:szCs w:val="32"/>
          <w:color w:val="auto"/>
          <w:vertAlign w:val="superscript"/>
        </w:rPr>
      </w:pPr>
    </w:p>
    <w:p>
      <w:pPr>
        <w:ind w:left="160" w:hanging="158"/>
        <w:spacing w:after="0" w:line="181" w:lineRule="auto"/>
        <w:tabs>
          <w:tab w:leader="none" w:pos="16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December 14, 2031</w:t>
      </w:r>
      <w:r>
        <w:rPr>
          <w:rFonts w:ascii="Times New Roman" w:cs="Times New Roman" w:eastAsia="Times New Roman" w:hAnsi="Times New Roman"/>
          <w:sz w:val="27"/>
          <w:szCs w:val="27"/>
          <w:color w:val="auto"/>
          <w:vertAlign w:val="superscript"/>
        </w:rPr>
        <w:t>​</w:t>
      </w:r>
    </w:p>
    <w:p>
      <w:pPr>
        <w:ind w:left="160" w:hanging="158"/>
        <w:spacing w:after="0" w:line="181" w:lineRule="auto"/>
        <w:tabs>
          <w:tab w:leader="none" w:pos="160" w:val="left"/>
        </w:tabs>
        <w:numPr>
          <w:ilvl w:val="0"/>
          <w:numId w:val="4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September 13, 2027</w:t>
      </w:r>
      <w:r>
        <w:rPr>
          <w:rFonts w:ascii="Times New Roman" w:cs="Times New Roman" w:eastAsia="Times New Roman" w:hAnsi="Times New Roman"/>
          <w:sz w:val="30"/>
          <w:szCs w:val="30"/>
          <w:color w:val="auto"/>
          <w:vertAlign w:val="superscript"/>
        </w:rPr>
        <w:t>​</w:t>
      </w:r>
    </w:p>
    <w:p>
      <w:pPr>
        <w:spacing w:after="0" w:line="1" w:lineRule="exact"/>
        <w:rPr>
          <w:rFonts w:ascii="Times New Roman" w:cs="Times New Roman" w:eastAsia="Times New Roman" w:hAnsi="Times New Roman"/>
          <w:sz w:val="31"/>
          <w:szCs w:val="31"/>
          <w:color w:val="auto"/>
          <w:vertAlign w:val="superscript"/>
        </w:rPr>
      </w:pPr>
    </w:p>
    <w:p>
      <w:pPr>
        <w:ind w:left="160" w:hanging="158"/>
        <w:spacing w:after="0" w:line="181" w:lineRule="auto"/>
        <w:tabs>
          <w:tab w:leader="none" w:pos="16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December 11, 2028</w:t>
      </w:r>
      <w:r>
        <w:rPr>
          <w:rFonts w:ascii="Times New Roman" w:cs="Times New Roman" w:eastAsia="Times New Roman" w:hAnsi="Times New Roman"/>
          <w:sz w:val="27"/>
          <w:szCs w:val="27"/>
          <w:color w:val="auto"/>
          <w:vertAlign w:val="superscript"/>
        </w:rPr>
        <w:t>​</w:t>
      </w:r>
    </w:p>
    <w:p>
      <w:pPr>
        <w:ind w:left="160" w:hanging="158"/>
        <w:spacing w:after="0" w:line="181" w:lineRule="auto"/>
        <w:tabs>
          <w:tab w:leader="none" w:pos="16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December 10, 2029</w:t>
      </w:r>
      <w:r>
        <w:rPr>
          <w:rFonts w:ascii="Times New Roman" w:cs="Times New Roman" w:eastAsia="Times New Roman" w:hAnsi="Times New Roman"/>
          <w:sz w:val="27"/>
          <w:szCs w:val="27"/>
          <w:color w:val="auto"/>
          <w:vertAlign w:val="superscript"/>
        </w:rPr>
        <w:t>​</w:t>
      </w:r>
    </w:p>
    <w:p>
      <w:pPr>
        <w:ind w:left="160" w:hanging="158"/>
        <w:spacing w:after="0" w:line="181" w:lineRule="auto"/>
        <w:tabs>
          <w:tab w:leader="none" w:pos="16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December 15, 2030</w:t>
      </w:r>
      <w:r>
        <w:rPr>
          <w:rFonts w:ascii="Times New Roman" w:cs="Times New Roman" w:eastAsia="Times New Roman" w:hAnsi="Times New Roman"/>
          <w:sz w:val="27"/>
          <w:szCs w:val="27"/>
          <w:color w:val="auto"/>
          <w:vertAlign w:val="superscript"/>
        </w:rPr>
        <w:t>​</w:t>
      </w:r>
    </w:p>
    <w:p>
      <w:pPr>
        <w:ind w:left="160" w:hanging="158"/>
        <w:spacing w:after="0" w:line="183" w:lineRule="auto"/>
        <w:tabs>
          <w:tab w:leader="none" w:pos="16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December 14, 2031</w:t>
      </w:r>
      <w:r>
        <w:rPr>
          <w:rFonts w:ascii="Times New Roman" w:cs="Times New Roman" w:eastAsia="Times New Roman" w:hAnsi="Times New Roman"/>
          <w:sz w:val="22"/>
          <w:szCs w:val="22"/>
          <w:color w:val="auto"/>
          <w:vertAlign w:val="superscript"/>
        </w:rPr>
        <w:t>​</w:t>
      </w:r>
    </w:p>
    <w:p>
      <w:pPr>
        <w:spacing w:after="0" w:line="182" w:lineRule="auto"/>
        <w:tabs>
          <w:tab w:leader="none" w:pos="660" w:val="left"/>
        </w:tabs>
        <w:rPr>
          <w:sz w:val="20"/>
          <w:szCs w:val="20"/>
          <w:color w:val="auto"/>
        </w:rPr>
      </w:pPr>
      <w:r>
        <w:rPr>
          <w:rFonts w:ascii="Times New Roman" w:cs="Times New Roman" w:eastAsia="Times New Roman" w:hAnsi="Times New Roman"/>
          <w:sz w:val="31"/>
          <w:szCs w:val="31"/>
          <w:color w:val="auto"/>
          <w:vertAlign w:val="superscript"/>
        </w:rPr>
        <w:t>​​ ​</w:t>
      </w:r>
      <w:r>
        <w:rPr>
          <w:sz w:val="20"/>
          <w:szCs w:val="20"/>
          <w:color w:val="auto"/>
        </w:rPr>
        <w:tab/>
      </w:r>
      <w:r>
        <w:rPr>
          <w:rFonts w:ascii="Times New Roman" w:cs="Times New Roman" w:eastAsia="Times New Roman" w:hAnsi="Times New Roman"/>
          <w:sz w:val="17"/>
          <w:szCs w:val="17"/>
          <w:color w:val="auto"/>
        </w:rPr>
        <w:t>June 23, 2030</w:t>
      </w:r>
      <w:r>
        <w:rPr>
          <w:rFonts w:ascii="Times New Roman" w:cs="Times New Roman" w:eastAsia="Times New Roman" w:hAnsi="Times New Roman"/>
          <w:sz w:val="31"/>
          <w:szCs w:val="31"/>
          <w:color w:val="auto"/>
          <w:vertAlign w:val="superscript"/>
        </w:rPr>
        <w:t>​</w:t>
      </w:r>
    </w:p>
    <w:p>
      <w:pPr>
        <w:ind w:left="160" w:hanging="158"/>
        <w:spacing w:after="0" w:line="185" w:lineRule="auto"/>
        <w:tabs>
          <w:tab w:leader="none" w:pos="160" w:val="left"/>
        </w:tabs>
        <w:numPr>
          <w:ilvl w:val="0"/>
          <w:numId w:val="4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December 15, 2030</w:t>
      </w:r>
      <w:r>
        <w:rPr>
          <w:rFonts w:ascii="Times New Roman" w:cs="Times New Roman" w:eastAsia="Times New Roman" w:hAnsi="Times New Roman"/>
          <w:sz w:val="31"/>
          <w:szCs w:val="31"/>
          <w:color w:val="auto"/>
          <w:vertAlign w:val="superscript"/>
        </w:rPr>
        <w:t>​</w:t>
      </w:r>
    </w:p>
    <w:p>
      <w:pPr>
        <w:ind w:left="160" w:hanging="158"/>
        <w:spacing w:after="0" w:line="183" w:lineRule="auto"/>
        <w:tabs>
          <w:tab w:leader="none" w:pos="16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 xml:space="preserve"> December 14, 2031</w:t>
      </w:r>
      <w:r>
        <w:rPr>
          <w:rFonts w:ascii="Times New Roman" w:cs="Times New Roman" w:eastAsia="Times New Roman" w:hAnsi="Times New Roman"/>
          <w:sz w:val="22"/>
          <w:szCs w:val="22"/>
          <w:color w:val="auto"/>
          <w:vertAlign w:val="superscript"/>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4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June 10, 2025</w:t>
            </w:r>
            <w:r>
              <w:rPr>
                <w:rFonts w:ascii="Times New Roman" w:cs="Times New Roman" w:eastAsia="Times New Roman" w:hAnsi="Times New Roman"/>
                <w:sz w:val="31"/>
                <w:szCs w:val="31"/>
                <w:color w:val="auto"/>
                <w:vertAlign w:val="superscript"/>
              </w:rPr>
              <w:t>​</w:t>
            </w:r>
          </w:p>
        </w:tc>
      </w:tr>
      <w:tr>
        <w:trPr>
          <w:trHeight w:val="24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5"/>
                <w:szCs w:val="15"/>
                <w:color w:val="auto"/>
              </w:rPr>
              <w:t>October 21, 2026</w:t>
            </w:r>
            <w:r>
              <w:rPr>
                <w:rFonts w:ascii="Times New Roman" w:cs="Times New Roman" w:eastAsia="Times New Roman" w:hAnsi="Times New Roman"/>
                <w:sz w:val="28"/>
                <w:szCs w:val="28"/>
                <w:color w:val="auto"/>
                <w:vertAlign w:val="superscript"/>
              </w:rPr>
              <w:t>​</w:t>
            </w:r>
          </w:p>
        </w:tc>
      </w:tr>
      <w:tr>
        <w:trPr>
          <w:trHeight w:val="243"/>
        </w:trPr>
        <w:tc>
          <w:tcPr>
            <w:tcW w:w="17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December 14, 2026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24, 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7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December 11, 2028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7, 2030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60" w:hanging="158"/>
        <w:spacing w:after="0" w:line="184" w:lineRule="auto"/>
        <w:tabs>
          <w:tab w:leader="none" w:pos="160" w:val="left"/>
        </w:tabs>
        <w:numPr>
          <w:ilvl w:val="0"/>
          <w:numId w:val="4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December 15, 2030</w:t>
      </w:r>
      <w:r>
        <w:rPr>
          <w:rFonts w:ascii="Times New Roman" w:cs="Times New Roman" w:eastAsia="Times New Roman" w:hAnsi="Times New Roman"/>
          <w:sz w:val="31"/>
          <w:szCs w:val="31"/>
          <w:color w:val="auto"/>
          <w:vertAlign w:val="superscript"/>
        </w:rPr>
        <w:t>​</w:t>
      </w:r>
    </w:p>
    <w:p>
      <w:pPr>
        <w:spacing w:after="0" w:line="1" w:lineRule="exact"/>
        <w:rPr>
          <w:rFonts w:ascii="Times New Roman" w:cs="Times New Roman" w:eastAsia="Times New Roman" w:hAnsi="Times New Roman"/>
          <w:sz w:val="32"/>
          <w:szCs w:val="32"/>
          <w:color w:val="auto"/>
          <w:vertAlign w:val="superscript"/>
        </w:rPr>
      </w:pPr>
    </w:p>
    <w:p>
      <w:pPr>
        <w:ind w:left="160" w:hanging="158"/>
        <w:spacing w:after="0"/>
        <w:tabs>
          <w:tab w:leader="none" w:pos="160" w:val="left"/>
        </w:tabs>
        <w:numPr>
          <w:ilvl w:val="0"/>
          <w:numId w:val="4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December 14, 2031</w:t>
      </w:r>
      <w:r>
        <w:rPr>
          <w:rFonts w:ascii="Times New Roman" w:cs="Times New Roman" w:eastAsia="Times New Roman" w:hAnsi="Times New Roman"/>
          <w:sz w:val="35"/>
          <w:szCs w:val="35"/>
          <w:color w:val="auto"/>
          <w:vertAlign w:val="superscript"/>
        </w:rPr>
        <w:t>​</w:t>
      </w:r>
    </w:p>
    <w:p>
      <w:pPr>
        <w:spacing w:after="0" w:line="187" w:lineRule="exact"/>
        <w:rPr>
          <w:sz w:val="20"/>
          <w:szCs w:val="20"/>
          <w:color w:val="auto"/>
        </w:rPr>
      </w:pPr>
    </w:p>
    <w:p>
      <w:pPr>
        <w:sectPr>
          <w:pgSz w:w="11900" w:h="16838" w:orient="portrait"/>
          <w:cols w:equalWidth="0" w:num="4">
            <w:col w:w="5580" w:space="0"/>
            <w:col w:w="1260" w:space="200"/>
            <w:col w:w="540" w:space="140"/>
            <w:col w:w="2159"/>
          </w:cols>
          <w:pgMar w:left="580" w:top="97" w:right="144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ind w:left="1268"/>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3200" w:type="dxa"/>
            <w:vAlign w:val="bottom"/>
            <w:tcBorders>
              <w:bottom w:val="single" w:sz="8" w:color="auto"/>
            </w:tcBorders>
            <w:gridSpan w:val="4"/>
          </w:tcPr>
          <w:p>
            <w:pPr>
              <w:ind w:left="20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0" w:type="dxa"/>
            <w:vAlign w:val="bottom"/>
          </w:tcPr>
          <w:p>
            <w:pPr>
              <w:spacing w:after="0"/>
              <w:rPr>
                <w:sz w:val="13"/>
                <w:szCs w:val="13"/>
                <w:color w:val="auto"/>
              </w:rPr>
            </w:pPr>
          </w:p>
        </w:tc>
        <w:tc>
          <w:tcPr>
            <w:tcW w:w="13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vMerge w:val="restart"/>
          </w:tcPr>
          <w:p>
            <w:pPr>
              <w:jc w:val="center"/>
              <w:ind w:left="126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Underlying Unexercised Options</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7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400" w:type="dxa"/>
            <w:vAlign w:val="bottom"/>
          </w:tcPr>
          <w:p>
            <w:pPr>
              <w:spacing w:after="0"/>
              <w:rPr>
                <w:sz w:val="11"/>
                <w:szCs w:val="11"/>
                <w:color w:val="auto"/>
              </w:rPr>
            </w:pPr>
          </w:p>
        </w:tc>
        <w:tc>
          <w:tcPr>
            <w:tcW w:w="1300" w:type="dxa"/>
            <w:vAlign w:val="bottom"/>
          </w:tcPr>
          <w:p>
            <w:pPr>
              <w:jc w:val="center"/>
              <w:ind w:right="148"/>
              <w:spacing w:after="0" w:line="127"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jc w:val="center"/>
              <w:ind w:left="1268"/>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2"/>
          </w:tcPr>
          <w:p>
            <w:pPr>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Unexercisable(#)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3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0</wp:posOffset>
            </wp:positionV>
            <wp:extent cx="325755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7550" cy="1803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43"/>
        </w:trPr>
        <w:tc>
          <w:tcPr>
            <w:tcW w:w="274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Philip Herman</w:t>
            </w:r>
            <w:r>
              <w:rPr>
                <w:rFonts w:ascii="Times New Roman" w:cs="Times New Roman" w:eastAsia="Times New Roman" w:hAnsi="Times New Roman"/>
                <w:sz w:val="23"/>
                <w:szCs w:val="23"/>
                <w:color w:val="auto"/>
                <w:vertAlign w:val="superscript"/>
              </w:rPr>
              <w:t>(6)</w:t>
            </w:r>
          </w:p>
        </w:tc>
        <w:tc>
          <w:tcPr>
            <w:tcW w:w="3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top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​17,083</w:t>
            </w:r>
          </w:p>
        </w:tc>
        <w:tc>
          <w:tcPr>
            <w:tcW w:w="80" w:type="dxa"/>
            <w:vAlign w:val="bottom"/>
            <w:tcBorders>
              <w:top w:val="single" w:sz="8" w:color="auto"/>
            </w:tcBorders>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Senior  Vice  President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and  </w:t>
            </w: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521208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1" w:hanging="61"/>
        <w:spacing w:after="0" w:line="181" w:lineRule="auto"/>
        <w:tabs>
          <w:tab w:leader="none" w:pos="61" w:val="left"/>
        </w:tabs>
        <w:numPr>
          <w:ilvl w:val="0"/>
          <w:numId w:val="49"/>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 —</w:t>
      </w:r>
    </w:p>
    <w:p>
      <w:pPr>
        <w:spacing w:after="0" w:line="16" w:lineRule="exact"/>
        <w:rPr>
          <w:rFonts w:ascii="Times New Roman" w:cs="Times New Roman" w:eastAsia="Times New Roman" w:hAnsi="Times New Roman"/>
          <w:sz w:val="31"/>
          <w:szCs w:val="31"/>
          <w:color w:val="auto"/>
          <w:vertAlign w:val="superscript"/>
        </w:rPr>
      </w:pPr>
    </w:p>
    <w:p>
      <w:pPr>
        <w:ind w:left="61" w:hanging="61"/>
        <w:spacing w:after="0"/>
        <w:tabs>
          <w:tab w:leader="none" w:pos="6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0" w:lineRule="exact"/>
        <w:rPr>
          <w:rFonts w:ascii="Times New Roman" w:cs="Times New Roman" w:eastAsia="Times New Roman" w:hAnsi="Times New Roman"/>
          <w:sz w:val="18"/>
          <w:szCs w:val="18"/>
          <w:color w:val="auto"/>
        </w:rPr>
      </w:pPr>
    </w:p>
    <w:p>
      <w:pPr>
        <w:ind w:left="61" w:hanging="61"/>
        <w:spacing w:after="0"/>
        <w:tabs>
          <w:tab w:leader="none" w:pos="61" w:val="left"/>
        </w:tabs>
        <w:numPr>
          <w:ilvl w:val="0"/>
          <w:numId w:val="4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w:t>
      </w:r>
    </w:p>
    <w:p>
      <w:pPr>
        <w:ind w:left="61" w:hanging="61"/>
        <w:spacing w:after="0" w:line="184" w:lineRule="auto"/>
        <w:tabs>
          <w:tab w:leader="none" w:pos="61" w:val="left"/>
        </w:tabs>
        <w:numPr>
          <w:ilvl w:val="0"/>
          <w:numId w:val="4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5"/>
          <w:szCs w:val="15"/>
          <w:color w:val="auto"/>
        </w:rPr>
        <w:t>​ —</w:t>
      </w:r>
    </w:p>
    <w:p>
      <w:pPr>
        <w:ind w:left="61" w:hanging="61"/>
        <w:spacing w:after="0" w:line="189" w:lineRule="auto"/>
        <w:tabs>
          <w:tab w:leader="none" w:pos="61" w:val="left"/>
        </w:tabs>
        <w:numPr>
          <w:ilvl w:val="0"/>
          <w:numId w:val="4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tcPr>
          <w:p>
            <w:pPr>
              <w:ind w:left="180"/>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$ 13.11</w:t>
            </w:r>
          </w:p>
        </w:tc>
        <w:tc>
          <w:tcPr>
            <w:tcW w:w="120" w:type="dxa"/>
            <w:vAlign w:val="bottom"/>
            <w:tcBorders>
              <w:top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July 10,</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​$ 21.45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$ 33.74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10,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8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$ 48.67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8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$ 53.88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December 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-855345</wp:posOffset>
            </wp:positionV>
            <wp:extent cx="3120390" cy="282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20390" cy="28257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3">
            <w:col w:w="5620" w:space="279"/>
            <w:col w:w="341" w:space="300"/>
            <w:col w:w="3339"/>
          </w:cols>
          <w:pgMar w:left="580" w:top="97" w:right="1440" w:bottom="1440" w:gutter="0" w:footer="0" w:header="0"/>
          <w:type w:val="continuous"/>
        </w:sectPr>
      </w:pPr>
    </w:p>
    <w:p>
      <w:pPr>
        <w:ind w:left="1620" w:right="51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on June 10, 2015, October 21, 2016, December 14, 2016, April 24, 2018, December 11, 2018, January 7, 2020, December 15, 2020 and December 14, 2021 respectively, vest as to 25% of the shares on the anniversary of the grant date and thereafter as to 2.0833% of the shares in equal monthly installments through the fourth anniversary of the grant date.</w:t>
      </w:r>
    </w:p>
    <w:p>
      <w:pPr>
        <w:spacing w:after="0" w:line="44"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on June 10, 2015, October 21, 2016, December 14, 2016, April 24, 2018, December 11, 2018, January 7, 2020, December 15, 2020 and December 14, 2021 respectively, vest as to 25% of the shares on the anniversary of the grant date and thereafter as to 2.0833% of the shares in equal monthly installments through the fourth anniversary of the grant date.</w:t>
      </w:r>
    </w:p>
    <w:p>
      <w:pPr>
        <w:spacing w:after="0" w:line="44" w:lineRule="exact"/>
        <w:rPr>
          <w:rFonts w:ascii="Times New Roman" w:cs="Times New Roman" w:eastAsia="Times New Roman" w:hAnsi="Times New Roman"/>
          <w:sz w:val="18"/>
          <w:szCs w:val="18"/>
          <w:color w:val="auto"/>
        </w:rPr>
      </w:pPr>
    </w:p>
    <w:p>
      <w:pPr>
        <w:ind w:left="1620" w:right="59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on September 13, 2017, December 11, 2018, December 10, 2019, December 15, 2020 and December 14, 2021 respectively, vest as to 25% of the shares on the anniversary of the grant date and thereafter as to 2.0833% of the shares in equal monthly installments through the fourth anniversary of the grant date.</w:t>
      </w:r>
    </w:p>
    <w:p>
      <w:pPr>
        <w:spacing w:after="0" w:line="4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on June 23, 2020, December 15, 2020 and December 14, 2021 respectively, vest as to 25% of the shares on the anniversary of the grant date and thereafter as to 2.0833% of the shares in equal monthly installments through the fourth anniversary of the grant date.</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on June 10, 2015, October 21, 2016, December 14, 2016, April 24, 2018, December 11, 2018, January 7, 2020, December 15, 2020 and December 14, 2021 respectively, vest as to 25% of the shares on the anniversary of the grant date and thereafter as to 2.0833% of the shares in equal monthly installments through the fourth anniversary of the grant date. Dr. Møller transferred all shares underlying the June 10, 2015 option award upon receipt to CM Holding 2015 ApS, of which Dr. Møller is the sole owner.</w:t>
      </w:r>
    </w:p>
    <w:p>
      <w:pPr>
        <w:spacing w:after="0" w:line="52" w:lineRule="exact"/>
        <w:rPr>
          <w:rFonts w:ascii="Times New Roman" w:cs="Times New Roman" w:eastAsia="Times New Roman" w:hAnsi="Times New Roman"/>
          <w:sz w:val="18"/>
          <w:szCs w:val="18"/>
          <w:color w:val="auto"/>
        </w:rPr>
      </w:pPr>
    </w:p>
    <w:p>
      <w:pPr>
        <w:ind w:left="1620" w:right="579" w:hanging="360"/>
        <w:spacing w:after="0" w:line="261"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on July 10, 2018, June 12, 2019, December 10, 2019, June 23, 2020 and December 15. 2020 respectively, vest as to 25% of the shares on the anniversary of the grant date and thereafter as to 2.0833% of the shares in equal monthly installments through the fourth anniversary of the grant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 Table</w:t>
      </w:r>
    </w:p>
    <w:p>
      <w:pPr>
        <w:spacing w:after="0" w:line="14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regarding stock options exercised by Mr. Gad, the only one of our five (5) named executive officers who exercised options during fiscal 2021. None of our named executives were granted, or owned, any types of equity awards other than stock option awards during fiscal 2021.</w:t>
      </w:r>
    </w:p>
    <w:p>
      <w:pPr>
        <w:spacing w:after="0" w:line="36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 Exercise</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Exercise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8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Gad</w:t>
            </w:r>
          </w:p>
        </w:tc>
        <w:tc>
          <w:tcPr>
            <w:tcW w:w="22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167,000</w:t>
            </w: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4,688,354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-170815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-170815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619" w:hanging="360"/>
        <w:spacing w:after="0" w:line="26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is calculated by multiplying (i) the number of shares of common stock for which the stock options were exercised by (ii) the difference between the exercise price and the closing price of our common stock as reported on the Nasdaq Global Select Market on the date of exercise. These amounts may not correspond to the actual value that may be recognized by the officer in question.</w:t>
      </w:r>
    </w:p>
    <w:p>
      <w:pPr>
        <w:sectPr>
          <w:pgSz w:w="11900" w:h="16838" w:orient="portrait"/>
          <w:cols w:equalWidth="0" w:num="1">
            <w:col w:w="9879"/>
          </w:cols>
          <w:pgMar w:left="580" w:top="97" w:right="1440" w:bottom="1440" w:gutter="0" w:footer="0" w:header="0"/>
          <w:type w:val="continuous"/>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None of our named executive officers participates in or has an account balance in qualified or non-qualified defined benefit plans sponsored by 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None of our named executive officers participates in or has an account balance in non-qualified defined contribution plans or other deferred compensation plans maintained by 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Thomas Gad</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In April 2016, the Company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fifty percent (50%) of his base salary.</w:t>
      </w:r>
    </w:p>
    <w:p>
      <w:pPr>
        <w:spacing w:after="0" w:line="3" w:lineRule="exact"/>
        <w:rPr>
          <w:sz w:val="20"/>
          <w:szCs w:val="20"/>
          <w:color w:val="auto"/>
        </w:rPr>
      </w:pPr>
    </w:p>
    <w:p>
      <w:pPr>
        <w:ind w:left="1260" w:right="659"/>
        <w:spacing w:after="0"/>
        <w:rPr>
          <w:sz w:val="20"/>
          <w:szCs w:val="20"/>
          <w:color w:val="auto"/>
        </w:rPr>
      </w:pPr>
      <w:r>
        <w:rPr>
          <w:rFonts w:ascii="Times New Roman" w:cs="Times New Roman" w:eastAsia="Times New Roman" w:hAnsi="Times New Roman"/>
          <w:sz w:val="18"/>
          <w:szCs w:val="18"/>
          <w:color w:val="auto"/>
        </w:rPr>
        <w:t>Mr. Gad’s employment under the service agreement continues until terminated by us or Mr. Gad. We may terminate Mr. Gad’s employment for any reason with twelve (12) months’ notice and Mr. Gad may terminate his employment with six (6) months’ notice.</w:t>
      </w:r>
    </w:p>
    <w:p>
      <w:pPr>
        <w:spacing w:after="0" w:line="11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Under the terms of the service agreement, if Mr. Gad’s employment is terminated by us without</w:t>
      </w:r>
    </w:p>
    <w:p>
      <w:pPr>
        <w:spacing w:after="0" w:line="27"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“cause”, as defined in his service agreement, and, subject to Mr. Gad’s execution of a release in form and substance satisfactory to us, we have agreed to continue to pay his then-existing base salary for a period of twelve (12) months, and all benefits set forth in the service agreement, for one (1) full year commencing with the day following the final day of the 12-month notice period such that the total amount of pay shall be twenty-four (24) months of his then-existing base salary, starting from the date of such termination notice.</w:t>
      </w:r>
    </w:p>
    <w:p>
      <w:pPr>
        <w:spacing w:after="0" w:line="117"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Mr. Gad terminates his employment or (b) six (6) months after the termination of his employment in the event that we terminate Mr. Gad’s employment, (2) not to solicit our employees during his employment and for a period of (a) one (1) year after the termination of his employment in the event that Mr. Gad terminates his employment or (b) six (6) months after the termination of his employment in the event that we terminate Mr. Gad’s employment, (3) not to disclose our confidential and proprietary information and (4) to assign to us related intellectual property developed during the course of his employment.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 Kruse</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 Mr. Kruse is eligible to receive an annual bonus with a target of fifty percent (50%) of his base salary. Mr. Kruse’s employment under the service agreement continues until terminated by us or Mr. Kruse. We may terminate Mr. Kruse’s employment for any reason with twelve (12) months’ notice and Mr. Kruse may terminate his employment with six (6) months’ notice.</w:t>
      </w:r>
    </w:p>
    <w:p>
      <w:pPr>
        <w:spacing w:after="0" w:line="11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the service agreement, if Mr. Kruse’s employment is terminated by us without “cause”, as defined in his service agreement, we have agreed to continue to pay his then-existing base salary</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for a period of twelve (12) months, and all benefits set forth in the service agreement, for one full year commencing with the day following the final day of the 12-month notice period such that the total amount of pay shall be twenty-four (24) months of his then-existing base salary, starting from the date of such termination notice.</w:t>
      </w:r>
    </w:p>
    <w:p>
      <w:pPr>
        <w:spacing w:after="0" w:line="11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caused by us.</w:t>
      </w:r>
    </w:p>
    <w:p>
      <w:pPr>
        <w:spacing w:after="0" w:line="10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 Steen Lisby</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an employment agreement with Dr. Steen Lisby whereby Dr. Lisby was employed as our Chief Scientific Officer as of June 1, 2020 (changing his position from Senior Vice President and Chief Medical Officer in which position he had served since June 2017).</w:t>
      </w:r>
    </w:p>
    <w:p>
      <w:pPr>
        <w:spacing w:after="0" w:line="108"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The employment agreement establishes Dr. Lisby’s title, his base salary, his eligibility for an annual bonus, and his eligibility for benefits and also provides for certain benefits upon termination of his employment under specified conditions. Dr. Lisby is eligible to receive an annual bonus of up to twenty-five percent (25%) of his base salary.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 Lisby’s employment under the employment agreement continues until terminated by us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Lisby. We may terminate Dr. Lisby’s employment for any reason on twelve (12) months’ notice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Lisby may terminate his employment on three (3) months’ notice.</w:t>
      </w:r>
    </w:p>
    <w:p>
      <w:pPr>
        <w:spacing w:after="0" w:line="12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Dr. Lisby has agreed pursuant to the employment agreement not to disclose our confidential and proprietary information and to assign to us related intellectual property developed during the course of his employment. Dr. Lisby is employed by our Danish subsidiary.</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Pursuant to his employment agreement Dr. Lisby may terminate his employment with us for any reason, on one (1) month’s written notice within twelve (12) months following a “change of control”. Further, any termination by the Company unless caused by material breach by Dr. Lisby within twelve (12) months following a change of control shall also be deemed a termination by Dr. Lisby due to a change of control. In these situations, we have agreed to pay to Dr. Lisby, in addition to his usual salary up to the date of termination, and any other claims for compensation that may exist a single lump-sum payment in an amount equal to six (6) times Dr. Lisby’s highest monthly base salary paid during the preceding twelve (12) month period, plus Dr. Lisby ‘s annual bonus received during the preceding year. Further, in the event of a change of control all of Dr. Lisby’s outstanding stock options shall become fully and immediately vested.</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“change of control” generally means (1) the acquisition by a person or entity of more than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fifty percent (50%) of our combined voting power (except a change in ownership as a result of a private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financing of us that is approved by our Board of Directors), (2) the change in effective control of us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occurs on the date that a majority of members of our Board of Directors is replaced during any twelve (12)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month period by directors whose appointment of election is not endorsed by a majority of the members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Board of Directors prior to the date of the appointment or election (if any person or entity is considered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be in effective control of us, the acquisition of additional control of us by the same person or entity 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be considered a change of control), and (3) the acquisition by a person or entity of a substantial portion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assets with a total gross fair market value equal to or more than fifty percent (50%) of the total gross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fair market value of all of our assets immediately prior to such acquisition.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 Vignesh Rajah</w:t>
      </w:r>
    </w:p>
    <w:p>
      <w:pPr>
        <w:spacing w:after="0" w:line="148" w:lineRule="exact"/>
        <w:rPr>
          <w:sz w:val="20"/>
          <w:szCs w:val="20"/>
          <w:color w:val="auto"/>
        </w:rPr>
      </w:pPr>
    </w:p>
    <w:p>
      <w:pPr>
        <w:ind w:left="1260" w:right="1019" w:firstLine="360"/>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Dr. Vignesh Rajah whereby Dr. Rajah was employed as our Chief Medical Officer as of June 2, 2020. The employment agreement establishes</w:t>
      </w: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Dr. Rajah’s title, his base salary, his eligibility for an annual bonus, and his eligibility for benefits and also provides for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certain benefits upon termination of his employment under specified conditions. Dr. Rajah is eligible to receive an annual bonus of up to twenty-five percent (25%) of his base salary.</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 Rajah’s employment under the employment agreement continues until terminated by us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Rajah. We may terminate Dr. Rajah’s employment for any reason on twelve (12) months’ notice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Rajah may terminate his employment on three (3) months’ notice.</w:t>
      </w:r>
    </w:p>
    <w:p>
      <w:pPr>
        <w:spacing w:after="0" w:line="139"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Dr. Vignesh has agreed pursuant to the employment agreement not to disclose our confidential and proprietary information and to assign to us related intellectual property developed during the course of his employment. Dr. Rajah is employed by our Danish subsidiary.</w:t>
      </w:r>
    </w:p>
    <w:p>
      <w:pPr>
        <w:spacing w:after="0" w:line="95"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Pursuant to his employment agreement Dr. Rajah may terminate his employment with us for any reason, on one (1) month’s written notice within twelve (12) months following a “change of control”. Further, any termination by the Company unless caused by material breach by Dr. Rajah within twelve (12) months following a change of control shall also be deemed a termination by Dr. Rajah due to a change of control. In these situations, we have agreed to pay to Dr. Rajah, in addition to his usual salary up to the date of termination, and any other claims for compensation that may exist a single lump-sum payment in an amount equal to six (6) times Dr. Rajah’s highest monthly base salary paid during the preceding twelve (12) month period, plus Dr. Rajah’s annual bonus received during the preceding year. Further, in the event of a change of control all of Dr. Rajah’s outstanding stock options shall become fully and immediately vested.</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“change of control” generally means (1) the acquisition by a person or entity of more than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fifty percent (50%) of our combined voting power (except a change in ownership as a result of a private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financing of us that is approved by our Board of Directors), (2) the change in effective control of us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occurs on the date that a majority of members of our Board of Directors is replaced during any twelve (12)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month period by directors whose appointment of election is not endorsed by a majority of the members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Board of Directors prior to the date of the appointment or election (if any person or entity is considered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be in effective control of us, the acquisition of additional control of us by the same person or entity will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be considered a change of control), and (3) the acquisition by a person or entity of a substantial portion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our assets with a total gross fair market value equal to or more than fifty percent (50%) of the total gross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fair market value of all of our assets immediately prior to such acquisition.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Agreement with Former Named Executive Officer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 Claus Juan Møller-San Pedro.</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March 2016, we entered into a service agreement with Dr. Møller which is terminable by us for any reason with twelve months notice. As part of certain management changes implemented by us in April 2022, Dr. Møller stepped down from his position as our Chief Executive Officer and as a member of our Board of Directors. In connection therewith, and under the terms of Dr. Møller’s employment agreement, if</w:t>
      </w:r>
    </w:p>
    <w:p>
      <w:pPr>
        <w:spacing w:after="0" w:line="3"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Dr. Møller executes a release of the Company from all claims he had or may have in the future against us, we will continue to pay his then-existing base salary for a period of twelve (12) months, and all benefits set forth in the service agreement, for one full year commencing with the day following the final day of the 12-month notice period such that the total amount of pay shall be twenty-four (24) months of his then-existing base salary. In addition, under the terms of his employment agreement, Dr. Møller has also agreed (1) not to compete with us in the United States, Denmark, or any other territory or country where we maintain employees, own property or otherwise conduct business, for a period of six (6) months, (2) not to solicit our employees for a period of six (6) months, (3) not to disclose our confidential and proprietary information and (4) to assign to us related intellectual property developed during the course of his employment.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Estimated Payments and Benefits Upon Termination or Change of Control</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amount of compensation and benefits payable to each of our named executive officers in various termination of employment and change of control situations, assuming that the triggering event occurred on December 31, 2021, has been estimated in the table below. The closing price of the Company’s common stock on the Nasdaq Global Select Stock Market as of December 31, 2021, the last trading day of 2021, was $16.21 per share. The value of the unvested stock options was calculated by multiplying the number of</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00"/>
        <w:spacing w:after="0" w:line="266" w:lineRule="auto"/>
        <w:rPr>
          <w:sz w:val="20"/>
          <w:szCs w:val="20"/>
          <w:color w:val="auto"/>
        </w:rPr>
      </w:pPr>
      <w:r>
        <w:rPr>
          <w:rFonts w:ascii="Times New Roman" w:cs="Times New Roman" w:eastAsia="Times New Roman" w:hAnsi="Times New Roman"/>
          <w:sz w:val="18"/>
          <w:szCs w:val="18"/>
          <w:color w:val="auto"/>
        </w:rPr>
        <w:t>unvested option shares subject to vesting acceleration as of December 31, 2021, by the difference between the closing price of the Company’s common stock as of December 31, 2021, and the exercise price for such unvested option shares.</w:t>
      </w:r>
    </w:p>
    <w:p>
      <w:pPr>
        <w:spacing w:after="0" w:line="108" w:lineRule="exact"/>
        <w:rPr>
          <w:sz w:val="20"/>
          <w:szCs w:val="20"/>
          <w:color w:val="auto"/>
        </w:rPr>
      </w:pPr>
    </w:p>
    <w:p>
      <w:pPr>
        <w:ind w:left="1260" w:right="10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potential payments and benefits upon employment termination or a change of control for our current named executive members as if the triggering event occurred on December 31, 2021:</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Termination by</w:t>
            </w:r>
          </w:p>
        </w:tc>
        <w:tc>
          <w:tcPr>
            <w:tcW w:w="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without</w:t>
            </w:r>
          </w:p>
        </w:tc>
        <w:tc>
          <w:tcPr>
            <w:tcW w:w="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cause or voluntary</w:t>
            </w:r>
          </w:p>
        </w:tc>
        <w:tc>
          <w:tcPr>
            <w:tcW w:w="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4"/>
              </w:rPr>
              <w:t>Voluntary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Voluntary</w:t>
            </w:r>
          </w:p>
        </w:tc>
        <w:tc>
          <w:tcPr>
            <w:tcW w:w="10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by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Upon 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resignation for good</w:t>
            </w:r>
          </w:p>
        </w:tc>
        <w:tc>
          <w:tcPr>
            <w:tcW w:w="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resignation</w:t>
            </w:r>
          </w:p>
        </w:tc>
        <w:tc>
          <w:tcPr>
            <w:tcW w:w="10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w:t>
            </w:r>
          </w:p>
        </w:tc>
        <w:tc>
          <w:tcPr>
            <w:tcW w:w="8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change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reason within 12 months</w:t>
            </w:r>
          </w:p>
        </w:tc>
        <w:tc>
          <w:tcPr>
            <w:tcW w:w="40" w:type="dxa"/>
            <w:vAlign w:val="bottom"/>
          </w:tcPr>
          <w:p>
            <w:pPr>
              <w:spacing w:after="0"/>
              <w:rPr>
                <w:sz w:val="14"/>
                <w:szCs w:val="14"/>
                <w:color w:val="auto"/>
              </w:rPr>
            </w:pPr>
          </w:p>
        </w:tc>
      </w:tr>
      <w:tr>
        <w:trPr>
          <w:trHeight w:val="162"/>
        </w:trPr>
        <w:tc>
          <w:tcPr>
            <w:tcW w:w="3160" w:type="dxa"/>
            <w:vAlign w:val="bottom"/>
          </w:tcPr>
          <w:p>
            <w:pPr>
              <w:spacing w:after="0"/>
              <w:rPr>
                <w:sz w:val="14"/>
                <w:szCs w:val="14"/>
                <w:color w:val="auto"/>
              </w:rPr>
            </w:pPr>
          </w:p>
        </w:tc>
        <w:tc>
          <w:tcPr>
            <w:tcW w:w="1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not for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10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5"/>
              </w:rPr>
              <w:t>without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8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following a change</w:t>
            </w:r>
          </w:p>
        </w:tc>
        <w:tc>
          <w:tcPr>
            <w:tcW w:w="40" w:type="dxa"/>
            <w:vAlign w:val="bottom"/>
          </w:tcPr>
          <w:p>
            <w:pPr>
              <w:spacing w:after="0"/>
              <w:rPr>
                <w:sz w:val="14"/>
                <w:szCs w:val="14"/>
                <w:color w:val="auto"/>
              </w:rPr>
            </w:pPr>
          </w:p>
        </w:tc>
      </w:tr>
      <w:tr>
        <w:trPr>
          <w:trHeight w:val="18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benefits and payment upon termination</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​​good reason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reason ($)</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  cause ($)</w:t>
            </w: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 for cause ($) ​ ​ event ($)  ​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control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0</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0"/>
        </w:trPr>
        <w:tc>
          <w:tcPr>
            <w:tcW w:w="7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Thomas Gad</w:t>
            </w:r>
          </w:p>
        </w:tc>
        <w:tc>
          <w:tcPr>
            <w:tcW w:w="44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lef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60" w:type="dxa"/>
            <w:vAlign w:val="bottom"/>
            <w:tcBorders>
              <w:lef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​$ 1,000,000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Cash incentive bonus</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36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awards unvested and accelerated</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(1)</w:t>
            </w: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(2)</w:t>
            </w:r>
          </w:p>
        </w:tc>
        <w:tc>
          <w:tcPr>
            <w:tcW w:w="26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(2)</w:t>
            </w: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(3)</w:t>
            </w:r>
          </w:p>
        </w:tc>
        <w:tc>
          <w:tcPr>
            <w:tcW w:w="3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360" w:type="dxa"/>
            <w:vAlign w:val="bottom"/>
            <w:gridSpan w:val="3"/>
            <w:vMerge w:val="continue"/>
            <w:shd w:val="clear" w:color="auto" w:fill="CCEEFF"/>
          </w:tcPr>
          <w:p>
            <w:pPr>
              <w:spacing w:after="0"/>
              <w:rPr>
                <w:sz w:val="9"/>
                <w:szCs w:val="9"/>
                <w:color w:val="auto"/>
              </w:rPr>
            </w:pPr>
          </w:p>
        </w:tc>
        <w:tc>
          <w:tcPr>
            <w:tcW w:w="440" w:type="dxa"/>
            <w:vAlign w:val="bottom"/>
            <w:gridSpan w:val="2"/>
            <w:vMerge w:val="continue"/>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left w:val="single" w:sz="8" w:color="CCEEFF"/>
            </w:tcBorders>
            <w:gridSpan w:val="2"/>
            <w:vMerge w:val="continue"/>
            <w:shd w:val="clear" w:color="auto" w:fill="CCEEFF"/>
          </w:tcPr>
          <w:p>
            <w:pPr>
              <w:spacing w:after="0"/>
              <w:rPr>
                <w:sz w:val="9"/>
                <w:szCs w:val="9"/>
                <w:color w:val="auto"/>
              </w:rPr>
            </w:pPr>
          </w:p>
        </w:tc>
        <w:tc>
          <w:tcPr>
            <w:tcW w:w="1000" w:type="dxa"/>
            <w:vAlign w:val="bottom"/>
            <w:gridSpan w:val="3"/>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gridSpan w:val="5"/>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2"/>
                <w:szCs w:val="12"/>
                <w:color w:val="auto"/>
              </w:rPr>
              <w:t>​​​ ​94,833​​ ​</w:t>
            </w:r>
          </w:p>
        </w:tc>
        <w:tc>
          <w:tcPr>
            <w:tcW w:w="200" w:type="dxa"/>
            <w:vAlign w:val="bottom"/>
            <w:vMerge w:val="continue"/>
            <w:shd w:val="clear" w:color="auto" w:fill="CCEEFF"/>
          </w:tcPr>
          <w:p>
            <w:pPr>
              <w:spacing w:after="0"/>
              <w:rPr>
                <w:sz w:val="9"/>
                <w:szCs w:val="9"/>
                <w:color w:val="auto"/>
              </w:rPr>
            </w:pPr>
          </w:p>
        </w:tc>
        <w:tc>
          <w:tcPr>
            <w:tcW w:w="660" w:type="dxa"/>
            <w:vAlign w:val="bottom"/>
            <w:tcBorders>
              <w:right w:val="single" w:sz="8" w:color="CCEEFF"/>
            </w:tcBorders>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Health care continuation</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73,392​​</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73,392​​​</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Housing allowance</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168,000​​​</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w:t>
            </w:r>
          </w:p>
        </w:tc>
        <w:tc>
          <w:tcPr>
            <w:tcW w:w="16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1,241,392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w:t>
            </w: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1,241,392</w:t>
            </w:r>
          </w:p>
        </w:tc>
        <w:tc>
          <w:tcPr>
            <w:tcW w:w="3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94,833</w:t>
            </w:r>
          </w:p>
        </w:tc>
        <w:tc>
          <w:tcPr>
            <w:tcW w:w="5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bottom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1,241,392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3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Bo Kruse</w:t>
            </w:r>
          </w:p>
        </w:tc>
        <w:tc>
          <w:tcPr>
            <w:tcW w:w="4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7"/>
                <w:szCs w:val="17"/>
                <w:color w:val="auto"/>
              </w:rPr>
            </w:pPr>
          </w:p>
        </w:tc>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spacing w:after="0"/>
              <w:rPr>
                <w:sz w:val="17"/>
                <w:szCs w:val="17"/>
                <w:color w:val="auto"/>
              </w:rPr>
            </w:pPr>
          </w:p>
        </w:tc>
        <w:tc>
          <w:tcPr>
            <w:tcW w:w="3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7"/>
                <w:szCs w:val="17"/>
                <w:color w:val="auto"/>
              </w:rPr>
            </w:pPr>
          </w:p>
        </w:tc>
        <w:tc>
          <w:tcPr>
            <w:tcW w:w="52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928,000​​</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928,000​​​</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928,000</w:t>
            </w:r>
          </w:p>
        </w:tc>
        <w:tc>
          <w:tcPr>
            <w:tcW w:w="160" w:type="dxa"/>
            <w:vAlign w:val="bottom"/>
          </w:tcPr>
          <w:p>
            <w:pPr>
              <w:spacing w:after="0"/>
              <w:rPr>
                <w:sz w:val="18"/>
                <w:szCs w:val="18"/>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Cash incentive bonus</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Equity awards unvested and accelerated</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(1)</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(2)</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(2)</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(3)</w:t>
            </w:r>
          </w:p>
        </w:tc>
        <w:tc>
          <w:tcPr>
            <w:tcW w:w="30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9"/>
                <w:szCs w:val="9"/>
                <w:color w:val="auto"/>
              </w:rPr>
            </w:pPr>
          </w:p>
        </w:tc>
        <w:tc>
          <w:tcPr>
            <w:tcW w:w="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360" w:type="dxa"/>
            <w:vAlign w:val="bottom"/>
            <w:gridSpan w:val="3"/>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vMerge w:val="continue"/>
          </w:tcPr>
          <w:p>
            <w:pPr>
              <w:spacing w:after="0"/>
              <w:rPr>
                <w:sz w:val="9"/>
                <w:szCs w:val="9"/>
                <w:color w:val="auto"/>
              </w:rPr>
            </w:pPr>
          </w:p>
        </w:tc>
        <w:tc>
          <w:tcPr>
            <w:tcW w:w="1000" w:type="dxa"/>
            <w:vAlign w:val="bottom"/>
            <w:gridSpan w:val="3"/>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tcPr>
          <w:p>
            <w:pPr>
              <w:jc w:val="right"/>
              <w:ind w:right="320"/>
              <w:spacing w:after="0" w:line="108" w:lineRule="exact"/>
              <w:rPr>
                <w:sz w:val="20"/>
                <w:szCs w:val="20"/>
                <w:color w:val="auto"/>
              </w:rPr>
            </w:pPr>
            <w:r>
              <w:rPr>
                <w:rFonts w:ascii="Times New Roman" w:cs="Times New Roman" w:eastAsia="Times New Roman" w:hAnsi="Times New Roman"/>
                <w:sz w:val="12"/>
                <w:szCs w:val="12"/>
                <w:color w:val="auto"/>
              </w:rPr>
              <w:t>​​​ ​72,363​​ ​</w:t>
            </w:r>
          </w:p>
        </w:tc>
        <w:tc>
          <w:tcPr>
            <w:tcW w:w="2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Health care continuation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Housing allowance</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CEEFF"/>
            </w:tcBorders>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  928,000</w:t>
            </w:r>
          </w:p>
        </w:tc>
        <w:tc>
          <w:tcPr>
            <w:tcW w:w="140" w:type="dxa"/>
            <w:vAlign w:val="bottom"/>
            <w:tcBorders>
              <w:top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  928,000</w:t>
            </w:r>
          </w:p>
        </w:tc>
        <w:tc>
          <w:tcPr>
            <w:tcW w:w="380" w:type="dxa"/>
            <w:vAlign w:val="bottom"/>
            <w:tcBorders>
              <w:top w:val="single" w:sz="8" w:color="CCEEFF"/>
            </w:tcBorders>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72,363</w:t>
            </w:r>
          </w:p>
        </w:tc>
        <w:tc>
          <w:tcPr>
            <w:tcW w:w="520" w:type="dxa"/>
            <w:vAlign w:val="bottom"/>
            <w:tcBorders>
              <w:top w:val="single" w:sz="8" w:color="CCEEFF"/>
            </w:tcBorders>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928,000</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Dr. Steen Lisby</w:t>
            </w:r>
          </w:p>
        </w:tc>
        <w:tc>
          <w:tcPr>
            <w:tcW w:w="440" w:type="dxa"/>
            <w:vAlign w:val="bottom"/>
            <w:gridSpan w:val="2"/>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10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lef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100"/>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ind w:left="40"/>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20"/>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60" w:type="dxa"/>
            <w:vAlign w:val="bottom"/>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327,923​​</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327,923​​​</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Cash incentive bonus</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81,981</w:t>
            </w:r>
          </w:p>
        </w:tc>
        <w:tc>
          <w:tcPr>
            <w:tcW w:w="16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1"/>
        </w:trPr>
        <w:tc>
          <w:tcPr>
            <w:tcW w:w="336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awards unvested and accelerated</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(1)</w:t>
            </w:r>
          </w:p>
        </w:tc>
        <w:tc>
          <w:tcPr>
            <w:tcW w:w="3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w:t>
            </w:r>
          </w:p>
        </w:tc>
        <w:tc>
          <w:tcPr>
            <w:tcW w:w="260" w:type="dxa"/>
            <w:vAlign w:val="bottom"/>
            <w:tcBorders>
              <w:lef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w:t>
            </w: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360" w:type="dxa"/>
            <w:vAlign w:val="bottom"/>
            <w:gridSpan w:val="3"/>
            <w:vMerge w:val="continue"/>
            <w:shd w:val="clear" w:color="auto" w:fill="CCEEFF"/>
          </w:tcPr>
          <w:p>
            <w:pPr>
              <w:spacing w:after="0"/>
              <w:rPr>
                <w:sz w:val="9"/>
                <w:szCs w:val="9"/>
                <w:color w:val="auto"/>
              </w:rPr>
            </w:pPr>
          </w:p>
        </w:tc>
        <w:tc>
          <w:tcPr>
            <w:tcW w:w="440" w:type="dxa"/>
            <w:vAlign w:val="bottom"/>
            <w:gridSpan w:val="2"/>
            <w:vMerge w:val="continue"/>
            <w:shd w:val="clear" w:color="auto" w:fill="CCEEFF"/>
          </w:tcPr>
          <w:p>
            <w:pPr>
              <w:spacing w:after="0"/>
              <w:rPr>
                <w:sz w:val="9"/>
                <w:szCs w:val="9"/>
                <w:color w:val="auto"/>
              </w:rPr>
            </w:pPr>
          </w:p>
        </w:tc>
        <w:tc>
          <w:tcPr>
            <w:tcW w:w="28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40" w:type="dxa"/>
            <w:vAlign w:val="bottom"/>
            <w:gridSpan w:val="2"/>
            <w:vMerge w:val="continue"/>
            <w:shd w:val="clear" w:color="auto" w:fill="CCEEFF"/>
          </w:tcPr>
          <w:p>
            <w:pPr>
              <w:spacing w:after="0"/>
              <w:rPr>
                <w:sz w:val="9"/>
                <w:szCs w:val="9"/>
                <w:color w:val="auto"/>
              </w:rPr>
            </w:pPr>
          </w:p>
        </w:tc>
        <w:tc>
          <w:tcPr>
            <w:tcW w:w="7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left w:val="single" w:sz="8" w:color="CCEEFF"/>
            </w:tcBorders>
            <w:gridSpan w:val="2"/>
            <w:vMerge w:val="continue"/>
            <w:shd w:val="clear" w:color="auto" w:fill="CCEEFF"/>
          </w:tcPr>
          <w:p>
            <w:pPr>
              <w:spacing w:after="0"/>
              <w:rPr>
                <w:sz w:val="9"/>
                <w:szCs w:val="9"/>
                <w:color w:val="auto"/>
              </w:rPr>
            </w:pPr>
          </w:p>
        </w:tc>
        <w:tc>
          <w:tcPr>
            <w:tcW w:w="1000" w:type="dxa"/>
            <w:vAlign w:val="bottom"/>
            <w:gridSpan w:val="3"/>
            <w:shd w:val="clear" w:color="auto" w:fill="CCEEFF"/>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60" w:type="dxa"/>
            <w:vAlign w:val="bottom"/>
            <w:gridSpan w:val="5"/>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2"/>
                <w:szCs w:val="12"/>
                <w:color w:val="auto"/>
              </w:rPr>
              <w:t>​​​ ​15,360​​ ​</w:t>
            </w:r>
          </w:p>
        </w:tc>
        <w:tc>
          <w:tcPr>
            <w:tcW w:w="200" w:type="dxa"/>
            <w:vAlign w:val="bottom"/>
            <w:vMerge w:val="continue"/>
            <w:shd w:val="clear" w:color="auto" w:fill="CCEEFF"/>
          </w:tcPr>
          <w:p>
            <w:pPr>
              <w:spacing w:after="0"/>
              <w:rPr>
                <w:sz w:val="9"/>
                <w:szCs w:val="9"/>
                <w:color w:val="auto"/>
              </w:rPr>
            </w:pPr>
          </w:p>
        </w:tc>
        <w:tc>
          <w:tcPr>
            <w:tcW w:w="660" w:type="dxa"/>
            <w:vAlign w:val="bottom"/>
            <w:tcBorders>
              <w:right w:val="single" w:sz="8" w:color="CCEEFF"/>
            </w:tcBorders>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Health care continuation</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Housing allowance</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1"/>
                <w:szCs w:val="2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1"/>
                <w:szCs w:val="21"/>
                <w:color w:val="auto"/>
              </w:rPr>
            </w:pPr>
          </w:p>
        </w:tc>
        <w:tc>
          <w:tcPr>
            <w:tcW w:w="1100" w:type="dxa"/>
            <w:vAlign w:val="bottom"/>
            <w:gridSpan w:val="4"/>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327,923</w:t>
            </w:r>
            <w:r>
              <w:rPr>
                <w:rFonts w:ascii="Times New Roman" w:cs="Times New Roman" w:eastAsia="Times New Roman" w:hAnsi="Times New Roman"/>
                <w:sz w:val="24"/>
                <w:szCs w:val="24"/>
                <w:color w:val="auto"/>
                <w:vertAlign w:val="subscript"/>
              </w:rPr>
              <w:t>​​</w:t>
            </w:r>
          </w:p>
        </w:tc>
        <w:tc>
          <w:tcPr>
            <w:tcW w:w="1260" w:type="dxa"/>
            <w:vAlign w:val="bottom"/>
            <w:tcBorders>
              <w:left w:val="single" w:sz="8" w:color="CCEEFF"/>
            </w:tcBorders>
            <w:gridSpan w:val="5"/>
            <w:shd w:val="clear" w:color="auto" w:fill="CCEEFF"/>
          </w:tcPr>
          <w:p>
            <w:pPr>
              <w:jc w:val="right"/>
              <w:ind w:right="22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327,923</w:t>
            </w:r>
            <w:r>
              <w:rPr>
                <w:rFonts w:ascii="Times New Roman" w:cs="Times New Roman" w:eastAsia="Times New Roman" w:hAnsi="Times New Roman"/>
                <w:sz w:val="24"/>
                <w:szCs w:val="24"/>
                <w:color w:val="auto"/>
                <w:vertAlign w:val="subscript"/>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32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15,360</w:t>
            </w:r>
            <w:r>
              <w:rPr>
                <w:rFonts w:ascii="Times New Roman" w:cs="Times New Roman" w:eastAsia="Times New Roman" w:hAnsi="Times New Roman"/>
                <w:sz w:val="24"/>
                <w:szCs w:val="24"/>
                <w:color w:val="auto"/>
                <w:vertAlign w:val="subscript"/>
              </w:rPr>
              <w:t>​​ ​</w:t>
            </w:r>
          </w:p>
        </w:tc>
        <w:tc>
          <w:tcPr>
            <w:tcW w:w="2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428,469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Dr. Vignesh Rajah</w:t>
            </w:r>
          </w:p>
        </w:tc>
        <w:tc>
          <w:tcPr>
            <w:tcW w:w="440" w:type="dxa"/>
            <w:vAlign w:val="bottom"/>
            <w:tcBorders>
              <w:top w:val="single" w:sz="8" w:color="CCEEFF"/>
              <w:bottom w:val="single" w:sz="8" w:color="CCEEFF"/>
            </w:tcBorders>
            <w:gridSpan w:val="2"/>
            <w:vMerge w:val="restart"/>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2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CCEEFF"/>
            </w:tcBorders>
            <w:gridSpan w:val="2"/>
            <w:vMerge w:val="restart"/>
          </w:tcPr>
          <w:p>
            <w:pPr>
              <w:jc w:val="right"/>
              <w:ind w:right="32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63"/>
        </w:trPr>
        <w:tc>
          <w:tcPr>
            <w:tcW w:w="336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6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0" w:type="dxa"/>
            <w:vAlign w:val="bottom"/>
          </w:tcPr>
          <w:p>
            <w:pPr>
              <w:ind w:left="100"/>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6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300" w:type="dxa"/>
            <w:vAlign w:val="bottom"/>
          </w:tcPr>
          <w:p>
            <w:pPr>
              <w:ind w:left="100"/>
              <w:spacing w:after="0" w:line="163"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continue"/>
          </w:tcPr>
          <w:p>
            <w:pPr>
              <w:spacing w:after="0"/>
              <w:rPr>
                <w:sz w:val="14"/>
                <w:szCs w:val="14"/>
                <w:color w:val="auto"/>
              </w:rPr>
            </w:pPr>
          </w:p>
        </w:tc>
        <w:tc>
          <w:tcPr>
            <w:tcW w:w="420" w:type="dxa"/>
            <w:vAlign w:val="bottom"/>
            <w:gridSpan w:val="2"/>
          </w:tcPr>
          <w:p>
            <w:pPr>
              <w:ind w:left="40"/>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w:t>
            </w:r>
          </w:p>
        </w:tc>
        <w:tc>
          <w:tcPr>
            <w:tcW w:w="32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314,324​​</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314,324​​​</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314,324</w:t>
            </w:r>
          </w:p>
        </w:tc>
        <w:tc>
          <w:tcPr>
            <w:tcW w:w="16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Cash incentive bonus</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Equity awards unvested and accelerated</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(1)</w:t>
            </w: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2"/>
                <w:szCs w:val="12"/>
                <w:color w:val="auto"/>
              </w:rPr>
              <w:t>(2)</w:t>
            </w: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(2)</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2"/>
                <w:szCs w:val="12"/>
                <w:color w:val="auto"/>
              </w:rPr>
              <w:t>(3)</w:t>
            </w:r>
          </w:p>
        </w:tc>
        <w:tc>
          <w:tcPr>
            <w:tcW w:w="30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0"/>
                <w:szCs w:val="10"/>
                <w:color w:val="auto"/>
              </w:rPr>
            </w:pPr>
          </w:p>
        </w:tc>
        <w:tc>
          <w:tcPr>
            <w:tcW w:w="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8"/>
        </w:trPr>
        <w:tc>
          <w:tcPr>
            <w:tcW w:w="3360" w:type="dxa"/>
            <w:vAlign w:val="bottom"/>
            <w:gridSpan w:val="3"/>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7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vMerge w:val="continue"/>
          </w:tcPr>
          <w:p>
            <w:pPr>
              <w:spacing w:after="0"/>
              <w:rPr>
                <w:sz w:val="9"/>
                <w:szCs w:val="9"/>
                <w:color w:val="auto"/>
              </w:rPr>
            </w:pPr>
          </w:p>
        </w:tc>
        <w:tc>
          <w:tcPr>
            <w:tcW w:w="1000" w:type="dxa"/>
            <w:vAlign w:val="bottom"/>
            <w:gridSpan w:val="3"/>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5"/>
          </w:tcPr>
          <w:p>
            <w:pPr>
              <w:jc w:val="right"/>
              <w:ind w:right="320"/>
              <w:spacing w:after="0" w:line="108" w:lineRule="exact"/>
              <w:rPr>
                <w:sz w:val="20"/>
                <w:szCs w:val="20"/>
                <w:color w:val="auto"/>
              </w:rPr>
            </w:pPr>
            <w:r>
              <w:rPr>
                <w:rFonts w:ascii="Times New Roman" w:cs="Times New Roman" w:eastAsia="Times New Roman" w:hAnsi="Times New Roman"/>
                <w:sz w:val="12"/>
                <w:szCs w:val="12"/>
                <w:color w:val="auto"/>
              </w:rPr>
              <w:t>​​​ ​15,360​​ ​</w:t>
            </w:r>
          </w:p>
        </w:tc>
        <w:tc>
          <w:tcPr>
            <w:tcW w:w="2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Perquisites:</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Health care continuation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Housing allowance</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26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29,717​​​</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340" w:type="dxa"/>
            <w:vAlign w:val="bottom"/>
            <w:gridSpan w:val="2"/>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76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4"/>
                <w:szCs w:val="14"/>
                <w:color w:val="auto"/>
              </w:rPr>
              <w:t>344,041</w:t>
            </w:r>
            <w:r>
              <w:rPr>
                <w:rFonts w:ascii="Times New Roman" w:cs="Times New Roman" w:eastAsia="Times New Roman" w:hAnsi="Times New Roman"/>
                <w:sz w:val="24"/>
                <w:szCs w:val="24"/>
                <w:color w:val="auto"/>
                <w:vertAlign w:val="subscript"/>
              </w:rPr>
              <w:t>​​</w:t>
            </w:r>
          </w:p>
        </w:tc>
        <w:tc>
          <w:tcPr>
            <w:tcW w:w="260" w:type="dxa"/>
            <w:vAlign w:val="bottom"/>
            <w:gridSpan w:val="2"/>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1000" w:type="dxa"/>
            <w:vAlign w:val="bottom"/>
            <w:gridSpan w:val="3"/>
          </w:tcPr>
          <w:p>
            <w:pPr>
              <w:jc w:val="right"/>
              <w:ind w:right="220"/>
              <w:spacing w:after="0" w:line="210" w:lineRule="exact"/>
              <w:rPr>
                <w:sz w:val="20"/>
                <w:szCs w:val="20"/>
                <w:color w:val="auto"/>
              </w:rPr>
            </w:pPr>
            <w:r>
              <w:rPr>
                <w:rFonts w:ascii="Times New Roman" w:cs="Times New Roman" w:eastAsia="Times New Roman" w:hAnsi="Times New Roman"/>
                <w:sz w:val="14"/>
                <w:szCs w:val="14"/>
                <w:color w:val="auto"/>
              </w:rPr>
              <w:t>344,041</w:t>
            </w:r>
            <w:r>
              <w:rPr>
                <w:rFonts w:ascii="Times New Roman" w:cs="Times New Roman" w:eastAsia="Times New Roman" w:hAnsi="Times New Roman"/>
                <w:sz w:val="24"/>
                <w:szCs w:val="24"/>
                <w:color w:val="auto"/>
                <w:vertAlign w:val="subscript"/>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w:t>
            </w:r>
          </w:p>
        </w:tc>
        <w:tc>
          <w:tcPr>
            <w:tcW w:w="240" w:type="dxa"/>
            <w:vAlign w:val="bottom"/>
          </w:tcPr>
          <w:p>
            <w:pPr>
              <w:spacing w:after="0"/>
              <w:rPr>
                <w:sz w:val="19"/>
                <w:szCs w:val="19"/>
                <w:color w:val="auto"/>
              </w:rPr>
            </w:pPr>
          </w:p>
        </w:tc>
        <w:tc>
          <w:tcPr>
            <w:tcW w:w="1260" w:type="dxa"/>
            <w:vAlign w:val="bottom"/>
            <w:gridSpan w:val="5"/>
          </w:tcPr>
          <w:p>
            <w:pPr>
              <w:jc w:val="right"/>
              <w:ind w:right="32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15,360</w:t>
            </w:r>
            <w:r>
              <w:rPr>
                <w:rFonts w:ascii="Times New Roman" w:cs="Times New Roman" w:eastAsia="Times New Roman" w:hAnsi="Times New Roman"/>
                <w:sz w:val="24"/>
                <w:szCs w:val="24"/>
                <w:color w:val="auto"/>
                <w:vertAlign w:val="subscript"/>
              </w:rPr>
              <w:t>​​ ​</w:t>
            </w:r>
          </w:p>
        </w:tc>
        <w:tc>
          <w:tcPr>
            <w:tcW w:w="200" w:type="dxa"/>
            <w:vAlign w:val="bottom"/>
          </w:tcPr>
          <w:p>
            <w:pPr>
              <w:spacing w:after="0" w:line="21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392,905</w:t>
            </w:r>
          </w:p>
        </w:tc>
        <w:tc>
          <w:tcPr>
            <w:tcW w:w="16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6286500</wp:posOffset>
            </wp:positionH>
            <wp:positionV relativeFrom="paragraph">
              <wp:posOffset>-1671320</wp:posOffset>
            </wp:positionV>
            <wp:extent cx="2057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-1671320</wp:posOffset>
            </wp:positionV>
            <wp:extent cx="3340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01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-1671320</wp:posOffset>
            </wp:positionV>
            <wp:extent cx="248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-1671320</wp:posOffset>
            </wp:positionV>
            <wp:extent cx="240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-1671320</wp:posOffset>
            </wp:positionV>
            <wp:extent cx="1289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-1671320</wp:posOffset>
            </wp:positionV>
            <wp:extent cx="28886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88615" cy="8890"/>
                    </a:xfrm>
                    <a:prstGeom prst="rect">
                      <a:avLst/>
                    </a:prstGeom>
                    <a:noFill/>
                  </pic:spPr>
                </pic:pic>
              </a:graphicData>
            </a:graphic>
          </wp:anchor>
        </w:drawing>
        <w:drawing>
          <wp:anchor simplePos="0" relativeHeight="251657728" behindDoc="1" locked="0" layoutInCell="0" allowOverlap="1">
            <wp:simplePos x="0" y="0"/>
            <wp:positionH relativeFrom="column">
              <wp:posOffset>6286500</wp:posOffset>
            </wp:positionH>
            <wp:positionV relativeFrom="paragraph">
              <wp:posOffset>-4251325</wp:posOffset>
            </wp:positionV>
            <wp:extent cx="205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-4251325</wp:posOffset>
            </wp:positionV>
            <wp:extent cx="3340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01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-4251325</wp:posOffset>
            </wp:positionV>
            <wp:extent cx="248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-4251325</wp:posOffset>
            </wp:positionV>
            <wp:extent cx="2400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-4251325</wp:posOffset>
            </wp:positionV>
            <wp:extent cx="128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-4251325</wp:posOffset>
            </wp:positionV>
            <wp:extent cx="2888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37" w:lineRule="exact"/>
        <w:rPr>
          <w:sz w:val="20"/>
          <w:szCs w:val="20"/>
          <w:color w:val="auto"/>
        </w:rPr>
      </w:pPr>
    </w:p>
    <w:p>
      <w:pPr>
        <w:jc w:val="center"/>
        <w:ind w:left="5240" w:right="840" w:hanging="3980"/>
        <w:spacing w:after="0" w:line="488" w:lineRule="auto"/>
        <w:tabs>
          <w:tab w:leader="none" w:pos="16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 for options granted to the named executive officer will terminate immediately and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502920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299"/>
        <w:spacing w:after="0" w:line="281" w:lineRule="auto"/>
        <w:rPr>
          <w:sz w:val="20"/>
          <w:szCs w:val="20"/>
          <w:color w:val="auto"/>
        </w:rPr>
      </w:pPr>
      <w:r>
        <w:rPr>
          <w:rFonts w:ascii="Times New Roman" w:cs="Times New Roman" w:eastAsia="Times New Roman" w:hAnsi="Times New Roman"/>
          <w:sz w:val="18"/>
          <w:szCs w:val="18"/>
          <w:color w:val="auto"/>
        </w:rPr>
        <w:t>shares subject to the option which have not vested prior to such termination will not become exercisable see the section entitled “Description of Option Awards”.</w:t>
      </w:r>
    </w:p>
    <w:p>
      <w:pPr>
        <w:spacing w:after="0" w:line="1" w:lineRule="exact"/>
        <w:rPr>
          <w:sz w:val="20"/>
          <w:szCs w:val="20"/>
          <w:color w:val="auto"/>
        </w:rPr>
      </w:pPr>
    </w:p>
    <w:p>
      <w:pPr>
        <w:ind w:left="1620" w:right="839" w:hanging="360"/>
        <w:spacing w:after="0" w:line="26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granted to the named executive officer will continue to vest and become exercisable in accordance with our Standard Vesting Schedule, see the section entitled “Description of Option Awards”.</w:t>
      </w:r>
    </w:p>
    <w:p>
      <w:pPr>
        <w:spacing w:after="0" w:line="27" w:lineRule="exact"/>
        <w:rPr>
          <w:rFonts w:ascii="Times New Roman" w:cs="Times New Roman" w:eastAsia="Times New Roman" w:hAnsi="Times New Roman"/>
          <w:sz w:val="18"/>
          <w:szCs w:val="18"/>
          <w:color w:val="auto"/>
        </w:rPr>
      </w:pPr>
    </w:p>
    <w:p>
      <w:pPr>
        <w:ind w:left="1620" w:right="819" w:hanging="360"/>
        <w:spacing w:after="0" w:line="26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as defined in the 2018 Plan and the preceding 2015 Plan, each option will fully vest and become immediately exercisable, see the section entitled “Description of Option Awards”.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6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Pursuant to a mandate of the Dodd-Frank Act, the SEC has adopted a rule requiring annual disclosure of the ratio of the median employee’s total annual compensation to the total annual compensation of our Chief Executive Officer. We believe our compensation philosophy to be consistent and internally equitable to motivate our employees to create stockholder value. The purpose of this disclosure is to provide a measure of pay equity within the organization.</w:t>
      </w:r>
    </w:p>
    <w:p>
      <w:pPr>
        <w:spacing w:after="0" w:line="1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illustrated in the table below, our 2021 CEO to median employee pay ratio was 17.4:1.</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2021 Annual Total Compensation</w:t>
            </w:r>
          </w:p>
        </w:tc>
        <w:tc>
          <w:tcPr>
            <w:tcW w:w="2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​​$3,288,583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Median Employee 2021 Annual Total Compensation</w:t>
            </w:r>
          </w:p>
        </w:tc>
        <w:tc>
          <w:tcPr>
            <w:tcW w:w="14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189,325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80" w:type="dxa"/>
            <w:vAlign w:val="bottom"/>
          </w:tcPr>
          <w:p>
            <w:pPr>
              <w:ind w:left="1060"/>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tcPr>
          <w:p>
            <w:pPr>
              <w:spacing w:after="0"/>
              <w:rPr>
                <w:sz w:val="4"/>
                <w:szCs w:val="4"/>
                <w:color w:val="auto"/>
              </w:rPr>
            </w:pPr>
          </w:p>
        </w:tc>
        <w:tc>
          <w:tcPr>
            <w:tcW w:w="680" w:type="dxa"/>
            <w:vAlign w:val="bottom"/>
            <w:gridSpan w:val="2"/>
          </w:tcPr>
          <w:p>
            <w:pPr>
              <w:ind w:left="64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CEO to Median Employee Compensation</w:t>
            </w:r>
          </w:p>
        </w:tc>
        <w:tc>
          <w:tcPr>
            <w:tcW w:w="1280" w:type="dxa"/>
            <w:vAlign w:val="bottom"/>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4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2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identified our median employee by using 2021 annual total compensation, based on our consistently applied compensation measure, for all individuals, excluding our CEO, who were employed by us as of December 31, 2021 (annualized in the case of permanent full-time and part-time employees who joined the Company during 2021). After identifying the median employee, we calculated the annual total compensation for that employee using the same methodology used for our CEO’s annual total compensation as disclosed in the Summary Compensation Table, including base salary, bonus, stock awards, option awards, non-equity plan compensation, and all other compensation.</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Benefit Plans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Health Insurance</w:t>
      </w:r>
    </w:p>
    <w:p>
      <w:pPr>
        <w:spacing w:after="0" w:line="146"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We currently provide broad-based health and welfare benefits that are available to all of our U.S. employees, including our named executive officers, (except Mr. Kruse, Dr. Lisby and Dr. Rajah who are employed by our Danish subsidiary) including health, life and disability insurance.</w:t>
      </w:r>
    </w:p>
    <w:p>
      <w:pPr>
        <w:spacing w:after="0" w:line="10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Health insurance benefits for the employees of our Danish subsidiary are fully paid for by such employees. Our Danish subsidiary does not incur any costs for these health insurance benefits.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401(k) Retirement Plan</w:t>
      </w:r>
    </w:p>
    <w:p>
      <w:pPr>
        <w:spacing w:after="0" w:line="14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for our US employees, including our named executive officers except Mr. Kruse, Dr. Lisby and Dr. Rajah who are employed by our Danish subsidiary. The plan is intended to qualify as a tax- qualified 401(k) plan so that contributions to the 401(k) plan, and income earned on such contributions, are not taxable to participants until withdrawn or distributed from the 401(k) plan (except in the case of contributions under the 401(k) plan designated as Roth</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contributions). Under the 401(k) plan, each employee is fully vested in his or her deferred salary contributions.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1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We have established a retirement program for the employees of our Danish subsidiary pursuant to</w:t>
      </w:r>
    </w:p>
    <w:p>
      <w:pPr>
        <w:spacing w:after="0" w:line="27"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which all such employees can contribute an amount at their election from their base compensation and may receive contributions from our Danish subsidiary. We have not provided any employer matching contributions during the year ended December 31, 2021. In addition, health insurance benefits for our Danish employees are fully paid for by such employees. Our Danish subsidiary does not incur any costs for these health insurance benefits.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As permitted by the General Corporation Law of the State of Delaware (“DGCL”), our Board of Directors and our stockholders have adopted provisions in our amended and restated certificate of incorporation that limit or eliminate the personal liability of our directors. Our amended and restated certificate of incorporation limits the personal liability of directors for breach of fiduciary duty to the maximum 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73"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9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40" w:lineRule="exact"/>
        <w:rPr>
          <w:rFonts w:ascii="Times New Roman" w:cs="Times New Roman" w:eastAsia="Times New Roman" w:hAnsi="Times New Roman"/>
          <w:sz w:val="18"/>
          <w:szCs w:val="18"/>
          <w:color w:val="auto"/>
        </w:rPr>
      </w:pPr>
    </w:p>
    <w:p>
      <w:pPr>
        <w:ind w:left="1800" w:right="13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for or assenting to unlawful payments of dividends, stock repurchases or other distributions; or</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322"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0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 Some of our non-employee directors may, through their relationships with their employers, be insured or indemnified against specified liabilities incurred in their capacities as members of our Board of Directors.</w:t>
      </w:r>
    </w:p>
    <w:p>
      <w:pPr>
        <w:spacing w:after="0" w:line="32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executive officers or persons controlling us, in the opinion of the SEC, such indemnification is against public policy as expressed in the Securities Act and is therefore unenforceable.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4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considers the potential future effects of Section 162(m) of the Internal Revenue Code of 1986, as amended (the “Code”) on compensation paid to our named executive officers.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60"/>
        <w:spacing w:after="0" w:line="253" w:lineRule="auto"/>
        <w:rPr>
          <w:sz w:val="20"/>
          <w:szCs w:val="20"/>
          <w:color w:val="auto"/>
        </w:rPr>
      </w:pPr>
      <w:r>
        <w:rPr>
          <w:rFonts w:ascii="Times New Roman" w:cs="Times New Roman" w:eastAsia="Times New Roman" w:hAnsi="Times New Roman"/>
          <w:sz w:val="18"/>
          <w:szCs w:val="18"/>
          <w:color w:val="auto"/>
        </w:rPr>
        <w:t>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compensation in excess of $1 million paid to a public company’s chief financial officer. Historically, compensation that qualified under Section 162(m) as performance-based 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or compensation paid pursuant to certain equity awards granted before or during a transition period following our initial public offering) will not be deductible by 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162" w:lineRule="exact"/>
        <w:rPr>
          <w:sz w:val="20"/>
          <w:szCs w:val="20"/>
          <w:color w:val="auto"/>
        </w:rPr>
      </w:pPr>
    </w:p>
    <w:p>
      <w:pPr>
        <w:ind w:left="1260" w:right="1320" w:firstLine="360"/>
        <w:spacing w:after="0" w:line="256" w:lineRule="auto"/>
        <w:rPr>
          <w:sz w:val="20"/>
          <w:szCs w:val="20"/>
          <w:color w:val="auto"/>
        </w:rPr>
      </w:pPr>
      <w:r>
        <w:rPr>
          <w:rFonts w:ascii="Times New Roman" w:cs="Times New Roman" w:eastAsia="Times New Roman" w:hAnsi="Times New Roman"/>
          <w:sz w:val="18"/>
          <w:szCs w:val="18"/>
          <w:color w:val="auto"/>
        </w:rPr>
        <w:t>We account for equity compensation paid to our employees under the Financial Accounting Standards Board Accounting Standards Codification Topic 718 (“ASC 718”), which requires us to estimate and record an expense over the service period of the equity award. Our cash compensation is recorded as an expense over the period the bonus is earned. The accounting impact of our compensation programs are one of many factors that the Compensation Committee considers in determining the structure and size of our executive compensation programs.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Analysis of the Compensation Programs</w:t>
      </w:r>
    </w:p>
    <w:p>
      <w:pPr>
        <w:spacing w:after="0" w:line="162" w:lineRule="exact"/>
        <w:rPr>
          <w:sz w:val="20"/>
          <w:szCs w:val="20"/>
          <w:color w:val="auto"/>
        </w:rPr>
      </w:pPr>
    </w:p>
    <w:p>
      <w:pPr>
        <w:ind w:left="1260" w:right="1300"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reviewed our compensation policies as generally applicable to our employees and believes that our policies do not encourage excessive and unnecessary risk-taking and that the level of risk that they do encourage is not reasonably likely to have a material adverse effect on us. The design of our compensation policies and programs is intended to encourage our employees to remain focused on both our short- and long-term goals. For example, while our cash bonus plans measure corporate and individual performance on an annual basis, the stock options typically vest over a number of years, which the Compensation Committee believes encourages employees to focus on sustained stock price appreciation, thus limiting the potential value of excessive risk-taking.</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62" w:lineRule="exact"/>
        <w:rPr>
          <w:sz w:val="20"/>
          <w:szCs w:val="20"/>
          <w:color w:val="auto"/>
        </w:rPr>
      </w:pPr>
    </w:p>
    <w:p>
      <w:pPr>
        <w:ind w:left="1260" w:right="1820"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and stockholders have approved and adopted a policy with respect to the compensation payable to our non-employee directors.</w:t>
      </w:r>
    </w:p>
    <w:p>
      <w:pPr>
        <w:spacing w:after="0" w:line="81" w:lineRule="exact"/>
        <w:rPr>
          <w:sz w:val="20"/>
          <w:szCs w:val="20"/>
          <w:color w:val="auto"/>
        </w:rPr>
      </w:pPr>
    </w:p>
    <w:p>
      <w:pPr>
        <w:jc w:val="both"/>
        <w:ind w:left="1260" w:right="1320" w:firstLine="360"/>
        <w:spacing w:after="0" w:line="266" w:lineRule="auto"/>
        <w:rPr>
          <w:sz w:val="20"/>
          <w:szCs w:val="20"/>
          <w:color w:val="auto"/>
        </w:rPr>
      </w:pPr>
      <w:r>
        <w:rPr>
          <w:rFonts w:ascii="Times New Roman" w:cs="Times New Roman" w:eastAsia="Times New Roman" w:hAnsi="Times New Roman"/>
          <w:sz w:val="18"/>
          <w:szCs w:val="18"/>
          <w:color w:val="auto"/>
        </w:rPr>
        <w:t>Under this policy, each non-employee director is eligible to receive compensation for his or her service on our Board of Directors and for service on each committee on which the director is a member, which will consist of annual cash retainers and equity awards.</w:t>
      </w:r>
    </w:p>
    <w:p>
      <w:pPr>
        <w:spacing w:after="0" w:line="108" w:lineRule="exact"/>
        <w:rPr>
          <w:sz w:val="20"/>
          <w:szCs w:val="20"/>
          <w:color w:val="auto"/>
        </w:rPr>
      </w:pPr>
    </w:p>
    <w:p>
      <w:pPr>
        <w:ind w:left="1260" w:right="1560" w:firstLine="360"/>
        <w:spacing w:after="0" w:line="255" w:lineRule="auto"/>
        <w:rPr>
          <w:sz w:val="20"/>
          <w:szCs w:val="20"/>
          <w:color w:val="auto"/>
        </w:rPr>
      </w:pPr>
      <w:r>
        <w:rPr>
          <w:rFonts w:ascii="Times New Roman" w:cs="Times New Roman" w:eastAsia="Times New Roman" w:hAnsi="Times New Roman"/>
          <w:sz w:val="18"/>
          <w:szCs w:val="18"/>
          <w:color w:val="auto"/>
        </w:rPr>
        <w:t>In 2020, our Board of Directors engaged a third party independent consultant to review its compensation policies relative to our peer group. Based on this review, in December 2020 our Board of Directors resolved to amend the cash retainers payable to our non-employee directors for their service in 2021 and later to the following:</w:t>
      </w:r>
    </w:p>
    <w:tbl>
      <w:tblPr>
        <w:tblLayout w:type="fixed"/>
        <w:tblInd w:w="0" w:type="dxa"/>
        <w:tblCellMar>
          <w:top w:w="0" w:type="dxa"/>
          <w:left w:w="0" w:type="dxa"/>
          <w:bottom w:w="0" w:type="dxa"/>
          <w:right w:w="0" w:type="dxa"/>
        </w:tblCellMar>
      </w:tblPr>
      <w:tr>
        <w:trPr>
          <w:trHeight w:val="300"/>
        </w:trPr>
        <w:tc>
          <w:tcPr>
            <w:tcW w:w="16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500" w:type="dxa"/>
            <w:vAlign w:val="bottom"/>
            <w:gridSpan w:val="4"/>
          </w:tcPr>
          <w:p>
            <w:pPr>
              <w:ind w:left="1060"/>
              <w:spacing w:after="0" w:line="30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Retainer </w:t>
            </w:r>
            <w:r>
              <w:rPr>
                <w:rFonts w:ascii="Times New Roman" w:cs="Times New Roman" w:eastAsia="Times New Roman" w:hAnsi="Times New Roman"/>
                <w:sz w:val="28"/>
                <w:szCs w:val="28"/>
                <w:b w:val="1"/>
                <w:bCs w:val="1"/>
                <w:color w:val="auto"/>
                <w:vertAlign w:val="subscript"/>
              </w:rPr>
              <w:t>​</w:t>
            </w:r>
          </w:p>
        </w:tc>
      </w:tr>
      <w:tr>
        <w:trPr>
          <w:trHeight w:val="20"/>
        </w:trPr>
        <w:tc>
          <w:tcPr>
            <w:tcW w:w="1620" w:type="dxa"/>
            <w:vAlign w:val="bottom"/>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23"/>
        </w:trPr>
        <w:tc>
          <w:tcPr>
            <w:tcW w:w="16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10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​​$40,000​</w:t>
            </w:r>
          </w:p>
        </w:tc>
        <w:tc>
          <w:tcPr>
            <w:tcW w:w="1620" w:type="dxa"/>
            <w:vAlign w:val="bottom"/>
          </w:tcPr>
          <w:p>
            <w:pPr>
              <w:spacing w:after="0"/>
              <w:rPr>
                <w:sz w:val="19"/>
                <w:szCs w:val="19"/>
                <w:color w:val="auto"/>
              </w:rPr>
            </w:pPr>
          </w:p>
        </w:tc>
      </w:tr>
      <w:tr>
        <w:trPr>
          <w:trHeight w:val="202"/>
        </w:trPr>
        <w:tc>
          <w:tcPr>
            <w:tcW w:w="16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Audit Committee Chair</w:t>
            </w:r>
          </w:p>
        </w:tc>
        <w:tc>
          <w:tcPr>
            <w:tcW w:w="1060" w:type="dxa"/>
            <w:vAlign w:val="bottom"/>
          </w:tcPr>
          <w:p>
            <w:pPr>
              <w:spacing w:after="0"/>
              <w:rPr>
                <w:sz w:val="17"/>
                <w:szCs w:val="17"/>
                <w:color w:val="auto"/>
              </w:rPr>
            </w:pPr>
          </w:p>
        </w:tc>
        <w:tc>
          <w:tcPr>
            <w:tcW w:w="8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 ​​$20,000​</w:t>
            </w:r>
          </w:p>
        </w:tc>
        <w:tc>
          <w:tcPr>
            <w:tcW w:w="162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​​$15,000​</w:t>
            </w:r>
          </w:p>
        </w:tc>
        <w:tc>
          <w:tcPr>
            <w:tcW w:w="1620" w:type="dxa"/>
            <w:vAlign w:val="bottom"/>
          </w:tcPr>
          <w:p>
            <w:pPr>
              <w:spacing w:after="0"/>
              <w:rPr>
                <w:sz w:val="18"/>
                <w:szCs w:val="18"/>
                <w:color w:val="auto"/>
              </w:rPr>
            </w:pPr>
          </w:p>
        </w:tc>
      </w:tr>
      <w:tr>
        <w:trPr>
          <w:trHeight w:val="216"/>
        </w:trPr>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1060" w:type="dxa"/>
            <w:vAlign w:val="bottom"/>
          </w:tcPr>
          <w:p>
            <w:pPr>
              <w:spacing w:after="0"/>
              <w:rPr>
                <w:sz w:val="18"/>
                <w:szCs w:val="18"/>
                <w:color w:val="auto"/>
              </w:rPr>
            </w:pPr>
          </w:p>
        </w:tc>
        <w:tc>
          <w:tcPr>
            <w:tcW w:w="2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​​$10,000​</w:t>
            </w:r>
          </w:p>
        </w:tc>
      </w:tr>
      <w:tr>
        <w:trPr>
          <w:trHeight w:val="216"/>
        </w:trPr>
        <w:tc>
          <w:tcPr>
            <w:tcW w:w="16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​​$10,000​</w:t>
            </w:r>
          </w:p>
        </w:tc>
        <w:tc>
          <w:tcPr>
            <w:tcW w:w="1620" w:type="dxa"/>
            <w:vAlign w:val="bottom"/>
          </w:tcPr>
          <w:p>
            <w:pPr>
              <w:spacing w:after="0"/>
              <w:rPr>
                <w:sz w:val="18"/>
                <w:szCs w:val="18"/>
                <w:color w:val="auto"/>
              </w:rPr>
            </w:pPr>
          </w:p>
        </w:tc>
      </w:tr>
      <w:tr>
        <w:trPr>
          <w:trHeight w:val="216"/>
        </w:trPr>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1060" w:type="dxa"/>
            <w:vAlign w:val="bottom"/>
          </w:tcPr>
          <w:p>
            <w:pPr>
              <w:spacing w:after="0"/>
              <w:rPr>
                <w:sz w:val="18"/>
                <w:szCs w:val="18"/>
                <w:color w:val="auto"/>
              </w:rPr>
            </w:pPr>
          </w:p>
        </w:tc>
        <w:tc>
          <w:tcPr>
            <w:tcW w:w="2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​​$ 7,500​</w:t>
            </w:r>
          </w:p>
        </w:tc>
      </w:tr>
      <w:tr>
        <w:trPr>
          <w:trHeight w:val="216"/>
        </w:trPr>
        <w:tc>
          <w:tcPr>
            <w:tcW w:w="16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1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​​$ 5,000​</w:t>
            </w:r>
          </w:p>
        </w:tc>
        <w:tc>
          <w:tcPr>
            <w:tcW w:w="1620" w:type="dxa"/>
            <w:vAlign w:val="bottom"/>
          </w:tcPr>
          <w:p>
            <w:pPr>
              <w:spacing w:after="0"/>
              <w:rPr>
                <w:sz w:val="18"/>
                <w:szCs w:val="18"/>
                <w:color w:val="auto"/>
              </w:rPr>
            </w:pPr>
          </w:p>
        </w:tc>
      </w:tr>
      <w:tr>
        <w:trPr>
          <w:trHeight w:val="608"/>
        </w:trPr>
        <w:tc>
          <w:tcPr>
            <w:tcW w:w="7220" w:type="dxa"/>
            <w:vAlign w:val="bottom"/>
            <w:gridSpan w:val="2"/>
          </w:tcPr>
          <w:p>
            <w:pPr>
              <w:jc w:val="right"/>
              <w:ind w:right="1693"/>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8"/>
        </w:trPr>
        <w:tc>
          <w:tcPr>
            <w:tcW w:w="16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-1619250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20" w:firstLine="360"/>
        <w:spacing w:after="0" w:line="254" w:lineRule="auto"/>
        <w:rPr>
          <w:sz w:val="20"/>
          <w:szCs w:val="20"/>
          <w:color w:val="auto"/>
        </w:rPr>
      </w:pPr>
      <w:r>
        <w:rPr>
          <w:rFonts w:ascii="Times New Roman" w:cs="Times New Roman" w:eastAsia="Times New Roman" w:hAnsi="Times New Roman"/>
          <w:sz w:val="18"/>
          <w:szCs w:val="18"/>
          <w:color w:val="auto"/>
        </w:rPr>
        <w:t>Stock option grants for non-employee directors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meeting of our Board of Directors held following our annual stockholders meeting in each year commencing in 2018 and vesting in equal monthly installments until the first anniversary of the date of grant. The vesting of the initial and annual stock option grants is subject to the non-employee director’s continued service on our Board of Directors.</w:t>
      </w:r>
    </w:p>
    <w:p>
      <w:pPr>
        <w:spacing w:after="0" w:line="124" w:lineRule="exact"/>
        <w:rPr>
          <w:sz w:val="20"/>
          <w:szCs w:val="20"/>
          <w:color w:val="auto"/>
        </w:rPr>
      </w:pPr>
    </w:p>
    <w:p>
      <w:pPr>
        <w:ind w:left="1260" w:right="136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paid to our non-employee directors during the fiscal year ended December 31, 2021.</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20" w:type="dxa"/>
            <w:vAlign w:val="bottom"/>
          </w:tcPr>
          <w:p>
            <w:pPr>
              <w:spacing w:after="0"/>
              <w:rPr>
                <w:sz w:val="14"/>
                <w:szCs w:val="14"/>
                <w:color w:val="auto"/>
              </w:rPr>
            </w:pPr>
          </w:p>
        </w:tc>
        <w:tc>
          <w:tcPr>
            <w:tcW w:w="1760" w:type="dxa"/>
            <w:vAlign w:val="bottom"/>
            <w:gridSpan w:val="4"/>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gridSpan w:val="7"/>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Paid in Cash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5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Wedell-Wedellsborg</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1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​$387,024 ​​ ​​$437,024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Dr. Gérard Ber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​$50,462</w:t>
            </w: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​$387,024 ​​ ​​$437,486​</w:t>
            </w:r>
          </w:p>
        </w:tc>
      </w:tr>
      <w:tr>
        <w:trPr>
          <w:trHeight w:val="25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Ashutosh Tyagi</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1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​$387,024 ​​ ​​$437,024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Dr. James I. Healy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​$65,000</w:t>
            </w: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​$387,024 ​​ ​​$452,024​</w:t>
            </w:r>
          </w:p>
        </w:tc>
      </w:tr>
      <w:tr>
        <w:trPr>
          <w:trHeight w:val="27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 Gill</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​$72,500</w:t>
            </w:r>
          </w:p>
        </w:tc>
        <w:tc>
          <w:tcPr>
            <w:tcW w:w="1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​$387,024 ​​ ​​$459,524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Laura J. Hamill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​$42,038</w:t>
            </w:r>
          </w:p>
        </w:tc>
        <w:tc>
          <w:tcPr>
            <w:tcW w:w="1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​$387,024 ​​ ​​$429,062​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-1019810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-1019810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-1019810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1380" w:hanging="360"/>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regulations this column reflects the aggregate grant date fair value of the option awards granted during fiscal 2021 computed in accordance with FASB ASC Topic 718. See the information appearing under the heading entitled “Stock-Based Compensation” in footnote 11 to our consolidated financial statements included as part of our Annual Report on Form 10-K for the year ended December 31, 2021 for certain assumptions made in the valuation of such stock options and restricted stock awards.</w:t>
      </w:r>
    </w:p>
    <w:p>
      <w:pPr>
        <w:spacing w:after="0" w:line="120" w:lineRule="exact"/>
        <w:rPr>
          <w:sz w:val="20"/>
          <w:szCs w:val="20"/>
          <w:color w:val="auto"/>
        </w:rPr>
      </w:pPr>
    </w:p>
    <w:p>
      <w:pPr>
        <w:ind w:left="1260" w:right="134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number of shares subject to outstanding stock options held by our non-employee directors as of December 31, 2021. As of December 31, 2021, there were no other option awards outstanding and held by our non-employee directors.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6"/>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Underlying Unexercised Options</w:t>
            </w:r>
          </w:p>
        </w:tc>
        <w:tc>
          <w:tcPr>
            <w:tcW w:w="80" w:type="dxa"/>
            <w:vAlign w:val="bottom"/>
          </w:tcPr>
          <w:p>
            <w:pPr>
              <w:spacing w:after="0"/>
              <w:rPr>
                <w:sz w:val="8"/>
                <w:szCs w:val="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80" w:type="dxa"/>
            <w:vAlign w:val="bottom"/>
            <w:tcBorders>
              <w:bottom w:val="single" w:sz="8" w:color="auto"/>
            </w:tcBorders>
            <w:gridSpan w:val="6"/>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vMerge w:val="continue"/>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line="20" w:lineRule="exact"/>
              <w:rPr>
                <w:sz w:val="1"/>
                <w:szCs w:val="1"/>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line="20" w:lineRule="exact"/>
              <w:rPr>
                <w:sz w:val="1"/>
                <w:szCs w:val="1"/>
                <w:color w:val="auto"/>
              </w:rPr>
            </w:pPr>
          </w:p>
        </w:tc>
        <w:tc>
          <w:tcPr>
            <w:tcW w:w="940" w:type="dxa"/>
            <w:vAlign w:val="bottom"/>
            <w:gridSpan w:val="2"/>
            <w:vMerge w:val="restart"/>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Exercisable(#)</w:t>
            </w:r>
          </w:p>
        </w:tc>
        <w:tc>
          <w:tcPr>
            <w:tcW w:w="20" w:type="dxa"/>
            <w:vAlign w:val="bottom"/>
          </w:tcPr>
          <w:p>
            <w:pPr>
              <w:spacing w:after="0" w:line="20" w:lineRule="exact"/>
              <w:rPr>
                <w:sz w:val="1"/>
                <w:szCs w:val="1"/>
                <w:color w:val="auto"/>
              </w:rPr>
            </w:pPr>
          </w:p>
        </w:tc>
        <w:tc>
          <w:tcPr>
            <w:tcW w:w="1480" w:type="dxa"/>
            <w:vAlign w:val="bottom"/>
            <w:gridSpan w:val="6"/>
            <w:vMerge w:val="restart"/>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Unexercisable(#) </w:t>
            </w:r>
            <w:r>
              <w:rPr>
                <w:rFonts w:ascii="Times New Roman" w:cs="Times New Roman" w:eastAsia="Times New Roman" w:hAnsi="Times New Roman"/>
                <w:sz w:val="27"/>
                <w:szCs w:val="27"/>
                <w:b w:val="1"/>
                <w:bCs w:val="1"/>
                <w:color w:val="auto"/>
                <w:vertAlign w:val="subscript"/>
              </w:rPr>
              <w:t>​ ​</w:t>
            </w:r>
          </w:p>
        </w:tc>
        <w:tc>
          <w:tcPr>
            <w:tcW w:w="8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260" w:type="dxa"/>
            <w:vAlign w:val="bottom"/>
          </w:tcPr>
          <w:p>
            <w:pPr>
              <w:spacing w:after="0"/>
              <w:rPr>
                <w:sz w:val="18"/>
                <w:szCs w:val="18"/>
                <w:color w:val="auto"/>
              </w:rPr>
            </w:pPr>
          </w:p>
        </w:tc>
        <w:tc>
          <w:tcPr>
            <w:tcW w:w="2880" w:type="dxa"/>
            <w:vAlign w:val="bottom"/>
            <w:vMerge w:val="continue"/>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6"/>
            <w:vMerge w:val="continue"/>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($/Sh)</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8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Wedell-Wedellsborg</w:t>
            </w:r>
          </w:p>
        </w:tc>
        <w:tc>
          <w:tcPr>
            <w:tcW w:w="16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ind w:left="2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top w:val="single" w:sz="8" w:color="auto"/>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​36,000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$ 4.38</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April 24,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​32,000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$11.16</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12, 2029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$21.45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June 24, 2030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$48.67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10, 2031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 8,000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 8,000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$37.53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 Gérard Ber</w:t>
            </w:r>
          </w:p>
        </w:tc>
        <w:tc>
          <w:tcPr>
            <w:tcW w:w="1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December 12,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​32,000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$21.97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12, 2029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$21.45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June 23, 2030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$48.67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10, 2031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 8,000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 8,000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$37.53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 Ashutosh Tyagi</w:t>
            </w:r>
          </w:p>
        </w:tc>
        <w:tc>
          <w:tcPr>
            <w:tcW w:w="1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June 12, 2029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$21.45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23, 2030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June 23, 2030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ind w:left="200"/>
              <w:spacing w:after="0" w:line="135" w:lineRule="exact"/>
              <w:rPr>
                <w:sz w:val="20"/>
                <w:szCs w:val="20"/>
                <w:color w:val="auto"/>
              </w:rPr>
            </w:pPr>
            <w:r>
              <w:rPr>
                <w:rFonts w:ascii="Times New Roman" w:cs="Times New Roman" w:eastAsia="Times New Roman" w:hAnsi="Times New Roman"/>
                <w:sz w:val="15"/>
                <w:szCs w:val="15"/>
                <w:color w:val="auto"/>
              </w:rPr>
              <w:t>​16,000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280"/>
              <w:spacing w:after="0" w:line="135"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$48.67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 ​</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10, 2031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5"/>
                <w:szCs w:val="15"/>
                <w:color w:val="auto"/>
              </w:rPr>
              <w:t>​ 8,000</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80"/>
              <w:spacing w:after="0" w:line="135" w:lineRule="exact"/>
              <w:rPr>
                <w:sz w:val="20"/>
                <w:szCs w:val="20"/>
                <w:color w:val="auto"/>
              </w:rPr>
            </w:pPr>
            <w:r>
              <w:rPr>
                <w:rFonts w:ascii="Times New Roman" w:cs="Times New Roman" w:eastAsia="Times New Roman" w:hAnsi="Times New Roman"/>
                <w:sz w:val="15"/>
                <w:szCs w:val="15"/>
                <w:color w:val="auto"/>
              </w:rPr>
              <w:t>​ 8,000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99"/>
              <w:spacing w:after="0" w:line="135" w:lineRule="exact"/>
              <w:rPr>
                <w:sz w:val="20"/>
                <w:szCs w:val="20"/>
                <w:color w:val="auto"/>
              </w:rPr>
            </w:pPr>
            <w:r>
              <w:rPr>
                <w:rFonts w:ascii="Times New Roman" w:cs="Times New Roman" w:eastAsia="Times New Roman" w:hAnsi="Times New Roman"/>
                <w:sz w:val="15"/>
                <w:szCs w:val="15"/>
                <w:color w:val="auto"/>
              </w:rPr>
              <w:t>$37.53</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42</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-2999740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-2999740</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-2999740</wp:posOffset>
            </wp:positionV>
            <wp:extent cx="137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-2999740</wp:posOffset>
            </wp:positionV>
            <wp:extent cx="137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5"/>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Underlying Unexercised Options</w:t>
            </w:r>
          </w:p>
        </w:tc>
        <w:tc>
          <w:tcPr>
            <w:tcW w:w="20" w:type="dxa"/>
            <w:vAlign w:val="bottom"/>
          </w:tcPr>
          <w:p>
            <w:pPr>
              <w:spacing w:after="0"/>
              <w:rPr>
                <w:sz w:val="8"/>
                <w:szCs w:val="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90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140" w:type="dxa"/>
            <w:vAlign w:val="bottom"/>
            <w:tcBorders>
              <w:bottom w:val="single" w:sz="8" w:color="auto"/>
            </w:tcBorders>
            <w:gridSpan w:val="5"/>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line="20" w:lineRule="exact"/>
              <w:rPr>
                <w:sz w:val="1"/>
                <w:szCs w:val="1"/>
                <w:color w:val="auto"/>
              </w:rPr>
            </w:pPr>
          </w:p>
        </w:tc>
        <w:tc>
          <w:tcPr>
            <w:tcW w:w="94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Exercisable(#)</w:t>
            </w:r>
          </w:p>
        </w:tc>
        <w:tc>
          <w:tcPr>
            <w:tcW w:w="20" w:type="dxa"/>
            <w:vAlign w:val="bottom"/>
          </w:tcPr>
          <w:p>
            <w:pPr>
              <w:spacing w:after="0" w:line="20" w:lineRule="exact"/>
              <w:rPr>
                <w:sz w:val="1"/>
                <w:szCs w:val="1"/>
                <w:color w:val="auto"/>
              </w:rPr>
            </w:pPr>
          </w:p>
        </w:tc>
        <w:tc>
          <w:tcPr>
            <w:tcW w:w="1240" w:type="dxa"/>
            <w:vAlign w:val="bottom"/>
            <w:gridSpan w:val="3"/>
            <w:vMerge w:val="restart"/>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Unexercisable(#)</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2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James I. Healy</w:t>
            </w:r>
          </w:p>
        </w:tc>
        <w:tc>
          <w:tcPr>
            <w:tcW w:w="1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ind w:left="200"/>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​14,222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bottom w:val="single" w:sz="8" w:color="CCEEFF"/>
            </w:tcBorders>
            <w:shd w:val="clear" w:color="auto" w:fill="CCEEFF"/>
          </w:tcPr>
          <w:p>
            <w:pPr>
              <w:ind w:left="260"/>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bottom w:val="single" w:sz="8" w:color="CCEEFF"/>
            </w:tcBorders>
            <w:shd w:val="clear" w:color="auto" w:fill="CCEEFF"/>
          </w:tcPr>
          <w:p>
            <w:pPr>
              <w:jc w:val="center"/>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$11.16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top w:val="single" w:sz="8" w:color="auto"/>
              <w:bottom w:val="single" w:sz="8" w:color="CCEEFF"/>
            </w:tcBorders>
            <w:shd w:val="clear" w:color="auto" w:fill="CCEEFF"/>
          </w:tcPr>
          <w:p>
            <w:pPr>
              <w:jc w:val="right"/>
              <w:spacing w:after="0" w:line="245" w:lineRule="exact"/>
              <w:rPr>
                <w:sz w:val="20"/>
                <w:szCs w:val="20"/>
                <w:color w:val="auto"/>
              </w:rPr>
            </w:pPr>
            <w:r>
              <w:rPr>
                <w:rFonts w:ascii="Times New Roman" w:cs="Times New Roman" w:eastAsia="Times New Roman" w:hAnsi="Times New Roman"/>
                <w:sz w:val="18"/>
                <w:szCs w:val="18"/>
                <w:color w:val="auto"/>
              </w:rPr>
              <w:t>April 24, 2028</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line="25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12, 2029</w:t>
            </w:r>
            <w:r>
              <w:rPr>
                <w:rFonts w:ascii="Times New Roman" w:cs="Times New Roman" w:eastAsia="Times New Roman" w:hAnsi="Times New Roman"/>
                <w:sz w:val="23"/>
                <w:szCs w:val="23"/>
                <w:color w:val="auto"/>
                <w:vertAlign w:val="superscript"/>
              </w:rPr>
              <w:t>(3)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​16,000</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CCEEFF"/>
            </w:tcBorders>
            <w:shd w:val="clear" w:color="auto" w:fill="CCEEFF"/>
          </w:tcPr>
          <w:p>
            <w:pPr>
              <w:ind w:left="26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CEEFF"/>
            </w:tcBorders>
            <w:shd w:val="clear" w:color="auto" w:fill="CCEEFF"/>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$48.67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23, 2030</w:t>
            </w:r>
            <w:r>
              <w:rPr>
                <w:rFonts w:ascii="Times New Roman" w:cs="Times New Roman" w:eastAsia="Times New Roman" w:hAnsi="Times New Roman"/>
                <w:sz w:val="23"/>
                <w:szCs w:val="23"/>
                <w:color w:val="auto"/>
                <w:vertAlign w:val="superscript"/>
              </w:rPr>
              <w:t>(3)</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73"/>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10, 2031</w:t>
            </w:r>
            <w:r>
              <w:rPr>
                <w:rFonts w:ascii="Times New Roman" w:cs="Times New Roman" w:eastAsia="Times New Roman" w:hAnsi="Times New Roman"/>
                <w:sz w:val="23"/>
                <w:szCs w:val="23"/>
                <w:color w:val="auto"/>
                <w:vertAlign w:val="superscript"/>
              </w:rPr>
              <w:t>(3)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4"/>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 Gill</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​24,000</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CCEEFF"/>
            </w:tcBorders>
            <w:shd w:val="clear" w:color="auto" w:fill="CCEEFF"/>
          </w:tcPr>
          <w:p>
            <w:pPr>
              <w:ind w:left="260"/>
              <w:spacing w:after="0" w:line="25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4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CEEFF"/>
            </w:tcBorders>
            <w:shd w:val="clear" w:color="auto" w:fill="CCEEFF"/>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$11.16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rPr>
              <w:t>April 24, 2028</w:t>
            </w:r>
            <w:r>
              <w:rPr>
                <w:rFonts w:ascii="Times New Roman" w:cs="Times New Roman" w:eastAsia="Times New Roman" w:hAnsi="Times New Roman"/>
                <w:sz w:val="23"/>
                <w:szCs w:val="23"/>
                <w:color w:val="auto"/>
                <w:vertAlign w:val="superscript"/>
              </w:rPr>
              <w:t>(2)</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6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4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12, 2029</w:t>
            </w:r>
            <w:r>
              <w:rPr>
                <w:rFonts w:ascii="Times New Roman" w:cs="Times New Roman" w:eastAsia="Times New Roman" w:hAnsi="Times New Roman"/>
                <w:sz w:val="23"/>
                <w:szCs w:val="23"/>
                <w:color w:val="auto"/>
                <w:vertAlign w:val="superscript"/>
              </w:rPr>
              <w:t>(3)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​16,000</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CCEEFF"/>
            </w:tcBorders>
            <w:shd w:val="clear" w:color="auto" w:fill="CCEEFF"/>
          </w:tcPr>
          <w:p>
            <w:pPr>
              <w:ind w:left="260"/>
              <w:spacing w:after="0" w:line="25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4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CEEFF"/>
            </w:tcBorders>
            <w:shd w:val="clear" w:color="auto" w:fill="CCEEFF"/>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$48.67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23, 2030</w:t>
            </w:r>
            <w:r>
              <w:rPr>
                <w:rFonts w:ascii="Times New Roman" w:cs="Times New Roman" w:eastAsia="Times New Roman" w:hAnsi="Times New Roman"/>
                <w:sz w:val="23"/>
                <w:szCs w:val="23"/>
                <w:color w:val="auto"/>
                <w:vertAlign w:val="superscript"/>
              </w:rPr>
              <w:t>(3)</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73"/>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10, 2031</w:t>
            </w:r>
            <w:r>
              <w:rPr>
                <w:rFonts w:ascii="Times New Roman" w:cs="Times New Roman" w:eastAsia="Times New Roman" w:hAnsi="Times New Roman"/>
                <w:sz w:val="23"/>
                <w:szCs w:val="23"/>
                <w:color w:val="auto"/>
                <w:vertAlign w:val="superscript"/>
              </w:rPr>
              <w:t>(3)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J. Hamill</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200"/>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​16,000</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CCEEFF"/>
            </w:tcBorders>
            <w:gridSpan w:val="2"/>
            <w:shd w:val="clear" w:color="auto" w:fill="CCEEFF"/>
          </w:tcPr>
          <w:p>
            <w:pPr>
              <w:jc w:val="right"/>
              <w:ind w:right="173"/>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​16,000</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bottom w:val="single" w:sz="8" w:color="CCEEFF"/>
            </w:tcBorders>
            <w:shd w:val="clear" w:color="auto" w:fill="CCEEFF"/>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$48.67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bottom w:val="single" w:sz="8" w:color="CCEEFF"/>
            </w:tcBorders>
            <w:shd w:val="clear" w:color="auto" w:fill="CCEEFF"/>
          </w:tcPr>
          <w:p>
            <w:pPr>
              <w:jc w:val="right"/>
              <w:spacing w:after="0" w:line="252" w:lineRule="exact"/>
              <w:rPr>
                <w:sz w:val="20"/>
                <w:szCs w:val="20"/>
                <w:color w:val="auto"/>
              </w:rPr>
            </w:pPr>
            <w:r>
              <w:rPr>
                <w:rFonts w:ascii="Times New Roman" w:cs="Times New Roman" w:eastAsia="Times New Roman" w:hAnsi="Times New Roman"/>
                <w:sz w:val="18"/>
                <w:szCs w:val="18"/>
                <w:color w:val="auto"/>
              </w:rPr>
              <w:t>June 23, 2030</w:t>
            </w:r>
            <w:r>
              <w:rPr>
                <w:rFonts w:ascii="Times New Roman" w:cs="Times New Roman" w:eastAsia="Times New Roman" w:hAnsi="Times New Roman"/>
                <w:sz w:val="23"/>
                <w:szCs w:val="23"/>
                <w:color w:val="auto"/>
                <w:vertAlign w:val="superscript"/>
              </w:rPr>
              <w:t>(2)</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73"/>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8,000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$37.53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10, 2031</w:t>
            </w:r>
            <w:r>
              <w:rPr>
                <w:rFonts w:ascii="Times New Roman" w:cs="Times New Roman" w:eastAsia="Times New Roman" w:hAnsi="Times New Roman"/>
                <w:sz w:val="23"/>
                <w:szCs w:val="23"/>
                <w:color w:val="auto"/>
                <w:vertAlign w:val="superscript"/>
              </w:rPr>
              <w:t>(3)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-1929765</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-1929765</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-1929765</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-1929765</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24130</wp:posOffset>
            </wp:positionV>
            <wp:extent cx="12344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2" w:lineRule="exact"/>
        <w:rPr>
          <w:sz w:val="20"/>
          <w:szCs w:val="20"/>
          <w:color w:val="auto"/>
        </w:rPr>
      </w:pPr>
    </w:p>
    <w:p>
      <w:pPr>
        <w:ind w:left="1620" w:right="439" w:hanging="360"/>
        <w:spacing w:after="0" w:line="263"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with one-third of the shares of common stock underlying each option vesting at grant, and the remaining two-thirds vesting one thirty-sixth each month over the three (3) years, subject to continued service through such dates and unless vesting is accelerated pursuant to the terms of the grant.</w:t>
      </w:r>
    </w:p>
    <w:p>
      <w:pPr>
        <w:spacing w:after="0" w:line="251" w:lineRule="exact"/>
        <w:rPr>
          <w:rFonts w:ascii="Times New Roman" w:cs="Times New Roman" w:eastAsia="Times New Roman" w:hAnsi="Times New Roman"/>
          <w:sz w:val="18"/>
          <w:szCs w:val="18"/>
          <w:color w:val="auto"/>
        </w:rPr>
      </w:pPr>
    </w:p>
    <w:p>
      <w:pPr>
        <w:ind w:left="1620" w:right="479" w:hanging="360"/>
        <w:spacing w:after="0" w:line="275"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in equal monthly installments until the third anniversary of the date of grant subject to continued service through such dates and unless vesting is accelerated pursuant to the terms of the grant.</w:t>
      </w:r>
    </w:p>
    <w:p>
      <w:pPr>
        <w:spacing w:after="0" w:line="254" w:lineRule="exact"/>
        <w:rPr>
          <w:rFonts w:ascii="Times New Roman" w:cs="Times New Roman" w:eastAsia="Times New Roman" w:hAnsi="Times New Roman"/>
          <w:sz w:val="18"/>
          <w:szCs w:val="18"/>
          <w:color w:val="auto"/>
        </w:rPr>
      </w:pPr>
    </w:p>
    <w:p>
      <w:pPr>
        <w:ind w:left="1620" w:right="539" w:hanging="360"/>
        <w:spacing w:after="0" w:line="275"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vest in equal monthly installments until the first anniversary of the date of grant subject to continued service through such dates and unless vesting is accelerated pursuant to the terms of the grant.</w:t>
      </w:r>
    </w:p>
    <w:p>
      <w:pPr>
        <w:spacing w:after="0" w:line="30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reimburse our non-employee directors for reasonable travel, food, lodging, and other out-of-pocket expenses incurred in connection with attending Board of Directors and committee meetings. The compensation that we pay to our named executive officers of whom one — Mr. Gad is an employee director, is discussed earlier in this “Executive and Director Compensation” section.</w:t>
      </w:r>
    </w:p>
    <w:p>
      <w:pPr>
        <w:spacing w:after="0" w:line="11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Except for fees and stock options, we do not provide our independent directors with any other form of compensation.</w:t>
      </w:r>
    </w:p>
    <w:p>
      <w:pPr>
        <w:spacing w:after="0" w:line="94"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Directors are also entitled to the protection provided by their indemnification agreements and the indemnification provisions in our amended and restated certificate of incorporation and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2021. As of December 31, 2021, we had three (3) equity compensation plans, each of which was approved by our stockholders: the 2015 Plan, the 2018 Plan, and our 2018 Employee Stock Purchase Plan (the “2018 ESPP”).</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to be issued upon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compensation plans</w:t>
            </w:r>
          </w:p>
        </w:tc>
        <w:tc>
          <w:tcPr>
            <w:tcW w:w="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exercise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outstanding</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4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 warrants</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c>
          <w:tcPr>
            <w:tcW w:w="40" w:type="dxa"/>
            <w:vAlign w:val="bottom"/>
          </w:tcPr>
          <w:p>
            <w:pPr>
              <w:spacing w:after="0"/>
              <w:rPr>
                <w:sz w:val="14"/>
                <w:szCs w:val="14"/>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warrants and rights </w:t>
            </w:r>
            <w:r>
              <w:rPr>
                <w:rFonts w:ascii="Times New Roman" w:cs="Times New Roman" w:eastAsia="Times New Roman" w:hAnsi="Times New Roman"/>
                <w:sz w:val="24"/>
                <w:szCs w:val="24"/>
                <w:b w:val="1"/>
                <w:bCs w:val="1"/>
                <w:color w:val="auto"/>
                <w:vertAlign w:val="subscript"/>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440" w:right="300" w:hanging="179"/>
        <w:spacing w:after="0" w:line="260"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6"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01"/>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​6,716,035</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​$22.43</w:t>
            </w:r>
            <w:r>
              <w:rPr>
                <w:rFonts w:ascii="Times New Roman" w:cs="Times New Roman" w:eastAsia="Times New Roman" w:hAnsi="Times New Roman"/>
                <w:sz w:val="23"/>
                <w:szCs w:val="23"/>
                <w:color w:val="auto"/>
                <w:vertAlign w:val="superscript"/>
              </w:rPr>
              <w:t>(2)</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​3,638,576</w:t>
            </w:r>
            <w:r>
              <w:rPr>
                <w:rFonts w:ascii="Times New Roman" w:cs="Times New Roman" w:eastAsia="Times New Roman" w:hAnsi="Times New Roman"/>
                <w:sz w:val="23"/>
                <w:szCs w:val="23"/>
                <w:color w:val="auto"/>
                <w:vertAlign w:val="superscript"/>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5"/>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​6,716,035</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​$22.43</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​3,638,576</w:t>
            </w:r>
            <w:r>
              <w:rPr>
                <w:rFonts w:ascii="Times New Roman" w:cs="Times New Roman" w:eastAsia="Times New Roman" w:hAnsi="Times New Roman"/>
                <w:sz w:val="23"/>
                <w:szCs w:val="23"/>
                <w:color w:val="auto"/>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-506095</wp:posOffset>
            </wp:positionV>
            <wp:extent cx="5212080" cy="300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100"/>
            <w:col w:w="4559"/>
          </w:cols>
          <w:pgMar w:left="580" w:top="97" w:right="1440" w:bottom="1440" w:gutter="0" w:footer="0" w:header="0"/>
          <w:type w:val="continuous"/>
        </w:sectPr>
      </w:pPr>
    </w:p>
    <w:p>
      <w:pPr>
        <w:spacing w:after="0" w:line="172" w:lineRule="exact"/>
        <w:rPr>
          <w:sz w:val="20"/>
          <w:szCs w:val="20"/>
          <w:color w:val="auto"/>
        </w:rPr>
      </w:pPr>
    </w:p>
    <w:p>
      <w:pPr>
        <w:ind w:left="1620" w:right="479" w:hanging="360"/>
        <w:spacing w:after="0" w:line="26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2,345,079 shares to be issued upon exercise of outstanding options under the 2015 Plan as of December 31, 2021, (ii) 4,342,049 shares to be issued upon exercise of outstanding options under the 2018 Plan as of December 31, 2021, and (iii) 28,907 shares to be issued upon vesting of outstanding restricted stock units under the 2018 Plan as of December 31, 2021.</w:t>
      </w:r>
    </w:p>
    <w:p>
      <w:pPr>
        <w:spacing w:after="0" w:line="112" w:lineRule="exact"/>
        <w:rPr>
          <w:rFonts w:ascii="Times New Roman" w:cs="Times New Roman" w:eastAsia="Times New Roman" w:hAnsi="Times New Roman"/>
          <w:sz w:val="18"/>
          <w:szCs w:val="18"/>
          <w:color w:val="auto"/>
        </w:rPr>
      </w:pPr>
    </w:p>
    <w:p>
      <w:pPr>
        <w:ind w:left="1620" w:right="1179" w:hanging="360"/>
        <w:spacing w:after="0" w:line="28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weighted average exercise price of the 6,687,128 stock options outstanding on December 31, 2021.</w:t>
      </w:r>
    </w:p>
    <w:p>
      <w:pPr>
        <w:spacing w:after="0" w:line="94"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2,938,576 shares that remained available for future issuance under the 2018 Plan as of December 31, 2021, and (ii) 700,000 shares that remained available for future issuance under the 2018 ESPP as of December 31, 2021. No shares remained available for future issuance under the 2015 Plan as of December 31, 2021.</w:t>
      </w:r>
    </w:p>
    <w:p>
      <w:pPr>
        <w:spacing w:after="0" w:line="98"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Plan has an evergreen provision that allows for an annual increase in the number of shares available for issuance under the 2018 Plan to be added on the first day of each fiscal year, beginning with the fiscal year ending December 31, 2019 and continuing for each fiscal year until, and including, the fiscal year ending December 31, 2028, equal to the lesser of (A) 4.0% of the shares of stock outstanding (on an as converted basis) on the last day of the immediately preceding fiscal year and</w:t>
      </w:r>
    </w:p>
    <w:p>
      <w:pPr>
        <w:spacing w:after="0" w:line="3" w:lineRule="exact"/>
        <w:rPr>
          <w:rFonts w:ascii="Times New Roman" w:cs="Times New Roman" w:eastAsia="Times New Roman" w:hAnsi="Times New Roman"/>
          <w:sz w:val="18"/>
          <w:szCs w:val="18"/>
          <w:color w:val="auto"/>
        </w:rPr>
      </w:pPr>
    </w:p>
    <w:p>
      <w:pPr>
        <w:ind w:left="1620" w:right="5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smaller number of shares of stock as determined by our board of directors. On January 1, 2021, 1,627,538 additional shares were reserved for issuance under the 2018 Plan pursuant to this provision. The 2018 ESPP has an evergreen provision that allows for an annual increase in the number of shares available for issuance under the 2018 ESPP to be added on the first day of each fiscal year, beginning on January 1, 2019 and ending on December 31, 2038, in an amount equal to the lesser of</w:t>
      </w:r>
    </w:p>
    <w:p>
      <w:pPr>
        <w:spacing w:after="0" w:line="1" w:lineRule="exact"/>
        <w:rPr>
          <w:rFonts w:ascii="Times New Roman" w:cs="Times New Roman" w:eastAsia="Times New Roman" w:hAnsi="Times New Roman"/>
          <w:sz w:val="18"/>
          <w:szCs w:val="18"/>
          <w:color w:val="auto"/>
        </w:rPr>
      </w:pPr>
    </w:p>
    <w:p>
      <w:pPr>
        <w:ind w:left="1620" w:right="5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1,000,000 shares of our common stock, (ii) 1% of the total number of shares of our common stock outstanding on the last day of the immediately preceding fiscal year, or (iii) such lesser number of shares as determined by the administrator. On January 1, 2021, no additional shares were reserved for issuance under the 2018 ESPP pursuant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Based on such review and discussions, the Compensation Committee recommended to our Board of Directors that such section be included in this Proxy Statement and incorporated by reference in our Annual Report on Form 10-K for the year ended December 31, 2021, which was filed with the SEC on March 1, 2022.</w:t>
      </w:r>
    </w:p>
    <w:p>
      <w:pPr>
        <w:spacing w:after="0" w:line="1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Laura J. Hamill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N. Gill</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Gérard Ber</w:t>
      </w:r>
    </w:p>
    <w:p>
      <w:pPr>
        <w:spacing w:after="0" w:line="18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AUDIT COMMITTEE REPORT</w:t>
      </w:r>
      <w:r>
        <w:rPr>
          <w:rFonts w:ascii="Times New Roman" w:cs="Times New Roman" w:eastAsia="Times New Roman" w:hAnsi="Times New Roman"/>
          <w:sz w:val="26"/>
          <w:szCs w:val="26"/>
          <w:b w:val="1"/>
          <w:bCs w:val="1"/>
          <w:color w:val="auto"/>
          <w:vertAlign w:val="superscript"/>
        </w:rPr>
        <w:t>(1)</w:t>
      </w:r>
    </w:p>
    <w:p>
      <w:pPr>
        <w:spacing w:after="0" w:line="10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our Board of Directors. Management is responsible for our financial statements and the financial reporting process, including the system of internal controls. The independent auditors are responsible for expressing an opinion on the conformity of those audited financial statements with generally accepted accounting principles. In fulfilling its oversight responsibilities, the Audit Committee has reviewed and discussed with management and the independent auditors the audited financial statements that have been included in our most recent Annual Report on Form 10-K.</w:t>
      </w:r>
    </w:p>
    <w:p>
      <w:pPr>
        <w:spacing w:after="0" w:line="121"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has discussed with the independent auditors the matters required to be discussed by the applicable requirements of the Public Company Accounting Oversight Board (the “PCAOB”) and the SEC. In addition, the Audit Committee has received from the independent auditors the written disclosures and the letter required by applicable requirements of the PCAOB regarding the independent auditors’ communications with the Audit Committee concerning independence, and discussed with the auditors their independence.</w:t>
      </w:r>
    </w:p>
    <w:p>
      <w:pPr>
        <w:spacing w:after="0" w:line="323"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In addition, the Audit Committee has regularly met separately with management and with the independent auditors, and further to the matters specified above, has discussed with the independent auditors the overall scope, plans, and estimated costs of their audit.</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Based on the foregoing, the Audit Committee recommended to our Board of Directors, and our Board of Directors approved, the inclusion of the audited financial statements in our most recent Annual Report on Form 10-K for filing with the SEC. The Audit Committee has also recommended the selection of the Company’s independent auditors for the fiscal year ending December 31, 2022.</w:t>
      </w:r>
    </w:p>
    <w:p>
      <w:pPr>
        <w:spacing w:after="0" w:line="1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N. Gill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James I. Healy, M.D.</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597535</wp:posOffset>
            </wp:positionV>
            <wp:extent cx="12344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20" w:right="799" w:hanging="360"/>
        <w:spacing w:after="0" w:line="261"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audit committee report shall not be deemed to be (1) “soliciting material,” (2)​ “filed” with the SEC, (3) subject to Regulations 14A or 14C of the Exchange Act, or</w:t>
      </w:r>
    </w:p>
    <w:p>
      <w:pPr>
        <w:ind w:left="16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subject to the liabilities of Section 18 of the Exchange Act. 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filed under either the Securities Act or the Exchange Act</w:t>
      </w:r>
      <w:r>
        <w:rPr>
          <w:rFonts w:ascii="Times New Roman" w:cs="Times New Roman" w:eastAsia="Times New Roman" w:hAnsi="Times New Roman"/>
          <w:sz w:val="18"/>
          <w:szCs w:val="18"/>
          <w:b w:val="1"/>
          <w:bCs w:val="1"/>
          <w:color w:val="auto"/>
        </w:rPr>
        <w:t>.</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PROPOSALS TO BE VOTED UPON AT THE ANNUAL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Election of Two (2) Class I Directors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This means our Board of Directors is divided into three (3) classes, with each class having as nearly as possible an equal number of directors. The term of service of each class of directors is staggered so that the term of one (1) class expires at each annual meeting of the stockholders.</w:t>
      </w:r>
    </w:p>
    <w:p>
      <w:pPr>
        <w:spacing w:after="0" w:line="110"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seven (7) members, divided into three (3) classes as follows:</w:t>
      </w:r>
    </w:p>
    <w:p>
      <w:pPr>
        <w:spacing w:after="0" w:line="54" w:lineRule="exact"/>
        <w:rPr>
          <w:sz w:val="20"/>
          <w:szCs w:val="20"/>
          <w:color w:val="auto"/>
        </w:rPr>
      </w:pPr>
    </w:p>
    <w:p>
      <w:pPr>
        <w:ind w:left="1800" w:right="67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is currently comprised of Dr. Gérard Ber and David. N. Gill each with a term ending at the Annual Meeting;</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is currently comprised of James I. Healy, M.D., Ashutosh Tyagi, M.D. and Ms. Laura J. Hamill each with a term ending at the 2023 annual meeting of stockholders; and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is currently comprised of Thomas Gad and Johan Wedell-Wedellsborg, each with a term ending at the 2024 annual meeting of stockholders.</w:t>
      </w:r>
    </w:p>
    <w:p>
      <w:pPr>
        <w:spacing w:after="0" w:line="9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on the recommendation of our Nominating and Corporate Governance Committee, has nominated Dr. Gérard Ber and David. N. Gill for election as Class I directors at the Annual Meeting, each with a three (3) year term to expire at the 2025 annual meeting of stockholders.</w:t>
      </w:r>
    </w:p>
    <w:p>
      <w:pPr>
        <w:spacing w:after="0" w:line="104" w:lineRule="exact"/>
        <w:rPr>
          <w:sz w:val="20"/>
          <w:szCs w:val="20"/>
          <w:color w:val="auto"/>
        </w:rPr>
      </w:pPr>
    </w:p>
    <w:p>
      <w:pPr>
        <w:ind w:left="1260" w:right="699" w:firstLine="360"/>
        <w:spacing w:after="0" w:line="262" w:lineRule="auto"/>
        <w:rPr>
          <w:sz w:val="20"/>
          <w:szCs w:val="20"/>
          <w:color w:val="auto"/>
        </w:rPr>
      </w:pPr>
      <w:r>
        <w:rPr>
          <w:rFonts w:ascii="Times New Roman" w:cs="Times New Roman" w:eastAsia="Times New Roman" w:hAnsi="Times New Roman"/>
          <w:sz w:val="18"/>
          <w:szCs w:val="18"/>
          <w:color w:val="auto"/>
        </w:rPr>
        <w:t>Unless otherwise instructed in the proxy, all proxies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Class I nominees identified above to a three (3) year term to expire at the 2025 annual meeting of stockholders, each such nominee to hold office until his successor has been duly elected and qualified or until his or her earlier death, resignation or removal.</w:t>
      </w:r>
    </w:p>
    <w:p>
      <w:pPr>
        <w:spacing w:after="0" w:line="99" w:lineRule="exact"/>
        <w:rPr>
          <w:sz w:val="20"/>
          <w:szCs w:val="20"/>
          <w:color w:val="auto"/>
        </w:rPr>
      </w:pPr>
    </w:p>
    <w:p>
      <w:pPr>
        <w:jc w:val="both"/>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Each of the nominees has indicated his willingness to serve as a director, if elected. In the event that any nominee should be unable to serve, discretionary authority is reserved for the named proxy holders to vote for a substitute, or to reduce the number of directors to be elected, or both. We do not expect that any of the nominees will be unable to serve if elected.</w:t>
      </w:r>
    </w:p>
    <w:p>
      <w:pPr>
        <w:spacing w:after="0" w:line="11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A plurality of the combined voting power of the shares of common stock present in person or represented by proxy at the Annual Meeting and entitled to vote is required to elect each nominee as a director.</w:t>
      </w:r>
    </w:p>
    <w:p>
      <w:pPr>
        <w:spacing w:after="0" w:line="104" w:lineRule="exact"/>
        <w:rPr>
          <w:sz w:val="20"/>
          <w:szCs w:val="20"/>
          <w:color w:val="auto"/>
        </w:rPr>
      </w:pPr>
    </w:p>
    <w:p>
      <w:pPr>
        <w:jc w:val="center"/>
        <w:ind w:left="1660" w:right="180"/>
        <w:spacing w:after="0" w:line="317"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STOCKHOLDERS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color w:val="auto"/>
        </w:rPr>
        <w:t>” THE ELECTION OF DR. GÉRARD BER AND DAVID N. GILL, EACH TO SERVE AS CLASS I DIRECTORS.</w:t>
      </w:r>
    </w:p>
    <w:p>
      <w:pPr>
        <w:spacing w:after="0" w:line="1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 has appointed the firm of PricewaterhouseCoopers LLP (“PwC”), an independent registered public accounting firm, as independent auditors for the fiscal year ending December 31, 2022. Although stockholder approval of our Audit Committee’s appointment of PwC is not required by law, our Board of Directors believes that it is advisable to give stockholders an opportunity to ratify this appointment. If this proposal is not approved at the Annual Meeting, our Audit Committee will reconsider its appointment of PwC. PwC has no direct or indirect material financial interest in our Company or our subsidiaries. Representatives of PwC are expected to be present at the Annual Meeting and will have the opportunity to make a statement, if they desire to do so, and will be available to respond to appropriate questions from our stockholders.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Fees and Services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sets forth fees billed for professional audit services and other services rendered to us by PwC for the fiscal years ended December 31, 2020 and 2021. All such services and fees were pre-approved by our Audit Committee in accordance with the “Pre-Approval Policies and Procedures” described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r>
      <w:tr>
        <w:trPr>
          <w:trHeight w:val="20"/>
        </w:trPr>
        <w:tc>
          <w:tcPr>
            <w:tcW w:w="5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955,000​​ ​​$909,000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22,000​​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49,460​​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6,650​​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5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9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​​$1,033,110​​ ​​$913,800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-890905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-890905</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579" w:hanging="360"/>
        <w:spacing w:after="0" w:line="255"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performed by PwC, our independent registered public accounting firm, for the audit of our annual financial statements, including attestation services required under Section 404 of the Sarbaness-Oxley Act of 2002, the review of interim financial statements, audits that are normally provided by PwC in connection with statutory and regulatory filings and services that are normally provided in connection with registration statements. Included in the 2021 audit fees is $125,000 of fees billed in connection with our secondary public offering which closed in February 2021.</w:t>
      </w:r>
    </w:p>
    <w:p>
      <w:pPr>
        <w:spacing w:after="0" w:line="26" w:lineRule="exact"/>
        <w:rPr>
          <w:rFonts w:ascii="Times New Roman" w:cs="Times New Roman" w:eastAsia="Times New Roman" w:hAnsi="Times New Roman"/>
          <w:sz w:val="18"/>
          <w:szCs w:val="18"/>
          <w:color w:val="auto"/>
        </w:rPr>
      </w:pPr>
    </w:p>
    <w:p>
      <w:pPr>
        <w:ind w:left="1620" w:right="419" w:hanging="360"/>
        <w:spacing w:after="0" w:line="257"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may consist of fees for professional services performed by our independent registered public accounting firm for assurance and related services that are reasonably related to the performance of the audit or review of our consolidated financial statements. For the year-ended December 31, 2021, the audit-related services primarily relate to pre-implementation review procedures associated with a planned system implementation. There were no audit-related fees incurred in fiscal 2020.</w:t>
      </w:r>
    </w:p>
    <w:p>
      <w:pPr>
        <w:spacing w:after="0" w:line="241" w:lineRule="exact"/>
        <w:rPr>
          <w:rFonts w:ascii="Times New Roman" w:cs="Times New Roman" w:eastAsia="Times New Roman" w:hAnsi="Times New Roman"/>
          <w:sz w:val="18"/>
          <w:szCs w:val="18"/>
          <w:color w:val="auto"/>
        </w:rPr>
      </w:pPr>
    </w:p>
    <w:p>
      <w:pPr>
        <w:ind w:left="1620" w:right="739" w:hanging="360"/>
        <w:spacing w:after="0" w:line="28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performed by our independent registered public accounting firm, including tax compliance and certain transfer pricing related services.</w:t>
      </w:r>
    </w:p>
    <w:p>
      <w:pPr>
        <w:spacing w:after="0" w:line="1"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fees for professional services that are appropriately not included in the Audit, Audit-Related, and Tax categories and relate to amounts paid for permissible products and services.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our Audit Committee for each engagement of the independent registered public accounting firm to perform other audit-related or other non-audit services. Our Audit Committee does not delegate its responsibility to approve services performed by the independent registered public accounting firm to any member of management.</w:t>
      </w:r>
    </w:p>
    <w:p>
      <w:pPr>
        <w:spacing w:after="0" w:line="11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standard applied by our Audit Committee, or the Chair of our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12" w:lineRule="exact"/>
        <w:rPr>
          <w:sz w:val="20"/>
          <w:szCs w:val="20"/>
          <w:color w:val="auto"/>
        </w:rPr>
      </w:pPr>
    </w:p>
    <w:p>
      <w:pPr>
        <w:ind w:left="1260" w:right="9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color w:val="auto"/>
        </w:rPr>
        <w:t>” THE RATIFICATION OF THE APPOINTMENT OF PRICEWATERHOUSECOOPERS LLP AS OUR INDEPENDENT REGISTERED PUBLIC ACCOUNTING FIRM FOR THE FISCAL YEAR ENDING DECEMBER 31, 2022.</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 non-binding advisory vote on the compensation of the Company’s named executive officers as disclosed in these proxy materials</w:t>
      </w:r>
    </w:p>
    <w:p>
      <w:pPr>
        <w:spacing w:after="0" w:line="9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rules of the SEC, the Company is required to provide its stockholders with the opportunity to cast an advisory vote on the executive compensation program for the Company’s named executive officers (frequently referred to as a “say-on-pay” vote).</w:t>
      </w:r>
    </w:p>
    <w:p>
      <w:pPr>
        <w:spacing w:after="0" w:line="108"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At the Company’s annual meeting of stockholders held in 2021, our stockholders voted on an advisory basis for the Company to conduct the say-on pay vote once every year. The Board believes that current best corporate practices and governance trends favor an annual advisory vote as this gives stockholders the opportunity to react promptly to emerging trends in compensation, and give the Board of Directors and the Compensation Committee the opportunity to evaluate compensation decisions in light of yearly feedback from stockholders. The Board of Directors, therefore, has decided to conduct the advisory say-on-pay vote once every year.</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Company’s executive compensation program is intended to attract, motivate and reward the executive talent required to achieve our corporate objectives and increase stockholder value. We believe that our executive compensation program is both competitive and focused on pay for performance principles, and provides an appropriate balance between risk and rewards.</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described in the Compensation Discussion and Analysis (“CD&amp;A”), related compensation tables and other narrative executive compensation disclosures required by the disclosure rules of the SEC, all of which are found in this Proxy Statement.</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In particular, the CD&amp;A, beginning on page 23 of this Proxy Statement, describes the Company’s executive compensation program in detail, and we encourage you to review it. Since the vote on this proposal is advisory, it is not binding on the Company. Nonetheless, the Compensation Committee, which is responsible for approving the overall design and administering certain aspects of the executive compensation program, will take into account the outcome of the vote when making future executive compensation decisions.</w:t>
      </w:r>
    </w:p>
    <w:p>
      <w:pPr>
        <w:spacing w:after="0" w:line="323"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Our Board of Directors recommends that you approve the following resolution that will be submitted for a stockholder vote at the 2022 Annual Meeting in support of the Company’s executive compensation program:</w:t>
      </w:r>
    </w:p>
    <w:p>
      <w:pPr>
        <w:spacing w:after="0" w:line="318"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stockholders of the Company approve, on an advisory basis,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 for the Company’s named executive officers as disclosed pursuant to the rules of the SEC, including the Compensation Discussion and Analysis, compensation tables and other narrative executive compensation disclosures included in the Proxy Statement for this Annual Meeting.</w:t>
      </w:r>
    </w:p>
    <w:p>
      <w:pPr>
        <w:spacing w:after="0" w:line="109"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APPROVAL ON AN ADVISORY BASIS, OF THE EXECUTIVE COMPENSATION PROGRAM FOR THE COMPANY’S NAMED EXECUTIVE OFFICERS AS DISCLOSED PURSUANT TO THE RULES OF THE SEC, INCLUDING THE COMPENSATION DISCUSSION AND ANALYSIS, COMPENSATION TABLES AND OTHER NARRATIVE EXECUTIVE COMPENSATION DISCLOSURES INCLUDED IN THE PROXY STATEMENT FOR THIS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STOCK OWNERSHIP AND REPORTING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1820" w:firstLine="360"/>
        <w:spacing w:after="0" w:line="282" w:lineRule="auto"/>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common stock as of April 1, 2022 by:</w:t>
      </w:r>
    </w:p>
    <w:p>
      <w:pPr>
        <w:spacing w:after="0" w:line="54" w:lineRule="exact"/>
        <w:rPr>
          <w:sz w:val="20"/>
          <w:szCs w:val="20"/>
          <w:color w:val="auto"/>
        </w:rPr>
      </w:pPr>
    </w:p>
    <w:p>
      <w:pPr>
        <w:ind w:left="1800" w:right="1360"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5% or more of the outstanding shares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 as of the date of this Proxy Statement;</w:t>
      </w:r>
    </w:p>
    <w:p>
      <w:pPr>
        <w:spacing w:after="0" w:line="117" w:lineRule="exact"/>
        <w:rPr>
          <w:rFonts w:ascii="Times New Roman" w:cs="Times New Roman" w:eastAsia="Times New Roman" w:hAnsi="Times New Roman"/>
          <w:sz w:val="18"/>
          <w:szCs w:val="18"/>
          <w:color w:val="auto"/>
        </w:rPr>
      </w:pPr>
    </w:p>
    <w:p>
      <w:pPr>
        <w:ind w:left="1800" w:right="1460"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as of the date of this Proxy Statement who served during the year ended December 31, 2021, named in the Summary Compensation table herein, whom, collectively, we refer to as our named executive officers;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of the date of this Proxy Statement as a group.</w:t>
      </w:r>
    </w:p>
    <w:p>
      <w:pPr>
        <w:spacing w:after="0" w:line="158" w:lineRule="exact"/>
        <w:rPr>
          <w:sz w:val="20"/>
          <w:szCs w:val="20"/>
          <w:color w:val="auto"/>
        </w:rPr>
      </w:pPr>
    </w:p>
    <w:p>
      <w:pPr>
        <w:ind w:left="1260" w:right="1340"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Percentage of beneficial ownership is based on 43,714,891 shares of our common stock outstanding as of April 1, 2022. In addition, shares of common stock subject to options or other rights currently exercisable, or exercisable within sixty (60) days of April 1, 2022, are deemed outstanding and beneficially owned for the purpose of computing</w:t>
      </w:r>
    </w:p>
    <w:p>
      <w:pPr>
        <w:spacing w:after="0" w:line="3" w:lineRule="exact"/>
        <w:rPr>
          <w:sz w:val="20"/>
          <w:szCs w:val="20"/>
          <w:color w:val="auto"/>
        </w:rPr>
      </w:pPr>
    </w:p>
    <w:p>
      <w:pPr>
        <w:ind w:left="1260" w:right="1280"/>
        <w:spacing w:after="0" w:line="252" w:lineRule="auto"/>
        <w:rPr>
          <w:sz w:val="20"/>
          <w:szCs w:val="20"/>
          <w:color w:val="auto"/>
        </w:rPr>
      </w:pPr>
      <w:r>
        <w:rPr>
          <w:rFonts w:ascii="Times New Roman" w:cs="Times New Roman" w:eastAsia="Times New Roman" w:hAnsi="Times New Roman"/>
          <w:sz w:val="18"/>
          <w:szCs w:val="18"/>
          <w:color w:val="auto"/>
        </w:rPr>
        <w:t>the percentage beneficially owned by (i) the individual holding such options, warrants or other rights (but not any other individual) and (ii) the directors and executive officers as a group.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Y-mAbs Therapeutics, Inc., 230 Park Avenue, Suite 3350, New York, New York 10169.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9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12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60" w:type="dxa"/>
            <w:vAlign w:val="bottom"/>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26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WG Biotech ApS</w:t>
            </w:r>
            <w:r>
              <w:rPr>
                <w:rFonts w:ascii="Times New Roman" w:cs="Times New Roman" w:eastAsia="Times New Roman" w:hAnsi="Times New Roman"/>
                <w:sz w:val="23"/>
                <w:szCs w:val="23"/>
                <w:color w:val="auto"/>
                <w:vertAlign w:val="superscript"/>
              </w:rPr>
              <w:t>(1)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4,178,465​​ ​</w:t>
            </w:r>
          </w:p>
        </w:tc>
        <w:tc>
          <w:tcPr>
            <w:tcW w:w="198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9.56%</w:t>
            </w:r>
            <w:r>
              <w:rPr>
                <w:rFonts w:ascii="Times New Roman" w:cs="Times New Roman" w:eastAsia="Times New Roman" w:hAnsi="Times New Roman"/>
                <w:sz w:val="18"/>
                <w:szCs w:val="18"/>
                <w:b w:val="1"/>
                <w:bCs w:val="1"/>
                <w:color w:val="auto"/>
              </w:rPr>
              <w:t xml:space="preserve"> ​</w:t>
            </w:r>
          </w:p>
        </w:tc>
      </w:tr>
      <w:tr>
        <w:trPr>
          <w:trHeight w:val="257"/>
        </w:trPr>
        <w:tc>
          <w:tcPr>
            <w:tcW w:w="1260" w:type="dxa"/>
            <w:vAlign w:val="bottom"/>
          </w:tcPr>
          <w:p>
            <w:pPr>
              <w:spacing w:after="0"/>
              <w:rPr>
                <w:sz w:val="22"/>
                <w:szCs w:val="22"/>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Rungsted Strandvej 113</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DK 2960</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Rungsted Kyst, Denmark</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Attn: Johan Wedell-Wedellsborg</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260" w:type="dxa"/>
            <w:vAlign w:val="bottom"/>
          </w:tcPr>
          <w:p>
            <w:pPr>
              <w:spacing w:after="0"/>
              <w:rPr>
                <w:sz w:val="24"/>
                <w:szCs w:val="2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HBM Healthcare Investments (Cayman) Limited</w:t>
            </w:r>
            <w:r>
              <w:rPr>
                <w:rFonts w:ascii="Times New Roman" w:cs="Times New Roman" w:eastAsia="Times New Roman" w:hAnsi="Times New Roman"/>
                <w:sz w:val="23"/>
                <w:szCs w:val="23"/>
                <w:color w:val="auto"/>
                <w:vertAlign w:val="superscript"/>
              </w:rPr>
              <w:t>(2)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3,090,954​​ ​</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7.07%</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Governors Square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 Lime Tree Bay Avenue</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 Box 30852</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Grand Cayman, Cayman Islands</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6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2,767,360​​ ​</w:t>
            </w:r>
          </w:p>
        </w:tc>
        <w:tc>
          <w:tcPr>
            <w:tcW w:w="1980" w:type="dxa"/>
            <w:vAlign w:val="bottom"/>
            <w:gridSpan w:val="3"/>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6.33%</w:t>
            </w:r>
            <w:r>
              <w:rPr>
                <w:rFonts w:ascii="Times New Roman" w:cs="Times New Roman" w:eastAsia="Times New Roman" w:hAnsi="Times New Roman"/>
                <w:sz w:val="18"/>
                <w:szCs w:val="18"/>
                <w:b w:val="1"/>
                <w:bCs w:val="1"/>
                <w:color w:val="auto"/>
              </w:rPr>
              <w:t xml:space="preserve"> ​</w:t>
            </w:r>
          </w:p>
        </w:tc>
      </w:tr>
      <w:tr>
        <w:trPr>
          <w:trHeight w:val="257"/>
        </w:trPr>
        <w:tc>
          <w:tcPr>
            <w:tcW w:w="1260" w:type="dxa"/>
            <w:vAlign w:val="bottom"/>
          </w:tcPr>
          <w:p>
            <w:pPr>
              <w:spacing w:after="0"/>
              <w:rPr>
                <w:sz w:val="22"/>
                <w:szCs w:val="22"/>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 East 52nd Street</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NY 10055</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1260" w:type="dxa"/>
            <w:vAlign w:val="bottom"/>
          </w:tcPr>
          <w:p>
            <w:pPr>
              <w:spacing w:after="0"/>
              <w:rPr>
                <w:sz w:val="24"/>
                <w:szCs w:val="2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Sofinnova Venture Partners X, L.P.</w:t>
            </w:r>
            <w:r>
              <w:rPr>
                <w:rFonts w:ascii="Times New Roman" w:cs="Times New Roman" w:eastAsia="Times New Roman" w:hAnsi="Times New Roman"/>
                <w:sz w:val="23"/>
                <w:szCs w:val="23"/>
                <w:color w:val="auto"/>
                <w:vertAlign w:val="superscript"/>
              </w:rPr>
              <w:t>(4)</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2,194,278​​ ​</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5.02%</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3000 Sand Hill Road</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Building 4-Suite 250</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Menlo Park, CA 94025</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Attn: Hooman Shahlavi, Partner &amp; General Counsel</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8"/>
        </w:trPr>
        <w:tc>
          <w:tcPr>
            <w:tcW w:w="1260" w:type="dxa"/>
            <w:vAlign w:val="bottom"/>
          </w:tcPr>
          <w:p>
            <w:pPr>
              <w:spacing w:after="0"/>
              <w:rPr>
                <w:sz w:val="24"/>
                <w:szCs w:val="24"/>
                <w:color w:val="auto"/>
              </w:rPr>
            </w:pPr>
          </w:p>
        </w:tc>
        <w:tc>
          <w:tcPr>
            <w:tcW w:w="630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-3865245</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-3865245</wp:posOffset>
            </wp:positionV>
            <wp:extent cx="137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Owned   </w:t>
            </w:r>
            <w:r>
              <w:rPr>
                <w:rFonts w:ascii="Times New Roman" w:cs="Times New Roman" w:eastAsia="Times New Roman" w:hAnsi="Times New Roman"/>
                <w:sz w:val="24"/>
                <w:szCs w:val="24"/>
                <w:b w:val="1"/>
                <w:bCs w:val="1"/>
                <w:color w:val="auto"/>
                <w:vertAlign w:val="subscript"/>
              </w:rPr>
              <w:t>​ ​</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6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8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Gad</w:t>
            </w:r>
            <w:r>
              <w:rPr>
                <w:rFonts w:ascii="Times New Roman" w:cs="Times New Roman" w:eastAsia="Times New Roman" w:hAnsi="Times New Roman"/>
                <w:sz w:val="23"/>
                <w:szCs w:val="23"/>
                <w:color w:val="auto"/>
                <w:vertAlign w:val="superscript"/>
              </w:rPr>
              <w:t>(5)</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​​1,326,077​​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 Kruse</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896,357​​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Steen Lisby</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76,250​​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 Vignesh Rajah</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Johan Wedell-Wedellsborg</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​​4,293,132​​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Laura Hamill</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35,111​​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Gérard Ber</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78,667​​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 James I. Healy</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​​2,272,945​​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Dr. Ashutosh Tyagi</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67,111​​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David N. Gill</w:t>
            </w: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70,667​​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300" w:type="dxa"/>
            <w:vAlign w:val="bottom"/>
          </w:tcPr>
          <w:p>
            <w:pPr>
              <w:ind w:left="360"/>
              <w:spacing w:after="0" w:line="198" w:lineRule="exact"/>
              <w:rPr>
                <w:sz w:val="20"/>
                <w:szCs w:val="20"/>
                <w:color w:val="auto"/>
              </w:rPr>
            </w:pPr>
            <w:r>
              <w:rPr>
                <w:rFonts w:ascii="Times New Roman" w:cs="Times New Roman" w:eastAsia="Times New Roman" w:hAnsi="Times New Roman"/>
                <w:sz w:val="17"/>
                <w:szCs w:val="17"/>
                <w:color w:val="auto"/>
              </w:rPr>
              <w:t>(13 persons)</w:t>
            </w:r>
            <w:r>
              <w:rPr>
                <w:rFonts w:ascii="Times New Roman" w:cs="Times New Roman" w:eastAsia="Times New Roman" w:hAnsi="Times New Roman"/>
                <w:sz w:val="22"/>
                <w:szCs w:val="22"/>
                <w:color w:val="auto"/>
                <w:vertAlign w:val="superscript"/>
              </w:rPr>
              <w:t>(10 )</w:t>
            </w:r>
          </w:p>
        </w:tc>
        <w:tc>
          <w:tcPr>
            <w:tcW w:w="960" w:type="dxa"/>
            <w:vAlign w:val="bottom"/>
            <w:gridSpan w:val="3"/>
          </w:tcPr>
          <w:p>
            <w:pPr>
              <w:ind w:left="240"/>
              <w:spacing w:after="0" w:line="197" w:lineRule="exact"/>
              <w:rPr>
                <w:sz w:val="20"/>
                <w:szCs w:val="20"/>
                <w:color w:val="auto"/>
              </w:rPr>
            </w:pPr>
            <w:r>
              <w:rPr>
                <w:rFonts w:ascii="Times New Roman" w:cs="Times New Roman" w:eastAsia="Times New Roman" w:hAnsi="Times New Roman"/>
                <w:sz w:val="18"/>
                <w:szCs w:val="18"/>
                <w:color w:val="auto"/>
                <w:w w:val="97"/>
              </w:rPr>
              <w:t>9,453,800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line="197" w:lineRule="exact"/>
              <w:rPr>
                <w:sz w:val="20"/>
                <w:szCs w:val="20"/>
                <w:color w:val="auto"/>
              </w:rPr>
            </w:pPr>
            <w:r>
              <w:rPr>
                <w:rFonts w:ascii="Times New Roman" w:cs="Times New Roman" w:eastAsia="Times New Roman" w:hAnsi="Times New Roman"/>
                <w:sz w:val="18"/>
                <w:szCs w:val="18"/>
                <w:color w:val="auto"/>
              </w:rPr>
              <w:t>20.61%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-2300605</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-2300605</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47625</wp:posOffset>
            </wp:positionV>
            <wp:extent cx="12344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2" w:lineRule="exact"/>
        <w:rPr>
          <w:sz w:val="20"/>
          <w:szCs w:val="20"/>
          <w:color w:val="auto"/>
        </w:rPr>
      </w:pPr>
    </w:p>
    <w:p>
      <w:pPr>
        <w:ind w:left="1620" w:right="699" w:hanging="360"/>
        <w:spacing w:after="0" w:line="28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(1%) of our outstanding shares of common stock.</w:t>
      </w:r>
    </w:p>
    <w:p>
      <w:pPr>
        <w:spacing w:after="0" w:line="1" w:lineRule="exact"/>
        <w:rPr>
          <w:sz w:val="20"/>
          <w:szCs w:val="20"/>
          <w:color w:val="auto"/>
        </w:rPr>
      </w:pPr>
    </w:p>
    <w:p>
      <w:pPr>
        <w:ind w:left="1620" w:right="599" w:hanging="360"/>
        <w:spacing w:after="0" w:line="281"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Wedell-Wedellsborg is the majority owner of WG Biotech ApS and as such has sole voting and dispositive power with respect to such shares.</w:t>
      </w:r>
    </w:p>
    <w:p>
      <w:pPr>
        <w:spacing w:after="0" w:line="1"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and the following information were provided by HBM Healthcare Investments (Cayman) Limited (“HBM”) pursuant to a Schedule 13G filed with the SEC on February 7, 2022. HBM reports that it has sole voting power and sole dispositive power over 3,090,954 shares.</w:t>
      </w:r>
    </w:p>
    <w:p>
      <w:pPr>
        <w:spacing w:after="0" w:line="13" w:lineRule="exact"/>
        <w:rPr>
          <w:rFonts w:ascii="Times New Roman" w:cs="Times New Roman" w:eastAsia="Times New Roman" w:hAnsi="Times New Roman"/>
          <w:sz w:val="18"/>
          <w:szCs w:val="18"/>
          <w:color w:val="auto"/>
        </w:rPr>
      </w:pPr>
    </w:p>
    <w:p>
      <w:pPr>
        <w:ind w:left="1620" w:right="51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and the following information were provided by BlackRock, Inc. (“BlackRock”) pursuant to a Schedule 13G filed with the SEC on February 3, 2022. BlackRock reports that it has sole voting power over 2,724,111 of these shares and sole dispositive power over 2,767,360 shares.</w:t>
      </w:r>
    </w:p>
    <w:p>
      <w:pPr>
        <w:spacing w:after="0" w:line="13"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and the following information were provided by Sofinnova Venture Partners X, L.P. pursuant to a Schedule 13D filed with the SEC on October 2, 2018 as amended and restated by amendment No. 1 thereto filed with the SEC on February 15, 2022. The voting and investment control of the shares owned by Sofinnova Venture Partners X, L.P. are held by Maha Katabi, Ph.D., CFA and Dr. James I. Healy the managing members of Sofinnova Management X, L.L.C., the General Partner of Sofinnova Venture Partners X, L.P.</w:t>
      </w:r>
    </w:p>
    <w:p>
      <w:pPr>
        <w:spacing w:after="0" w:line="25"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565,032 shares of common stock owned by GAD Enterprises LLC, of which Mr. Gad is the sole member and manager and as such Mr. Gad has sole voting and dispositive power with respect to such shares, (ii) 50,000 shares owned by Mr. Gad outright; (iii) 60,000 shares of common stock owned by Mr. Gad’s children who are deemed to share the same household, and (iv) 651,045 shares of common stock underlying options that are exercisable as of April 1, 2022 or will become exercisable within 60 days after such date.</w:t>
      </w:r>
    </w:p>
    <w:p>
      <w:pPr>
        <w:spacing w:after="0" w:line="25" w:lineRule="exact"/>
        <w:rPr>
          <w:rFonts w:ascii="Times New Roman" w:cs="Times New Roman" w:eastAsia="Times New Roman" w:hAnsi="Times New Roman"/>
          <w:sz w:val="18"/>
          <w:szCs w:val="18"/>
          <w:color w:val="auto"/>
        </w:rPr>
      </w:pPr>
    </w:p>
    <w:p>
      <w:pPr>
        <w:jc w:val="both"/>
        <w:ind w:left="1620" w:right="63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181,077 shares of common stock owned directly by Mr. Kruse and (ii) 715,280 shares of common stock underlying options that are exercisable as of April 1, 2022 or will become exercisable within 60 days after such date.</w:t>
      </w:r>
    </w:p>
    <w:p>
      <w:pPr>
        <w:spacing w:after="0" w:line="13"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2,838 shares of common stock owned by Dr. Rajah’s spouse, (ii) 233 held by Dr. Rajah’s minor child, and (iii) 26,250 shares of common stock underlying options that are exercisable as of April 1, 2022 or will become exercisable within 60 days after such date.</w:t>
      </w:r>
    </w:p>
    <w:p>
      <w:pPr>
        <w:spacing w:after="0" w:line="13" w:lineRule="exact"/>
        <w:rPr>
          <w:rFonts w:ascii="Times New Roman" w:cs="Times New Roman" w:eastAsia="Times New Roman" w:hAnsi="Times New Roman"/>
          <w:sz w:val="18"/>
          <w:szCs w:val="18"/>
          <w:color w:val="auto"/>
        </w:rPr>
      </w:pPr>
    </w:p>
    <w:p>
      <w:pPr>
        <w:ind w:left="1620" w:right="699" w:hanging="360"/>
        <w:spacing w:after="0" w:line="261"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4,178,465 shares of common stock owned by WG Biotech ApS in which Mr. Wedell-Wedellsborg is the majority owner and as such has sole voting and dispositive power with respect to such shares and (ii) 114,667 shares of common stock underlying options that are exercisable as of April 1, 2022 or will become exercisable within 60 days after such date.</w:t>
      </w:r>
    </w:p>
    <w:p>
      <w:pPr>
        <w:spacing w:after="0" w:line="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2,194,278 shares of common stock owned by Sofinnova Venture Partners X, L.P. Dr. Healy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is a managing member of Sofinnova Management X, L.L.C., the General Partner of Sofinnova Venture Partners X, L.P., and as such has voting and dispositive power over such shares with Maha Katabi, Ph.D., CFA, the other managing member of Sofinnova Management X, L.L.C.; (ii) 25,778 shares owned outright by Dr. Healy; and (iii) 52,889 shares of common stock underlying options that are exercisable as of April 1, 2022 or will become exercisable within 60 days after such date.</w:t>
      </w:r>
    </w:p>
    <w:p>
      <w:pPr>
        <w:spacing w:after="0" w:line="29" w:lineRule="exact"/>
        <w:rPr>
          <w:sz w:val="20"/>
          <w:szCs w:val="20"/>
          <w:color w:val="auto"/>
        </w:rPr>
      </w:pPr>
    </w:p>
    <w:p>
      <w:pPr>
        <w:ind w:left="1620" w:right="499" w:hanging="360"/>
        <w:spacing w:after="0" w:line="266"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2,150,437 shares of common stock underlying options that are exercisable as of April 1, 2022 or will become exercisable within 60 days after such date. Also includes 45,662 shares of common stock owned by one executive officer not named in the above table.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10% stockholders to file reports of ownership of our equity securities with the SEC. We routinely assist our officers and directors in preparing and filing these reports. To our knowledge, based on a review of the copies of such forms in our possession and on written representations from reporting persons, we believe that for the year ended December 31, 2021, all reporting persons filed the required reports on a timely basis under Section 16(a), with the exception of the receipt of 64,000 stock options by Susan Smith, our Senior Vice President and Chief Commercial Officer on December 14, 2021 reported on December 23, 2021. The report was filed five business days late due to an administrative delay.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FOR OUR 2023 ANNUAL MEETING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Proposals to be Included in Proxy Statement</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Rule 14a-8 of the Exchange Act, any stockholder who desires to include a proposal in the proxy statement and form of proxy for our 2023 annual meeting of stockholders must deliver the proposal to our principal executive offices no later than December 28, 2022, which is 120 days prior to the first anniversary of the mailing date of this proxy, unless the date of the 2023 annual meeting of stockholders is changed by more than 30 days from the anniversary of our 2022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Proposals Not Included in Proxy Statement</w:t>
      </w:r>
    </w:p>
    <w:p>
      <w:pPr>
        <w:spacing w:after="0" w:line="146"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addition, our amended and restated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2023 annual meeting of stockholders but not included in the proxy statement by March 10, 2023, but not before February 8, 2023, which is not less than 90 days nor more than 120 days prior to the anniversary date of the annual meeting immediately preceding such annual meeting. However, if the date of such annual meeting is more than 30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our Board of Directors for the 2023 annual meeting of stockholders may exercise discretionary voting power regarding any such proposal. Stockholders are advised to review our by-laws which also specify requirements as to the form and content of a stockholder’s notice.</w:t>
      </w:r>
    </w:p>
    <w:p>
      <w:pPr>
        <w:spacing w:after="0" w:line="12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Any proposals, notices or information about proposed director candidates should be sent to Y-mAbs Therapeutics, Inc., Attention: Secretary, 230 Park Avenue, Suite 3350, New York, New York 10169.</w:t>
      </w:r>
    </w:p>
    <w:p>
      <w:pPr>
        <w:spacing w:after="0" w:line="94"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As noted above, any stockholder who intends to present a proposal at our 2023 annual meeting of stockholders may do so by following the procedures set forth in Rule 14a-8 under the Exchange Act. Pursuant to such rule, a stockholder must have continuously held for at least one (1) year prior to the submission of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the proposal (and continue to hold through the date of the meeting) at least $2,000 in market value, or 1%, of our outstanding stock in order to submit a proposal for inclusion in our proxy materials. Subject to SEC rules, we reserve the right to vote against, reject, rule out of order, or take other appropriate action with respect to any proposal that does not comply with these requirements.</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and Access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providing access to our proxy materials online under the SEC’s “notice and access” rules. As a result, we are mailing to many of our stockholders a notice instead of a paper copy of this proxy statement and our Annual Report. The notice contains instructions on how to access documents online. The notice also contains instructions on how stockholders can receive a paper copy of our materials, including this proxy statement, our Annual Report, and a form of proxy card or voting instruction card. Those who do not receive a notice, including stockholders who have previously requested to receive paper copies of proxy materials, will receive a paper copy by mail unless they have previously requested delivery of materials electronically.</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4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2021 annual report to stockholders, which consists of our Annual Report on Form 10-K for the fiscal year ended December 31, 2021, to you if you write or call us at Y-mAbs Therapeutics, Inc., Attention: Secretary, 230 Park Avenue, Suite 3350, New York, New York 10169, Telephone No. (646) 885-8505.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may obtain copies of our Annual Report on Form 10-K for the fiscal year ended December 31, 2021, without charge by writing to the Secretary, Y-mAbs Therapeutics, Inc., 230 Park Avenue, Suite 3350, New York, New York 10169. You can also find our Annual Report on our website at </w:t>
      </w:r>
      <w:r>
        <w:rPr>
          <w:rFonts w:ascii="Times New Roman" w:cs="Times New Roman" w:eastAsia="Times New Roman" w:hAnsi="Times New Roman"/>
          <w:sz w:val="18"/>
          <w:szCs w:val="18"/>
          <w:i w:val="1"/>
          <w:iCs w:val="1"/>
          <w:color w:val="auto"/>
        </w:rPr>
        <w:t>https://ir.ymabs.com/financial-information/annual-reports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3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2"/>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4"/>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7"/>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2"/>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4"/>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3"/>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2"/>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2022-04-29T06:31:21Z</dcterms:created>
  <dcterms:modified xsi:type="dcterms:W3CDTF">2022-04-29T06:31:21Z</dcterms:modified>
</cp:coreProperties>
</file>