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88"/>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788"/>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368"/>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2468880</wp:posOffset>
            </wp:positionH>
            <wp:positionV relativeFrom="paragraph">
              <wp:posOffset>175895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788"/>
        <w:spacing w:after="0"/>
        <w:rPr>
          <w:sz w:val="20"/>
          <w:szCs w:val="20"/>
          <w:color w:val="auto"/>
        </w:rPr>
      </w:pPr>
      <w:r>
        <w:rPr>
          <w:rFonts w:ascii="Times New Roman" w:cs="Times New Roman" w:eastAsia="Times New Roman" w:hAnsi="Times New Roman"/>
          <w:sz w:val="32"/>
          <w:szCs w:val="32"/>
          <w:b w:val="1"/>
          <w:bCs w:val="1"/>
          <w:color w:val="auto"/>
        </w:rPr>
        <w:t>SCHEDULE 14D-9</w:t>
      </w:r>
    </w:p>
    <w:p>
      <w:pPr>
        <w:spacing w:after="0" w:line="237" w:lineRule="exact"/>
        <w:rPr>
          <w:sz w:val="24"/>
          <w:szCs w:val="24"/>
          <w:color w:val="auto"/>
        </w:rPr>
      </w:pPr>
    </w:p>
    <w:p>
      <w:pPr>
        <w:jc w:val="center"/>
        <w:ind w:right="-788"/>
        <w:spacing w:after="0"/>
        <w:rPr>
          <w:sz w:val="20"/>
          <w:szCs w:val="20"/>
          <w:color w:val="auto"/>
        </w:rPr>
      </w:pPr>
      <w:r>
        <w:rPr>
          <w:rFonts w:ascii="Times New Roman" w:cs="Times New Roman" w:eastAsia="Times New Roman" w:hAnsi="Times New Roman"/>
          <w:sz w:val="18"/>
          <w:szCs w:val="18"/>
          <w:b w:val="1"/>
          <w:bCs w:val="1"/>
          <w:color w:val="auto"/>
        </w:rPr>
        <w:t>Solicitation/Recommendation Statement</w:t>
      </w:r>
    </w:p>
    <w:p>
      <w:pPr>
        <w:spacing w:after="0" w:line="31" w:lineRule="exact"/>
        <w:rPr>
          <w:sz w:val="24"/>
          <w:szCs w:val="24"/>
          <w:color w:val="auto"/>
        </w:rPr>
      </w:pPr>
    </w:p>
    <w:p>
      <w:pPr>
        <w:jc w:val="center"/>
        <w:ind w:right="-788"/>
        <w:spacing w:after="0"/>
        <w:rPr>
          <w:sz w:val="20"/>
          <w:szCs w:val="20"/>
          <w:color w:val="auto"/>
        </w:rPr>
      </w:pPr>
      <w:r>
        <w:rPr>
          <w:rFonts w:ascii="Times New Roman" w:cs="Times New Roman" w:eastAsia="Times New Roman" w:hAnsi="Times New Roman"/>
          <w:sz w:val="18"/>
          <w:szCs w:val="18"/>
          <w:b w:val="1"/>
          <w:bCs w:val="1"/>
          <w:color w:val="auto"/>
        </w:rPr>
        <w:t>Under Section 14(d)(4)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2468880</wp:posOffset>
            </wp:positionH>
            <wp:positionV relativeFrom="paragraph">
              <wp:posOffset>177165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ind w:right="-788"/>
        <w:spacing w:after="0"/>
        <w:rPr>
          <w:sz w:val="20"/>
          <w:szCs w:val="20"/>
          <w:color w:val="auto"/>
        </w:rPr>
      </w:pPr>
      <w:r>
        <w:rPr>
          <w:rFonts w:ascii="Times New Roman" w:cs="Times New Roman" w:eastAsia="Times New Roman" w:hAnsi="Times New Roman"/>
          <w:sz w:val="43"/>
          <w:szCs w:val="43"/>
          <w:b w:val="1"/>
          <w:bCs w:val="1"/>
          <w:color w:val="auto"/>
        </w:rPr>
        <w:t>Y-MABS THERAPEUTICS, INC.</w:t>
      </w:r>
    </w:p>
    <w:p>
      <w:pPr>
        <w:spacing w:after="0" w:line="58" w:lineRule="exact"/>
        <w:rPr>
          <w:sz w:val="24"/>
          <w:szCs w:val="24"/>
          <w:color w:val="auto"/>
        </w:rPr>
      </w:pPr>
    </w:p>
    <w:p>
      <w:pPr>
        <w:ind w:left="4248"/>
        <w:spacing w:after="0"/>
        <w:rPr>
          <w:sz w:val="20"/>
          <w:szCs w:val="20"/>
          <w:color w:val="auto"/>
        </w:rPr>
      </w:pPr>
      <w:r>
        <w:rPr>
          <w:rFonts w:ascii="Times New Roman" w:cs="Times New Roman" w:eastAsia="Times New Roman" w:hAnsi="Times New Roman"/>
          <w:sz w:val="18"/>
          <w:szCs w:val="18"/>
          <w:color w:val="auto"/>
        </w:rPr>
        <w:t>(Name of Subject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2468880</wp:posOffset>
            </wp:positionH>
            <wp:positionV relativeFrom="paragraph">
              <wp:posOffset>175895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788"/>
        <w:spacing w:after="0"/>
        <w:rPr>
          <w:sz w:val="20"/>
          <w:szCs w:val="20"/>
          <w:color w:val="auto"/>
        </w:rPr>
      </w:pPr>
      <w:r>
        <w:rPr>
          <w:rFonts w:ascii="Times New Roman" w:cs="Times New Roman" w:eastAsia="Times New Roman" w:hAnsi="Times New Roman"/>
          <w:sz w:val="43"/>
          <w:szCs w:val="43"/>
          <w:b w:val="1"/>
          <w:bCs w:val="1"/>
          <w:color w:val="auto"/>
        </w:rPr>
        <w:t>Y-MABS THERAPEUTICS, INC.</w:t>
      </w:r>
    </w:p>
    <w:p>
      <w:pPr>
        <w:spacing w:after="0" w:line="58" w:lineRule="exact"/>
        <w:rPr>
          <w:sz w:val="24"/>
          <w:szCs w:val="24"/>
          <w:color w:val="auto"/>
        </w:rPr>
      </w:pPr>
    </w:p>
    <w:p>
      <w:pPr>
        <w:ind w:left="3988"/>
        <w:spacing w:after="0"/>
        <w:rPr>
          <w:sz w:val="20"/>
          <w:szCs w:val="20"/>
          <w:color w:val="auto"/>
        </w:rPr>
      </w:pPr>
      <w:r>
        <w:rPr>
          <w:rFonts w:ascii="Times New Roman" w:cs="Times New Roman" w:eastAsia="Times New Roman" w:hAnsi="Times New Roman"/>
          <w:sz w:val="18"/>
          <w:szCs w:val="18"/>
          <w:color w:val="auto"/>
        </w:rPr>
        <w:t>(Name of Persons Filing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2468880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788"/>
        <w:spacing w:after="0"/>
        <w:rPr>
          <w:sz w:val="20"/>
          <w:szCs w:val="20"/>
          <w:color w:val="auto"/>
        </w:rPr>
      </w:pPr>
      <w:r>
        <w:rPr>
          <w:rFonts w:ascii="Times New Roman" w:cs="Times New Roman" w:eastAsia="Times New Roman" w:hAnsi="Times New Roman"/>
          <w:sz w:val="18"/>
          <w:szCs w:val="18"/>
          <w:b w:val="1"/>
          <w:bCs w:val="1"/>
          <w:color w:val="auto"/>
        </w:rPr>
        <w:t>Common Stock, $0.0001 par value per share</w:t>
      </w:r>
    </w:p>
    <w:p>
      <w:pPr>
        <w:spacing w:after="0" w:line="31" w:lineRule="exact"/>
        <w:rPr>
          <w:sz w:val="24"/>
          <w:szCs w:val="24"/>
          <w:color w:val="auto"/>
        </w:rPr>
      </w:pPr>
    </w:p>
    <w:p>
      <w:pPr>
        <w:jc w:val="center"/>
        <w:ind w:right="-788"/>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788"/>
        <w:spacing w:after="0"/>
        <w:rPr>
          <w:sz w:val="20"/>
          <w:szCs w:val="20"/>
          <w:color w:val="auto"/>
        </w:rPr>
      </w:pPr>
      <w:r>
        <w:rPr>
          <w:rFonts w:ascii="Times New Roman" w:cs="Times New Roman" w:eastAsia="Times New Roman" w:hAnsi="Times New Roman"/>
          <w:sz w:val="18"/>
          <w:szCs w:val="18"/>
          <w:b w:val="1"/>
          <w:bCs w:val="1"/>
          <w:color w:val="auto"/>
        </w:rPr>
        <w:t>984241109</w:t>
      </w:r>
    </w:p>
    <w:p>
      <w:pPr>
        <w:spacing w:after="0" w:line="31" w:lineRule="exact"/>
        <w:rPr>
          <w:sz w:val="24"/>
          <w:szCs w:val="24"/>
          <w:color w:val="auto"/>
        </w:rPr>
      </w:pPr>
    </w:p>
    <w:p>
      <w:pPr>
        <w:jc w:val="center"/>
        <w:ind w:right="-788"/>
        <w:spacing w:after="0"/>
        <w:rPr>
          <w:sz w:val="20"/>
          <w:szCs w:val="20"/>
          <w:color w:val="auto"/>
        </w:rPr>
      </w:pPr>
      <w:r>
        <w:rPr>
          <w:rFonts w:ascii="Times New Roman" w:cs="Times New Roman" w:eastAsia="Times New Roman" w:hAnsi="Times New Roman"/>
          <w:sz w:val="18"/>
          <w:szCs w:val="18"/>
          <w:color w:val="auto"/>
        </w:rPr>
        <w:t>(CUSIP Number of Class of Securities)</w:t>
      </w:r>
    </w:p>
    <w:p>
      <w:pPr>
        <w:spacing w:after="0" w:line="203" w:lineRule="exact"/>
        <w:rPr>
          <w:sz w:val="24"/>
          <w:szCs w:val="24"/>
          <w:color w:val="auto"/>
        </w:rPr>
      </w:pPr>
    </w:p>
    <w:p>
      <w:pPr>
        <w:jc w:val="center"/>
        <w:ind w:right="-788"/>
        <w:spacing w:after="0"/>
        <w:rPr>
          <w:sz w:val="20"/>
          <w:szCs w:val="20"/>
          <w:color w:val="auto"/>
        </w:rPr>
      </w:pPr>
      <w:r>
        <w:rPr>
          <w:rFonts w:ascii="Times New Roman" w:cs="Times New Roman" w:eastAsia="Times New Roman" w:hAnsi="Times New Roman"/>
          <w:sz w:val="18"/>
          <w:szCs w:val="18"/>
          <w:b w:val="1"/>
          <w:bCs w:val="1"/>
          <w:color w:val="auto"/>
        </w:rPr>
        <w:t>Michael Rossi</w:t>
      </w:r>
    </w:p>
    <w:p>
      <w:pPr>
        <w:spacing w:after="0" w:line="31" w:lineRule="exact"/>
        <w:rPr>
          <w:sz w:val="24"/>
          <w:szCs w:val="24"/>
          <w:color w:val="auto"/>
        </w:rPr>
      </w:pPr>
    </w:p>
    <w:p>
      <w:pPr>
        <w:jc w:val="center"/>
        <w:ind w:right="-788"/>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ind w:right="-788"/>
        <w:spacing w:after="0"/>
        <w:rPr>
          <w:sz w:val="20"/>
          <w:szCs w:val="20"/>
          <w:color w:val="auto"/>
        </w:rPr>
      </w:pPr>
      <w:r>
        <w:rPr>
          <w:rFonts w:ascii="Times New Roman" w:cs="Times New Roman" w:eastAsia="Times New Roman" w:hAnsi="Times New Roman"/>
          <w:sz w:val="18"/>
          <w:szCs w:val="18"/>
          <w:b w:val="1"/>
          <w:bCs w:val="1"/>
          <w:color w:val="auto"/>
        </w:rPr>
        <w:t>Y-mAbs Therapeutics, Inc.</w:t>
      </w:r>
    </w:p>
    <w:p>
      <w:pPr>
        <w:spacing w:after="0" w:line="9" w:lineRule="exact"/>
        <w:rPr>
          <w:sz w:val="24"/>
          <w:szCs w:val="24"/>
          <w:color w:val="auto"/>
        </w:rPr>
      </w:pPr>
    </w:p>
    <w:p>
      <w:pPr>
        <w:jc w:val="center"/>
        <w:ind w:right="-788"/>
        <w:spacing w:after="0"/>
        <w:rPr>
          <w:sz w:val="20"/>
          <w:szCs w:val="20"/>
          <w:color w:val="auto"/>
        </w:rPr>
      </w:pPr>
      <w:r>
        <w:rPr>
          <w:rFonts w:ascii="Times New Roman" w:cs="Times New Roman" w:eastAsia="Times New Roman" w:hAnsi="Times New Roman"/>
          <w:sz w:val="18"/>
          <w:szCs w:val="18"/>
          <w:b w:val="1"/>
          <w:bCs w:val="1"/>
          <w:color w:val="auto"/>
        </w:rPr>
        <w:t>202 Carnegie Center Drive</w:t>
      </w:r>
    </w:p>
    <w:p>
      <w:pPr>
        <w:spacing w:after="0" w:line="9" w:lineRule="exact"/>
        <w:rPr>
          <w:sz w:val="24"/>
          <w:szCs w:val="24"/>
          <w:color w:val="auto"/>
        </w:rPr>
      </w:pPr>
    </w:p>
    <w:p>
      <w:pPr>
        <w:jc w:val="center"/>
        <w:ind w:right="-788"/>
        <w:spacing w:after="0"/>
        <w:rPr>
          <w:sz w:val="20"/>
          <w:szCs w:val="20"/>
          <w:color w:val="auto"/>
        </w:rPr>
      </w:pPr>
      <w:r>
        <w:rPr>
          <w:rFonts w:ascii="Times New Roman" w:cs="Times New Roman" w:eastAsia="Times New Roman" w:hAnsi="Times New Roman"/>
          <w:sz w:val="18"/>
          <w:szCs w:val="18"/>
          <w:b w:val="1"/>
          <w:bCs w:val="1"/>
          <w:color w:val="auto"/>
        </w:rPr>
        <w:t>Suite 301</w:t>
      </w:r>
    </w:p>
    <w:p>
      <w:pPr>
        <w:spacing w:after="0" w:line="9" w:lineRule="exact"/>
        <w:rPr>
          <w:sz w:val="24"/>
          <w:szCs w:val="24"/>
          <w:color w:val="auto"/>
        </w:rPr>
      </w:pPr>
    </w:p>
    <w:p>
      <w:pPr>
        <w:jc w:val="center"/>
        <w:ind w:right="-788"/>
        <w:spacing w:after="0"/>
        <w:rPr>
          <w:sz w:val="20"/>
          <w:szCs w:val="20"/>
          <w:color w:val="auto"/>
        </w:rPr>
      </w:pPr>
      <w:r>
        <w:rPr>
          <w:rFonts w:ascii="Times New Roman" w:cs="Times New Roman" w:eastAsia="Times New Roman" w:hAnsi="Times New Roman"/>
          <w:sz w:val="18"/>
          <w:szCs w:val="18"/>
          <w:b w:val="1"/>
          <w:bCs w:val="1"/>
          <w:color w:val="auto"/>
        </w:rPr>
        <w:t>Princeton, New Jersey 08540</w:t>
      </w:r>
    </w:p>
    <w:p>
      <w:pPr>
        <w:spacing w:after="0" w:line="9" w:lineRule="exact"/>
        <w:rPr>
          <w:sz w:val="24"/>
          <w:szCs w:val="24"/>
          <w:color w:val="auto"/>
        </w:rPr>
      </w:pPr>
    </w:p>
    <w:p>
      <w:pPr>
        <w:jc w:val="center"/>
        <w:ind w:right="-788"/>
        <w:spacing w:after="0"/>
        <w:rPr>
          <w:sz w:val="20"/>
          <w:szCs w:val="20"/>
          <w:color w:val="auto"/>
        </w:rPr>
      </w:pPr>
      <w:r>
        <w:rPr>
          <w:rFonts w:ascii="Times New Roman" w:cs="Times New Roman" w:eastAsia="Times New Roman" w:hAnsi="Times New Roman"/>
          <w:sz w:val="18"/>
          <w:szCs w:val="18"/>
          <w:b w:val="1"/>
          <w:bCs w:val="1"/>
          <w:color w:val="auto"/>
        </w:rPr>
        <w:t>(646) 885-8505</w:t>
      </w:r>
    </w:p>
    <w:p>
      <w:pPr>
        <w:spacing w:after="0" w:line="9" w:lineRule="exact"/>
        <w:rPr>
          <w:sz w:val="24"/>
          <w:szCs w:val="24"/>
          <w:color w:val="auto"/>
        </w:rPr>
      </w:pPr>
    </w:p>
    <w:p>
      <w:pPr>
        <w:jc w:val="center"/>
        <w:ind w:right="-788"/>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9" w:lineRule="exact"/>
        <w:rPr>
          <w:sz w:val="24"/>
          <w:szCs w:val="24"/>
          <w:color w:val="auto"/>
        </w:rPr>
      </w:pPr>
    </w:p>
    <w:p>
      <w:pPr>
        <w:jc w:val="center"/>
        <w:ind w:right="-788"/>
        <w:spacing w:after="0"/>
        <w:rPr>
          <w:sz w:val="20"/>
          <w:szCs w:val="20"/>
          <w:color w:val="auto"/>
        </w:rPr>
      </w:pPr>
      <w:r>
        <w:rPr>
          <w:rFonts w:ascii="Times New Roman" w:cs="Times New Roman" w:eastAsia="Times New Roman" w:hAnsi="Times New Roman"/>
          <w:sz w:val="18"/>
          <w:szCs w:val="18"/>
          <w:color w:val="auto"/>
        </w:rPr>
        <w:t>on behalf of the persons filing statement)</w:t>
      </w:r>
    </w:p>
    <w:p>
      <w:pPr>
        <w:spacing w:after="0" w:line="203" w:lineRule="exact"/>
        <w:rPr>
          <w:sz w:val="24"/>
          <w:szCs w:val="24"/>
          <w:color w:val="auto"/>
        </w:rPr>
      </w:pPr>
    </w:p>
    <w:p>
      <w:pPr>
        <w:jc w:val="center"/>
        <w:ind w:right="-788"/>
        <w:spacing w:after="0"/>
        <w:rPr>
          <w:sz w:val="20"/>
          <w:szCs w:val="20"/>
          <w:color w:val="auto"/>
        </w:rPr>
      </w:pPr>
      <w:r>
        <w:rPr>
          <w:rFonts w:ascii="Times New Roman" w:cs="Times New Roman" w:eastAsia="Times New Roman" w:hAnsi="Times New Roman"/>
          <w:sz w:val="18"/>
          <w:szCs w:val="18"/>
          <w:b w:val="1"/>
          <w:bCs w:val="1"/>
          <w:i w:val="1"/>
          <w:iCs w:val="1"/>
          <w:color w:val="auto"/>
        </w:rPr>
        <w:t>With a copy to:</w:t>
      </w:r>
    </w:p>
    <w:p>
      <w:pPr>
        <w:spacing w:after="0" w:line="31" w:lineRule="exact"/>
        <w:rPr>
          <w:sz w:val="24"/>
          <w:szCs w:val="24"/>
          <w:color w:val="auto"/>
        </w:rPr>
      </w:pPr>
    </w:p>
    <w:p>
      <w:pPr>
        <w:jc w:val="center"/>
        <w:ind w:right="-788"/>
        <w:spacing w:after="0"/>
        <w:rPr>
          <w:sz w:val="20"/>
          <w:szCs w:val="20"/>
          <w:color w:val="auto"/>
        </w:rPr>
      </w:pPr>
      <w:r>
        <w:rPr>
          <w:rFonts w:ascii="Times New Roman" w:cs="Times New Roman" w:eastAsia="Times New Roman" w:hAnsi="Times New Roman"/>
          <w:sz w:val="18"/>
          <w:szCs w:val="18"/>
          <w:b w:val="1"/>
          <w:bCs w:val="1"/>
          <w:color w:val="auto"/>
        </w:rPr>
        <w:t>Divakar Gupta</w:t>
      </w:r>
    </w:p>
    <w:p>
      <w:pPr>
        <w:spacing w:after="0" w:line="9" w:lineRule="exact"/>
        <w:rPr>
          <w:sz w:val="24"/>
          <w:szCs w:val="24"/>
          <w:color w:val="auto"/>
        </w:rPr>
      </w:pPr>
    </w:p>
    <w:p>
      <w:pPr>
        <w:jc w:val="center"/>
        <w:ind w:right="-788"/>
        <w:spacing w:after="0"/>
        <w:rPr>
          <w:sz w:val="20"/>
          <w:szCs w:val="20"/>
          <w:color w:val="auto"/>
        </w:rPr>
      </w:pPr>
      <w:r>
        <w:rPr>
          <w:rFonts w:ascii="Times New Roman" w:cs="Times New Roman" w:eastAsia="Times New Roman" w:hAnsi="Times New Roman"/>
          <w:sz w:val="18"/>
          <w:szCs w:val="18"/>
          <w:b w:val="1"/>
          <w:bCs w:val="1"/>
          <w:color w:val="auto"/>
        </w:rPr>
        <w:t>Sarah K. Sellers</w:t>
      </w:r>
    </w:p>
    <w:p>
      <w:pPr>
        <w:spacing w:after="0" w:line="9" w:lineRule="exact"/>
        <w:rPr>
          <w:sz w:val="24"/>
          <w:szCs w:val="24"/>
          <w:color w:val="auto"/>
        </w:rPr>
      </w:pPr>
    </w:p>
    <w:p>
      <w:pPr>
        <w:jc w:val="center"/>
        <w:ind w:right="-788"/>
        <w:spacing w:after="0"/>
        <w:rPr>
          <w:sz w:val="20"/>
          <w:szCs w:val="20"/>
          <w:color w:val="auto"/>
        </w:rPr>
      </w:pPr>
      <w:r>
        <w:rPr>
          <w:rFonts w:ascii="Times New Roman" w:cs="Times New Roman" w:eastAsia="Times New Roman" w:hAnsi="Times New Roman"/>
          <w:sz w:val="18"/>
          <w:szCs w:val="18"/>
          <w:b w:val="1"/>
          <w:bCs w:val="1"/>
          <w:color w:val="auto"/>
        </w:rPr>
        <w:t>Bill Sorabella</w:t>
      </w:r>
    </w:p>
    <w:p>
      <w:pPr>
        <w:spacing w:after="0" w:line="9" w:lineRule="exact"/>
        <w:rPr>
          <w:sz w:val="24"/>
          <w:szCs w:val="24"/>
          <w:color w:val="auto"/>
        </w:rPr>
      </w:pPr>
    </w:p>
    <w:p>
      <w:pPr>
        <w:jc w:val="center"/>
        <w:ind w:right="-788"/>
        <w:spacing w:after="0"/>
        <w:rPr>
          <w:sz w:val="20"/>
          <w:szCs w:val="20"/>
          <w:color w:val="auto"/>
        </w:rPr>
      </w:pPr>
      <w:r>
        <w:rPr>
          <w:rFonts w:ascii="Times New Roman" w:cs="Times New Roman" w:eastAsia="Times New Roman" w:hAnsi="Times New Roman"/>
          <w:sz w:val="18"/>
          <w:szCs w:val="18"/>
          <w:b w:val="1"/>
          <w:bCs w:val="1"/>
          <w:color w:val="auto"/>
        </w:rPr>
        <w:t>Bill Roegge</w:t>
      </w:r>
    </w:p>
    <w:p>
      <w:pPr>
        <w:spacing w:after="0" w:line="9" w:lineRule="exact"/>
        <w:rPr>
          <w:sz w:val="24"/>
          <w:szCs w:val="24"/>
          <w:color w:val="auto"/>
        </w:rPr>
      </w:pPr>
    </w:p>
    <w:p>
      <w:pPr>
        <w:jc w:val="center"/>
        <w:ind w:right="-788"/>
        <w:spacing w:after="0"/>
        <w:rPr>
          <w:sz w:val="20"/>
          <w:szCs w:val="20"/>
          <w:color w:val="auto"/>
        </w:rPr>
      </w:pPr>
      <w:r>
        <w:rPr>
          <w:rFonts w:ascii="Times New Roman" w:cs="Times New Roman" w:eastAsia="Times New Roman" w:hAnsi="Times New Roman"/>
          <w:sz w:val="18"/>
          <w:szCs w:val="18"/>
          <w:b w:val="1"/>
          <w:bCs w:val="1"/>
          <w:color w:val="auto"/>
        </w:rPr>
        <w:t>Cooley LLP</w:t>
      </w:r>
    </w:p>
    <w:p>
      <w:pPr>
        <w:spacing w:after="0" w:line="9" w:lineRule="exact"/>
        <w:rPr>
          <w:sz w:val="24"/>
          <w:szCs w:val="24"/>
          <w:color w:val="auto"/>
        </w:rPr>
      </w:pPr>
    </w:p>
    <w:p>
      <w:pPr>
        <w:jc w:val="center"/>
        <w:ind w:right="-788"/>
        <w:spacing w:after="0"/>
        <w:rPr>
          <w:sz w:val="20"/>
          <w:szCs w:val="20"/>
          <w:color w:val="auto"/>
        </w:rPr>
      </w:pPr>
      <w:r>
        <w:rPr>
          <w:rFonts w:ascii="Times New Roman" w:cs="Times New Roman" w:eastAsia="Times New Roman" w:hAnsi="Times New Roman"/>
          <w:sz w:val="18"/>
          <w:szCs w:val="18"/>
          <w:b w:val="1"/>
          <w:bCs w:val="1"/>
          <w:color w:val="auto"/>
        </w:rPr>
        <w:t>55 Hudson Yards</w:t>
      </w:r>
    </w:p>
    <w:p>
      <w:pPr>
        <w:spacing w:after="0" w:line="9" w:lineRule="exact"/>
        <w:rPr>
          <w:sz w:val="24"/>
          <w:szCs w:val="24"/>
          <w:color w:val="auto"/>
        </w:rPr>
      </w:pPr>
    </w:p>
    <w:p>
      <w:pPr>
        <w:jc w:val="center"/>
        <w:ind w:right="-788"/>
        <w:spacing w:after="0"/>
        <w:rPr>
          <w:sz w:val="20"/>
          <w:szCs w:val="20"/>
          <w:color w:val="auto"/>
        </w:rPr>
      </w:pPr>
      <w:r>
        <w:rPr>
          <w:rFonts w:ascii="Times New Roman" w:cs="Times New Roman" w:eastAsia="Times New Roman" w:hAnsi="Times New Roman"/>
          <w:sz w:val="18"/>
          <w:szCs w:val="18"/>
          <w:b w:val="1"/>
          <w:bCs w:val="1"/>
          <w:color w:val="auto"/>
        </w:rPr>
        <w:t>New York, New York 10001</w:t>
      </w:r>
    </w:p>
    <w:p>
      <w:pPr>
        <w:spacing w:after="0" w:line="9" w:lineRule="exact"/>
        <w:rPr>
          <w:sz w:val="24"/>
          <w:szCs w:val="24"/>
          <w:color w:val="auto"/>
        </w:rPr>
      </w:pPr>
    </w:p>
    <w:p>
      <w:pPr>
        <w:jc w:val="center"/>
        <w:ind w:right="-788"/>
        <w:spacing w:after="0"/>
        <w:rPr>
          <w:sz w:val="20"/>
          <w:szCs w:val="20"/>
          <w:color w:val="auto"/>
        </w:rPr>
      </w:pPr>
      <w:r>
        <w:rPr>
          <w:rFonts w:ascii="Times New Roman" w:cs="Times New Roman" w:eastAsia="Times New Roman" w:hAnsi="Times New Roman"/>
          <w:sz w:val="18"/>
          <w:szCs w:val="18"/>
          <w:b w:val="1"/>
          <w:bCs w:val="1"/>
          <w:color w:val="auto"/>
        </w:rPr>
        <w:t>(212) 479-6000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2468880</wp:posOffset>
            </wp:positionH>
            <wp:positionV relativeFrom="paragraph">
              <wp:posOffset>177165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left="208" w:hanging="208"/>
        <w:spacing w:after="0"/>
        <w:tabs>
          <w:tab w:leader="none" w:pos="208"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Check the box if the filing relates solely to preliminary communications made before the commencement of a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-205105</wp:posOffset>
            </wp:positionH>
            <wp:positionV relativeFrom="paragraph">
              <wp:posOffset>196215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221615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530225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807"/>
          </w:cols>
          <w:pgMar w:left="652" w:top="673" w:right="1440" w:bottom="1440" w:gutter="0" w:footer="0" w:header="0"/>
        </w:sectPr>
      </w:pPr>
    </w:p>
    <w:bookmarkStart w:id="1" w:name="page2"/>
    <w:bookmarkEnd w:id="1"/>
    <w:p>
      <w:pPr>
        <w:ind w:firstLine="324"/>
        <w:spacing w:after="0" w:line="254" w:lineRule="auto"/>
        <w:rPr>
          <w:sz w:val="20"/>
          <w:szCs w:val="20"/>
          <w:color w:val="auto"/>
        </w:rPr>
      </w:pPr>
      <w:r>
        <w:rPr>
          <w:rFonts w:ascii="Times New Roman" w:cs="Times New Roman" w:eastAsia="Times New Roman" w:hAnsi="Times New Roman"/>
          <w:sz w:val="18"/>
          <w:szCs w:val="18"/>
          <w:color w:val="auto"/>
        </w:rPr>
        <w:t>This Schedule 14D-9 filing consists of certain communications relating to the proposed acquisition of Y-mAbs Therapeutics, Inc., a Delaware corporation (the “Company” or “Y-mAbs”), by Perseus BidCo US, Inc., a Delaware corporation (“Parent”), and Yosemite Merger Sub, Inc., a Delaware corporation and a wholly owned subsidiary of Parent (“Purchaser”), pursuant to the terms and subject to the conditions of an Agreement and Plan of Merger, dated as of August 4, 2025 (the “Merger Agreement”), by and among the Company, Parent, Purchaser, and Stark International Lux, a Luxembourg private limited liability company (</w:t>
      </w:r>
      <w:r>
        <w:rPr>
          <w:rFonts w:ascii="Times New Roman" w:cs="Times New Roman" w:eastAsia="Times New Roman" w:hAnsi="Times New Roman"/>
          <w:sz w:val="18"/>
          <w:szCs w:val="18"/>
          <w:i w:val="1"/>
          <w:iCs w:val="1"/>
          <w:color w:val="auto"/>
        </w:rPr>
        <w:t>société à responsabilité limitée</w:t>
      </w:r>
      <w:r>
        <w:rPr>
          <w:rFonts w:ascii="Times New Roman" w:cs="Times New Roman" w:eastAsia="Times New Roman" w:hAnsi="Times New Roman"/>
          <w:sz w:val="18"/>
          <w:szCs w:val="18"/>
          <w:color w:val="auto"/>
        </w:rPr>
        <w:t>). Pursuant to the Merger Agreement, upon the terms and subject to the conditions thereof, Purchaser will commence a tender offer (the “Tender Offer”) to acquire all of the outstanding shares of common stock of the Company, $0.0001 par value per share (the “Shares”), at an offer price of $8.60 per Share in cash, without interest, and subject to any applicable withholding taxes. If successful, the Tender Offer will be followed by a merger of Purchaser with and into the Company (the “Merger”) pursuant to Section 251(h) of the Delaware General Corporation Law, with the Company continuing as the surviving corporation in the Merger.</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Schedule 14D-9 filing consists of the following communications relating to the proposed Tender Offer and the Merger:</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Exhibit 99.1: A message to Company employees from Parent, dated August 6, 2025.</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Exhibit 99.2: Employee FAQ, dated August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Vanessa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Y-mAbs-All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TIMING: Day after Announcement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A Note from SERB</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Y-mAbs team,</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behalf of the entire SERB team, I wanted to take a moment to reach out to introduce myself and express my excitement for this next chapter together. SERB is a specialty pharmaceutical company with a global presence across Europe, the U.S., the Middle East and Australia. Founded in Paris in 1951, we have grown into a global company with a best-in-class portfolio of treatments for rare emergency medicine, rare diseases, and CBRN Medical Countermeasures.</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Having learned more about Y-mAbs through the Due Diligence process, I am tremendously excited for the future of our combined organizations. The story of Y-mAbs is an incredible testament to the importance of rare medicines and is completely aligned with our vision of building a portfolio of critical medicines that improve the standard of care for patients. And I believe you share our values of putting patients first, working together as a team, being accountable and always looking for better ways forward.</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Until closing of the transaction, which we expect will occur by the fourth quarter of 2025, we remain separate and independent companies, but we are already thinking through integration alongside your leadership team. We are looking ahead to a bright future together and to build upon the amazing work you all have done.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hope you all enjoy your summer, and I look forward to speaking with you directly following the close.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Vanessa Wolfeler,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of SERB Pharmaceuticals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This communication contains forward-looking statements that involve risks and uncertainties relating to future events and the future performance of Y-mAbs and SERB, including statements relating to the ability to complete and the timing of completion of the transactions contemplated by the Agreement and Plan of Merger dated as of August 4, 2025 by and among Y-mAbs, SERB, and the other parties thereto (the “Merger Agreement”), including the anticipated occurrence, manner and timing of the proposed tender offer, the parties’ ability to satisfy the conditions to the consummation of the tender offer and the other conditions to the consummation of the subsequent merger set forth in the Merger Agreement, the possibility of any termination of the Merger Agreement, and the prospective benefits of the proposed transaction, and other statements that are not historical facts. The forward-looking statements contained in this email are based on current expectations and assumptions that are subject to risks and uncertainties which may cause actual results to differ materially from the forward-looking statements. These statements may contain words such as “may,” “will,” “would,” “could,” “expect,” “anticipate,” “intend,” “plan,” “believe,” “estimate,” “project,” “seek,” “should,” “strategy,” “future,” “opportunity,” “potential” or other similar words and expressions indicating future results. Risks that may cause these forward-looking statements to be inaccurate include, without limitation: uncertainties as to the timing of the tender offer; uncertainties as to how many of Y-mAbs’s stockholders will tender their stock in the offer; the possibility that competing offers or acquisition proposals will be made; the possibility that various closing conditions for the transaction may not be satisfied or waived, including that a governmental entity may prohibit, delay, or refuse to grant approval for the consummation of the transaction (or only grant approval subject to adverse conditions or limitations); the difficulty of predicting the timing or outcome of regulatory approvals or actions, if any; the occurrence of any event, change or other circumstance that could give rise to the termination of the Merger Agreement; the possibility that the transaction does not close; risks related to the parties’ ability to realize the anticipated benefits of the proposed transaction, including the possibility that the expected benefits from the proposed acquisition will not be realized or will not be realized within the expected time period and that Y-mAbs and SERB will not be integrated successfully or that such integration may be more difficult, time-consuming or costly than expected; the effects of the transaction on relationships with employees, customers, suppliers, other business partners or governmental entities; negative effects of this announcement or the consummation of the proposed transaction on the market price of Y-mAbs’s common stock and/or Y-mAbs’s operating results; significant transaction costs; unknown or inestimable liabilities; the risk of litigation and/or regulatory actions related to the proposed transaction; SERB’s ability to fund the proposed transaction; obtaining and maintaining adequate coverage and reimbursement for products; the time-consuming and uncertain regulatory approval process; the costly and time-consuming pharmaceutical product development process and the uncertainty of clinical success, including risks related to failure or delays in successfully initiating or completing clinical trials and assessing patients; global economic, financial, and healthcare system disruptions and the current and potential future negative impacts to the parties’ business operations and financial results; the sufficiency of the parties’ cash flows and capital resources; the parties’ ability to achieve targeted or expected future financial performance and results and the uncertainty of future tax, accounting and other provisions and estimates; and other risks and uncertainties affecting Y-mAbs and SERB, including those described from time to time under the caption “Risk Factors” and elsewhere in Y-mAbs’s filings and reports with the U.S. Securities and Exchange Commission (the “SEC”), including Y-mAbs’s Annual Report on Form 10-K for the fiscal year ended December 31, 2024 and Quarterly Report on Form 10-Q for the quarterly period ended March 31, 2025, as well as the Tender Offer Statement on Schedule TO and related tender offer documents to be filed by SERB and its acquisition subsidiary, and the Solicitation/Recommendation Statement on Schedule 14D-9 to be filed by Y-mAbs. Any forward-looking statements are made based on the current beliefs and judgments of Y-mAbs’s and SERB’s management, and the reader is cautioned not to rely on any forward-looking statements made by Y-mAbs or SERB. Except as required by law, Y-mAbs and SERB do not undertake any obligation to update (publicly or otherwise) any forward-looking statement, including without limitation any financial projection or guidance,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Important Information about the Tender Offer and Where to Find It</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tender offer (the “Offer”) for the Y-mAbs outstanding common stock referred to in this email has not yet commenced. The description contained in this email is neither an offer to purchase nor a solicitation of an offer to sell any securities, nor is it a substitute for the tender offer materials that SERB will file with the SEC. The solicitation and offer to purchase Y-mAbs’s common stock will only be made pursuant to an offer to purchase and related tender offer materials. At the time the Offer is commenced, SERB will file a tender offer statement on Schedule TO and thereafter Y-mAbs will file a solicitation/recommendation statement on Schedule 14D-9 with the SEC with respect to the Offer.</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TENDER OFFER MATERIALS (INCLUDING AN OFFER TO PURCHASE, A RELATED LETTER OF TRANSMITTAL AND CERTAIN OTHER OFFER DOCUMENTS) AND THE SOLICITATION/RECOMMENDATION STATEMENT ON SCHEDULE 14D-9, AS THEY MAY BE AMENDED OR SUPPLEMENTED FROM TIME TO TIME, WILL CONTAIN IMPORTANT INFORMATION. ANY HOLDERS OF Y-mAbs SHARES ARE URGED TO READ THESE DOCUMENTS CAREFULLY WHEN THEY BECOME AVAILABLE BECAUSE THEY WILL CONTAIN IMPORTANT INFORMATION THAT HOLDERS SHOULD CONSIDER BEFORE MAKING ANY DECISION REGARDING TENDERING THEIR SHARES.</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The offer to purchase, the letter of transmittal, the solicitation/recommendation statement and related offer documents will be made available for free at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Copies of those offer documents and all other documents filed by SERB and Y-mAbs will be made available at no charge by directing a request to the information agent for the Offer, which will be named in the Schedule TO to be filed with the SEC. Copies of the solicitation/recommendation statement on Schedule 14D-9 to be filed with the SEC by Y-mAbs will be available free of charge on Y-mAbs’s investor relations website at https://ir.ymabs.com/ or by contacting Y-mAbs’s investor relations contact at </w:t>
      </w:r>
      <w:r>
        <w:rPr>
          <w:rFonts w:ascii="Times New Roman" w:cs="Times New Roman" w:eastAsia="Times New Roman" w:hAnsi="Times New Roman"/>
          <w:sz w:val="18"/>
          <w:szCs w:val="18"/>
          <w:u w:val="single" w:color="auto"/>
          <w:color w:val="auto"/>
        </w:rPr>
        <w:t>cdu@ymabs.com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addition, Y-mAbs files annual, quarterly and current reports and other information with the SEC, which are also made available free of charge on the Company’s investor relations website at https://ir.ymabs.com/ and at the SEC’s website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Y-mAbs Employee FAQ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was announced?</w:t>
      </w:r>
    </w:p>
    <w:p>
      <w:pPr>
        <w:spacing w:after="0" w:line="31" w:lineRule="exact"/>
        <w:rPr>
          <w:rFonts w:ascii="Times New Roman" w:cs="Times New Roman" w:eastAsia="Times New Roman" w:hAnsi="Times New Roman"/>
          <w:sz w:val="18"/>
          <w:szCs w:val="18"/>
          <w:b w:val="1"/>
          <w:bCs w:val="1"/>
          <w:color w:val="auto"/>
        </w:rPr>
      </w:pPr>
    </w:p>
    <w:p>
      <w:pPr>
        <w:ind w:left="660" w:right="180" w:hanging="328"/>
        <w:spacing w:after="0" w:line="250"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entered into an agreement under which SERB Pharmaceuticals has agreed to acquire Y-mAbs Therapeutics in a transaction at an equity value for Y-mAbs of $412 million.</w:t>
      </w:r>
    </w:p>
    <w:p>
      <w:pPr>
        <w:ind w:left="660" w:right="280" w:hanging="328"/>
        <w:spacing w:after="0" w:line="250"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the merger agreement, SERB is obligated to initiate a tender offer to acquire all outstanding shares of Y-mAbs for $8.60 per share in cash.</w:t>
      </w:r>
    </w:p>
    <w:p>
      <w:pPr>
        <w:ind w:left="660" w:right="240" w:hanging="328"/>
        <w:spacing w:after="0" w:line="260"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combining our expertise and resources with their specialty commercial capabilities, we can extend our shared commitment of improving the lives of even more patients and families on a global scale.</w:t>
      </w:r>
    </w:p>
    <w:p>
      <w:pPr>
        <w:spacing w:after="0" w:line="20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are we announcing this transaction now?</w:t>
      </w:r>
    </w:p>
    <w:p>
      <w:pPr>
        <w:spacing w:after="0" w:line="31" w:lineRule="exact"/>
        <w:rPr>
          <w:rFonts w:ascii="Times New Roman" w:cs="Times New Roman" w:eastAsia="Times New Roman" w:hAnsi="Times New Roman"/>
          <w:sz w:val="18"/>
          <w:szCs w:val="18"/>
          <w:b w:val="1"/>
          <w:bCs w:val="1"/>
          <w:color w:val="auto"/>
        </w:rPr>
      </w:pPr>
    </w:p>
    <w:p>
      <w:pPr>
        <w:ind w:left="660" w:right="220" w:hanging="328"/>
        <w:spacing w:after="0" w:line="210"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transaction is a testament to the team’s hard work in building a strong foundation as a commercial organization with a differentiated, FDA-approved product in DANYELZA</w:t>
      </w:r>
      <w:r>
        <w:rPr>
          <w:rFonts w:ascii="Times New Roman" w:cs="Times New Roman" w:eastAsia="Times New Roman" w:hAnsi="Times New Roman"/>
          <w:sz w:val="29"/>
          <w:szCs w:val="29"/>
          <w:color w:val="auto"/>
          <w:vertAlign w:val="superscript"/>
        </w:rPr>
        <w:t>®</w:t>
      </w:r>
    </w:p>
    <w:p>
      <w:pPr>
        <w:spacing w:after="0" w:line="1" w:lineRule="exact"/>
        <w:rPr>
          <w:rFonts w:ascii="Times New Roman" w:cs="Times New Roman" w:eastAsia="Times New Roman" w:hAnsi="Times New Roman"/>
          <w:sz w:val="18"/>
          <w:szCs w:val="18"/>
          <w:color w:val="auto"/>
        </w:rPr>
      </w:pPr>
    </w:p>
    <w:p>
      <w:pPr>
        <w:ind w:left="660" w:right="240" w:hanging="328"/>
        <w:spacing w:after="0" w:line="249"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combining our expertise and resources with their specialty commercial capabilities, we can extend our shared commitment of improving the lives of even more patients and families on a global scale.</w:t>
      </w:r>
    </w:p>
    <w:p>
      <w:pPr>
        <w:ind w:left="660" w:right="420" w:hanging="328"/>
        <w:spacing w:after="0" w:line="250"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regularly reviews our business, including our strategy, the current state of the biopharmaceutical sector and the time and resources required to execute on our strategic plans.</w:t>
      </w: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external advisors, the Board reviewed strategic alternatives to maximize value for Y-mAbs stockholders.</w:t>
      </w:r>
    </w:p>
    <w:p>
      <w:pPr>
        <w:spacing w:after="0" w:line="9" w:lineRule="exact"/>
        <w:rPr>
          <w:rFonts w:ascii="Times New Roman" w:cs="Times New Roman" w:eastAsia="Times New Roman" w:hAnsi="Times New Roman"/>
          <w:sz w:val="18"/>
          <w:szCs w:val="18"/>
          <w:color w:val="auto"/>
        </w:rPr>
      </w:pPr>
    </w:p>
    <w:p>
      <w:pPr>
        <w:ind w:left="660" w:right="200" w:hanging="328"/>
        <w:spacing w:after="0" w:line="250"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process included discussions with numerous potential buyers for Y-mAbs or for the DANYELZA or Radiopharmaceuticals businesses on a standalone basis. The Board also reviewed potential sources of capital to support accelerating the further development of our pipeline.</w:t>
      </w:r>
    </w:p>
    <w:p>
      <w:pPr>
        <w:ind w:left="660" w:right="100" w:hanging="328"/>
        <w:spacing w:after="0" w:line="260"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now moving forward with this agreement, which we believe reflects the most attractive option available to Y-mAbs, providing significant, immediate and certain value to our stockholders.</w:t>
      </w:r>
    </w:p>
    <w:p>
      <w:pPr>
        <w:spacing w:after="0" w:line="20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SERB?</w:t>
      </w:r>
    </w:p>
    <w:p>
      <w:pPr>
        <w:spacing w:after="0" w:line="31"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SERB is a global specialty pharmaceutical company with a portfolio of critical medicines that treat complex and life-threatening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information about SERB can be found on its website.</w:t>
      </w:r>
    </w:p>
    <w:p>
      <w:pPr>
        <w:spacing w:after="0" w:line="20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does this mean for employees?</w:t>
      </w:r>
    </w:p>
    <w:p>
      <w:pPr>
        <w:spacing w:after="0" w:line="31"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are announcing this transaction, it is only the first step.</w:t>
      </w:r>
    </w:p>
    <w:p>
      <w:pPr>
        <w:spacing w:after="0" w:line="9"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the transaction to close by the fourth quarter of 2025, subject to the satisfaction of the conditions in the merger agreement, completion of the cash tender offer by SERB for our shares and certain other closing conditions.</w:t>
      </w: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now and then, we remain an independent, publicly traded company, and it is business as usual for all of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stay focused on your responsibilities – our patients are counting on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ind w:left="332" w:hanging="332"/>
        <w:spacing w:after="0"/>
        <w:tabs>
          <w:tab w:leader="none" w:pos="332"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does SERB have planned for Y-mAbs? Will there be any change to our strategy?</w:t>
      </w:r>
    </w:p>
    <w:p>
      <w:pPr>
        <w:spacing w:after="0" w:line="31" w:lineRule="exact"/>
        <w:rPr>
          <w:rFonts w:ascii="Times New Roman" w:cs="Times New Roman" w:eastAsia="Times New Roman" w:hAnsi="Times New Roman"/>
          <w:sz w:val="18"/>
          <w:szCs w:val="18"/>
          <w:b w:val="1"/>
          <w:bCs w:val="1"/>
          <w:color w:val="auto"/>
        </w:rPr>
      </w:pPr>
    </w:p>
    <w:p>
      <w:pPr>
        <w:ind w:left="652" w:hanging="328"/>
        <w:spacing w:after="0" w:line="250" w:lineRule="auto"/>
        <w:tabs>
          <w:tab w:leader="none" w:pos="65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are announcing this transaction, it is only the first step and there are many decisions that still need to be made. We will be working with the SERB team to determine how we will bring our companies together.</w:t>
      </w:r>
    </w:p>
    <w:p>
      <w:pPr>
        <w:ind w:left="652" w:hanging="328"/>
        <w:spacing w:after="0"/>
        <w:tabs>
          <w:tab w:leader="none" w:pos="65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know you have many questions, and updates will be provided at the appropriate time.</w:t>
      </w:r>
    </w:p>
    <w:p>
      <w:pPr>
        <w:spacing w:after="0" w:line="9" w:lineRule="exact"/>
        <w:rPr>
          <w:rFonts w:ascii="Times New Roman" w:cs="Times New Roman" w:eastAsia="Times New Roman" w:hAnsi="Times New Roman"/>
          <w:sz w:val="18"/>
          <w:szCs w:val="18"/>
          <w:color w:val="auto"/>
        </w:rPr>
      </w:pPr>
    </w:p>
    <w:p>
      <w:pPr>
        <w:ind w:left="652" w:hanging="328"/>
        <w:spacing w:after="0"/>
        <w:tabs>
          <w:tab w:leader="none" w:pos="65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Importantly, until the transaction closes, which we expect by the fourth quarter of 2025, it is business as usual.</w:t>
      </w:r>
    </w:p>
    <w:p>
      <w:pPr>
        <w:spacing w:after="0" w:line="202"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there be any changes to employee salaries, compensation or benefits as a result of this transaction?</w:t>
      </w:r>
    </w:p>
    <w:p>
      <w:pPr>
        <w:spacing w:after="0" w:line="31" w:lineRule="exact"/>
        <w:rPr>
          <w:rFonts w:ascii="Times New Roman" w:cs="Times New Roman" w:eastAsia="Times New Roman" w:hAnsi="Times New Roman"/>
          <w:sz w:val="18"/>
          <w:szCs w:val="18"/>
          <w:b w:val="1"/>
          <w:bCs w:val="1"/>
          <w:color w:val="auto"/>
        </w:rPr>
      </w:pPr>
    </w:p>
    <w:p>
      <w:pPr>
        <w:ind w:left="652" w:right="480" w:hanging="328"/>
        <w:spacing w:after="0" w:line="250" w:lineRule="auto"/>
        <w:tabs>
          <w:tab w:leader="none" w:pos="65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transaction closes, which we expect by the fourth quarter of 2025, it is business as usual. We are paying employees and providing benefits like always.</w:t>
      </w:r>
    </w:p>
    <w:p>
      <w:pPr>
        <w:ind w:left="652" w:hanging="328"/>
        <w:spacing w:after="0"/>
        <w:tabs>
          <w:tab w:leader="none" w:pos="65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know you have many questions, and updates will be provided at the appropriate time.</w:t>
      </w:r>
    </w:p>
    <w:p>
      <w:pPr>
        <w:spacing w:after="0" w:line="202"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there be changes to my day-to-day responsibilities?</w:t>
      </w:r>
    </w:p>
    <w:p>
      <w:pPr>
        <w:spacing w:after="0" w:line="31" w:lineRule="exact"/>
        <w:rPr>
          <w:rFonts w:ascii="Times New Roman" w:cs="Times New Roman" w:eastAsia="Times New Roman" w:hAnsi="Times New Roman"/>
          <w:sz w:val="18"/>
          <w:szCs w:val="18"/>
          <w:b w:val="1"/>
          <w:bCs w:val="1"/>
          <w:color w:val="auto"/>
        </w:rPr>
      </w:pPr>
    </w:p>
    <w:p>
      <w:pPr>
        <w:ind w:left="652" w:right="240" w:hanging="328"/>
        <w:spacing w:after="0" w:line="250" w:lineRule="auto"/>
        <w:tabs>
          <w:tab w:leader="none" w:pos="65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transaction closes, which we expect by the fourth quarter of 2025, it is business as usual and there will be no immediate effect on our day-to-day responsibilities.</w:t>
      </w:r>
    </w:p>
    <w:p>
      <w:pPr>
        <w:ind w:left="652" w:hanging="328"/>
        <w:spacing w:after="0" w:line="250" w:lineRule="auto"/>
        <w:tabs>
          <w:tab w:leader="none" w:pos="65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are announcing this transaction, it is only the first step and there are many decisions that still need to be made. We will be working with the SERB team to determine how we will bring our companies together.</w:t>
      </w:r>
    </w:p>
    <w:p>
      <w:pPr>
        <w:ind w:left="652" w:hanging="328"/>
        <w:spacing w:after="0"/>
        <w:tabs>
          <w:tab w:leader="none" w:pos="65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know you have many questions, and updates will be provided at the appropriate time.</w:t>
      </w:r>
    </w:p>
    <w:p>
      <w:pPr>
        <w:spacing w:after="0" w:line="202"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will we be headquartered? Will Y-mAbs offices stay open? What will happen to our Princeton office?</w:t>
      </w:r>
    </w:p>
    <w:p>
      <w:pPr>
        <w:spacing w:after="0" w:line="31" w:lineRule="exact"/>
        <w:rPr>
          <w:rFonts w:ascii="Times New Roman" w:cs="Times New Roman" w:eastAsia="Times New Roman" w:hAnsi="Times New Roman"/>
          <w:sz w:val="18"/>
          <w:szCs w:val="18"/>
          <w:b w:val="1"/>
          <w:bCs w:val="1"/>
          <w:color w:val="auto"/>
        </w:rPr>
      </w:pPr>
    </w:p>
    <w:p>
      <w:pPr>
        <w:ind w:left="652" w:hanging="328"/>
        <w:spacing w:after="0"/>
        <w:tabs>
          <w:tab w:leader="none" w:pos="65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are announcing this transaction, it is only the first step and there are many decisions that still need to be made.</w:t>
      </w:r>
    </w:p>
    <w:p>
      <w:pPr>
        <w:spacing w:after="0" w:line="9" w:lineRule="exact"/>
        <w:rPr>
          <w:rFonts w:ascii="Times New Roman" w:cs="Times New Roman" w:eastAsia="Times New Roman" w:hAnsi="Times New Roman"/>
          <w:sz w:val="18"/>
          <w:szCs w:val="18"/>
          <w:color w:val="auto"/>
        </w:rPr>
      </w:pPr>
    </w:p>
    <w:p>
      <w:pPr>
        <w:ind w:left="652" w:hanging="328"/>
        <w:spacing w:after="0"/>
        <w:tabs>
          <w:tab w:leader="none" w:pos="65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working with the SERB team to determine how we will bring our companies together.</w:t>
      </w:r>
    </w:p>
    <w:p>
      <w:pPr>
        <w:spacing w:after="0" w:line="229"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to my company stock?</w:t>
      </w:r>
    </w:p>
    <w:p>
      <w:pPr>
        <w:spacing w:after="0" w:line="31" w:lineRule="exact"/>
        <w:rPr>
          <w:rFonts w:ascii="Times New Roman" w:cs="Times New Roman" w:eastAsia="Times New Roman" w:hAnsi="Times New Roman"/>
          <w:sz w:val="18"/>
          <w:szCs w:val="18"/>
          <w:b w:val="1"/>
          <w:bCs w:val="1"/>
          <w:color w:val="auto"/>
        </w:rPr>
      </w:pPr>
    </w:p>
    <w:p>
      <w:pPr>
        <w:ind w:left="652" w:right="140" w:hanging="328"/>
        <w:spacing w:after="0" w:line="250" w:lineRule="auto"/>
        <w:tabs>
          <w:tab w:leader="none" w:pos="65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stockholder, you will have the opportunity to tender your shares into SERB’s tender offer and, upon completion of the tender offer, receive $8.60 per share that you own.</w:t>
      </w:r>
    </w:p>
    <w:p>
      <w:pPr>
        <w:ind w:left="652" w:right="120" w:hanging="328"/>
        <w:spacing w:after="0" w:line="260" w:lineRule="auto"/>
        <w:tabs>
          <w:tab w:leader="none" w:pos="65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receive more information regarding the tender offer once SERB commences the tender offer and documents relating to the tender offer are filed with the SEC.</w:t>
      </w:r>
    </w:p>
    <w:p>
      <w:pPr>
        <w:spacing w:after="0" w:line="177"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a tender offer? What are the next steps in this process? Should I tender my shares? How do I do that?</w:t>
      </w:r>
    </w:p>
    <w:p>
      <w:pPr>
        <w:spacing w:after="0" w:line="31" w:lineRule="exact"/>
        <w:rPr>
          <w:rFonts w:ascii="Times New Roman" w:cs="Times New Roman" w:eastAsia="Times New Roman" w:hAnsi="Times New Roman"/>
          <w:sz w:val="18"/>
          <w:szCs w:val="18"/>
          <w:b w:val="1"/>
          <w:bCs w:val="1"/>
          <w:color w:val="auto"/>
        </w:rPr>
      </w:pPr>
    </w:p>
    <w:p>
      <w:pPr>
        <w:ind w:left="572" w:hanging="248"/>
        <w:spacing w:after="0"/>
        <w:tabs>
          <w:tab w:leader="none" w:pos="57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“tender offer” is a public offer to buy stock directly from stockholders.</w:t>
      </w:r>
    </w:p>
    <w:p>
      <w:pPr>
        <w:spacing w:after="0" w:line="9" w:lineRule="exact"/>
        <w:rPr>
          <w:rFonts w:ascii="Times New Roman" w:cs="Times New Roman" w:eastAsia="Times New Roman" w:hAnsi="Times New Roman"/>
          <w:sz w:val="18"/>
          <w:szCs w:val="18"/>
          <w:color w:val="auto"/>
        </w:rPr>
      </w:pPr>
    </w:p>
    <w:p>
      <w:pPr>
        <w:ind w:left="572" w:right="280" w:hanging="248"/>
        <w:spacing w:after="0" w:line="250" w:lineRule="auto"/>
        <w:tabs>
          <w:tab w:leader="none" w:pos="57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Y-mAbs stockholders will be given an opportunity to “tender,” or sell, their stock for $8.60 per share within a specified timeframe once the tender offer commences.</w:t>
      </w:r>
    </w:p>
    <w:p>
      <w:pPr>
        <w:ind w:left="572" w:right="220" w:hanging="248"/>
        <w:spacing w:after="0" w:line="260" w:lineRule="auto"/>
        <w:tabs>
          <w:tab w:leader="none" w:pos="57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Along with Y-mAbs’ other stockholders, employee stockholders will receive information regarding the tender offer once SERB commences the tender offer and documents relating to the tender offer are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435610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32"/>
          </w:cols>
          <w:pgMar w:left="328" w:top="927" w:right="439" w:bottom="1440" w:gutter="0" w:footer="0" w:header="0"/>
        </w:sectPr>
      </w:pPr>
    </w:p>
    <w:bookmarkStart w:id="6" w:name="page7"/>
    <w:bookmarkEnd w:id="6"/>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should I tell external stakeholders if they ask me about this announcement?</w:t>
      </w:r>
    </w:p>
    <w:p>
      <w:pPr>
        <w:spacing w:after="0" w:line="31"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anyone asks, you can tell them we are focused on advancing our businesses and supporting patients and their families.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questions from external stakeholders should be referred to Courtney Dugan, </w:t>
      </w:r>
      <w:r>
        <w:rPr>
          <w:rFonts w:ascii="Times New Roman" w:cs="Times New Roman" w:eastAsia="Times New Roman" w:hAnsi="Times New Roman"/>
          <w:sz w:val="18"/>
          <w:szCs w:val="18"/>
          <w:u w:val="single" w:color="auto"/>
          <w:color w:val="auto"/>
        </w:rPr>
        <w:t>cdu@ymabs.com</w:t>
      </w:r>
      <w:r>
        <w:rPr>
          <w:rFonts w:ascii="Times New Roman" w:cs="Times New Roman" w:eastAsia="Times New Roman" w:hAnsi="Times New Roman"/>
          <w:sz w:val="18"/>
          <w:szCs w:val="18"/>
          <w:color w:val="auto"/>
        </w:rPr>
        <w:t>.</w:t>
      </w:r>
    </w:p>
    <w:p>
      <w:pPr>
        <w:spacing w:after="0" w:line="20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 I do if I am approached by media, an analyst or another third party?</w:t>
      </w:r>
    </w:p>
    <w:p>
      <w:pPr>
        <w:spacing w:after="0" w:line="31" w:lineRule="exact"/>
        <w:rPr>
          <w:rFonts w:ascii="Times New Roman" w:cs="Times New Roman" w:eastAsia="Times New Roman" w:hAnsi="Times New Roman"/>
          <w:sz w:val="18"/>
          <w:szCs w:val="18"/>
          <w:b w:val="1"/>
          <w:bCs w:val="1"/>
          <w:color w:val="auto"/>
        </w:rPr>
      </w:pPr>
    </w:p>
    <w:p>
      <w:pPr>
        <w:ind w:left="660" w:right="280" w:hanging="328"/>
        <w:spacing w:after="0" w:line="260"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 are contacted by the press, investors or another third party, please forward any inquiries to Courtney Dugan, </w:t>
      </w:r>
      <w:r>
        <w:rPr>
          <w:rFonts w:ascii="Times New Roman" w:cs="Times New Roman" w:eastAsia="Times New Roman" w:hAnsi="Times New Roman"/>
          <w:sz w:val="18"/>
          <w:szCs w:val="18"/>
          <w:u w:val="single" w:color="auto"/>
          <w:color w:val="auto"/>
        </w:rPr>
        <w:t>cdu@ymabs.com</w:t>
      </w:r>
      <w:r>
        <w:rPr>
          <w:rFonts w:ascii="Times New Roman" w:cs="Times New Roman" w:eastAsia="Times New Roman" w:hAnsi="Times New Roman"/>
          <w:sz w:val="18"/>
          <w:szCs w:val="18"/>
          <w:color w:val="auto"/>
        </w:rPr>
        <w:t>, who will handle on the Company’s behalf.</w:t>
      </w:r>
    </w:p>
    <w:p>
      <w:pPr>
        <w:spacing w:after="0" w:line="20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I post about the pending transaction on social media?</w:t>
      </w:r>
    </w:p>
    <w:p>
      <w:pPr>
        <w:spacing w:after="0" w:line="31" w:lineRule="exact"/>
        <w:rPr>
          <w:rFonts w:ascii="Times New Roman" w:cs="Times New Roman" w:eastAsia="Times New Roman" w:hAnsi="Times New Roman"/>
          <w:sz w:val="18"/>
          <w:szCs w:val="18"/>
          <w:b w:val="1"/>
          <w:bCs w:val="1"/>
          <w:color w:val="auto"/>
        </w:rPr>
      </w:pPr>
    </w:p>
    <w:p>
      <w:pPr>
        <w:ind w:left="660" w:right="120" w:hanging="328"/>
        <w:spacing w:after="0" w:line="260"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ask that you </w:t>
      </w:r>
      <w:r>
        <w:rPr>
          <w:rFonts w:ascii="Times New Roman" w:cs="Times New Roman" w:eastAsia="Times New Roman" w:hAnsi="Times New Roman"/>
          <w:sz w:val="18"/>
          <w:szCs w:val="18"/>
          <w:u w:val="single" w:color="auto"/>
          <w:color w:val="auto"/>
        </w:rPr>
        <w:t>please refrain</w:t>
      </w:r>
      <w:r>
        <w:rPr>
          <w:rFonts w:ascii="Times New Roman" w:cs="Times New Roman" w:eastAsia="Times New Roman" w:hAnsi="Times New Roman"/>
          <w:sz w:val="18"/>
          <w:szCs w:val="18"/>
          <w:color w:val="auto"/>
        </w:rPr>
        <w:t xml:space="preserve"> from posting or otherwise commenting on the pending transaction publicly, consistent with our policies and social media guidelines.</w:t>
      </w:r>
    </w:p>
    <w:p>
      <w:pPr>
        <w:spacing w:after="0" w:line="20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I contact if I have questions?</w:t>
      </w:r>
    </w:p>
    <w:p>
      <w:pPr>
        <w:spacing w:after="0" w:line="31"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keep you informed through this process.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always, if you have further questions, you can reach out to your supervisor.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communication contains forward-looking statements that involve risks and uncertainties relating to future events and the future performance of Y-mAbs and SERB, including statements relating to the ability to complete and the timing of completion of the transactions contemplated by the Agreement and Plan of Merger dated as of August 4, 2025 by and among Y-mAbs, SERB, and the other parties thereto (the “Merger Agreement”), including the anticipated occurrence, manner and timing of the proposed tender offer, the parties’ ability to satisfy the conditions to the consummation of the tender offer and the other conditions to the consummation of the subsequent merger set forth in the Merger Agreement, the possibility of any termination of the Merger Agreement, and the prospective benefits of the proposed transaction, and other statements that are not historical facts. The forward-looking statements contained in this email are based on current expectations and assumptions that are subject to risks and uncertainties which may cause actual results to differ materially from the forward-looking statements. These statements may contain words such as “may,” “will,” “would,” “could,” “expect,” “anticipate,” “intend,” “plan,” “believe,” “estimate,” “project,” “seek,” “should,” “strategy,” “future,” “opportunity,” “potential” or other similar words and expressions indicating future results. Risks that may cause these forward-looking statements to be inaccurate include, without limitation: uncertainties as to the timing of the tender offer; uncertainties as to how many of Y-mAbs’s stockholders will tender their stock in the offer; the possibility that competing offers or acquisition proposals will be made; the possibility that various closing conditions for the transaction may not be satisfied or waived, including that a governmental entity may prohibit, delay, or refuse to grant approval for the consummation of the transaction (or only grant approval subject to adverse conditions or limitations); the difficulty of predicting the timing or outcome of regulatory approvals or actions, if any; the occurrence of any event, change or other circumstance that could give rise to the termination of the Merger Agreement; the possibility that the transaction does not close; risks related to the parties’ ability to realize the anticipated benefits of the proposed transaction, including the possibility that the expected benefits from the proposed acquisition will not be realized or will not be realized within the expected time period and that Y-mAbs and SERB will not be integrated successfully or that such integration may be more difficult, time-consuming or costly than expected; the effects of the transaction on relationships with employees, customers, suppliers, other business partners or governmental entities; negative effects of this announcement or the consummation of the proposed transaction on the market price of Y-mAbs’s common stock and/or Y-mAbs’s operating results; significant transaction costs; unknown or inestimable liabilities; the risk of litigation and/or regulatory actions related to the proposed transaction; SERB’s ability to fund the proposed transaction; obtaining and maintaining adequate coverage and reimbursement for products; the time-consuming and uncertain regulatory approval process; the costly and time-consuming pharmaceutical product development process and the uncertainty of clinical success, including risks related to failure or delays in successfully initiating or completing clinical trials and assessing patients; global economic, financial, and healthcare system disruptions and the current and potential future negative impacts to the parties’ business operations and financial results; the sufficiency of the parties’ cash flows and capital resources; the parties’ ability to achieve targeted or expected future financial performance and results and the uncertainty of future tax, accounting and other provisions and estimates; and other risks and uncertainties affecting Y-mAbs and SERB, including those described from time to time under the caption “Risk Factors” and elsewhere in Y-mAbs’s filings and reports with the U.S. Securities and Exchange Commission (the “SEC”), including Y-mAbs’s Annual Report on Form 10-K for the fiscal year ended December 31, 2024 and Quarterly Report on Form 10-Q for the quarterly period ended March 31, 2025, as well as the Tender Offer Statement on Schedule TO and related tender offer documents to be filed by SERB and its acquisition subsidiary, and the Solicitation/Recommendation Statement on Schedule 14D-9 to be filed by Y-mAbs. Any forward-looking statements are made based on the current beliefs and judgments of Y-mAbs’s and SERB’s management, and the reader is cautioned not to rely on any forward-looking statements made by Y-mAbs or SERB. Except as required by law, Y-mAbs and SERB do not undertake any obligation to update (publicly or otherwise) any forward-looking statement, including without limitation any financial projection or guidance,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Important Information about the Tender Offer and Where to Find It</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tender offer (the “Offer”) for the Y-mAbs outstanding common stock referred to in this email has not yet commenced. The description contained in this email is neither an offer to purchase nor a solicitation of an offer to sell any securities, nor is it a substitute for the tender offer materials that SERB will file with the SEC. The solicitation and offer to purchase Y-mAbs’s common stock will only be made pursuant to an offer to purchase and related tender offer materials. At the time the Offer is commenced, SERB will file a tender offer statement on Schedule TO and thereafter Y-mAbs will file a solicitation/recommendation statement on Schedule 14D-9 with the SEC with respect to the Offer.</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TENDER OFFER MATERIALS (INCLUDING AN OFFER TO PURCHASE, A RELATED LETTER OF TRANSMITTAL AND CERTAIN OTHER OFFER DOCUMENTS) AND THE SOLICITATION/RECOMMENDATION STATEMENT ON SCHEDULE 14D-9, AS THEY MAY BE AMENDED OR SUPPLEMENTED FROM TIME TO TIME, WILL CONTAIN IMPORTANT INFORMATION. ANY HOLDERS OF Y-mAbs SHARES ARE URGED TO READ THESE DOCUMENTS CAREFULLY WHEN THEY BECOME AVAILABLE BECAUSE THEY WILL CONTAIN IMPORTANT INFORMATION THAT HOLDERS SHOULD CONSIDER BEFORE MAKING ANY DECISION REGARDING TENDERING THEIR SHARES.</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The offer to purchase, the letter of transmittal, the solicitation/recommendation statement and related offer documents will be made available for free at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Copies of those offer documents and all other documents filed by SERB and Y-mAbs will be made available at no charge by directing a request to the information agent for the Offer, which will be named in the Schedule TO to be filed with the SEC. Copies of the solicitation/recommendation statement on Schedule 14D-9 to be filed with the SEC by Y-mAbs will be available free of charge on Y-mAbs’s investor relations website at https://ir.ymabs.com/ or by contacting Y-mAbs’s investor relations contact at </w:t>
      </w:r>
      <w:r>
        <w:rPr>
          <w:rFonts w:ascii="Times New Roman" w:cs="Times New Roman" w:eastAsia="Times New Roman" w:hAnsi="Times New Roman"/>
          <w:sz w:val="18"/>
          <w:szCs w:val="18"/>
          <w:u w:val="single" w:color="auto"/>
          <w:color w:val="auto"/>
        </w:rPr>
        <w:t>cdu@ymabs.com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addition, Y-mAbs files annual, quarterly and current reports and other information with the SEC, which are also made available free of charge on the Company’s investor relations website at https://ir.ymabs.com/ and at the SEC’s website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lvl w:ilvl="1">
      <w:lvlJc w:val="left"/>
      <w:lvlText w:val="·"/>
      <w:numFmt w:val="bullet"/>
      <w:start w:val="1"/>
    </w:lvl>
  </w:abstractNum>
  <w:abstractNum w:abstractNumId="3">
    <w:nsid w:val="238E1F29"/>
    <w:multiLevelType w:val="hybridMultilevel"/>
    <w:lvl w:ilvl="0">
      <w:lvlJc w:val="left"/>
      <w:lvlText w:val="%1."/>
      <w:numFmt w:val="decimal"/>
      <w:start w:val="5"/>
    </w:lvl>
    <w:lvl w:ilvl="1">
      <w:lvlJc w:val="left"/>
      <w:lvlText w:val="·"/>
      <w:numFmt w:val="bullet"/>
      <w:start w:val="1"/>
    </w:lvl>
  </w:abstractNum>
  <w:abstractNum w:abstractNumId="4">
    <w:nsid w:val="46E87CCD"/>
    <w:multiLevelType w:val="hybridMultilevel"/>
    <w:lvl w:ilvl="0">
      <w:lvlJc w:val="left"/>
      <w:lvlText w:val="%1."/>
      <w:numFmt w:val="decimal"/>
      <w:start w:val="1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2025-08-06T16:34:18Z</dcterms:created>
  <dcterms:modified xsi:type="dcterms:W3CDTF">2025-08-06T16:34:18Z</dcterms:modified>
</cp:coreProperties>
</file>