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Beryl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4,087,091.00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4,087,091.00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4,087,091.00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45,438,420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4, 2025, as disclosed in the Form 10-Q filed by the Issuer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Beryl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40"/>
          </w:cols>
          <w:pgMar w:left="320" w:top="111" w:right="43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4,087,091.00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4,087,091.00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4,087,091.00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100" w:space="60"/>
            <w:col w:w="9980"/>
          </w:cols>
          <w:pgMar w:left="320" w:top="111" w:right="4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45,438,420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4, 2025, as disclosed in the Form 10-Q filed by the Issuer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Beryl Capital Partners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369"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3,095,833.00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3,095,833.00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3,095,833.00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369" w:right="4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45,438,420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4, 2025, as disclosed in the Form 10-Q filed by the Issuer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369" w:right="4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984241109</w:t>
      </w:r>
    </w:p>
    <w:p>
      <w:pPr>
        <w:sectPr>
          <w:pgSz w:w="11900" w:h="16838" w:orient="portrait"/>
          <w:cols w:equalWidth="0" w:num="1">
            <w:col w:w="11140"/>
          </w:cols>
          <w:pgMar w:left="320" w:top="369" w:right="4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A. Witkin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639"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4,087,091.00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4,087,091.00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4,087,091.00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9980"/>
          </w:cols>
          <w:pgMar w:left="320" w:top="639" w:right="4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calculated based on 45,438,420 shares of Common Stock outstanding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August 4, 2025, as disclosed in the Form 10-Q filed by the Issuer for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Y-mAbs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202 Carnegie Center, Suite 301, Princeton, NJ 08540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Beryl Capital Management LLC, a Delaware limited liability company ("Beryl") Beryl Capital Management LP, a</w:t>
      </w:r>
    </w:p>
    <w:p>
      <w:pPr>
        <w:spacing w:after="0" w:line="14" w:lineRule="exact"/>
        <w:rPr>
          <w:sz w:val="20"/>
          <w:szCs w:val="20"/>
          <w:color w:val="auto"/>
        </w:rPr>
      </w:pPr>
    </w:p>
    <w:p>
      <w:pPr>
        <w:ind w:left="960" w:hanging="912"/>
        <w:spacing w:after="0" w:line="196" w:lineRule="auto"/>
        <w:tabs>
          <w:tab w:leader="none" w:pos="96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Delaware limited partnership ("Beryl GP") Beryl Capital Partners II LP, a Delaware limited partnership (the "Partnership") David A. Witkin Each reporting person disclaims beneficial ownership of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Common Stock covered by this Schedule 13G.</w:t>
      </w:r>
    </w:p>
    <w:p>
      <w:pPr>
        <w:spacing w:after="0" w:line="14" w:lineRule="exact"/>
        <w:rPr>
          <w:rFonts w:ascii="Times New Roman" w:cs="Times New Roman" w:eastAsia="Times New Roman" w:hAnsi="Times New Roman"/>
          <w:sz w:val="43"/>
          <w:szCs w:val="43"/>
          <w:color w:val="auto"/>
          <w:vertAlign w:val="subscript"/>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ectPr>
          <w:pgSz w:w="11900" w:h="16838" w:orient="portrait"/>
          <w:cols w:equalWidth="0" w:num="1">
            <w:col w:w="11140"/>
          </w:cols>
          <w:pgMar w:left="320" w:top="639" w:right="43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225 Avenue I, Suite 205 Redondo Beach, CA 90277</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984241109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Beryl: 4,087,091 Beryl GP: 4,087,091 Partnership: 3,095,833 David A Witkin: 4,087,091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Beryl: 9.0% Beryl GP: 9.0% Partnership: 6.8% David A. Witkin: 9.0%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355"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Beryl: 0 Beryl GP: 0 Partnership: 0 David A. Witkin: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Beryl: 4,087,091 Beryl GP: 4,087,091 Partnership: 3,095,833 David A Witkin: 4,087,091</w:t>
      </w:r>
    </w:p>
    <w:p>
      <w:pPr>
        <w:spacing w:after="0" w:line="287" w:lineRule="exact"/>
        <w:rPr>
          <w:sz w:val="20"/>
          <w:szCs w:val="20"/>
          <w:color w:val="auto"/>
        </w:rPr>
      </w:pPr>
    </w:p>
    <w:p>
      <w:pPr>
        <w:ind w:right="530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Beryl: 0 Beryl GP: 0 Partnership: 0 David A. Witkin: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Beryl: 4,087,091 Beryl GP: 4,087,091 Partnership: 3,095,833 David A Witkin: 4,087,091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w:t>
      </w:r>
    </w:p>
    <w:p>
      <w:pPr>
        <w:sectPr>
          <w:pgSz w:w="11900" w:h="16838" w:orient="portrait"/>
          <w:cols w:equalWidth="0" w:num="2">
            <w:col w:w="620" w:space="300"/>
            <w:col w:w="10200"/>
          </w:cols>
          <w:pgMar w:left="360" w:top="355" w:right="419" w:bottom="0" w:gutter="0" w:footer="0" w:header="0"/>
          <w:type w:val="continuous"/>
        </w:sectPr>
      </w:pPr>
    </w:p>
    <w:bookmarkStart w:id="5" w:name="page6"/>
    <w:bookmarkEnd w:id="5"/>
    <w:p>
      <w:pPr>
        <w:ind w:left="960" w:right="20"/>
        <w:spacing w:after="0" w:line="259" w:lineRule="auto"/>
        <w:rPr>
          <w:sz w:val="20"/>
          <w:szCs w:val="20"/>
          <w:color w:val="auto"/>
        </w:rPr>
      </w:pPr>
      <w:r>
        <w:rPr>
          <w:rFonts w:ascii="Times New Roman" w:cs="Times New Roman" w:eastAsia="Times New Roman" w:hAnsi="Times New Roman"/>
          <w:sz w:val="22"/>
          <w:szCs w:val="22"/>
          <w:color w:val="auto"/>
        </w:rPr>
        <w:t>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7" w:lineRule="exact"/>
        <w:rPr>
          <w:sz w:val="20"/>
          <w:szCs w:val="20"/>
          <w:color w:val="auto"/>
        </w:rPr>
      </w:pPr>
    </w:p>
    <w:p>
      <w:pPr>
        <w:jc w:val="both"/>
        <w:ind w:left="960" w:right="60"/>
        <w:spacing w:after="0" w:line="268" w:lineRule="auto"/>
        <w:rPr>
          <w:sz w:val="20"/>
          <w:szCs w:val="20"/>
          <w:color w:val="auto"/>
        </w:rPr>
      </w:pPr>
      <w:r>
        <w:rPr>
          <w:rFonts w:ascii="Times New Roman" w:cs="Times New Roman" w:eastAsia="Times New Roman" w:hAnsi="Times New Roman"/>
          <w:sz w:val="21"/>
          <w:szCs w:val="21"/>
          <w:color w:val="auto"/>
        </w:rPr>
        <w:t>Beryl is the investment adviser to the Partnership and other accounts. Beryl is the general partner of Beryl GP, which is the general partner of the Partnership and other private investment funds. Mr. Witkin is the control person of Beryl.</w:t>
      </w:r>
    </w:p>
    <w:p>
      <w:pPr>
        <w:spacing w:after="0" w:line="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Beryl Capital Management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Beryl Capital Management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Operating Officer of Beryl Capital</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Management LLC, General Partner of Beryl</w:t>
      </w:r>
    </w:p>
    <w:p>
      <w:pPr>
        <w:ind w:left="6780"/>
        <w:spacing w:after="0"/>
        <w:rPr>
          <w:sz w:val="20"/>
          <w:szCs w:val="20"/>
          <w:color w:val="auto"/>
        </w:rPr>
      </w:pPr>
      <w:r>
        <w:rPr>
          <w:rFonts w:ascii="Times New Roman" w:cs="Times New Roman" w:eastAsia="Times New Roman" w:hAnsi="Times New Roman"/>
          <w:sz w:val="22"/>
          <w:szCs w:val="22"/>
          <w:color w:val="auto"/>
        </w:rPr>
        <w:t>Capital Management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Beryl Capital Partners II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Nelson</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COO of Beryl Capital Management LLC, General</w:t>
      </w:r>
    </w:p>
    <w:p>
      <w:pPr>
        <w:spacing w:after="0" w:line="1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22"/>
          <w:szCs w:val="22"/>
          <w:color w:val="auto"/>
        </w:rPr>
        <w:t>Name/Title: Partner of Beryl Capital Management LP, General</w:t>
      </w:r>
    </w:p>
    <w:p>
      <w:pPr>
        <w:jc w:val="center"/>
        <w:ind w:left="5640"/>
        <w:spacing w:after="0"/>
        <w:rPr>
          <w:sz w:val="20"/>
          <w:szCs w:val="20"/>
          <w:color w:val="auto"/>
        </w:rPr>
      </w:pPr>
      <w:r>
        <w:rPr>
          <w:rFonts w:ascii="Times New Roman" w:cs="Times New Roman" w:eastAsia="Times New Roman" w:hAnsi="Times New Roman"/>
          <w:sz w:val="22"/>
          <w:szCs w:val="22"/>
          <w:color w:val="auto"/>
        </w:rPr>
        <w:t>Partner of Beryl Capital Partners II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David A. Witkin</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 Witkin</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310" w:lineRule="exact"/>
        <w:rPr>
          <w:sz w:val="20"/>
          <w:szCs w:val="20"/>
          <w:color w:val="auto"/>
        </w:rPr>
      </w:pPr>
    </w:p>
    <w:p>
      <w:pPr>
        <w:ind w:right="6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 99.1 - AGREEMENT REGARDING JOINT FILING OF STATEMENT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13D OR 13G</w:t>
      </w:r>
    </w:p>
    <w:p>
      <w:pPr>
        <w:sectPr>
          <w:pgSz w:w="11900" w:h="16838" w:orient="portrait"/>
          <w:cols w:equalWidth="0" w:num="1">
            <w:col w:w="11180"/>
          </w:cols>
          <w:pgMar w:left="320" w:top="11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color w:val="auto"/>
        </w:rPr>
        <w:t>EXHIBIT 99.1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Beryl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12, 2025</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BERYL CAPITAL MANAGEMENT LLC</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BERYL CAPITAL MANAGEMENT LP</w:t>
            </w:r>
          </w:p>
        </w:tc>
        <w:tc>
          <w:tcPr>
            <w:tcW w:w="0" w:type="dxa"/>
            <w:vAlign w:val="bottom"/>
          </w:tcPr>
          <w:p>
            <w:pPr>
              <w:spacing w:after="0"/>
              <w:rPr>
                <w:sz w:val="1"/>
                <w:szCs w:val="1"/>
                <w:color w:val="auto"/>
              </w:rPr>
            </w:pPr>
          </w:p>
        </w:tc>
      </w:tr>
      <w:tr>
        <w:trPr>
          <w:trHeight w:val="444"/>
        </w:trPr>
        <w:tc>
          <w:tcPr>
            <w:tcW w:w="9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Beryl Capital Management LLC</w:t>
            </w:r>
          </w:p>
        </w:tc>
        <w:tc>
          <w:tcPr>
            <w:tcW w:w="0" w:type="dxa"/>
            <w:vAlign w:val="bottom"/>
          </w:tcPr>
          <w:p>
            <w:pPr>
              <w:spacing w:after="0"/>
              <w:rPr>
                <w:sz w:val="1"/>
                <w:szCs w:val="1"/>
                <w:color w:val="auto"/>
              </w:rPr>
            </w:pPr>
          </w:p>
        </w:tc>
      </w:tr>
      <w:tr>
        <w:trPr>
          <w:trHeight w:val="258"/>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By:</w:t>
            </w: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i w:val="1"/>
                <w:iCs w:val="1"/>
                <w:color w:val="auto"/>
              </w:rPr>
              <w:t>/s/ Andrew Nelson</w:t>
            </w:r>
          </w:p>
        </w:tc>
        <w:tc>
          <w:tcPr>
            <w:tcW w:w="960" w:type="dxa"/>
            <w:vAlign w:val="bottom"/>
          </w:tcPr>
          <w:p>
            <w:pPr>
              <w:spacing w:after="0"/>
              <w:rPr>
                <w:sz w:val="22"/>
                <w:szCs w:val="22"/>
                <w:color w:val="auto"/>
              </w:rPr>
            </w:pPr>
          </w:p>
        </w:tc>
        <w:tc>
          <w:tcPr>
            <w:tcW w:w="4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General Partner</w:t>
            </w:r>
          </w:p>
        </w:tc>
        <w:tc>
          <w:tcPr>
            <w:tcW w:w="0" w:type="dxa"/>
            <w:vAlign w:val="bottom"/>
          </w:tcPr>
          <w:p>
            <w:pPr>
              <w:spacing w:after="0"/>
              <w:rPr>
                <w:sz w:val="1"/>
                <w:szCs w:val="1"/>
                <w:color w:val="auto"/>
              </w:rPr>
            </w:pPr>
          </w:p>
        </w:tc>
      </w:tr>
      <w:tr>
        <w:trPr>
          <w:trHeight w:val="252"/>
        </w:trPr>
        <w:tc>
          <w:tcPr>
            <w:tcW w:w="940" w:type="dxa"/>
            <w:vAlign w:val="bottom"/>
            <w:vMerge w:val="continue"/>
          </w:tcPr>
          <w:p>
            <w:pPr>
              <w:spacing w:after="0"/>
              <w:rPr>
                <w:sz w:val="21"/>
                <w:szCs w:val="21"/>
                <w:color w:val="auto"/>
              </w:rPr>
            </w:pPr>
          </w:p>
        </w:tc>
        <w:tc>
          <w:tcPr>
            <w:tcW w:w="4800" w:type="dxa"/>
            <w:vAlign w:val="bottom"/>
            <w:tcBorders>
              <w:bottom w:val="single" w:sz="8" w:color="auto"/>
            </w:tcBorders>
            <w:vMerge w:val="continue"/>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By:</w:t>
            </w:r>
          </w:p>
        </w:tc>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i w:val="1"/>
                <w:iCs w:val="1"/>
                <w:color w:val="auto"/>
              </w:rPr>
              <w:t>/s/ Andrew Nelson</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4800" w:type="dxa"/>
            <w:vAlign w:val="bottom"/>
          </w:tcPr>
          <w:p>
            <w:pPr>
              <w:ind w:left="100"/>
              <w:spacing w:after="0" w:line="204" w:lineRule="exact"/>
              <w:rPr>
                <w:sz w:val="20"/>
                <w:szCs w:val="20"/>
                <w:color w:val="auto"/>
              </w:rPr>
            </w:pPr>
            <w:r>
              <w:rPr>
                <w:rFonts w:ascii="Times New Roman" w:cs="Times New Roman" w:eastAsia="Times New Roman" w:hAnsi="Times New Roman"/>
                <w:sz w:val="20"/>
                <w:szCs w:val="20"/>
                <w:color w:val="auto"/>
              </w:rPr>
              <w:t>Andrew Nelson</w:t>
            </w:r>
          </w:p>
        </w:tc>
        <w:tc>
          <w:tcPr>
            <w:tcW w:w="9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line="20" w:lineRule="exact"/>
              <w:rPr>
                <w:sz w:val="1"/>
                <w:szCs w:val="1"/>
                <w:color w:val="auto"/>
              </w:rPr>
            </w:pPr>
          </w:p>
        </w:tc>
        <w:tc>
          <w:tcPr>
            <w:tcW w:w="48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2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Andrew Nelson</w:t>
            </w:r>
          </w:p>
        </w:tc>
        <w:tc>
          <w:tcPr>
            <w:tcW w:w="0" w:type="dxa"/>
            <w:vAlign w:val="bottom"/>
          </w:tcPr>
          <w:p>
            <w:pPr>
              <w:spacing w:after="0"/>
              <w:rPr>
                <w:sz w:val="1"/>
                <w:szCs w:val="1"/>
                <w:color w:val="auto"/>
              </w:rPr>
            </w:pPr>
          </w:p>
        </w:tc>
      </w:tr>
      <w:tr>
        <w:trPr>
          <w:trHeight w:val="25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BERYL CAPITAL PARTNERS II LP</w:t>
            </w: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c>
          <w:tcPr>
            <w:tcW w:w="0" w:type="dxa"/>
            <w:vAlign w:val="bottom"/>
          </w:tcPr>
          <w:p>
            <w:pPr>
              <w:spacing w:after="0"/>
              <w:rPr>
                <w:sz w:val="1"/>
                <w:szCs w:val="1"/>
                <w:color w:val="auto"/>
              </w:rPr>
            </w:pPr>
          </w:p>
        </w:tc>
      </w:tr>
      <w:tr>
        <w:trPr>
          <w:trHeight w:val="243"/>
        </w:trPr>
        <w:tc>
          <w:tcPr>
            <w:tcW w:w="5740" w:type="dxa"/>
            <w:vAlign w:val="bottom"/>
            <w:gridSpan w:val="2"/>
            <w:vMerge w:val="continue"/>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0480" w:type="dxa"/>
            <w:vAlign w:val="bottom"/>
            <w:gridSpan w:val="5"/>
          </w:tcPr>
          <w:p>
            <w:pPr>
              <w:ind w:left="380"/>
              <w:spacing w:after="0"/>
              <w:rPr>
                <w:sz w:val="20"/>
                <w:szCs w:val="20"/>
                <w:color w:val="auto"/>
              </w:rPr>
            </w:pPr>
            <w:r>
              <w:rPr>
                <w:rFonts w:ascii="Times New Roman" w:cs="Times New Roman" w:eastAsia="Times New Roman" w:hAnsi="Times New Roman"/>
                <w:sz w:val="22"/>
                <w:szCs w:val="22"/>
                <w:color w:val="auto"/>
              </w:rPr>
              <w:t>Beryl Capital Management LP</w:t>
            </w:r>
          </w:p>
        </w:tc>
      </w:tr>
      <w:tr>
        <w:trPr>
          <w:trHeight w:val="266"/>
        </w:trPr>
        <w:tc>
          <w:tcPr>
            <w:tcW w:w="660" w:type="dxa"/>
            <w:vAlign w:val="bottom"/>
          </w:tcPr>
          <w:p>
            <w:pPr>
              <w:spacing w:after="0"/>
              <w:rPr>
                <w:sz w:val="23"/>
                <w:szCs w:val="23"/>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General Partner</w:t>
            </w:r>
          </w:p>
        </w:tc>
        <w:tc>
          <w:tcPr>
            <w:tcW w:w="3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/s/ David A. Witkin</w:t>
            </w:r>
          </w:p>
        </w:tc>
      </w:tr>
      <w:tr>
        <w:trPr>
          <w:trHeight w:val="199"/>
        </w:trPr>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4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b w:val="1"/>
                <w:bCs w:val="1"/>
                <w:color w:val="auto"/>
                <w:w w:val="98"/>
              </w:rPr>
              <w:t>David A. Witkin</w:t>
            </w:r>
          </w:p>
        </w:tc>
      </w:tr>
      <w:tr>
        <w:trPr>
          <w:trHeight w:val="248"/>
        </w:trPr>
        <w:tc>
          <w:tcPr>
            <w:tcW w:w="66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By:</w:t>
            </w:r>
          </w:p>
        </w:tc>
        <w:tc>
          <w:tcPr>
            <w:tcW w:w="9620" w:type="dxa"/>
            <w:vAlign w:val="bottom"/>
            <w:gridSpan w:val="4"/>
          </w:tcPr>
          <w:p>
            <w:pPr>
              <w:ind w:left="180"/>
              <w:spacing w:after="0" w:line="247" w:lineRule="exact"/>
              <w:rPr>
                <w:sz w:val="20"/>
                <w:szCs w:val="20"/>
                <w:color w:val="auto"/>
              </w:rPr>
            </w:pPr>
            <w:r>
              <w:rPr>
                <w:rFonts w:ascii="Times New Roman" w:cs="Times New Roman" w:eastAsia="Times New Roman" w:hAnsi="Times New Roman"/>
                <w:sz w:val="22"/>
                <w:szCs w:val="22"/>
                <w:color w:val="auto"/>
              </w:rPr>
              <w:t>Beryl Capital Management LLC</w:t>
            </w:r>
          </w:p>
        </w:tc>
      </w:tr>
      <w:tr>
        <w:trPr>
          <w:trHeight w:val="258"/>
        </w:trPr>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487"/>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By:</w:t>
            </w:r>
          </w:p>
        </w:tc>
        <w:tc>
          <w:tcPr>
            <w:tcW w:w="87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 Andrew Nelson</w:t>
            </w:r>
          </w:p>
        </w:tc>
      </w:tr>
      <w:tr>
        <w:trPr>
          <w:trHeight w:val="207"/>
        </w:trPr>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tcBorders>
              <w:top w:val="single" w:sz="8" w:color="auto"/>
            </w:tcBorders>
          </w:tcPr>
          <w:p>
            <w:pPr>
              <w:ind w:left="100"/>
              <w:spacing w:after="0" w:line="207" w:lineRule="exact"/>
              <w:rPr>
                <w:sz w:val="20"/>
                <w:szCs w:val="20"/>
                <w:color w:val="auto"/>
              </w:rPr>
            </w:pPr>
            <w:r>
              <w:rPr>
                <w:rFonts w:ascii="Times New Roman" w:cs="Times New Roman" w:eastAsia="Times New Roman" w:hAnsi="Times New Roman"/>
                <w:sz w:val="20"/>
                <w:szCs w:val="20"/>
                <w:color w:val="auto"/>
              </w:rPr>
              <w:t>Andrew Nelson</w:t>
            </w:r>
          </w:p>
        </w:tc>
        <w:tc>
          <w:tcPr>
            <w:tcW w:w="36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58"/>
        </w:trPr>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7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Chief Operating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2025-08-12T15:29:37Z</dcterms:created>
  <dcterms:modified xsi:type="dcterms:W3CDTF">2025-08-12T15:29:37Z</dcterms:modified>
</cp:coreProperties>
</file>