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30, 2019 (October 29,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60" w:hanging="852"/>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860" w:hanging="852"/>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860" w:hanging="852"/>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860" w:hanging="852"/>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40" w:type="dxa"/>
            <w:vAlign w:val="bottom"/>
          </w:tcPr>
          <w:p>
            <w:pPr>
              <w:spacing w:after="0"/>
              <w:rPr>
                <w:sz w:val="19"/>
                <w:szCs w:val="19"/>
                <w:color w:val="auto"/>
              </w:rPr>
            </w:pPr>
          </w:p>
        </w:tc>
      </w:tr>
      <w:tr>
        <w:trPr>
          <w:trHeight w:val="202"/>
        </w:trPr>
        <w:tc>
          <w:tcPr>
            <w:tcW w:w="3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ind w:left="40"/>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October 29, 2019, Y-mAbs Therapeutics, Inc. (the “Company”) entered into an underwriting agreement (the “Underwriting Agreement”) with Morgan Stanley &amp; Co. LLC, J.P. Morgan Securities LLC and BofA Securities, Inc., as representatives of the several underwriters named therein (the “Underwriters”), relating to the issuance and sale of 4,465,000 shares (the “Shares”) of the Company’s common stock to the Underwriters (the “Offering”). The Shares were sold at a price to the public of $28.00 per Share and were purchased by the Underwriters from the Company at a price of $26.32 per Share. The Company also granted the Underwriters a 30-day option to purchase up to 669,750 additional shares of its common stock. The net proceeds to the Company from the Offering, excluding any exercise by the Underwriters of their 30-day option to purchase additional shares, are expected to be approximately $117.1 million, or approximately $134.7 million if the Underwriters exercise in full their option to purchase additional shares, after deducting the underwriting discounts and commissions and estimated offering expenses payable by the Company.</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Offering is expected to close on or about November 1, 2019, subject to the satisfaction of customary closing conditions. The Underwriting Agreement contains customary representations, warranties, covenants and agreements by the Company,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and were solely for the benefit of the parties to the Underwriting Agreement. The foregoing description of the Underwriting Agreement is not complete and is qualified in its entirety by reference to the full text of the Underwriting Agreement, a copy of which is filed as Exhibit 1.1 to this Current Report on Form 8-K and is incorporated by reference herein.</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Offering is being made by means of a written prospectus forming part of a shelf registration statement on Form S-3 (Registration Statement No. 333-234034), previously filed by the Company with the Securities and Exchange Commission on October 1, 2019, which became effective on October 15, 2019, and a related prospectus supplement.</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legal opinion, including the related consent, of Satterlee Stephens LLP relating to the legality of the issuance and sale of the shares of the Company’s common stock in this Offering is filed as Exhibit 5.1 hereto.</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October 29, 2019, the Company issued a press release announcing that it had commenced the Offering. On October 29, 2019, the Company issued a press release announcing the pricing of the Offering. Copies of these press releases are attached as Exhibits 99.1 and 99.2 hereto, respectively.</w:t>
      </w:r>
    </w:p>
    <w:p>
      <w:pPr>
        <w:spacing w:after="0" w:line="12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Neither the disclosures on this Form 8-K nor the attached press releases shall constitute an offer to sell or the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information in Item 8.01 and in Exhibits 99.1 and 99.2 of this Current Report on Form 8-K is being furnished and shall not be deemed “filed” for the purposes of Section 18 of the Securities Exchange Act of 1934, as amended, or otherwise subject to the liabilities of that Section, nor shall it be incorporated by reference in any filing under the Securities Act of 1933, as amended, except as expressly set forth by specific reference in such a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9"/>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97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October 29, 2019, by and among the Company and Morgan Stanley &amp; Co. LLC, J.P. Morgan Securities</w:t>
              </w:r>
            </w:hyperlink>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LLC and BofA Securities, Inc., as representatives of the several underwriters named therein.</w:t>
              </w:r>
            </w:hyperlink>
          </w:p>
        </w:tc>
        <w:tc>
          <w:tcPr>
            <w:tcW w:w="32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25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Opinion of Satterlee Stephens LLP.</w:t>
              </w:r>
            </w:hyperlink>
          </w:p>
        </w:tc>
        <w:tc>
          <w:tcPr>
            <w:tcW w:w="738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340" w:type="dxa"/>
            <w:vAlign w:val="bottom"/>
          </w:tcPr>
          <w:p>
            <w:pPr>
              <w:spacing w:after="0"/>
              <w:rPr>
                <w:sz w:val="17"/>
                <w:szCs w:val="17"/>
                <w:color w:val="auto"/>
              </w:rPr>
            </w:pPr>
          </w:p>
        </w:tc>
        <w:tc>
          <w:tcPr>
            <w:tcW w:w="43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Consent of Satterlee Stephens LLP (included in Exhibit 5.1).</w:t>
              </w:r>
            </w:hyperlink>
          </w:p>
        </w:tc>
        <w:tc>
          <w:tcPr>
            <w:tcW w:w="55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27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Press Release dated October 29, 2019.</w:t>
              </w:r>
            </w:hyperlink>
          </w:p>
        </w:tc>
        <w:tc>
          <w:tcPr>
            <w:tcW w:w="714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340" w:type="dxa"/>
            <w:vAlign w:val="bottom"/>
          </w:tcPr>
          <w:p>
            <w:pPr>
              <w:spacing w:after="0"/>
              <w:rPr>
                <w:sz w:val="17"/>
                <w:szCs w:val="17"/>
                <w:color w:val="auto"/>
              </w:rPr>
            </w:pPr>
          </w:p>
        </w:tc>
        <w:tc>
          <w:tcPr>
            <w:tcW w:w="9920" w:type="dxa"/>
            <w:vAlign w:val="bottom"/>
            <w:gridSpan w:val="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Press Release dated October 29, 2019.</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740" w:type="dxa"/>
            <w:vAlign w:val="bottom"/>
            <w:tcBorders>
              <w:top w:val="single" w:sz="8" w:color="0000EE"/>
            </w:tcBorders>
            <w:gridSpan w:val="2"/>
          </w:tcPr>
          <w:p>
            <w:pPr>
              <w:spacing w:after="0"/>
              <w:rPr>
                <w:sz w:val="24"/>
                <w:szCs w:val="24"/>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Y-MABS THERAPEUTICS, INC.</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October 30, 2019</w:t>
            </w:r>
          </w:p>
        </w:tc>
        <w:tc>
          <w:tcPr>
            <w:tcW w:w="7740" w:type="dxa"/>
            <w:vAlign w:val="bottom"/>
            <w:gridSpan w:val="2"/>
          </w:tcPr>
          <w:p>
            <w:pPr>
              <w:ind w:left="204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Founder, Chairman, President and</w:t>
            </w:r>
          </w:p>
        </w:tc>
        <w:tc>
          <w:tcPr>
            <w:tcW w:w="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Head of Business Development</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ind w:left="10580"/>
        <w:spacing w:after="0"/>
        <w:rPr>
          <w:sz w:val="20"/>
          <w:szCs w:val="20"/>
          <w:color w:val="auto"/>
        </w:rPr>
      </w:pPr>
      <w:r>
        <w:rPr>
          <w:rFonts w:ascii="Arial" w:cs="Arial" w:eastAsia="Arial" w:hAnsi="Arial"/>
          <w:sz w:val="16"/>
          <w:szCs w:val="16"/>
          <w:b w:val="1"/>
          <w:bCs w:val="1"/>
          <w:color w:val="auto"/>
        </w:rPr>
        <w:t>Exhibit 1.1</w:t>
      </w:r>
    </w:p>
    <w:p>
      <w:pPr>
        <w:spacing w:after="0" w:line="248" w:lineRule="exact"/>
        <w:rPr>
          <w:sz w:val="20"/>
          <w:szCs w:val="20"/>
          <w:color w:val="auto"/>
        </w:rPr>
      </w:pPr>
    </w:p>
    <w:p>
      <w:pPr>
        <w:spacing w:after="0"/>
        <w:tabs>
          <w:tab w:leader="none" w:pos="9440" w:val="left"/>
        </w:tabs>
        <w:rPr>
          <w:sz w:val="20"/>
          <w:szCs w:val="20"/>
          <w:color w:val="auto"/>
        </w:rPr>
      </w:pPr>
      <w:r>
        <w:rPr>
          <w:rFonts w:ascii="Arial" w:cs="Arial" w:eastAsia="Arial" w:hAnsi="Arial"/>
          <w:sz w:val="18"/>
          <w:szCs w:val="18"/>
          <w:b w:val="1"/>
          <w:bCs w:val="1"/>
          <w:color w:val="auto"/>
        </w:rPr>
        <w:t>STRICTLY CONFIDENTIAL</w:t>
      </w:r>
      <w:r>
        <w:rPr>
          <w:sz w:val="20"/>
          <w:szCs w:val="20"/>
          <w:color w:val="auto"/>
        </w:rPr>
        <w:tab/>
      </w: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4,465,000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4,465,000 Shares of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420"/>
            <w:col w:w="10780"/>
          </w:cols>
          <w:pgMar w:left="240" w:top="341"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10179</w:t>
      </w:r>
    </w:p>
    <w:p>
      <w:pPr>
        <w:spacing w:after="0" w:line="200" w:lineRule="exact"/>
        <w:rPr>
          <w:sz w:val="20"/>
          <w:szCs w:val="20"/>
          <w:color w:val="auto"/>
        </w:rPr>
      </w:pPr>
    </w:p>
    <w:p>
      <w:pPr>
        <w:sectPr>
          <w:pgSz w:w="11900" w:h="16838" w:orient="portrait"/>
          <w:cols w:equalWidth="0" w:num="2">
            <w:col w:w="220" w:space="420"/>
            <w:col w:w="10780"/>
          </w:cols>
          <w:pgMar w:left="240" w:top="341"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420"/>
            <w:col w:w="10780"/>
          </w:cols>
          <w:pgMar w:left="240" w:top="341"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Y-mAbs Therapeutics, Inc., a Delaware corporation (the “Company”), confirms its agreement with Morgan Stanley &amp; Co. LLC (“Morgan Stanley”), J.P. Morgan Securities LLC (“J.P. Morgan”), BofA Securities, Inc. (“BofAS”) and each of the other Underwriters named in Schedule A hereto (collectively, the “Underwriters,” which term shall also include any underwriter substituted as hereinafter provided in Section 10 hereof), for whom Morgan Stanley, J.P. Morgan and BofAS are acting as representatives (in such capacity, the “Representatives”), with respect to (i) the sale by the Company and the purchase by the Underwriters, acting severally and not jointly, of the respective numbers of shares of Common Stock, par value $0.0001 per share, of the Company (“Common Stock”) set forth in Schedule A hereto and (ii) the grant by the Company to the Underwriters, acting severally and not jointly, of the option described in Section 2(b) hereof to purchase all or any part of 669,750 additional shares of Common Stock. The aforesaid 4,465,000 shares of Common Stock (the “Initial Securities”) to be purchased by the Underwriters and all or any part of the 669,750 shares of Common Stock subject to the option described in Section 2(b) hereof (the “Option Securities”) are herein called, collectively, the “Securities.”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 w:name="page6"/>
    <w:bookmarkEnd w:id="5"/>
    <w:p>
      <w:pPr>
        <w:ind w:right="160" w:firstLine="648"/>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Agreement has been executed and delivered.</w:t>
      </w:r>
    </w:p>
    <w:p>
      <w:pPr>
        <w:spacing w:after="0" w:line="17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Company has prepared and filed with the Securities and Exchange Commission (the “Commission”) a shelf registration statement on Form S-3 (No. 333-234034), covering the public offering and sale of certain securities, including the Securities, under the Securities Act of 1933, as amended (the “1933 Act”) and the rules and regulations promulgated thereunder (the “1933 Act Regulations”), which shelf registration statement has been declared effective by the Commission. Such registration statement, as of any time, means such registration statement as amended by any post-effective amendments thereto at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and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Rule 430B. Any registration statement filed pursuant to Rule 462(b) of the 1933 Act Regulations is herein called the</w:t>
      </w:r>
    </w:p>
    <w:p>
      <w:pPr>
        <w:spacing w:after="0" w:line="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“Rule 462(b) Registration Statement” and, after such filing, the term “Registration Statement” shall include the Rule 462(b) Registration Statement.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 (“Rule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 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left="660" w:right="500" w:firstLine="648"/>
        <w:spacing w:after="0" w:line="277" w:lineRule="auto"/>
        <w:rPr>
          <w:sz w:val="20"/>
          <w:szCs w:val="20"/>
          <w:color w:val="auto"/>
        </w:rPr>
      </w:pPr>
      <w:r>
        <w:rPr>
          <w:rFonts w:ascii="Arial" w:cs="Arial" w:eastAsia="Arial" w:hAnsi="Arial"/>
          <w:sz w:val="18"/>
          <w:szCs w:val="18"/>
          <w:color w:val="auto"/>
        </w:rPr>
        <w:t>“Applicable Time” means 7:15 P.M., New York City time, on October 29, 2019 or such other time as agreed by the Company and the Representatives.</w:t>
      </w:r>
    </w:p>
    <w:p>
      <w:pPr>
        <w:spacing w:after="0" w:line="170" w:lineRule="exact"/>
        <w:rPr>
          <w:sz w:val="20"/>
          <w:szCs w:val="20"/>
          <w:color w:val="auto"/>
        </w:rPr>
      </w:pPr>
    </w:p>
    <w:p>
      <w:pPr>
        <w:ind w:left="660" w:right="80" w:firstLine="648"/>
        <w:spacing w:after="0" w:line="264" w:lineRule="auto"/>
        <w:rPr>
          <w:sz w:val="20"/>
          <w:szCs w:val="20"/>
          <w:color w:val="auto"/>
        </w:rPr>
      </w:pPr>
      <w:r>
        <w:rPr>
          <w:rFonts w:ascii="Arial" w:cs="Arial" w:eastAsia="Arial" w:hAnsi="Arial"/>
          <w:sz w:val="18"/>
          <w:szCs w:val="18"/>
          <w:color w:val="auto"/>
        </w:rPr>
        <w:t>“General Disclosure Package” means any Issuer General Use Free Writing Prospectuses issued at or prior to the Applicable Time, the most recent preliminary prospectus (including any documents incorporated by reference therein) that is distributed to investors prior to the Applicable Time and the information included on Schedule B-1 hereto, all considered together.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“Issuer Free Writing Prospectus” means any “issuer free writing prospectus,” as defined in Rule 433 of the 1933 Act Regulations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 433”), including without limitation any “free writing prospectus” (as defined in Rule 405 of the 1933 Act Regulations (“Rule 405”)) relating</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Securities that is (i) required to be filed with the Commission by the Company, (ii) a “road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show that is a written communication” within the meaning of Rule 433(d)(8)(i), whether or not required to be filed with the Commission, or</w:t>
      </w:r>
    </w:p>
    <w:p>
      <w:pPr>
        <w:spacing w:after="0" w:line="23" w:lineRule="exact"/>
        <w:rPr>
          <w:sz w:val="20"/>
          <w:szCs w:val="20"/>
          <w:color w:val="auto"/>
        </w:rPr>
      </w:pPr>
    </w:p>
    <w:p>
      <w:pPr>
        <w:jc w:val="both"/>
        <w:ind w:left="660" w:right="160" w:hanging="4"/>
        <w:spacing w:after="0" w:line="255"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90" w:lineRule="exact"/>
        <w:rPr>
          <w:sz w:val="20"/>
          <w:szCs w:val="20"/>
          <w:color w:val="auto"/>
        </w:rPr>
      </w:pPr>
    </w:p>
    <w:p>
      <w:pPr>
        <w:ind w:left="660" w:right="680" w:firstLine="648"/>
        <w:spacing w:after="0" w:line="277"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as evidenced by its being specified in Schedule B-2 hereto.</w:t>
      </w:r>
    </w:p>
    <w:p>
      <w:pPr>
        <w:spacing w:after="0" w:line="170" w:lineRule="exact"/>
        <w:rPr>
          <w:sz w:val="20"/>
          <w:szCs w:val="20"/>
          <w:color w:val="auto"/>
        </w:rPr>
      </w:pPr>
    </w:p>
    <w:p>
      <w:pPr>
        <w:ind w:left="660" w:right="36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left="660" w:right="720" w:firstLine="648"/>
        <w:spacing w:after="0" w:line="277" w:lineRule="auto"/>
        <w:rPr>
          <w:sz w:val="20"/>
          <w:szCs w:val="20"/>
          <w:color w:val="auto"/>
        </w:rPr>
      </w:pPr>
      <w:r>
        <w:rPr>
          <w:rFonts w:ascii="Arial" w:cs="Arial" w:eastAsia="Arial" w:hAnsi="Arial"/>
          <w:sz w:val="18"/>
          <w:szCs w:val="18"/>
          <w:color w:val="auto"/>
        </w:rPr>
        <w:t>“Testing-the-Waters Communication” means any oral or written communication with potential investors undertaken in reliance on Section 5(d) of the 1933 Act.</w:t>
      </w:r>
    </w:p>
    <w:p>
      <w:pPr>
        <w:spacing w:after="0" w:line="170" w:lineRule="exact"/>
        <w:rPr>
          <w:sz w:val="20"/>
          <w:szCs w:val="20"/>
          <w:color w:val="auto"/>
        </w:rPr>
      </w:pPr>
    </w:p>
    <w:p>
      <w:pPr>
        <w:ind w:left="660" w:right="260" w:firstLine="648"/>
        <w:spacing w:after="0" w:line="277"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1933 Act.</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any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(the “1934 Act”) and the rules and regulations promulgated thereunder (the “1934 Regulations”), incorporated or deemed to be incorporated by reference in the Registration Statement, such preliminary prospectus or the Prospectus, as the case may be, at or after the execution and delivery of this Agreement.</w:t>
      </w:r>
    </w:p>
    <w:p>
      <w:pPr>
        <w:spacing w:after="0" w:line="19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right="380" w:firstLine="656"/>
        <w:spacing w:after="0" w:line="342" w:lineRule="auto"/>
        <w:tabs>
          <w:tab w:leader="none" w:pos="1294"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by the Company</w:t>
      </w:r>
      <w:r>
        <w:rPr>
          <w:rFonts w:ascii="Arial" w:cs="Arial" w:eastAsia="Arial" w:hAnsi="Arial"/>
          <w:sz w:val="16"/>
          <w:szCs w:val="16"/>
          <w:color w:val="auto"/>
        </w:rPr>
        <w:t>. The Company represents and warrants to each Underwriter as of the date hereof,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Time, the Closing Time (as defined below) and any Date of Delivery (as defined below), and agrees with each Underwriter, as follows:</w:t>
      </w:r>
    </w:p>
    <w:p>
      <w:pPr>
        <w:spacing w:after="0" w:line="123" w:lineRule="exact"/>
        <w:rPr>
          <w:rFonts w:ascii="Arial" w:cs="Arial" w:eastAsia="Arial" w:hAnsi="Arial"/>
          <w:sz w:val="16"/>
          <w:szCs w:val="16"/>
          <w:color w:val="auto"/>
        </w:rPr>
      </w:pPr>
    </w:p>
    <w:p>
      <w:pPr>
        <w:ind w:left="660" w:firstLine="645"/>
        <w:spacing w:after="0" w:line="273" w:lineRule="auto"/>
        <w:tabs>
          <w:tab w:leader="none" w:pos="1978"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meets the requirements for use of Form S-3 under the 1933 Act for primary offerings.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w:t>
      </w:r>
    </w:p>
    <w:p>
      <w:pPr>
        <w:spacing w:after="0" w:line="178"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Each of the Registration Statement and any post-effective amendment thereto, at the time of its effectiveness and at each deemed effective date with respect to the Underwriters pursuant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ind w:right="140"/>
        <w:spacing w:after="0" w:line="297" w:lineRule="auto"/>
        <w:rPr>
          <w:sz w:val="20"/>
          <w:szCs w:val="20"/>
          <w:color w:val="auto"/>
        </w:rPr>
      </w:pPr>
      <w:r>
        <w:rPr>
          <w:rFonts w:ascii="Arial" w:cs="Arial" w:eastAsia="Arial" w:hAnsi="Arial"/>
          <w:sz w:val="16"/>
          <w:szCs w:val="16"/>
          <w:color w:val="auto"/>
        </w:rPr>
        <w:t>Rule 430B(f)(2) under the 1933 Act Regulations, complied and will comply in all material respects with the requirements of the 1933 Act and the 1933 Act Regulations. Each preliminary prospectus, the Prospectus and any amendment or supplement thereto, at the time each was filed with the Commission, complied and will comply in all material respects with the requirements of the 1933 Act and the 1933 Act Regulations. Each preliminary prospectus and the Prospectus delivered to the Underwriters for use in connection with this offering was or will be identical to the electronically transmitted copies thereof filed with the Commission pursuant to EDGAR, except to the extent permitted by Regulation S-T.</w:t>
      </w:r>
    </w:p>
    <w:p>
      <w:pPr>
        <w:spacing w:after="0" w:line="15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documents incorporated or deemed to be incorporated by reference in the Registration Statement and the Prospectus, when they became effective or at the time they were or hereafter are filed with the Commission, complied and will comply in all material respects with the requirements of the 1934 Act and the 1934 Act Regulations.</w:t>
      </w:r>
    </w:p>
    <w:p>
      <w:pPr>
        <w:spacing w:after="0" w:line="181" w:lineRule="exact"/>
        <w:rPr>
          <w:sz w:val="20"/>
          <w:szCs w:val="20"/>
          <w:color w:val="auto"/>
        </w:rPr>
      </w:pPr>
    </w:p>
    <w:p>
      <w:pPr>
        <w:ind w:firstLine="645"/>
        <w:spacing w:after="0" w:line="286" w:lineRule="auto"/>
        <w:tabs>
          <w:tab w:leader="none" w:pos="132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at the Closing Time and any Date of Delivery, neither of (A) the General Disclosure Package nor (B) any individual Issuer Limited Use Free Writing Prospectus, when considered together with the General Disclosure Package,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3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Short Positions and Penalty Bids” and the information under the heading “Underwriting—Electronic Offer, Sale and Distribution of Shares” in each case contained in the Prospectus (collectively, the “Underwriter Information”).</w:t>
      </w:r>
    </w:p>
    <w:p>
      <w:pPr>
        <w:spacing w:after="0" w:line="178" w:lineRule="exact"/>
        <w:rPr>
          <w:sz w:val="20"/>
          <w:szCs w:val="20"/>
          <w:color w:val="auto"/>
        </w:rPr>
      </w:pPr>
    </w:p>
    <w:p>
      <w:pPr>
        <w:ind w:right="140" w:firstLine="645"/>
        <w:spacing w:after="0" w:line="342" w:lineRule="auto"/>
        <w:tabs>
          <w:tab w:leader="none" w:pos="1337"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Prospectuses</w:t>
      </w:r>
      <w:r>
        <w:rPr>
          <w:rFonts w:ascii="Arial" w:cs="Arial" w:eastAsia="Arial" w:hAnsi="Arial"/>
          <w:sz w:val="16"/>
          <w:szCs w:val="16"/>
          <w:color w:val="auto"/>
        </w:rPr>
        <w:t>. No Issuer Free Writing Prospectus conflicts or will conflict with the information contained in the Registration Statement or the Prospectus, including any document incorporated by reference therein, and any preliminary or other</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0"/>
          </w:cols>
          <w:pgMar w:left="900" w:top="341" w:right="299" w:bottom="1440" w:gutter="0" w:footer="0" w:header="0"/>
        </w:sectPr>
      </w:pPr>
    </w:p>
    <w:bookmarkStart w:id="8" w:name="page9"/>
    <w:bookmarkEnd w:id="8"/>
    <w:p>
      <w:pPr>
        <w:ind w:right="380"/>
        <w:spacing w:after="0" w:line="264" w:lineRule="auto"/>
        <w:rPr>
          <w:sz w:val="20"/>
          <w:szCs w:val="20"/>
          <w:color w:val="auto"/>
        </w:rPr>
      </w:pPr>
      <w:r>
        <w:rPr>
          <w:rFonts w:ascii="Arial" w:cs="Arial" w:eastAsia="Arial" w:hAnsi="Arial"/>
          <w:sz w:val="18"/>
          <w:szCs w:val="18"/>
          <w:color w:val="auto"/>
        </w:rPr>
        <w:t>prospectus deemed to be a part thereof that has not been superseded or modified. The representations and warranties in this subsection shall not apply to statements in or omissions from any Issuer Free Writing Prospectus made in reliance upon and in conformity with the Underwriter Information.</w:t>
      </w:r>
    </w:p>
    <w:p>
      <w:pPr>
        <w:spacing w:after="0" w:line="181" w:lineRule="exact"/>
        <w:rPr>
          <w:sz w:val="20"/>
          <w:szCs w:val="20"/>
          <w:color w:val="auto"/>
        </w:rPr>
      </w:pPr>
    </w:p>
    <w:p>
      <w:pPr>
        <w:ind w:right="100" w:firstLine="645"/>
        <w:spacing w:after="0" w:line="259" w:lineRule="auto"/>
        <w:tabs>
          <w:tab w:leader="none" w:pos="131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Testing-the-Waters Materials</w:t>
      </w:r>
      <w:r>
        <w:rPr>
          <w:rFonts w:ascii="Arial" w:cs="Arial" w:eastAsia="Arial" w:hAnsi="Arial"/>
          <w:sz w:val="18"/>
          <w:szCs w:val="18"/>
          <w:color w:val="auto"/>
        </w:rPr>
        <w:t>. The Company (A) has not engaged in any Testing-the-Waters Communication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w:t>
      </w:r>
    </w:p>
    <w:p>
      <w:pPr>
        <w:spacing w:after="0" w:line="186" w:lineRule="exact"/>
        <w:rPr>
          <w:rFonts w:ascii="Arial" w:cs="Arial" w:eastAsia="Arial" w:hAnsi="Arial"/>
          <w:sz w:val="18"/>
          <w:szCs w:val="18"/>
          <w:color w:val="auto"/>
        </w:rPr>
      </w:pPr>
    </w:p>
    <w:p>
      <w:pPr>
        <w:ind w:right="160" w:firstLine="645"/>
        <w:spacing w:after="0" w:line="257"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8" w:lineRule="exact"/>
        <w:rPr>
          <w:rFonts w:ascii="Arial" w:cs="Arial" w:eastAsia="Arial" w:hAnsi="Arial"/>
          <w:sz w:val="18"/>
          <w:szCs w:val="18"/>
          <w:color w:val="auto"/>
        </w:rPr>
      </w:pPr>
    </w:p>
    <w:p>
      <w:pPr>
        <w:ind w:right="220" w:firstLine="645"/>
        <w:spacing w:after="0" w:line="259" w:lineRule="auto"/>
        <w:tabs>
          <w:tab w:leader="none" w:pos="131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xml:space="preserve"> From the time of the initial filing of the Registration Statement with the Commission (or, if earlier, the first date on which the Company engaged directly or through any individual or entity (“Person”) authorized to act on its behalf in any Testing-the-Waters Communication) through the date hereof, the Company has been and is an “emerging growth company,” as defined in Section 2(a) of the 1933 Act (an “Emerging Growth Company”).</w:t>
      </w:r>
    </w:p>
    <w:p>
      <w:pPr>
        <w:spacing w:after="0" w:line="186" w:lineRule="exact"/>
        <w:rPr>
          <w:rFonts w:ascii="Arial" w:cs="Arial" w:eastAsia="Arial" w:hAnsi="Arial"/>
          <w:sz w:val="18"/>
          <w:szCs w:val="18"/>
          <w:color w:val="auto"/>
        </w:rPr>
      </w:pPr>
    </w:p>
    <w:p>
      <w:pPr>
        <w:ind w:firstLine="645"/>
        <w:spacing w:after="0" w:line="264" w:lineRule="auto"/>
        <w:tabs>
          <w:tab w:leader="none" w:pos="132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financial statements and supporting schedules included in the Registration Statement, the General Disclosure Package and the Prospectus are independent public accountants as required by the 1933 Act, the 1933 Act Regulations, the 1934 Act, the 1934 Act Regulations and the Public Company Accounting Oversight Board.</w:t>
      </w:r>
    </w:p>
    <w:p>
      <w:pPr>
        <w:spacing w:after="0" w:line="181" w:lineRule="exact"/>
        <w:rPr>
          <w:rFonts w:ascii="Arial" w:cs="Arial" w:eastAsia="Arial" w:hAnsi="Arial"/>
          <w:sz w:val="18"/>
          <w:szCs w:val="18"/>
          <w:color w:val="auto"/>
        </w:rPr>
      </w:pPr>
    </w:p>
    <w:p>
      <w:pPr>
        <w:ind w:firstLine="645"/>
        <w:spacing w:after="0" w:line="287" w:lineRule="auto"/>
        <w:tabs>
          <w:tab w:leader="none" w:pos="133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Subsidiary (as defined below) at the dates indicated and the statement of operations, stockholders’ equity and cash flows of the Company and its Subsidiary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 the 1934 Act or the 1934 Act Regulations. The interactive data in eXtensible Business Reporting Language incorporated by reference in the Registration Statement, the General Disclosure Package and the Prospectus fairly presents the information called for in all</w:t>
      </w:r>
    </w:p>
    <w:p>
      <w:pPr>
        <w:spacing w:after="0" w:line="16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material respects and has been prepared in accordance with the Commission’s rules and guidelines applicable thereto.</w:t>
      </w:r>
    </w:p>
    <w:p>
      <w:pPr>
        <w:spacing w:after="0" w:line="225" w:lineRule="exact"/>
        <w:rPr>
          <w:sz w:val="20"/>
          <w:szCs w:val="20"/>
          <w:color w:val="auto"/>
        </w:rPr>
      </w:pPr>
    </w:p>
    <w:p>
      <w:pPr>
        <w:ind w:right="20" w:firstLine="645"/>
        <w:spacing w:after="0" w:line="255"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Subsidiary considered as one enterprise, whether or not arising in the ordinary course of business (a “Material Adverse Effect”), (B) there have been no transactions entered into by the Company or its Subsidiary, other than those in the ordinary course of business, which are material with respect to the Company and its Subsidiary considered as one enterprise and (C) there has been no dividend or distribution of any kind declared, paid or made by the Company on any class of its capital stock.</w:t>
      </w:r>
    </w:p>
    <w:p>
      <w:pPr>
        <w:spacing w:after="0" w:line="189" w:lineRule="exact"/>
        <w:rPr>
          <w:rFonts w:ascii="Arial" w:cs="Arial" w:eastAsia="Arial" w:hAnsi="Arial"/>
          <w:sz w:val="18"/>
          <w:szCs w:val="18"/>
          <w:color w:val="auto"/>
        </w:rPr>
      </w:pPr>
    </w:p>
    <w:p>
      <w:pPr>
        <w:ind w:right="60" w:firstLine="645"/>
        <w:spacing w:after="0" w:line="272"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(or such equivalent concept to the extent it exists under the laws of such jurisdiction), whether by reason of the ownership or leasing of property or the conduct of business, except where the failure so to qualify or to be in good standing would not reasonably be expected to result in a Material Adverse Effect.</w:t>
      </w:r>
    </w:p>
    <w:p>
      <w:pPr>
        <w:spacing w:after="0" w:line="177" w:lineRule="exact"/>
        <w:rPr>
          <w:rFonts w:ascii="Arial" w:cs="Arial" w:eastAsia="Arial" w:hAnsi="Arial"/>
          <w:sz w:val="17"/>
          <w:szCs w:val="17"/>
          <w:color w:val="auto"/>
        </w:rPr>
      </w:pPr>
    </w:p>
    <w:p>
      <w:pPr>
        <w:ind w:firstLine="645"/>
        <w:spacing w:after="0" w:line="269" w:lineRule="auto"/>
        <w:tabs>
          <w:tab w:leader="none" w:pos="1313"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Good Standing of the Subsidiary</w:t>
      </w:r>
      <w:r>
        <w:rPr>
          <w:rFonts w:ascii="Arial" w:cs="Arial" w:eastAsia="Arial" w:hAnsi="Arial"/>
          <w:sz w:val="17"/>
          <w:szCs w:val="17"/>
          <w:color w:val="auto"/>
        </w:rPr>
        <w:t>. The only subsidiary of the Company is Y-mAbs Therapeutics A/S, a company organized under the laws of the Kingdom of Denmark (the “Subsidiary”). The Subsidiary has been duly organized and is validly existing in good standing under the laws of the jurisdiction of its incorporation or organization (or such equivalent concept to the extent it exists under the laws of such jurisdiction),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(or such equivalent concept to the extent it exists under the laws of such jurisdiction), whether by reason of the ownership or leasing of property or the conduct of business, except where the failure to so qualify or to be in good standing would not reasonably be expected to result in a Material Adverse Effect. Except as otherwise disclosed in the Registration Statement, the General Disclosure Package and the Prospectus, all of the issued and outstanding capital stock of the Subsidiary has been duly authorized and validly issued, is fully paid and non-assessable and is owned directly by the Company, free and clear of any security interest, mortgage, pledge, lien, encumbrance, claim or equity. None of the outstanding shares of capital stock of the Subsidiary were issued in violation of the preemptive or similar rights of any securityholder of the Subsidiary.</w:t>
      </w:r>
    </w:p>
    <w:p>
      <w:pPr>
        <w:spacing w:after="0" w:line="179" w:lineRule="exact"/>
        <w:rPr>
          <w:rFonts w:ascii="Arial" w:cs="Arial" w:eastAsia="Arial" w:hAnsi="Arial"/>
          <w:sz w:val="17"/>
          <w:szCs w:val="17"/>
          <w:color w:val="auto"/>
        </w:rPr>
      </w:pPr>
    </w:p>
    <w:p>
      <w:pPr>
        <w:ind w:right="40" w:firstLine="645"/>
        <w:spacing w:after="0" w:line="276" w:lineRule="auto"/>
        <w:tabs>
          <w:tab w:leader="none" w:pos="1323"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or equity incentive plans referred to in the Registration Statement, the General Disclosure Package and the Prospectus or pursuant to the exercise of convertible securities or options referred to in the Registration Statement, the General Disclosure Package and the</w:t>
      </w:r>
    </w:p>
    <w:p>
      <w:pPr>
        <w:spacing w:after="0" w:line="1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0" w:name="page11"/>
    <w:bookmarkEnd w:id="10"/>
    <w:p>
      <w:pPr>
        <w:ind w:right="120"/>
        <w:spacing w:after="0" w:line="264" w:lineRule="auto"/>
        <w:rPr>
          <w:sz w:val="20"/>
          <w:szCs w:val="20"/>
          <w:color w:val="auto"/>
        </w:rPr>
      </w:pPr>
      <w:r>
        <w:rPr>
          <w:rFonts w:ascii="Arial" w:cs="Arial" w:eastAsia="Arial" w:hAnsi="Arial"/>
          <w:sz w:val="18"/>
          <w:szCs w:val="18"/>
          <w:color w:val="auto"/>
        </w:rPr>
        <w:t>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spacing w:after="0" w:line="181" w:lineRule="exact"/>
        <w:rPr>
          <w:sz w:val="20"/>
          <w:szCs w:val="20"/>
          <w:color w:val="auto"/>
        </w:rPr>
      </w:pPr>
    </w:p>
    <w:p>
      <w:pPr>
        <w:ind w:left="1320" w:hanging="675"/>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firstLine="645"/>
        <w:spacing w:after="0" w:line="272" w:lineRule="auto"/>
        <w:tabs>
          <w:tab w:leader="none" w:pos="130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Securities</w:t>
      </w:r>
      <w:r>
        <w:rPr>
          <w:rFonts w:ascii="Arial" w:cs="Arial" w:eastAsia="Arial" w:hAnsi="Arial"/>
          <w:sz w:val="17"/>
          <w:szCs w:val="17"/>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by reason of being such a holder.</w:t>
      </w:r>
    </w:p>
    <w:p>
      <w:pPr>
        <w:spacing w:after="0" w:line="177" w:lineRule="exact"/>
        <w:rPr>
          <w:rFonts w:ascii="Arial" w:cs="Arial" w:eastAsia="Arial" w:hAnsi="Arial"/>
          <w:sz w:val="17"/>
          <w:szCs w:val="17"/>
          <w:color w:val="auto"/>
        </w:rPr>
      </w:pPr>
    </w:p>
    <w:p>
      <w:pPr>
        <w:ind w:right="60" w:firstLine="645"/>
        <w:spacing w:after="0" w:line="312" w:lineRule="auto"/>
        <w:tabs>
          <w:tab w:leader="none" w:pos="129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146" w:lineRule="exact"/>
        <w:rPr>
          <w:rFonts w:ascii="Arial" w:cs="Arial" w:eastAsia="Arial" w:hAnsi="Arial"/>
          <w:sz w:val="16"/>
          <w:szCs w:val="16"/>
          <w:color w:val="auto"/>
        </w:rPr>
      </w:pPr>
    </w:p>
    <w:p>
      <w:pPr>
        <w:ind w:right="20" w:firstLine="645"/>
        <w:spacing w:after="0" w:line="285" w:lineRule="auto"/>
        <w:tabs>
          <w:tab w:leader="none" w:pos="130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Absence of Violations, Defaults and Conflicts</w:t>
      </w:r>
      <w:r>
        <w:rPr>
          <w:rFonts w:ascii="Arial" w:cs="Arial" w:eastAsia="Arial" w:hAnsi="Arial"/>
          <w:sz w:val="16"/>
          <w:szCs w:val="16"/>
          <w:color w:val="auto"/>
        </w:rPr>
        <w:t>. Neither the Company nor its Subsidiary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its Subsidiary is a party or by which it or any of them may be bound or to which any of the properties or assets of the Company or its Subsidiary is subject (collectively, “Agreements and Instruments”), except for such defaults that would not,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its Subsidiary or any of their respective properties, assets or operations (each, a “Governmental Entity”), except for such violations that would not, singly or in the aggregate, result in a Material Adverse Effect. The execution, delivery and performance of this Agreement and the consummation of the transactions contemplated herein (including the issuance and sale of the Securities and the use of the proceeds from the sale of the Securities as described in the Registration Statement, the General Disclosure Package and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Subsidiary pursuant to, the Agreements and Instruments (except for such conflicts, breaches, defaults or Repayment Events or liens, charges or encumbrances that would not, singly or in the aggregate, result in a Material Adverse Effect), nor will such action result in (i) any violation of the provisions of the charter, by-laws or similar organizational document of the Company or its Subsidiary or (ii) any law, statute, rule, regulation, judgment, order, writ or</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decree of any Governmental Entity, except in the case of clause (ii) for such violations that would not, singly or in the aggregate,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Subsidiary.</w:t>
      </w:r>
    </w:p>
    <w:p>
      <w:pPr>
        <w:spacing w:after="0" w:line="187" w:lineRule="exact"/>
        <w:rPr>
          <w:sz w:val="20"/>
          <w:szCs w:val="20"/>
          <w:color w:val="auto"/>
        </w:rPr>
      </w:pPr>
    </w:p>
    <w:p>
      <w:pPr>
        <w:ind w:right="160" w:firstLine="645"/>
        <w:spacing w:after="0" w:line="259" w:lineRule="auto"/>
        <w:tabs>
          <w:tab w:leader="none" w:pos="131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its Subsidiary exists or, to the knowledge of the Company, is imminent, and the Company is not aware of any existing or imminent labor disturbance by the employees of any of its or its Subsidiary’s principal suppliers, manufacturers, collaborators, customers, or contractors, which, in either case, would reasonably be expected to result in a Material Adverse Effect.</w:t>
      </w:r>
    </w:p>
    <w:p>
      <w:pPr>
        <w:spacing w:after="0" w:line="186" w:lineRule="exact"/>
        <w:rPr>
          <w:rFonts w:ascii="Arial" w:cs="Arial" w:eastAsia="Arial" w:hAnsi="Arial"/>
          <w:sz w:val="18"/>
          <w:szCs w:val="18"/>
          <w:color w:val="auto"/>
        </w:rPr>
      </w:pPr>
    </w:p>
    <w:p>
      <w:pPr>
        <w:ind w:right="40" w:firstLine="645"/>
        <w:spacing w:after="0" w:line="270" w:lineRule="auto"/>
        <w:tabs>
          <w:tab w:leader="none" w:pos="132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Absence of Proceedings</w:t>
      </w:r>
      <w:r>
        <w:rPr>
          <w:rFonts w:ascii="Arial" w:cs="Arial" w:eastAsia="Arial" w:hAnsi="Arial"/>
          <w:sz w:val="17"/>
          <w:szCs w:val="17"/>
          <w:color w:val="auto"/>
        </w:rPr>
        <w:t>. Except as disclosed in the Registration Statement, the General Disclosure Package and the Prospectus, there is no action, suit, proceeding, inquiry or investigation before or brought by any Governmental Entity (including, without limitation, any action, suit, proceeding, inquiry or investigation before or brought by the U.S. Food and Drug Administration (the “FDA”)) now pending or, to the knowledge of the Company, threatened, against or affecting the Company or its Subsidiary, which would result in a Material Adverse Effect, or which would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its Subsidiary is a party or of which any of their respective properties or assets is the subject which are not described in the Registration Statement, the General Disclosure Package and the Prospectus, including ordinary routine litigation incidental to the business, would not result in a Material Adverse Effect.</w:t>
      </w:r>
    </w:p>
    <w:p>
      <w:pPr>
        <w:spacing w:after="0" w:line="181" w:lineRule="exact"/>
        <w:rPr>
          <w:rFonts w:ascii="Arial" w:cs="Arial" w:eastAsia="Arial" w:hAnsi="Arial"/>
          <w:sz w:val="17"/>
          <w:szCs w:val="17"/>
          <w:color w:val="auto"/>
        </w:rPr>
      </w:pPr>
    </w:p>
    <w:p>
      <w:pPr>
        <w:jc w:val="both"/>
        <w:ind w:right="100" w:firstLine="645"/>
        <w:spacing w:after="0" w:line="264" w:lineRule="auto"/>
        <w:tabs>
          <w:tab w:leader="none" w:pos="130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under the 1933 Act Regulations to be described in the Registration Statement, the General Disclosure Package or the Prospectus or to be filed as exhibits to the Registration Statement which have not been so described in all material respects and filed as required.</w:t>
      </w:r>
    </w:p>
    <w:p>
      <w:pPr>
        <w:spacing w:after="0" w:line="181" w:lineRule="exact"/>
        <w:rPr>
          <w:rFonts w:ascii="Arial" w:cs="Arial" w:eastAsia="Arial" w:hAnsi="Arial"/>
          <w:sz w:val="18"/>
          <w:szCs w:val="18"/>
          <w:color w:val="auto"/>
        </w:rPr>
      </w:pPr>
    </w:p>
    <w:p>
      <w:pPr>
        <w:ind w:firstLine="645"/>
        <w:spacing w:after="0" w:line="255" w:lineRule="auto"/>
        <w:tabs>
          <w:tab w:leader="none" w:pos="129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(A) such as have been already obtained or as may be required under the 1933 Act, the 1933 Act Regulations, the rules of the Nasdaq Global Select Market, state securities laws or the rules of the Financial Industry Regulatory Authority, Inc. (“FINRA”) and (B) such as which the failure to obtain would not, singly or in the aggregate, materially impair the power or ability of the Company to perform its obligations under this Agreement or consummate the transactions contemplated thereby.</w:t>
      </w:r>
    </w:p>
    <w:p>
      <w:pPr>
        <w:spacing w:after="0" w:line="189" w:lineRule="exact"/>
        <w:rPr>
          <w:rFonts w:ascii="Arial" w:cs="Arial" w:eastAsia="Arial" w:hAnsi="Arial"/>
          <w:sz w:val="18"/>
          <w:szCs w:val="18"/>
          <w:color w:val="auto"/>
        </w:rPr>
      </w:pPr>
    </w:p>
    <w:p>
      <w:pPr>
        <w:ind w:right="120" w:firstLine="645"/>
        <w:spacing w:after="0" w:line="273" w:lineRule="auto"/>
        <w:tabs>
          <w:tab w:leader="none" w:pos="1309"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Each of the Company and its Subsidiary possess such permits, licenses, approvals, consents and other authorizations (collectively, “Governmental Licenses”) issued by the appropriate Governmental Entities necessary to conduct its business as currently being conducted by each of them (including, without limitation, all such permits, licenses, approvals, consents and other authorizations required by the FDA, the European Medicines Agency, or any other federal, state, local or foreign agencies or bodies engaged in the regulation of clinical trials, pharmaceuticals, biologics or biohazardous substances or materials), except where the failure so to possess would not, singly or in the aggregate, result in a Material</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2" w:name="page13"/>
    <w:bookmarkEnd w:id="12"/>
    <w:p>
      <w:pPr>
        <w:spacing w:after="0" w:line="268" w:lineRule="auto"/>
        <w:rPr>
          <w:sz w:val="20"/>
          <w:szCs w:val="20"/>
          <w:color w:val="auto"/>
        </w:rPr>
      </w:pPr>
      <w:r>
        <w:rPr>
          <w:rFonts w:ascii="Arial" w:cs="Arial" w:eastAsia="Arial" w:hAnsi="Arial"/>
          <w:sz w:val="17"/>
          <w:szCs w:val="17"/>
          <w:color w:val="auto"/>
        </w:rPr>
        <w:t>Adverse Effect. The Company and its Subsidiary are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its Subsidiary has received any notice of proceedings relating to the revocation or modification of any Governmental Licenses which, singly or in the aggregate, if the subject of an unfavorable decision, ruling or finding, would result in a Material Adverse Effect. The Company and its Subsidiary (i) are, and at all times have been, in compliance with all statutes, rules and regulations applicable to the ownership, testing, development, manufacture, packaging, processing, use, distribution, storage, import, export or disposal of any product manufactured or distributed by the Company or its Subsidiary (“Applicable Laws”), except where such noncompliance would not, singly or in the aggregate, result in a Material Adverse Effect; and (ii) have not received any FDA Form 483, written notice of adverse finding, warning letter, untitled letter or other correspondence or written notice from any court or arbitrator or governmental or regulatory authority alleging or asserting noncompliance with (x) any Applicable Laws or (y) any licenses, exemptions, certificates, approvals, clearances, authorizations, permits and supplements or amendments thereto required by any such Applicable Laws, except where being in contravention of any of the foregoing representations or warranties, singly or in the aggregate, would not have a Material Adverse Effect.</w:t>
      </w:r>
    </w:p>
    <w:p>
      <w:pPr>
        <w:spacing w:after="0" w:line="185" w:lineRule="exact"/>
        <w:rPr>
          <w:sz w:val="20"/>
          <w:szCs w:val="20"/>
          <w:color w:val="auto"/>
        </w:rPr>
      </w:pPr>
    </w:p>
    <w:p>
      <w:pPr>
        <w:ind w:right="40" w:firstLine="645"/>
        <w:spacing w:after="0" w:line="268" w:lineRule="auto"/>
        <w:tabs>
          <w:tab w:leader="none" w:pos="1318"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Title to Property</w:t>
      </w:r>
      <w:r>
        <w:rPr>
          <w:rFonts w:ascii="Arial" w:cs="Arial" w:eastAsia="Arial" w:hAnsi="Arial"/>
          <w:sz w:val="17"/>
          <w:szCs w:val="17"/>
          <w:color w:val="auto"/>
        </w:rPr>
        <w:t>. The Company and its Subsidiary do not own any real property. The Company and its Subsidiary have good title to all other properties (excluding for the purpose of this section Intellectual Property (as defined below), as to which the Company’s and its Subsidiary’s representations and warranties are set forth in Section 1(a)(xxiii) below) owned by them, in each case, free and clear of all mortgages, pledges, liens, security interests, claims, restrictions or encumbrances of any kind except such as (A) are described in the Registration Statement, the General Disclosure Package and the Prospectus or (B) do not, singly or in the aggregate, materially adversely affect the value of such property and do not materially interfere with the use made and proposed to be made of such property by the Company or its Subsidiary; and all of the leases and subleases material to the business of the Company and its Subsidiary, considered as one enterprise, and under which the Company or its Subsidiary holds properties described in the Registration Statement, the General Disclosure Package or the Prospectus, are in full force and effect, and neither the Company nor its Subsidiary has any notice of any material claim of any sort that has been asserted by anyone adverse to the rights of the Company or its Subsidiary under any of the leases or subleases mentioned above, or affecting or questioning the rights of the Company or its Subsidiary to the continued possession of the leased or subleased premises under any such lease or sublease, except to the extent that where such failure to be in effect or such claim or adverse effect on the Company’s rights would not reasonably be expected to result in a Material Adverse Effect.</w:t>
      </w:r>
    </w:p>
    <w:p>
      <w:pPr>
        <w:spacing w:after="0" w:line="187" w:lineRule="exact"/>
        <w:rPr>
          <w:rFonts w:ascii="Arial" w:cs="Arial" w:eastAsia="Arial" w:hAnsi="Arial"/>
          <w:sz w:val="17"/>
          <w:szCs w:val="17"/>
          <w:color w:val="auto"/>
        </w:rPr>
      </w:pPr>
    </w:p>
    <w:p>
      <w:pPr>
        <w:ind w:firstLine="645"/>
        <w:spacing w:after="0" w:line="293"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Except as disclosed in the Registration Statement, the General Disclosure Package and the Prospectus, the Company and its Subsidiary own or possess, have license to, or can acquire on reasonable terms, all patents, patent rights, inventions, copyrights, technology, data, know-how (including trade secrets and other unpatented and/or unpatentable proprietary or confidential information, systems or procedures), trademarks, service marks, trade names and/or other intellectual property (collectively, “Intellectual Property”) necessary to carry on their business as currently being conducted by them, and to the knowledge of the Company, as disclosed in the Registration Statement, the General Disclosure Package and the Prospectus, and neither the Company nor its Subsidiary has received any notice</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3" w:name="page14"/>
    <w:bookmarkEnd w:id="13"/>
    <w:p>
      <w:pPr>
        <w:spacing w:after="0" w:line="268" w:lineRule="auto"/>
        <w:rPr>
          <w:sz w:val="20"/>
          <w:szCs w:val="20"/>
          <w:color w:val="auto"/>
        </w:rPr>
      </w:pPr>
      <w:r>
        <w:rPr>
          <w:rFonts w:ascii="Arial" w:cs="Arial" w:eastAsia="Arial" w:hAnsi="Arial"/>
          <w:sz w:val="17"/>
          <w:szCs w:val="17"/>
          <w:color w:val="auto"/>
        </w:rPr>
        <w:t>or is otherwise aware of (A) any infringement or violation of any Intellectual Property rights of others by the Company or its Subsidiary, or (B) any facts or circumstances which could render any Intellectual Property owned by or exclusively licensed to the Company or its Subsidiary (such Intellectual Property, the “Company Intellectual Property”) invalid or unenforceable, and which infringement, or violation (if the subject of any unfavorable decision, ruling or finding) or invalidity or unenforceability, singly or in the aggregate, would result in a Material Adverse Effect. To the knowledge of the Company, there is no infringement or violation of any Company Intellectual Property by third parties. The Company and its Subsidiary have complied in all material respects with the terms of each agreement pursuant to which Intellectual Property has been licensed to the Company or its Subsidiary, and, to the Company’s knowledge, all such agreements are in full force and effect. All Company Intellectual Property have been duly maintained and are in full force and effect and, to the Company’s knowledge, there are no material defects in any of the Company Intellectual Property. Each person who is or was an employee or contractor of the Company or its Subsidiary and who is or was involved in the creation or development of any Intellectual Property for or on behalf of the Company or its Subsidiary has signed an agreement containing an assignment to the Company or its Subsidiary of such person’s rights in and to such Intellectual Property and, to the Company’s knowledge, no employee of the Company or its Subsidiary is in or has ever been in violation of any term of any agreement or covenant to or with a former employer where the basis of such violation relates to such employee’s employment with the Company or its Subsidiary or actions undertaken by the employee while employed with the Company or its Subsidiary. The Company has taken reasonable steps to protect, maintain and safeguard its rights and licenses under Intellectual Property owned by or licensed to the Company, including the execution of appropriate nondisclosure and confidentiality agreements.</w:t>
      </w:r>
    </w:p>
    <w:p>
      <w:pPr>
        <w:spacing w:after="0" w:line="181" w:lineRule="exact"/>
        <w:rPr>
          <w:sz w:val="20"/>
          <w:szCs w:val="20"/>
          <w:color w:val="auto"/>
        </w:rPr>
      </w:pPr>
    </w:p>
    <w:p>
      <w:pPr>
        <w:ind w:right="20" w:firstLine="645"/>
        <w:spacing w:after="0" w:line="286" w:lineRule="auto"/>
        <w:tabs>
          <w:tab w:leader="none" w:pos="130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the General Disclosure Package and the Prospectus or would not, singly or in the aggregate, reasonably be expected to result in a Material Adverse Effect, (A) neither the Company nor its Subsidiary is in violation of any applicable federal, state, local or foreign statute, law, rule, regulation, ordinance, code,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hazardous chemicals, pollutants, contaminants, hazardous wastes, toxic substances, hazardous substances, petroleum or petroleum products, asbestos-containing materials or toxic mold (collectively, “Hazardous Materials”) or to the manufacture, processing, distribution, use, treatment, storage, disposal, transport or handling of Hazardous Materials (collectively, “Environmental Laws”), (B) the Company and its Subsidiary have all permits, authorizations and approvals required under any applicable Environmental Laws for the operation of their business as currently being conducted or the occupancy of their real property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against the Company or its Subsidiary and (D) there are no events or circumstances that would reasonably be expected to form the basis of an order for clean-up or remediation, or an action, suit or proceeding by any private party or Governmental Entity, against or affecting the Company or its Subsidiary relating to Hazardous Materials or any Environmental Laws.</w:t>
      </w:r>
    </w:p>
    <w:p>
      <w:pPr>
        <w:spacing w:after="0" w:line="168" w:lineRule="exact"/>
        <w:rPr>
          <w:rFonts w:ascii="Arial" w:cs="Arial" w:eastAsia="Arial" w:hAnsi="Arial"/>
          <w:sz w:val="16"/>
          <w:szCs w:val="16"/>
          <w:color w:val="auto"/>
        </w:rPr>
      </w:pPr>
    </w:p>
    <w:p>
      <w:pPr>
        <w:ind w:right="140" w:firstLine="645"/>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Accounting Controls and Disclosure Controls</w:t>
      </w:r>
      <w:r>
        <w:rPr>
          <w:rFonts w:ascii="Arial" w:cs="Arial" w:eastAsia="Arial" w:hAnsi="Arial"/>
          <w:sz w:val="18"/>
          <w:szCs w:val="18"/>
          <w:color w:val="auto"/>
        </w:rPr>
        <w:t>. The Company and its Subsidiary maintain effective internal control over financial reporting (as defined under Rules 13-a15 and</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color w:val="auto"/>
        </w:rPr>
        <w:t>15d-15 under the 1934 Act Regulations) and a system of internal accounting controls sufficient to provide reasonable assurances that</w:t>
      </w:r>
    </w:p>
    <w:p>
      <w:pPr>
        <w:spacing w:after="0" w:line="23" w:lineRule="exact"/>
        <w:rPr>
          <w:sz w:val="20"/>
          <w:szCs w:val="20"/>
          <w:color w:val="auto"/>
        </w:rPr>
      </w:pPr>
    </w:p>
    <w:p>
      <w:pPr>
        <w:ind w:left="4" w:hanging="4"/>
        <w:spacing w:after="0" w:line="285" w:lineRule="auto"/>
        <w:tabs>
          <w:tab w:leader="none" w:pos="29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the General Disclosure Package and the Prospectus fairly presents the information called for in all material respects and is prepared in accordance with the Commission’s rules and guidelines applicable thereto.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 The Company and its Subsidiary maintain an effective system of disclosure controls and procedures (as defined in Rule 13a-15 and Rule 15d-15 under the 1934 Act Regulations)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68" w:lineRule="exact"/>
        <w:rPr>
          <w:rFonts w:ascii="Arial" w:cs="Arial" w:eastAsia="Arial" w:hAnsi="Arial"/>
          <w:sz w:val="16"/>
          <w:szCs w:val="16"/>
          <w:color w:val="auto"/>
        </w:rPr>
      </w:pPr>
    </w:p>
    <w:p>
      <w:pPr>
        <w:ind w:left="4" w:right="60" w:firstLine="645"/>
        <w:spacing w:after="0" w:line="264" w:lineRule="auto"/>
        <w:tabs>
          <w:tab w:leader="none" w:pos="1308"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 Company has taken all necessary actions to ensure that it is in compliance with all provisions of the Sarbanes-Oxley Act of 2002 and all rules and regulations promulgated thereunder or implementing the provisions thereof (the “Sarbanes-Oxley Act”) that are in effect and with which the Company is required to comply.</w:t>
      </w:r>
    </w:p>
    <w:p>
      <w:pPr>
        <w:spacing w:after="0" w:line="181" w:lineRule="exact"/>
        <w:rPr>
          <w:rFonts w:ascii="Arial" w:cs="Arial" w:eastAsia="Arial" w:hAnsi="Arial"/>
          <w:sz w:val="18"/>
          <w:szCs w:val="18"/>
          <w:color w:val="auto"/>
        </w:rPr>
      </w:pPr>
    </w:p>
    <w:p>
      <w:pPr>
        <w:ind w:left="4" w:firstLine="645"/>
        <w:spacing w:after="0" w:line="287" w:lineRule="auto"/>
        <w:tabs>
          <w:tab w:leader="none" w:pos="1317"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All United States federal, state, local and non-U.S. income tax returns of the Company and its Subsidiary required by applicable law to be filed have been filed and all taxes shown by such returns or otherwise assessed, which are due and payable, have been paid, except assessments being contested in good faith and as to which adequate reserves have been established. No assessments in connection with the United States federal, state, local and non-U.S. income tax returns of the Company and its Subsidiary through the fiscal year ended December 31, 2018 have been made against the Company or its Subsidiary. The Company and its Subsidiary have timely filed all other tax returns that are required to have been filed by them pursuant to applicable foreign, state, local or other law except insofar as the failure to file such returns would not result in a Material Adverse Effect, and has paid all taxes due pursuant to such returns or pursuant to any assessment received by the Company and its Subsidiary, except for such taxes, if any, as are being contested in good faith and as to which adequate reserves have been established in accordance with GAAP by the Company. The charges, accruals and reserves on the books of the Company and its Subsidiary in respect of any income tax liability for any years not finally determined are adequate to meet any assessments or re-assessments for additional income tax for any years not finally determined, except to the extent of any inadequacy that would not result in a Material Adverse Effect.</w:t>
      </w:r>
    </w:p>
    <w:p>
      <w:pPr>
        <w:spacing w:after="0" w:line="172" w:lineRule="exact"/>
        <w:rPr>
          <w:rFonts w:ascii="Arial" w:cs="Arial" w:eastAsia="Arial" w:hAnsi="Arial"/>
          <w:sz w:val="16"/>
          <w:szCs w:val="16"/>
          <w:color w:val="auto"/>
        </w:rPr>
      </w:pPr>
    </w:p>
    <w:p>
      <w:pPr>
        <w:ind w:left="4" w:right="60" w:firstLine="645"/>
        <w:spacing w:after="0" w:line="342" w:lineRule="auto"/>
        <w:tabs>
          <w:tab w:leader="none" w:pos="1327"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its Subsidiary carry or are entitled to the benefits of insurance, with financially sound and reputable insurers, in such amounts and covering such risks as the Company reasonably believes is generally maintained by companies of established</w:t>
      </w:r>
    </w:p>
    <w:p>
      <w:pPr>
        <w:spacing w:after="0" w:line="1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5" w:name="page16"/>
    <w:bookmarkEnd w:id="15"/>
    <w:p>
      <w:pPr>
        <w:jc w:val="both"/>
        <w:ind w:right="40"/>
        <w:spacing w:after="0" w:line="257" w:lineRule="auto"/>
        <w:rPr>
          <w:sz w:val="20"/>
          <w:szCs w:val="20"/>
          <w:color w:val="auto"/>
        </w:rPr>
      </w:pPr>
      <w:r>
        <w:rPr>
          <w:rFonts w:ascii="Arial" w:cs="Arial" w:eastAsia="Arial" w:hAnsi="Arial"/>
          <w:sz w:val="18"/>
          <w:szCs w:val="18"/>
          <w:color w:val="auto"/>
        </w:rPr>
        <w:t>repute engaged in the same or similar business, and all such insurance is in full force and effect. The Company has no reason to believe that it or its Subsidiary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of the Company nor its Subsidiary has been denied any insurance coverage which it has sought or for which it has applied.</w:t>
      </w:r>
    </w:p>
    <w:p>
      <w:pPr>
        <w:spacing w:after="0" w:line="188" w:lineRule="exact"/>
        <w:rPr>
          <w:sz w:val="20"/>
          <w:szCs w:val="20"/>
          <w:color w:val="auto"/>
        </w:rPr>
      </w:pPr>
    </w:p>
    <w:p>
      <w:pPr>
        <w:ind w:right="40" w:firstLine="645"/>
        <w:spacing w:after="0" w:line="312" w:lineRule="auto"/>
        <w:tabs>
          <w:tab w:leader="none" w:pos="130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146" w:lineRule="exact"/>
        <w:rPr>
          <w:rFonts w:ascii="Arial" w:cs="Arial" w:eastAsia="Arial" w:hAnsi="Arial"/>
          <w:sz w:val="16"/>
          <w:szCs w:val="16"/>
          <w:color w:val="auto"/>
        </w:rPr>
      </w:pPr>
    </w:p>
    <w:p>
      <w:pPr>
        <w:ind w:right="60" w:firstLine="645"/>
        <w:spacing w:after="0" w:line="279" w:lineRule="auto"/>
        <w:tabs>
          <w:tab w:leader="none" w:pos="129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Absence of Manipulation</w:t>
      </w:r>
      <w:r>
        <w:rPr>
          <w:rFonts w:ascii="Arial" w:cs="Arial" w:eastAsia="Arial" w:hAnsi="Arial"/>
          <w:sz w:val="17"/>
          <w:szCs w:val="17"/>
          <w:color w:val="auto"/>
        </w:rPr>
        <w:t>. Neither the Company nor the Subsidiary, nor to the Company’s knowledge any of their respective directors, officers or affiliates, has taken, nor will any of the foregoing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171" w:lineRule="exact"/>
        <w:rPr>
          <w:rFonts w:ascii="Arial" w:cs="Arial" w:eastAsia="Arial" w:hAnsi="Arial"/>
          <w:sz w:val="17"/>
          <w:szCs w:val="17"/>
          <w:color w:val="auto"/>
        </w:rPr>
      </w:pPr>
    </w:p>
    <w:p>
      <w:pPr>
        <w:ind w:firstLine="645"/>
        <w:spacing w:after="0" w:line="289" w:lineRule="auto"/>
        <w:tabs>
          <w:tab w:leader="none" w:pos="130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its Subsidiary or, to the knowledge of the Company, any director, officer, agent, employee, affiliate or other person acting on behalf of the Company or its Subsidiary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controlled affiliates have conducted their businesses in compliance with the FCPA and have instituted and maintain policies and procedures designed to ensure, and which are reasonably expected to continue to ensure, continued compliance therewith.</w:t>
      </w:r>
    </w:p>
    <w:p>
      <w:pPr>
        <w:spacing w:after="0" w:line="166" w:lineRule="exact"/>
        <w:rPr>
          <w:rFonts w:ascii="Arial" w:cs="Arial" w:eastAsia="Arial" w:hAnsi="Arial"/>
          <w:sz w:val="16"/>
          <w:szCs w:val="16"/>
          <w:color w:val="auto"/>
        </w:rPr>
      </w:pPr>
    </w:p>
    <w:p>
      <w:pPr>
        <w:ind w:right="60" w:firstLine="645"/>
        <w:spacing w:after="0" w:line="273" w:lineRule="auto"/>
        <w:tabs>
          <w:tab w:leader="none" w:pos="131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Subsidiary are and have been conducted at all times in compliance with applicable financial recordkeeping and reporting requirements of the Currency and Foreign Transactions Reporting Act of 1970, as amended, the applicable money laundering statutes of all applicable jurisdictions, the rules and regulations thereunder and any related or similar applicable rules, regulations or guidelines, issued, administered or enforced by any Governmental Entity (collectively, the “Money Laundering Laws”); and no action, suit or proceeding by or before any Governmental Entity involving the Company or its Subsidiary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jc w:val="both"/>
        <w:ind w:firstLine="645"/>
        <w:spacing w:after="0" w:line="259" w:lineRule="auto"/>
        <w:tabs>
          <w:tab w:leader="none" w:pos="132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None of the Company, its Subsidiary or, to the knowledge of the Company, any director, officer, agent, employee, affiliate or representative of the Company or its Subsidiary is a Person currently the subject or target of any sanctions administered or enforced by the United States Government, including, without limitation, the U.S. Department of the Treasury’s Office of Foreign Assets Control (“OFAC”), the United Nations Security Council, the</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6" w:name="page17"/>
    <w:bookmarkEnd w:id="16"/>
    <w:p>
      <w:pPr>
        <w:ind w:right="100"/>
        <w:spacing w:after="0" w:line="255" w:lineRule="auto"/>
        <w:rPr>
          <w:sz w:val="20"/>
          <w:szCs w:val="20"/>
          <w:color w:val="auto"/>
        </w:rPr>
      </w:pPr>
      <w:r>
        <w:rPr>
          <w:rFonts w:ascii="Arial" w:cs="Arial" w:eastAsia="Arial" w:hAnsi="Arial"/>
          <w:sz w:val="18"/>
          <w:szCs w:val="18"/>
          <w:color w:val="auto"/>
        </w:rPr>
        <w:t>European Union, Her Majesty’s Treasury,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its Subsidiary,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93" w:lineRule="exact"/>
        <w:rPr>
          <w:sz w:val="20"/>
          <w:szCs w:val="20"/>
          <w:color w:val="auto"/>
        </w:rPr>
      </w:pPr>
    </w:p>
    <w:p>
      <w:pPr>
        <w:ind w:firstLine="645"/>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Lending Relationship</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81" w:lineRule="exact"/>
        <w:rPr>
          <w:rFonts w:ascii="Arial" w:cs="Arial" w:eastAsia="Arial" w:hAnsi="Arial"/>
          <w:sz w:val="18"/>
          <w:szCs w:val="18"/>
          <w:color w:val="auto"/>
        </w:rPr>
      </w:pPr>
    </w:p>
    <w:p>
      <w:pPr>
        <w:jc w:val="both"/>
        <w:ind w:right="100" w:firstLine="645"/>
        <w:spacing w:after="0" w:line="259" w:lineRule="auto"/>
        <w:tabs>
          <w:tab w:leader="none" w:pos="129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legally or contractually required, the Company has obtained the written consent to the use of such data from such sources.</w:t>
      </w:r>
    </w:p>
    <w:p>
      <w:pPr>
        <w:spacing w:after="0" w:line="186" w:lineRule="exact"/>
        <w:rPr>
          <w:rFonts w:ascii="Arial" w:cs="Arial" w:eastAsia="Arial" w:hAnsi="Arial"/>
          <w:sz w:val="18"/>
          <w:szCs w:val="18"/>
          <w:color w:val="auto"/>
        </w:rPr>
      </w:pPr>
    </w:p>
    <w:p>
      <w:pPr>
        <w:ind w:right="80" w:firstLine="645"/>
        <w:spacing w:after="0" w:line="285"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Regulatory Matters</w:t>
      </w:r>
      <w:r>
        <w:rPr>
          <w:rFonts w:ascii="Arial" w:cs="Arial" w:eastAsia="Arial" w:hAnsi="Arial"/>
          <w:sz w:val="16"/>
          <w:szCs w:val="16"/>
          <w:color w:val="auto"/>
        </w:rPr>
        <w:t>. Except as described in the Registration Statement, the General Disclosure Package and the Prospectus, and except as would not, individually or in the aggregate, have or may reasonably be expected to have a Material Adverse Effect: (i) neither the Company nor its Subsidiary has received any written notice of adverse filing, warning letter, untitled letter or other correspondence or notice from the FDA or other relevant regulatory authorities, or any other court or arbitrator or federal, state, local or foreign governmental or regulatory authority, alleging or asserting material noncompliance with the Federal Food, Drug and Cosmetic Act (21 U.S.C. § 301 et seq.) (the “FFDCA”), or similar state, federal or foreign law or regulation; (ii) the Company and its Subsidiary and, to the Company’s knowledge, their respective directors, officers, employees or agents, are and since April 30, 2015 have been in compliance in all material respects with applicable health care laws, including without limitation, the FFDCA and the federal Anti-Kickback Statute (42 U.S.C. § 1320a-7b(b)), the Civil Monetary Penalties Law (42 U.S.C. § 1320a-7a), the U.S. Civil False Claims Act (31 U.S.C. §3729 et seq.), 18 U.S.C. §§286 and 287, and the health care fraud criminal provisions under the U.S. Health Insurance Portability and Accountability Act of 1996 (“HIPAA”) (42 U.S.C. Section 1320d et seq.), the exclusion laws (42 U.S.C. §1320a-7), HIPAA, as amended by the Health Information Technology for Economic and Clinical Health Act (42 U.S.C. §17921 et seq.), the U.S. Controlled Substances Act (21 U.S.C. Section 801 et seq.), each as amended, and the regulations promulgated thereunder; and all other comparable local, state, federal, national, supranational and foreign laws, and the regulations promulgated thereunder (collectively, “Health Care Laws”); (iii) neither the Company nor its Subsidiary received written notice of any ongoing claim, action, suit, proceeding, hearing, enforcement, investigation, arbitration or other action from any U.S. or non-U.S. federal, national, state, local or other governmental or regulatory authority, governmental or regulatory agency or body, court, arbitrator or self-regulatory organization (each, a “Governmental Authority”) or third party alleging that any product operation or activity is in violation of any Health Care Laws or has any knowledge that any such Governmental Authority or third party is considering any such claim, litigation, arbitration, action, suit, investigation or proceeding; (iv) neither the Company nor its Subsidiary has received written notice that any Governmental Authority has taken, is taking or intends to take action to limit, suspend, modify or revoke any applicable permit or has any knowledge that any such Governmental Authority is</w:t>
      </w:r>
    </w:p>
    <w:p>
      <w:pPr>
        <w:spacing w:after="0" w:line="1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7" w:name="page18"/>
    <w:bookmarkEnd w:id="17"/>
    <w:p>
      <w:pPr>
        <w:spacing w:after="0" w:line="270" w:lineRule="auto"/>
        <w:rPr>
          <w:sz w:val="20"/>
          <w:szCs w:val="20"/>
          <w:color w:val="auto"/>
        </w:rPr>
      </w:pPr>
      <w:r>
        <w:rPr>
          <w:rFonts w:ascii="Arial" w:cs="Arial" w:eastAsia="Arial" w:hAnsi="Arial"/>
          <w:sz w:val="17"/>
          <w:szCs w:val="17"/>
          <w:color w:val="auto"/>
        </w:rPr>
        <w:t>considering such action; (v) the Company and its Subsidiary have filed, obtained, maintained or submitted all reports, documents, forms, notices, applications, records, claims, submissions and supplements or amendments as required by any Health Care Laws and that all such reports, documents, forms, notices, applications, records, claims, submissions and supplements or amendments were complete, correct and not misleading on the date filed (or were corrected or supplemented by a subsequent submission); (vi) neither the Company nor its Subsidiary has,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and, to the Company’s knowledge, no third party has initiated or conducted any such notice or action; and (vii) neither the Company nor its Subsidiary or any of their respective directors, officers, employees or agents is or has been debarred, suspended or excluded, or has been convicted of any crime or engaged in any conduct that would result in a debarment, suspension or exclusion from any federal or state government health care program.</w:t>
      </w:r>
    </w:p>
    <w:p>
      <w:pPr>
        <w:spacing w:after="0" w:line="178" w:lineRule="exact"/>
        <w:rPr>
          <w:sz w:val="20"/>
          <w:szCs w:val="20"/>
          <w:color w:val="auto"/>
        </w:rPr>
      </w:pPr>
    </w:p>
    <w:p>
      <w:pPr>
        <w:ind w:right="20" w:firstLine="645"/>
        <w:spacing w:after="0" w:line="285" w:lineRule="auto"/>
        <w:tabs>
          <w:tab w:leader="none" w:pos="1309"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Clinical Trials</w:t>
      </w:r>
      <w:r>
        <w:rPr>
          <w:rFonts w:ascii="Arial" w:cs="Arial" w:eastAsia="Arial" w:hAnsi="Arial"/>
          <w:sz w:val="16"/>
          <w:szCs w:val="16"/>
          <w:color w:val="auto"/>
        </w:rPr>
        <w:t>. The clinical and preclinical trials conducted by, on behalf of or sponsored by the Company or its Subsidiary, or in which the Company or its Subsidiary has participated, that are described in the Registration Statement, the General Disclosure Package and the Prospectus, or the results of which are referred to in the Registration Statement, the General Disclosure Package and the Prospectus, as applicable, were, and if still pending are, being conducted in all material respects in accordance with standard medical and scientific research procedures, standard industry practice, current Good Clinical Practices and Good Laboratory Practices and all applicable rules and regulations of the FDA and comparable drug regulatory agencies outside of the United States to which they are subject (collectively, the “Regulatory Authorities”); the descriptions in the Registration Statement, the General Disclosure Package or the Prospectus of the results of such studies and tests are accurate and complete in all material respects and fairly present the data derived from such trials; the Company has no knowledge of any other trials not described in the Registration Statement, the General Disclosure Package and the Prospectus, the results of which are inconsistent with or reasonably call into question the results described or referred to in the Registration Statement, the General Disclosure Package and the Prospectus; the Company and its Subsidiary have operated at all times and are currently in compliance in all material respects with all applicable statutes, rules and regulations of the Regulatory Authorities; neither the Company nor its Subsidiary have received any written notices, correspondence or other communications from the Regulatory Authorities or any other governmental agency requiring or threatening the termination, material modification or suspension of any clinical or preclinical trials that are described in the Registration Statement, the General Disclosure Package and the Prospectus or the results of which are referred to in the Registration Statement, the General Disclosure Package and the Prospectus, other than ordinary course communications with respect to modifications in connection with the design and implementation of such trials, and, to the Company’s knowledge, there are no reasonable grounds for the same.</w:t>
      </w:r>
    </w:p>
    <w:p>
      <w:pPr>
        <w:spacing w:after="0" w:line="393" w:lineRule="exact"/>
        <w:rPr>
          <w:rFonts w:ascii="Arial" w:cs="Arial" w:eastAsia="Arial" w:hAnsi="Arial"/>
          <w:sz w:val="16"/>
          <w:szCs w:val="16"/>
          <w:color w:val="auto"/>
        </w:rPr>
      </w:pPr>
    </w:p>
    <w:p>
      <w:pPr>
        <w:ind w:right="200" w:firstLine="645"/>
        <w:spacing w:after="0" w:line="277" w:lineRule="auto"/>
        <w:tabs>
          <w:tab w:leader="none" w:pos="196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Rated Securities</w:t>
      </w:r>
      <w:r>
        <w:rPr>
          <w:rFonts w:ascii="Arial" w:cs="Arial" w:eastAsia="Arial" w:hAnsi="Arial"/>
          <w:sz w:val="18"/>
          <w:szCs w:val="18"/>
          <w:color w:val="auto"/>
        </w:rPr>
        <w:t>. Neither the Company nor its Subsidiary has any debt securities or preferred stock that are rated by any “nationally recognized statistical rating organization” (as defined in Section 3(a)(62) of the 1934 Act).</w:t>
      </w:r>
    </w:p>
    <w:p>
      <w:pPr>
        <w:spacing w:after="0" w:line="170" w:lineRule="exact"/>
        <w:rPr>
          <w:rFonts w:ascii="Arial" w:cs="Arial" w:eastAsia="Arial" w:hAnsi="Arial"/>
          <w:sz w:val="18"/>
          <w:szCs w:val="18"/>
          <w:color w:val="auto"/>
        </w:rPr>
      </w:pPr>
    </w:p>
    <w:p>
      <w:pPr>
        <w:ind w:right="280" w:firstLine="64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Cybersecurity</w:t>
      </w:r>
      <w:r>
        <w:rPr>
          <w:rFonts w:ascii="Arial" w:cs="Arial" w:eastAsia="Arial" w:hAnsi="Arial"/>
          <w:sz w:val="18"/>
          <w:szCs w:val="18"/>
          <w:color w:val="auto"/>
        </w:rPr>
        <w:t>. (A) There has been no security breach or incident, unauthorized access or disclosure, or other compromise of or relating to the Company or its Subsidiary information technology and computer systems, networks, hardware, software, data and databases (including the data and information of their respective customers, employees, suppliers, vendors</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8" w:name="page19"/>
    <w:bookmarkEnd w:id="18"/>
    <w:p>
      <w:pPr>
        <w:ind w:left="640"/>
        <w:spacing w:after="0" w:line="289" w:lineRule="auto"/>
        <w:rPr>
          <w:sz w:val="20"/>
          <w:szCs w:val="20"/>
          <w:color w:val="auto"/>
        </w:rPr>
      </w:pPr>
      <w:r>
        <w:rPr>
          <w:rFonts w:ascii="Arial" w:cs="Arial" w:eastAsia="Arial" w:hAnsi="Arial"/>
          <w:sz w:val="16"/>
          <w:szCs w:val="16"/>
          <w:color w:val="auto"/>
        </w:rPr>
        <w:t>and any third party data maintained, processed or stored by the Company and its Subsidiary, and any such data processed or stored by third parties on behalf of the Company and its Subsidiary),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(B) neither the Company nor its Subsidiary have been notified of, and each of them have no knowledge of any event or condition that could result in, any security breach or incident, unauthorized access or disclosure or other compromise to their IT Systems and Data and (C) the Company and its Subsidiary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Subsidiary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167" w:lineRule="exact"/>
        <w:rPr>
          <w:sz w:val="20"/>
          <w:szCs w:val="20"/>
          <w:color w:val="auto"/>
        </w:rPr>
      </w:pPr>
    </w:p>
    <w:p>
      <w:pPr>
        <w:ind w:left="640" w:right="40" w:firstLine="648"/>
        <w:spacing w:after="0" w:line="269" w:lineRule="auto"/>
        <w:rPr>
          <w:sz w:val="20"/>
          <w:szCs w:val="20"/>
          <w:color w:val="auto"/>
        </w:rPr>
      </w:pPr>
      <w:r>
        <w:rPr>
          <w:rFonts w:ascii="Arial" w:cs="Arial" w:eastAsia="Arial" w:hAnsi="Arial"/>
          <w:sz w:val="17"/>
          <w:szCs w:val="17"/>
          <w:color w:val="auto"/>
        </w:rPr>
        <w:t xml:space="preserve">(xl) </w:t>
      </w:r>
      <w:r>
        <w:rPr>
          <w:rFonts w:ascii="Arial" w:cs="Arial" w:eastAsia="Arial" w:hAnsi="Arial"/>
          <w:sz w:val="17"/>
          <w:szCs w:val="17"/>
          <w:u w:val="single" w:color="auto"/>
          <w:color w:val="auto"/>
        </w:rPr>
        <w:t>ERISA Compliance</w:t>
      </w:r>
      <w:r>
        <w:rPr>
          <w:rFonts w:ascii="Arial" w:cs="Arial" w:eastAsia="Arial" w:hAnsi="Arial"/>
          <w:sz w:val="17"/>
          <w:szCs w:val="17"/>
          <w:color w:val="auto"/>
        </w:rPr>
        <w:t>. The Company, its Subsidiary, and any of their “ERISA Affiliates” (defined below) each represents, warrants and covenants that they: (i) do not maintain sponsor or participate in any tax-qualified defined benefit plan, as defined under Section 3(3) of the Employee Retirement Income Security Act of 1974, as amended, and the regulations and published interpretations thereunder (collectively, “ERISA”)); (ii) do not sponsor or participate in a plan subject to any other federal, state or local law that is materially similar to Section 406 of ERISA or Section 4975 of the Internal Revenue Code of 1986, as amended, and the regulations and published interpretations thereunder (the “Code”); (iii) do not maintain, sponsor or participate in an “Employee Benefit Plan,” as defined under Section 3(3) or ERISA, that is intended to be qualified under Section 401(a) of the Code; and (iv) are otherwise in compliance in all material respects with ERISA. “ERISA Affiliate” means, with respect to the Company or its Subsidiary, any member of any group of organizations described in Sections 414(b), (c), (m) or (o) of the Code of which the Company or its Subsidiary is a member. Neither the Company, its Subsidiary nor any of their ERISA Affiliates has incurred or reasonably expects to incur any liability under (i) Title IV of ERISA with respect to termination of, or withdrawal from, any Employee Benefit Plan or (ii) Sections 412 and 430, 4971, 4975 or 4980B of the Code.</w:t>
      </w:r>
    </w:p>
    <w:p>
      <w:pPr>
        <w:spacing w:after="0" w:line="183" w:lineRule="exact"/>
        <w:rPr>
          <w:sz w:val="20"/>
          <w:szCs w:val="20"/>
          <w:color w:val="auto"/>
        </w:rPr>
      </w:pPr>
    </w:p>
    <w:p>
      <w:pPr>
        <w:ind w:left="-20" w:right="80" w:firstLine="656"/>
        <w:spacing w:after="0" w:line="264" w:lineRule="auto"/>
        <w:tabs>
          <w:tab w:leader="none" w:pos="128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or its Subsidiary delivered to the Representatives or to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Underwriters shall be deemed a representation and warranty by the Company (and not by such officer in his or her personal capacity) to each Underwriter as to the matters covered thereby.</w:t>
      </w:r>
    </w:p>
    <w:p>
      <w:pPr>
        <w:spacing w:after="0" w:line="181"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225" w:lineRule="exact"/>
        <w:rPr>
          <w:sz w:val="20"/>
          <w:szCs w:val="20"/>
          <w:color w:val="auto"/>
        </w:rPr>
      </w:pPr>
    </w:p>
    <w:p>
      <w:pPr>
        <w:ind w:left="-20" w:right="120" w:firstLine="656"/>
        <w:spacing w:after="0" w:line="255" w:lineRule="auto"/>
        <w:tabs>
          <w:tab w:leader="none" w:pos="127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93" w:lineRule="exact"/>
        <w:rPr>
          <w:rFonts w:ascii="Arial" w:cs="Arial" w:eastAsia="Arial" w:hAnsi="Arial"/>
          <w:sz w:val="18"/>
          <w:szCs w:val="18"/>
          <w:color w:val="auto"/>
        </w:rPr>
      </w:pPr>
    </w:p>
    <w:p>
      <w:pPr>
        <w:ind w:left="-20" w:right="200" w:firstLine="656"/>
        <w:spacing w:after="0" w:line="264" w:lineRule="auto"/>
        <w:tabs>
          <w:tab w:leader="none" w:pos="128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Option Securities</w:t>
      </w:r>
      <w:r>
        <w:rPr>
          <w:rFonts w:ascii="Arial" w:cs="Arial" w:eastAsia="Arial" w:hAnsi="Arial"/>
          <w:sz w:val="18"/>
          <w:szCs w:val="18"/>
          <w:color w:val="auto"/>
        </w:rPr>
        <w:t>. In addition, on the basis of the representations and warranties herein contained and subject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herein set forth, the Company hereby grants an option to the Underwriters, severally and not jointly, to purchase up to an additional 669,750 shares of Common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19" w:name="page20"/>
    <w:bookmarkEnd w:id="19"/>
    <w:p>
      <w:pPr>
        <w:spacing w:after="0" w:line="289" w:lineRule="auto"/>
        <w:rPr>
          <w:sz w:val="20"/>
          <w:szCs w:val="20"/>
          <w:color w:val="auto"/>
        </w:rPr>
      </w:pPr>
      <w:r>
        <w:rPr>
          <w:rFonts w:ascii="Arial" w:cs="Arial" w:eastAsia="Arial" w:hAnsi="Arial"/>
          <w:sz w:val="16"/>
          <w:szCs w:val="16"/>
          <w:color w:val="auto"/>
        </w:rPr>
        <w:t>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67" w:lineRule="exact"/>
        <w:rPr>
          <w:sz w:val="20"/>
          <w:szCs w:val="20"/>
          <w:color w:val="auto"/>
        </w:rPr>
      </w:pPr>
    </w:p>
    <w:p>
      <w:pPr>
        <w:ind w:firstLine="656"/>
        <w:spacing w:after="0" w:line="255" w:lineRule="auto"/>
        <w:tabs>
          <w:tab w:leader="none" w:pos="1307"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or security entitlements for, the Initial Securities shall be made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offices of Shearman &amp; Sterling LLP, 599 Lexington Avenue, New York, New York 10022,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9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4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7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each Underwriter as follows:</w:t>
      </w:r>
    </w:p>
    <w:p>
      <w:pPr>
        <w:spacing w:after="0" w:line="225" w:lineRule="exact"/>
        <w:rPr>
          <w:sz w:val="20"/>
          <w:szCs w:val="20"/>
          <w:color w:val="auto"/>
        </w:rPr>
      </w:pPr>
    </w:p>
    <w:p>
      <w:pPr>
        <w:ind w:right="240" w:firstLine="656"/>
        <w:spacing w:after="0" w:line="276" w:lineRule="auto"/>
        <w:tabs>
          <w:tab w:leader="none" w:pos="1294"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Compliance with Securities Regulations and Commission Requests</w:t>
      </w:r>
      <w:r>
        <w:rPr>
          <w:rFonts w:ascii="Arial" w:cs="Arial" w:eastAsia="Arial" w:hAnsi="Arial"/>
          <w:sz w:val="17"/>
          <w:szCs w:val="17"/>
          <w:color w:val="auto"/>
        </w:rPr>
        <w:t>. The Company, subject to Section 3(b), will comply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Rule 430B, and will notify the Representatives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20" w:firstLine="8"/>
        <w:spacing w:after="0" w:line="270" w:lineRule="auto"/>
        <w:tabs>
          <w:tab w:leader="none" w:pos="3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reasonably practicable.</w:t>
      </w:r>
    </w:p>
    <w:p>
      <w:pPr>
        <w:spacing w:after="0" w:line="181" w:lineRule="exact"/>
        <w:rPr>
          <w:rFonts w:ascii="Arial" w:cs="Arial" w:eastAsia="Arial" w:hAnsi="Arial"/>
          <w:sz w:val="17"/>
          <w:szCs w:val="17"/>
          <w:color w:val="auto"/>
        </w:rPr>
      </w:pPr>
    </w:p>
    <w:p>
      <w:pPr>
        <w:ind w:firstLine="656"/>
        <w:spacing w:after="0" w:line="285" w:lineRule="auto"/>
        <w:tabs>
          <w:tab w:leader="none" w:pos="1304"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the 1933 Act Regulations, the 1934 Act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w:t>
      </w:r>
    </w:p>
    <w:p>
      <w:pPr>
        <w:spacing w:after="0" w:line="2" w:lineRule="exact"/>
        <w:rPr>
          <w:rFonts w:ascii="Arial" w:cs="Arial" w:eastAsia="Arial" w:hAnsi="Arial"/>
          <w:sz w:val="16"/>
          <w:szCs w:val="16"/>
          <w:color w:val="auto"/>
        </w:rPr>
      </w:pPr>
    </w:p>
    <w:p>
      <w:pPr>
        <w:jc w:val="both"/>
        <w:ind w:firstLine="8"/>
        <w:spacing w:after="0" w:line="281"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w:t>
      </w:r>
    </w:p>
    <w:p>
      <w:pPr>
        <w:spacing w:after="0" w:line="4"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 The Company has given the Representatives notice of any filings made pursuant to the 1934 Act or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66" w:lineRule="exact"/>
        <w:rPr>
          <w:rFonts w:ascii="Arial" w:cs="Arial" w:eastAsia="Arial" w:hAnsi="Arial"/>
          <w:sz w:val="16"/>
          <w:szCs w:val="16"/>
          <w:color w:val="auto"/>
        </w:rPr>
      </w:pPr>
    </w:p>
    <w:p>
      <w:pPr>
        <w:ind w:right="40" w:firstLine="656"/>
        <w:spacing w:after="0" w:line="302" w:lineRule="auto"/>
        <w:tabs>
          <w:tab w:leader="none" w:pos="1307"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Delivery of Registration Statements</w:t>
      </w:r>
      <w:r>
        <w:rPr>
          <w:rFonts w:ascii="Arial" w:cs="Arial" w:eastAsia="Arial" w:hAnsi="Arial"/>
          <w:sz w:val="16"/>
          <w:szCs w:val="16"/>
          <w:color w:val="auto"/>
        </w:rPr>
        <w:t>. The Company has furnished or will deliver to the Representatives and counsel for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Representatives, without charge, a conformed copy of the Registration Statement as originally filed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ind w:right="160"/>
        <w:spacing w:after="0" w:line="264" w:lineRule="auto"/>
        <w:rPr>
          <w:sz w:val="20"/>
          <w:szCs w:val="20"/>
          <w:color w:val="auto"/>
        </w:rPr>
      </w:pPr>
      <w:r>
        <w:rPr>
          <w:rFonts w:ascii="Arial" w:cs="Arial" w:eastAsia="Arial" w:hAnsi="Arial"/>
          <w:sz w:val="18"/>
          <w:szCs w:val="18"/>
          <w:color w:val="auto"/>
        </w:rPr>
        <w:t>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1" w:lineRule="exact"/>
        <w:rPr>
          <w:sz w:val="20"/>
          <w:szCs w:val="20"/>
          <w:color w:val="auto"/>
        </w:rPr>
      </w:pPr>
    </w:p>
    <w:p>
      <w:pPr>
        <w:jc w:val="both"/>
        <w:ind w:firstLine="656"/>
        <w:spacing w:after="0" w:line="288" w:lineRule="auto"/>
        <w:tabs>
          <w:tab w:leader="none" w:pos="1304"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w:t>
      </w:r>
    </w:p>
    <w:p>
      <w:pPr>
        <w:ind w:right="20"/>
        <w:spacing w:after="0" w:line="277" w:lineRule="auto"/>
        <w:rPr>
          <w:rFonts w:ascii="Arial" w:cs="Arial" w:eastAsia="Arial" w:hAnsi="Arial"/>
          <w:sz w:val="16"/>
          <w:szCs w:val="16"/>
          <w:color w:val="auto"/>
        </w:rPr>
      </w:pPr>
      <w:r>
        <w:rPr>
          <w:rFonts w:ascii="Arial" w:cs="Arial" w:eastAsia="Arial" w:hAnsi="Arial"/>
          <w:sz w:val="17"/>
          <w:szCs w:val="17"/>
          <w:color w:val="auto"/>
        </w:rPr>
        <w:t>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73" w:lineRule="exact"/>
        <w:rPr>
          <w:rFonts w:ascii="Arial" w:cs="Arial" w:eastAsia="Arial" w:hAnsi="Arial"/>
          <w:sz w:val="16"/>
          <w:szCs w:val="16"/>
          <w:color w:val="auto"/>
        </w:rPr>
      </w:pPr>
    </w:p>
    <w:p>
      <w:pPr>
        <w:ind w:firstLine="656"/>
        <w:spacing w:after="0" w:line="259" w:lineRule="auto"/>
        <w:tabs>
          <w:tab w:leader="none" w:pos="1307"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Certification Regarding Beneficial Owners</w:t>
      </w:r>
      <w:r>
        <w:rPr>
          <w:rFonts w:ascii="Arial" w:cs="Arial" w:eastAsia="Arial" w:hAnsi="Arial"/>
          <w:sz w:val="18"/>
          <w:szCs w:val="18"/>
          <w:color w:val="auto"/>
        </w:rPr>
        <w:t>. The Company will deliver to the Representatives, on the date of execution of this Agreement,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properly completed and executed Certification Regarding Beneficial Owners of Legal Entity Customers, together with copies of identifying documentation, and the Company will undertake to provide such additional supporting documentation as the Representatives may reasonably request in connection with the verification of the foregoing certification.</w:t>
      </w:r>
    </w:p>
    <w:p>
      <w:pPr>
        <w:spacing w:after="0" w:line="186" w:lineRule="exact"/>
        <w:rPr>
          <w:rFonts w:ascii="Arial" w:cs="Arial" w:eastAsia="Arial" w:hAnsi="Arial"/>
          <w:sz w:val="18"/>
          <w:szCs w:val="18"/>
          <w:color w:val="auto"/>
        </w:rPr>
      </w:pPr>
    </w:p>
    <w:p>
      <w:pPr>
        <w:ind w:right="60" w:firstLine="656"/>
        <w:spacing w:after="0" w:line="297" w:lineRule="auto"/>
        <w:tabs>
          <w:tab w:leader="none" w:pos="1301"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use its best efforts, in cooperation with the Underwriters, to qualify the Securities for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 under the applicable securities laws of such states and other jurisdictions (domestic or foreign) as the Representatives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58" w:lineRule="exact"/>
        <w:rPr>
          <w:rFonts w:ascii="Arial" w:cs="Arial" w:eastAsia="Arial" w:hAnsi="Arial"/>
          <w:sz w:val="16"/>
          <w:szCs w:val="16"/>
          <w:color w:val="auto"/>
        </w:rPr>
      </w:pPr>
    </w:p>
    <w:p>
      <w:pPr>
        <w:ind w:right="180" w:firstLine="656"/>
        <w:spacing w:after="0" w:line="264" w:lineRule="auto"/>
        <w:tabs>
          <w:tab w:leader="none" w:pos="1317"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81" w:lineRule="exact"/>
        <w:rPr>
          <w:rFonts w:ascii="Arial" w:cs="Arial" w:eastAsia="Arial" w:hAnsi="Arial"/>
          <w:sz w:val="18"/>
          <w:szCs w:val="18"/>
          <w:color w:val="auto"/>
        </w:rPr>
      </w:pPr>
    </w:p>
    <w:p>
      <w:pPr>
        <w:ind w:right="540" w:firstLine="656"/>
        <w:spacing w:after="0" w:line="277"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General Disclosure Package and the Prospectus under “Use of Proceeds.”</w:t>
      </w:r>
    </w:p>
    <w:p>
      <w:pPr>
        <w:spacing w:after="0" w:line="170" w:lineRule="exact"/>
        <w:rPr>
          <w:rFonts w:ascii="Arial" w:cs="Arial" w:eastAsia="Arial" w:hAnsi="Arial"/>
          <w:sz w:val="18"/>
          <w:szCs w:val="18"/>
          <w:color w:val="auto"/>
        </w:rPr>
      </w:pPr>
    </w:p>
    <w:p>
      <w:pPr>
        <w:ind w:right="40" w:firstLine="656"/>
        <w:spacing w:after="0" w:line="277" w:lineRule="auto"/>
        <w:tabs>
          <w:tab w:leader="none" w:pos="1318"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best efforts to effect and its reasonable best efforts to maintain the listing of the Securities on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Select Market.</w:t>
      </w:r>
    </w:p>
    <w:p>
      <w:pPr>
        <w:spacing w:after="0" w:line="170" w:lineRule="exact"/>
        <w:rPr>
          <w:rFonts w:ascii="Arial" w:cs="Arial" w:eastAsia="Arial" w:hAnsi="Arial"/>
          <w:sz w:val="18"/>
          <w:szCs w:val="18"/>
          <w:color w:val="auto"/>
        </w:rPr>
      </w:pPr>
    </w:p>
    <w:p>
      <w:pPr>
        <w:ind w:right="20" w:firstLine="656"/>
        <w:spacing w:after="0" w:line="255" w:lineRule="auto"/>
        <w:tabs>
          <w:tab w:leader="none" w:pos="130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Restriction on Sale of Securities</w:t>
      </w:r>
      <w:r>
        <w:rPr>
          <w:rFonts w:ascii="Arial" w:cs="Arial" w:eastAsia="Arial" w:hAnsi="Arial"/>
          <w:sz w:val="18"/>
          <w:szCs w:val="18"/>
          <w:color w:val="auto"/>
        </w:rPr>
        <w:t>. During a period of 90 days from the date of the Prospectus, the Company will not,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120"/>
        <w:spacing w:after="0" w:line="291" w:lineRule="auto"/>
        <w:rPr>
          <w:sz w:val="20"/>
          <w:szCs w:val="20"/>
          <w:color w:val="auto"/>
        </w:rPr>
      </w:pPr>
      <w:r>
        <w:rPr>
          <w:rFonts w:ascii="Arial" w:cs="Arial" w:eastAsia="Arial" w:hAnsi="Arial"/>
          <w:sz w:val="16"/>
          <w:szCs w:val="16"/>
          <w:color w:val="auto"/>
        </w:rPr>
        <w:t>transaction described in clause (i) or (ii) above is to be settled by delivery of Common Stock or other securities, in cash or otherwise or (iii) publicly disclose the intention to do any of the foregoing described in clauses (i) or (ii). The foregoing sentence shall not apply to (A) the Securities to be sold hereunder,</w:t>
      </w:r>
    </w:p>
    <w:p>
      <w:pPr>
        <w:ind w:firstLine="8"/>
        <w:spacing w:after="0" w:line="281" w:lineRule="auto"/>
        <w:tabs>
          <w:tab w:leader="none" w:pos="2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shares of Common Stock issued by the Company upon the exercise of an option or warrant or the conversion of a security outstanding on the date hereof and referred to in the Registration Statement, the General Disclosure Package and the Prospectus, (C) any shares of Common Stock issued or options to purchase Common Stock granted pursuant to existing employee benefit or equity incentive plans of the Company referred to in the Registration Statement, the General Disclosure Package and the Prospectus, (D) any shares of Common Stock issued pursuant to any non-employee director stock plan or dividend reinvestment plan referred to in the Registration Statement, the General Disclosure Package and the Prospectus, (E) the filing by the Company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or (F) shares of Common Stock or other securities issued in connection with a transaction that includes a commercial relationship (including strategic alliances, commercial lending relationships, joint ventures and strategic acquisitions), provided that (x) the aggregate number of shares issued pursuant to this clause (F) shall not exceed</w:t>
      </w:r>
    </w:p>
    <w:p>
      <w:pPr>
        <w:spacing w:after="0" w:line="6" w:lineRule="exact"/>
        <w:rPr>
          <w:rFonts w:ascii="Arial" w:cs="Arial" w:eastAsia="Arial" w:hAnsi="Arial"/>
          <w:sz w:val="16"/>
          <w:szCs w:val="16"/>
          <w:color w:val="auto"/>
        </w:rPr>
      </w:pPr>
    </w:p>
    <w:p>
      <w:pPr>
        <w:jc w:val="both"/>
        <w:ind w:right="100"/>
        <w:spacing w:after="0" w:line="255" w:lineRule="auto"/>
        <w:rPr>
          <w:rFonts w:ascii="Arial" w:cs="Arial" w:eastAsia="Arial" w:hAnsi="Arial"/>
          <w:sz w:val="16"/>
          <w:szCs w:val="16"/>
          <w:color w:val="auto"/>
        </w:rPr>
      </w:pPr>
      <w:r>
        <w:rPr>
          <w:rFonts w:ascii="Arial" w:cs="Arial" w:eastAsia="Arial" w:hAnsi="Arial"/>
          <w:sz w:val="18"/>
          <w:szCs w:val="18"/>
          <w:color w:val="auto"/>
        </w:rPr>
        <w:t>5.0% of the total number of outstanding shares of Common Stock immediately following the issuance and sale of the Securities at the Closing Time pursuant hereto and (y) the recipient of any such shares of Common Stock or securities issued pursuant to this clause (F) during the 90-day restricted period described above shall enter into an agreement substantially in the form of Exhibit B hereto.</w:t>
      </w:r>
    </w:p>
    <w:p>
      <w:pPr>
        <w:spacing w:after="0" w:line="190" w:lineRule="exact"/>
        <w:rPr>
          <w:rFonts w:ascii="Arial" w:cs="Arial" w:eastAsia="Arial" w:hAnsi="Arial"/>
          <w:sz w:val="16"/>
          <w:szCs w:val="16"/>
          <w:color w:val="auto"/>
        </w:rPr>
      </w:pPr>
    </w:p>
    <w:p>
      <w:pPr>
        <w:ind w:right="40" w:firstLine="656"/>
        <w:spacing w:after="0" w:line="259" w:lineRule="auto"/>
        <w:tabs>
          <w:tab w:leader="none" w:pos="1304"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w:t>
      </w:r>
      <w:r>
        <w:rPr>
          <w:rFonts w:ascii="Arial" w:cs="Arial" w:eastAsia="Arial" w:hAnsi="Arial"/>
          <w:sz w:val="18"/>
          <w:szCs w:val="18"/>
          <w:i w:val="1"/>
          <w:iCs w:val="1"/>
          <w:color w:val="auto"/>
        </w:rPr>
        <w:t xml:space="preserve"> </w:t>
      </w:r>
      <w:r>
        <w:rPr>
          <w:rFonts w:ascii="Arial" w:cs="Arial" w:eastAsia="Arial" w:hAnsi="Arial"/>
          <w:sz w:val="18"/>
          <w:szCs w:val="18"/>
          <w:color w:val="auto"/>
        </w:rPr>
        <w:t>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86" w:lineRule="exact"/>
        <w:rPr>
          <w:rFonts w:ascii="Arial" w:cs="Arial" w:eastAsia="Arial" w:hAnsi="Arial"/>
          <w:sz w:val="18"/>
          <w:szCs w:val="18"/>
          <w:color w:val="auto"/>
        </w:rPr>
      </w:pPr>
    </w:p>
    <w:p>
      <w:pPr>
        <w:ind w:right="20" w:firstLine="656"/>
        <w:spacing w:after="0" w:line="268" w:lineRule="auto"/>
        <w:tabs>
          <w:tab w:leader="none" w:pos="1318"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w:t>
      </w:r>
      <w:r>
        <w:rPr>
          <w:rFonts w:ascii="Arial" w:cs="Arial" w:eastAsia="Arial" w:hAnsi="Arial"/>
          <w:sz w:val="17"/>
          <w:szCs w:val="17"/>
          <w:color w:val="auto"/>
        </w:rPr>
        <w:t>. The Company agrees that, unless it obtains the prior written consent of the Representatives, it will not</w:t>
      </w:r>
      <w:r>
        <w:rPr>
          <w:rFonts w:ascii="Arial" w:cs="Arial" w:eastAsia="Arial" w:hAnsi="Arial"/>
          <w:sz w:val="17"/>
          <w:szCs w:val="17"/>
          <w:i w:val="1"/>
          <w:iCs w:val="1"/>
          <w:color w:val="auto"/>
        </w:rPr>
        <w:t xml:space="preserve"> </w:t>
      </w:r>
      <w:r>
        <w:rPr>
          <w:rFonts w:ascii="Arial" w:cs="Arial" w:eastAsia="Arial" w:hAnsi="Arial"/>
          <w:sz w:val="17"/>
          <w:szCs w:val="17"/>
          <w:color w:val="auto"/>
        </w:rPr>
        <w:t>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Each Underwriter represents that it has not made, and agrees that, without the prior consent of the Company, it will not make any offer relating to the Securities that would constitute a “free writing prospectus” required to be filed by the Company with the Commission or retained by the Company under Rule 433 of the 1933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40"/>
        <w:spacing w:after="0" w:line="277" w:lineRule="auto"/>
        <w:rPr>
          <w:sz w:val="20"/>
          <w:szCs w:val="20"/>
          <w:color w:val="auto"/>
        </w:rPr>
      </w:pPr>
      <w:r>
        <w:rPr>
          <w:rFonts w:ascii="Arial" w:cs="Arial" w:eastAsia="Arial" w:hAnsi="Arial"/>
          <w:sz w:val="18"/>
          <w:szCs w:val="18"/>
          <w:color w:val="auto"/>
        </w:rPr>
        <w:t>Regulations; provided that the Company will be deemed to have consented to any “road show” that has been reviewed and approved by the Company and is a written communication within the meaning of Rule 433(d)(8)(i) of the 1933 Act Regulations.</w:t>
      </w:r>
    </w:p>
    <w:p>
      <w:pPr>
        <w:spacing w:after="0" w:line="170" w:lineRule="exact"/>
        <w:rPr>
          <w:sz w:val="20"/>
          <w:szCs w:val="20"/>
          <w:color w:val="auto"/>
        </w:rPr>
      </w:pPr>
    </w:p>
    <w:p>
      <w:pPr>
        <w:ind w:right="20" w:firstLine="656"/>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will promptly notify the Representatives if the Company ceases to be an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Company at any time prior to the later of (i) completion of the distribution of the Securities within the meaning of the 1933 Act and (ii) completion of the 90-day restricted period referred to in Section 3(j).</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ind w:right="240" w:firstLine="656"/>
        <w:spacing w:after="0" w:line="284" w:lineRule="auto"/>
        <w:tabs>
          <w:tab w:leader="none" w:pos="129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w:t>
      </w:r>
    </w:p>
    <w:p>
      <w:pPr>
        <w:spacing w:after="0" w:line="4" w:lineRule="exact"/>
        <w:rPr>
          <w:rFonts w:ascii="Arial" w:cs="Arial" w:eastAsia="Arial" w:hAnsi="Arial"/>
          <w:sz w:val="16"/>
          <w:szCs w:val="16"/>
          <w:color w:val="auto"/>
        </w:rPr>
      </w:pPr>
    </w:p>
    <w:p>
      <w:pPr>
        <w:ind w:firstLine="8"/>
        <w:spacing w:after="0" w:line="281" w:lineRule="auto"/>
        <w:tabs>
          <w:tab w:leader="none" w:pos="3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fees and disbursements of the Company’s counsel, accountants and other advisors, (v) the qualification of the Securities under securities laws in accordance with the provisions of Section 3(f) hereof, including filing fees and the reasonable and documented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(as defined in Rule 433(h)(4) under the 1933 Act) undertaken in connection with the marketing of the Securities, including without limitation, expenses associated with the production of road show slides and graphics, reasonable and documented fees and expenses of any consultants engaged with the prior authorization of the Company in connection with the road show presentations, travel and lodging expenses of the representatives and officers of the Company and any such consultants (which, for the avoidance of doubt, does not include the Underwriters or their representatives), and the cost of transportation in connection with the road show, (viii) the filing fees incident to, and the reasonable and documented fees and disbursements of counsel to the Underwriters in connection with, the review by FINRA of the terms of the sale of the Securities; provided that the amount payable by the Company for counsel pursuant to the foregoing clause</w:t>
      </w:r>
    </w:p>
    <w:p>
      <w:pPr>
        <w:spacing w:after="0" w:line="6" w:lineRule="exact"/>
        <w:rPr>
          <w:rFonts w:ascii="Arial" w:cs="Arial" w:eastAsia="Arial" w:hAnsi="Arial"/>
          <w:sz w:val="16"/>
          <w:szCs w:val="16"/>
          <w:color w:val="auto"/>
        </w:rPr>
      </w:pPr>
    </w:p>
    <w:p>
      <w:pPr>
        <w:ind w:right="160" w:firstLine="8"/>
        <w:spacing w:after="0" w:line="25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and clause (viii) together shall not exceed $35,000 in the aggregate, (ix) the fees and expenses incurred in connection with the listing of the Securities on the Nasdaq Global Select Market and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w:t>
      </w:r>
    </w:p>
    <w:p>
      <w:pPr>
        <w:spacing w:after="0" w:line="189" w:lineRule="exact"/>
        <w:rPr>
          <w:rFonts w:ascii="Arial" w:cs="Arial" w:eastAsia="Arial" w:hAnsi="Arial"/>
          <w:sz w:val="18"/>
          <w:szCs w:val="18"/>
          <w:color w:val="auto"/>
        </w:rPr>
      </w:pPr>
    </w:p>
    <w:p>
      <w:pPr>
        <w:ind w:left="1320" w:hanging="664"/>
        <w:spacing w:after="0"/>
        <w:tabs>
          <w:tab w:leader="none" w:pos="132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this Agreement is terminated by the Representatives in accordance with the provisions of Section 5,</w:t>
      </w:r>
    </w:p>
    <w:p>
      <w:pPr>
        <w:spacing w:after="0" w:line="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Section 9(a)(i) or (iii) or Section 10 hereof, the Company shall reimburse the Underwriters for all of their reasonable and documented out-of-pocket expenses, including the reasonable and documented fees and disbursements of counsel for the Underwriters. For the avoidance of doubt, if this Agreement is terminated pursuant to Section 10, the Company shall only be required to reimburse the reasonable and documented out-of-pocket expenses (including the reasonable and documented fees and disbursements of counsel for the Underwriters) of the Underwriters that have not failed to purchase the Securities that they have agreed to purchase hereunder.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60" w:firstLine="648"/>
        <w:spacing w:after="0" w:line="28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The obligations of the several Underwriters hereunder are subject to the accuracy of the representations and warranties of the Company contained herein or in certificates of any officer of the Company or its Subsidiary delivered pursuant to the provisions hereof, to the performance by the Company of its covenants and other obligations hereunder, and to the following further conditions:</w:t>
      </w:r>
    </w:p>
    <w:p>
      <w:pPr>
        <w:spacing w:after="0" w:line="166" w:lineRule="exact"/>
        <w:rPr>
          <w:sz w:val="20"/>
          <w:szCs w:val="20"/>
          <w:color w:val="auto"/>
        </w:rPr>
      </w:pPr>
    </w:p>
    <w:p>
      <w:pPr>
        <w:ind w:firstLine="656"/>
        <w:spacing w:after="0" w:line="276" w:lineRule="auto"/>
        <w:tabs>
          <w:tab w:leader="none" w:pos="1294"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including any Rule 462(b) Registration Statement, has become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and the Company has complied with each request (if any) from the Commission for additional information.</w:t>
      </w:r>
    </w:p>
    <w:p>
      <w:pPr>
        <w:spacing w:after="0" w:line="172" w:lineRule="exact"/>
        <w:rPr>
          <w:rFonts w:ascii="Arial" w:cs="Arial" w:eastAsia="Arial" w:hAnsi="Arial"/>
          <w:sz w:val="17"/>
          <w:szCs w:val="17"/>
          <w:color w:val="auto"/>
        </w:rPr>
      </w:pPr>
    </w:p>
    <w:p>
      <w:pPr>
        <w:ind w:right="260" w:firstLine="656"/>
        <w:spacing w:after="0" w:line="259" w:lineRule="auto"/>
        <w:tabs>
          <w:tab w:leader="none" w:pos="130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At the Closing Time, the Representatives shall have received the opinion,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Satterlee Stephens LLP, counsel for the Company, in form and substance satisfactory to counsel for the Underwriters, together with signed or reproduced copies of such letter for each of the other Underwriters to the effect set forth in Exhibit A-1 hereto and to such further effect as counsel to the Underwriters may reasonably request.</w:t>
      </w:r>
    </w:p>
    <w:p>
      <w:pPr>
        <w:spacing w:after="0" w:line="186" w:lineRule="exact"/>
        <w:rPr>
          <w:rFonts w:ascii="Arial" w:cs="Arial" w:eastAsia="Arial" w:hAnsi="Arial"/>
          <w:sz w:val="18"/>
          <w:szCs w:val="18"/>
          <w:color w:val="auto"/>
        </w:rPr>
      </w:pPr>
    </w:p>
    <w:p>
      <w:pPr>
        <w:ind w:right="220" w:firstLine="656"/>
        <w:spacing w:after="0" w:line="259" w:lineRule="auto"/>
        <w:tabs>
          <w:tab w:leader="none" w:pos="1307"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Opinion of Counsel for Subsidiary</w:t>
      </w:r>
      <w:r>
        <w:rPr>
          <w:rFonts w:ascii="Arial" w:cs="Arial" w:eastAsia="Arial" w:hAnsi="Arial"/>
          <w:sz w:val="18"/>
          <w:szCs w:val="18"/>
          <w:color w:val="auto"/>
        </w:rPr>
        <w:t>. At the Closing Time, the Representatives shall have received the opinion,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Mazanti-Andersen Korsø Jensen, counsel for the Company, in form and substance satisfactory to counsel for the Underwriters, together with signed or reproduced copies of such letter for each of the other Underwriters to the effect set forth in Exhibit A-2 hereto and to such further effect as counsel to the Underwriters may reasonably request.</w:t>
      </w:r>
    </w:p>
    <w:p>
      <w:pPr>
        <w:spacing w:after="0" w:line="186" w:lineRule="exact"/>
        <w:rPr>
          <w:rFonts w:ascii="Arial" w:cs="Arial" w:eastAsia="Arial" w:hAnsi="Arial"/>
          <w:sz w:val="18"/>
          <w:szCs w:val="18"/>
          <w:color w:val="auto"/>
        </w:rPr>
      </w:pPr>
    </w:p>
    <w:p>
      <w:pPr>
        <w:ind w:right="60" w:firstLine="656"/>
        <w:spacing w:after="0" w:line="297" w:lineRule="auto"/>
        <w:tabs>
          <w:tab w:leader="none" w:pos="130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Opinions of Patent and Regulatory Counsel for Company. </w:t>
      </w:r>
      <w:r>
        <w:rPr>
          <w:rFonts w:ascii="Arial" w:cs="Arial" w:eastAsia="Arial" w:hAnsi="Arial"/>
          <w:sz w:val="16"/>
          <w:szCs w:val="16"/>
          <w:color w:val="auto"/>
        </w:rPr>
        <w:t>At the Closing Time, the Representatives shall have received the opinions, dated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Time, of (i) Nelson Mullins Riley &amp; Scarborough LLP, U.S. patent counsel for the Company, to the effect set forth in Exhibit A-3 hereto and to such further effect as counsel to the Underwriters may reasonably request, (ii) Valua ApS, European patent counsel for the Company, to the effect set forth in Exhibit A-4 hereto and to such further effect as counsel to the Underwriters may reasonably request, and (iii) Cooley LLP, regulatory counsel for the Company, to the effect set forth in Exhibit A-5 hereto and to such further effect as counsel to the Underwriters may reasonably request.</w:t>
      </w:r>
    </w:p>
    <w:p>
      <w:pPr>
        <w:spacing w:after="0" w:line="158" w:lineRule="exact"/>
        <w:rPr>
          <w:rFonts w:ascii="Arial" w:cs="Arial" w:eastAsia="Arial" w:hAnsi="Arial"/>
          <w:sz w:val="16"/>
          <w:szCs w:val="16"/>
          <w:color w:val="auto"/>
        </w:rPr>
      </w:pPr>
    </w:p>
    <w:p>
      <w:pPr>
        <w:ind w:right="20" w:firstLine="656"/>
        <w:spacing w:after="0" w:line="277" w:lineRule="auto"/>
        <w:tabs>
          <w:tab w:leader="none" w:pos="1307"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opinion,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Shearman &amp; Sterling LLP, counsel for the Underwriters, in form and substance satisfactory to the Underwriters.</w:t>
      </w:r>
    </w:p>
    <w:p>
      <w:pPr>
        <w:spacing w:after="0" w:line="170" w:lineRule="exact"/>
        <w:rPr>
          <w:rFonts w:ascii="Arial" w:cs="Arial" w:eastAsia="Arial" w:hAnsi="Arial"/>
          <w:sz w:val="18"/>
          <w:szCs w:val="18"/>
          <w:color w:val="auto"/>
        </w:rPr>
      </w:pPr>
    </w:p>
    <w:p>
      <w:pPr>
        <w:ind w:firstLine="656"/>
        <w:spacing w:after="0" w:line="290" w:lineRule="auto"/>
        <w:tabs>
          <w:tab w:leader="none" w:pos="1301"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given in the Registration Statement, the General Disclosure Package or the Prospectus, any material adverse change in the condition, financial or otherwise, or in the earnings, business affairs or business prospects of the Company and its Subsidiary considered as one enterprise, whether or not arising in the ordinary course of business, and the Representatives shall have received a certificate of the Chief Executive Officer or the President of the Company and of the chief financial or chief accounting officer of the Company, in their respective capacities as such officers only,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right="80"/>
        <w:spacing w:after="0" w:line="308" w:lineRule="auto"/>
        <w:rPr>
          <w:sz w:val="20"/>
          <w:szCs w:val="20"/>
          <w:color w:val="auto"/>
        </w:rPr>
      </w:pPr>
      <w:r>
        <w:rPr>
          <w:rFonts w:ascii="Arial" w:cs="Arial" w:eastAsia="Arial" w:hAnsi="Arial"/>
          <w:sz w:val="17"/>
          <w:szCs w:val="17"/>
          <w:color w:val="auto"/>
        </w:rPr>
        <w:t>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47" w:lineRule="exact"/>
        <w:rPr>
          <w:sz w:val="20"/>
          <w:szCs w:val="20"/>
          <w:color w:val="auto"/>
        </w:rPr>
      </w:pPr>
    </w:p>
    <w:p>
      <w:pPr>
        <w:ind w:firstLine="656"/>
        <w:spacing w:after="0" w:line="257" w:lineRule="auto"/>
        <w:tabs>
          <w:tab w:leader="none" w:pos="131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88" w:lineRule="exact"/>
        <w:rPr>
          <w:rFonts w:ascii="Arial" w:cs="Arial" w:eastAsia="Arial" w:hAnsi="Arial"/>
          <w:sz w:val="18"/>
          <w:szCs w:val="18"/>
          <w:color w:val="auto"/>
        </w:rPr>
      </w:pPr>
    </w:p>
    <w:p>
      <w:pPr>
        <w:ind w:right="120" w:firstLine="656"/>
        <w:spacing w:after="0" w:line="264"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PricewaterhouseCoopers LLP a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as of the Closing Time, to the effect that they reaffirm the statements made in the letter furnished pursuant to subsection (f) of this Section, except that the specified date referred to shall be a date not more than three business days prior to the Closing Time.</w:t>
      </w:r>
    </w:p>
    <w:p>
      <w:pPr>
        <w:spacing w:after="0" w:line="181" w:lineRule="exact"/>
        <w:rPr>
          <w:rFonts w:ascii="Arial" w:cs="Arial" w:eastAsia="Arial" w:hAnsi="Arial"/>
          <w:sz w:val="18"/>
          <w:szCs w:val="18"/>
          <w:color w:val="auto"/>
        </w:rPr>
      </w:pPr>
    </w:p>
    <w:p>
      <w:pPr>
        <w:ind w:right="200" w:firstLine="656"/>
        <w:spacing w:after="0" w:line="277" w:lineRule="auto"/>
        <w:tabs>
          <w:tab w:leader="none" w:pos="123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Nasdaq Global Select Market,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only to official notice of issuance.</w:t>
      </w:r>
    </w:p>
    <w:p>
      <w:pPr>
        <w:spacing w:after="0" w:line="170" w:lineRule="exact"/>
        <w:rPr>
          <w:rFonts w:ascii="Arial" w:cs="Arial" w:eastAsia="Arial" w:hAnsi="Arial"/>
          <w:sz w:val="18"/>
          <w:szCs w:val="18"/>
          <w:color w:val="auto"/>
        </w:rPr>
      </w:pPr>
    </w:p>
    <w:p>
      <w:pPr>
        <w:ind w:right="80" w:firstLine="656"/>
        <w:spacing w:after="0" w:line="277" w:lineRule="auto"/>
        <w:tabs>
          <w:tab w:leader="none" w:pos="122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Securities.</w:t>
      </w:r>
    </w:p>
    <w:p>
      <w:pPr>
        <w:spacing w:after="0" w:line="170" w:lineRule="exact"/>
        <w:rPr>
          <w:rFonts w:ascii="Arial" w:cs="Arial" w:eastAsia="Arial" w:hAnsi="Arial"/>
          <w:sz w:val="18"/>
          <w:szCs w:val="18"/>
          <w:color w:val="auto"/>
        </w:rPr>
      </w:pPr>
    </w:p>
    <w:p>
      <w:pPr>
        <w:ind w:right="480" w:firstLine="656"/>
        <w:spacing w:after="0" w:line="277" w:lineRule="auto"/>
        <w:tabs>
          <w:tab w:leader="none" w:pos="122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Representatives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B hereto signed by the Persons listed on Schedule C hereto.</w:t>
      </w:r>
    </w:p>
    <w:p>
      <w:pPr>
        <w:spacing w:after="0" w:line="170" w:lineRule="exact"/>
        <w:rPr>
          <w:rFonts w:ascii="Arial" w:cs="Arial" w:eastAsia="Arial" w:hAnsi="Arial"/>
          <w:sz w:val="18"/>
          <w:szCs w:val="18"/>
          <w:color w:val="auto"/>
        </w:rPr>
      </w:pPr>
    </w:p>
    <w:p>
      <w:pPr>
        <w:ind w:firstLine="656"/>
        <w:spacing w:after="0" w:line="308" w:lineRule="auto"/>
        <w:tabs>
          <w:tab w:leader="none" w:pos="1237"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Chief Financial Officer’s Certificate</w:t>
      </w:r>
      <w:r>
        <w:rPr>
          <w:rFonts w:ascii="Arial" w:cs="Arial" w:eastAsia="Arial" w:hAnsi="Arial"/>
          <w:sz w:val="17"/>
          <w:szCs w:val="17"/>
          <w:color w:val="auto"/>
        </w:rPr>
        <w:t>. At the time of the execution of this Agreement and at the Closing Time, the Representatives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from the chief financial officer of the Company a certificate in a form reasonably satisfactory to the Representatives.</w:t>
      </w:r>
    </w:p>
    <w:p>
      <w:pPr>
        <w:spacing w:after="0" w:line="146" w:lineRule="exact"/>
        <w:rPr>
          <w:rFonts w:ascii="Arial" w:cs="Arial" w:eastAsia="Arial" w:hAnsi="Arial"/>
          <w:sz w:val="17"/>
          <w:szCs w:val="17"/>
          <w:color w:val="auto"/>
        </w:rPr>
      </w:pPr>
    </w:p>
    <w:p>
      <w:pPr>
        <w:ind w:firstLine="656"/>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Underwriters exercise their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Option Securities, the representations and warranties of the Company contained herein and the statements in any certificates furnished by the Company and its Subsidiary hereunder shall be true and correct as of each Date of Delivery and, at the relevant Date of Delivery, the Representatives shall have received:</w:t>
      </w:r>
    </w:p>
    <w:p>
      <w:pPr>
        <w:spacing w:after="0" w:line="186" w:lineRule="exact"/>
        <w:rPr>
          <w:rFonts w:ascii="Arial" w:cs="Arial" w:eastAsia="Arial" w:hAnsi="Arial"/>
          <w:sz w:val="18"/>
          <w:szCs w:val="18"/>
          <w:color w:val="auto"/>
        </w:rPr>
      </w:pPr>
    </w:p>
    <w:p>
      <w:pPr>
        <w:ind w:left="660" w:right="180" w:firstLine="645"/>
        <w:spacing w:after="0" w:line="264" w:lineRule="auto"/>
        <w:tabs>
          <w:tab w:leader="none" w:pos="197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Chief Executive Officer or the President of the Company and of the chief financial or chief accounting officer of the Company confirming that the certificate delivered at the Closing Time pursuant to Section 5(e) hereof remains true and correct as of such Date of Delivery.</w:t>
      </w:r>
    </w:p>
    <w:p>
      <w:pPr>
        <w:spacing w:after="0" w:line="181" w:lineRule="exact"/>
        <w:rPr>
          <w:rFonts w:ascii="Arial" w:cs="Arial" w:eastAsia="Arial" w:hAnsi="Arial"/>
          <w:sz w:val="18"/>
          <w:szCs w:val="18"/>
          <w:color w:val="auto"/>
        </w:rPr>
      </w:pPr>
    </w:p>
    <w:p>
      <w:pPr>
        <w:jc w:val="both"/>
        <w:ind w:left="660" w:right="300" w:firstLine="645"/>
        <w:spacing w:after="0" w:line="286" w:lineRule="auto"/>
        <w:tabs>
          <w:tab w:leader="none" w:pos="1987"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Opinion of Counsel for Company</w:t>
      </w:r>
      <w:r>
        <w:rPr>
          <w:rFonts w:ascii="Arial" w:cs="Arial" w:eastAsia="Arial" w:hAnsi="Arial"/>
          <w:sz w:val="17"/>
          <w:szCs w:val="17"/>
          <w:color w:val="auto"/>
        </w:rPr>
        <w:t>. If requested by the Representatives, the opinion of Satterlee Stephens LLP,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165" w:lineRule="exact"/>
        <w:rPr>
          <w:rFonts w:ascii="Arial" w:cs="Arial" w:eastAsia="Arial" w:hAnsi="Arial"/>
          <w:sz w:val="17"/>
          <w:szCs w:val="17"/>
          <w:color w:val="auto"/>
        </w:rPr>
      </w:pPr>
    </w:p>
    <w:p>
      <w:pPr>
        <w:ind w:left="660" w:right="100" w:firstLine="645"/>
        <w:spacing w:after="0" w:line="277" w:lineRule="auto"/>
        <w:tabs>
          <w:tab w:leader="none" w:pos="199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Opinion of Counsel for Subsidiary</w:t>
      </w:r>
      <w:r>
        <w:rPr>
          <w:rFonts w:ascii="Arial" w:cs="Arial" w:eastAsia="Arial" w:hAnsi="Arial"/>
          <w:sz w:val="18"/>
          <w:szCs w:val="18"/>
          <w:color w:val="auto"/>
        </w:rPr>
        <w:t>. If requested by the Representatives, the opinion of Mazanti-Andersen Korsø Jensen, counsel for the Subsidiary, in form and substance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 w:name="page27"/>
    <w:bookmarkEnd w:id="26"/>
    <w:p>
      <w:pPr>
        <w:ind w:left="640" w:right="100"/>
        <w:spacing w:after="0" w:line="277" w:lineRule="auto"/>
        <w:rPr>
          <w:sz w:val="20"/>
          <w:szCs w:val="20"/>
          <w:color w:val="auto"/>
        </w:rPr>
      </w:pPr>
      <w:r>
        <w:rPr>
          <w:rFonts w:ascii="Arial" w:cs="Arial" w:eastAsia="Arial" w:hAnsi="Arial"/>
          <w:sz w:val="18"/>
          <w:szCs w:val="18"/>
          <w:color w:val="auto"/>
        </w:rPr>
        <w:t>satisfactory to counsel for the Underwriters, dated such Date of Delivery, relating to the Option Securities to be purchased on such Date of Delivery and otherwise to the same effect as the opinion required by Section 5(c) hereof.</w:t>
      </w:r>
    </w:p>
    <w:p>
      <w:pPr>
        <w:spacing w:after="0" w:line="170" w:lineRule="exact"/>
        <w:rPr>
          <w:sz w:val="20"/>
          <w:szCs w:val="20"/>
          <w:color w:val="auto"/>
        </w:rPr>
      </w:pPr>
    </w:p>
    <w:p>
      <w:pPr>
        <w:ind w:left="640" w:firstLine="645"/>
        <w:spacing w:after="0" w:line="297" w:lineRule="auto"/>
        <w:tabs>
          <w:tab w:leader="none" w:pos="1953"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Opinions of Patent and Regulatory Counsel for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If requested by the Representatives, the opinions of (i) Nelson Mullins Riley &amp; Scarborough LLP, U.S. patent counsel for the Company, in form and substance satisfactory to counsel for the Underwriters, (ii) Valua ApS, European patent counsel for the Company, in form and substance satisfactory to counsel for the Underwriters, and (iii) Cooley LLP, regulatory counsel for the Company, in form and substance satisfactory to counsel for the Underwriters, each dated such Date of Delivery, relating to the Option Securities to be purchased on such Date of Delivery and otherwise to the same effect as the respective opinions required by Section 5(d) hereof.</w:t>
      </w:r>
    </w:p>
    <w:p>
      <w:pPr>
        <w:spacing w:after="0" w:line="158" w:lineRule="exact"/>
        <w:rPr>
          <w:rFonts w:ascii="Arial" w:cs="Arial" w:eastAsia="Arial" w:hAnsi="Arial"/>
          <w:sz w:val="16"/>
          <w:szCs w:val="16"/>
          <w:color w:val="auto"/>
        </w:rPr>
      </w:pPr>
    </w:p>
    <w:p>
      <w:pPr>
        <w:ind w:left="640" w:right="100" w:firstLine="645"/>
        <w:spacing w:after="0" w:line="264" w:lineRule="auto"/>
        <w:tabs>
          <w:tab w:leader="none" w:pos="194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Underwriters</w:t>
      </w:r>
      <w:r>
        <w:rPr>
          <w:rFonts w:ascii="Arial" w:cs="Arial" w:eastAsia="Arial" w:hAnsi="Arial"/>
          <w:sz w:val="18"/>
          <w:szCs w:val="18"/>
          <w:color w:val="auto"/>
        </w:rPr>
        <w:t>. If requested by the Representatives, the opinion of Shearman &amp; Sterling LLP, counsel for the Underwriters, dated such Date of Delivery, relating to the Option Securities to be purchased on such Date of Delivery and otherwise to the same effect as the opinion required by Section 5(e) hereof.</w:t>
      </w:r>
    </w:p>
    <w:p>
      <w:pPr>
        <w:spacing w:after="0" w:line="181" w:lineRule="exact"/>
        <w:rPr>
          <w:rFonts w:ascii="Arial" w:cs="Arial" w:eastAsia="Arial" w:hAnsi="Arial"/>
          <w:sz w:val="18"/>
          <w:szCs w:val="18"/>
          <w:color w:val="auto"/>
        </w:rPr>
      </w:pPr>
    </w:p>
    <w:p>
      <w:pPr>
        <w:ind w:left="640" w:right="80" w:firstLine="645"/>
        <w:spacing w:after="0" w:line="259" w:lineRule="auto"/>
        <w:tabs>
          <w:tab w:leader="none" w:pos="1953"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Representatives, a letter from PricewaterhouseCoopers LLP, in form and substance satisfactory to the Representatives and dated such Date of Delivery, substantially in the same form and substance as the letter furnished to the Representatives pursuant to Section 5(h) hereof, except that the “specified date” in the letter furnished pursuant to this paragraph shall be a date not more than three business days prior to such Date of Delivery.</w:t>
      </w:r>
    </w:p>
    <w:p>
      <w:pPr>
        <w:spacing w:after="0" w:line="186" w:lineRule="exact"/>
        <w:rPr>
          <w:rFonts w:ascii="Arial" w:cs="Arial" w:eastAsia="Arial" w:hAnsi="Arial"/>
          <w:sz w:val="18"/>
          <w:szCs w:val="18"/>
          <w:color w:val="auto"/>
        </w:rPr>
      </w:pPr>
    </w:p>
    <w:p>
      <w:pPr>
        <w:ind w:left="640" w:right="560" w:firstLine="645"/>
        <w:spacing w:after="0" w:line="264" w:lineRule="auto"/>
        <w:tabs>
          <w:tab w:leader="none" w:pos="1963"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Chief Financial Officer’s Certificate</w:t>
      </w:r>
      <w:r>
        <w:rPr>
          <w:rFonts w:ascii="Arial" w:cs="Arial" w:eastAsia="Arial" w:hAnsi="Arial"/>
          <w:sz w:val="18"/>
          <w:szCs w:val="18"/>
          <w:color w:val="auto"/>
        </w:rPr>
        <w:t>. A certificate from the chief financial officer of the Company, in form and substance satisfactory to the Representatives and dated such Date of Delivery, substantially in the same form and substance as the letter furnished to the Representatives pursuant to Section 5(l) hereof.</w:t>
      </w:r>
    </w:p>
    <w:p>
      <w:pPr>
        <w:spacing w:after="0" w:line="181" w:lineRule="exact"/>
        <w:rPr>
          <w:rFonts w:ascii="Arial" w:cs="Arial" w:eastAsia="Arial" w:hAnsi="Arial"/>
          <w:sz w:val="18"/>
          <w:szCs w:val="18"/>
          <w:color w:val="auto"/>
        </w:rPr>
      </w:pPr>
    </w:p>
    <w:p>
      <w:pPr>
        <w:ind w:left="-20" w:right="20" w:firstLine="656"/>
        <w:spacing w:after="0" w:line="257" w:lineRule="auto"/>
        <w:tabs>
          <w:tab w:leader="none" w:pos="128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and at each Date of Delivery (if any) counsel for the Underwriters shall have been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Representatives and counsel for the Underwriters.</w:t>
      </w:r>
    </w:p>
    <w:p>
      <w:pPr>
        <w:spacing w:after="0" w:line="188" w:lineRule="exact"/>
        <w:rPr>
          <w:rFonts w:ascii="Arial" w:cs="Arial" w:eastAsia="Arial" w:hAnsi="Arial"/>
          <w:sz w:val="18"/>
          <w:szCs w:val="18"/>
          <w:color w:val="auto"/>
        </w:rPr>
      </w:pPr>
    </w:p>
    <w:p>
      <w:pPr>
        <w:ind w:left="-20" w:right="20" w:firstLine="656"/>
        <w:spacing w:after="0" w:line="297" w:lineRule="auto"/>
        <w:tabs>
          <w:tab w:leader="none" w:pos="1284"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shall not have been fulfilled when and as required to be fulfilled,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spacing w:after="0" w:line="158"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left="-20" w:firstLine="656"/>
        <w:spacing w:after="0" w:line="277" w:lineRule="auto"/>
        <w:tabs>
          <w:tab w:leader="none" w:pos="127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officers, directors,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(as such term is defined in Rule 501(b)</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27" w:name="page28"/>
    <w:bookmarkEnd w:id="27"/>
    <w:p>
      <w:pPr>
        <w:ind w:right="260"/>
        <w:spacing w:after="0" w:line="277" w:lineRule="auto"/>
        <w:rPr>
          <w:sz w:val="20"/>
          <w:szCs w:val="20"/>
          <w:color w:val="auto"/>
        </w:rPr>
      </w:pPr>
      <w:r>
        <w:rPr>
          <w:rFonts w:ascii="Arial" w:cs="Arial" w:eastAsia="Arial" w:hAnsi="Arial"/>
          <w:sz w:val="18"/>
          <w:szCs w:val="18"/>
          <w:color w:val="auto"/>
        </w:rPr>
        <w:t>under the 1933 Act (each, an “Affiliate”)), its selling agents and each person, if any, who controls any Underwriter within the meaning of Section 15 of the 1933 Act or Section 20 of the 1934 Act as follows:</w:t>
      </w:r>
    </w:p>
    <w:p>
      <w:pPr>
        <w:spacing w:after="0" w:line="170" w:lineRule="exact"/>
        <w:rPr>
          <w:sz w:val="20"/>
          <w:szCs w:val="20"/>
          <w:color w:val="auto"/>
        </w:rPr>
      </w:pPr>
    </w:p>
    <w:p>
      <w:pPr>
        <w:ind w:left="660" w:right="40" w:firstLine="645"/>
        <w:spacing w:after="0" w:line="270" w:lineRule="auto"/>
        <w:tabs>
          <w:tab w:leader="none" w:pos="1978" w:val="left"/>
        </w:tabs>
        <w:numPr>
          <w:ilvl w:val="0"/>
          <w:numId w:val="32"/>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 show or investor presentations made to investors by the Company (whether in person or electronically), or the omission or alleged omission in any preliminary prospectus, Issuer Free Writing Prospectus, Prospectus or in any Marketing Materials of a material fact necessary in order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ind w:left="660" w:firstLine="645"/>
        <w:spacing w:after="0" w:line="288" w:lineRule="auto"/>
        <w:tabs>
          <w:tab w:leader="none" w:pos="19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w:t>
      </w:r>
    </w:p>
    <w:p>
      <w:pPr>
        <w:ind w:left="660"/>
        <w:spacing w:after="0"/>
        <w:rPr>
          <w:rFonts w:ascii="Arial" w:cs="Arial" w:eastAsia="Arial" w:hAnsi="Arial"/>
          <w:sz w:val="16"/>
          <w:szCs w:val="16"/>
          <w:color w:val="auto"/>
        </w:rPr>
      </w:pPr>
      <w:r>
        <w:rPr>
          <w:rFonts w:ascii="Arial" w:cs="Arial" w:eastAsia="Arial" w:hAnsi="Arial"/>
          <w:sz w:val="18"/>
          <w:szCs w:val="18"/>
          <w:color w:val="auto"/>
        </w:rPr>
        <w:t>Section 6(d) below) any such settlement is effected with the written consent of the Company;</w:t>
      </w:r>
    </w:p>
    <w:p>
      <w:pPr>
        <w:spacing w:after="0" w:line="210" w:lineRule="exact"/>
        <w:rPr>
          <w:rFonts w:ascii="Arial" w:cs="Arial" w:eastAsia="Arial" w:hAnsi="Arial"/>
          <w:sz w:val="16"/>
          <w:szCs w:val="16"/>
          <w:color w:val="auto"/>
        </w:rPr>
      </w:pPr>
    </w:p>
    <w:p>
      <w:pPr>
        <w:ind w:left="660" w:right="20" w:firstLine="645"/>
        <w:spacing w:after="0" w:line="302" w:lineRule="auto"/>
        <w:tabs>
          <w:tab w:leader="none" w:pos="1997" w:val="left"/>
        </w:tabs>
        <w:numPr>
          <w:ilvl w:val="0"/>
          <w:numId w:val="32"/>
        </w:numPr>
        <w:rPr>
          <w:rFonts w:ascii="Arial" w:cs="Arial" w:eastAsia="Arial" w:hAnsi="Arial"/>
          <w:sz w:val="16"/>
          <w:szCs w:val="16"/>
          <w:color w:val="auto"/>
        </w:rPr>
      </w:pPr>
      <w:r>
        <w:rPr>
          <w:rFonts w:ascii="Arial" w:cs="Arial" w:eastAsia="Arial" w:hAnsi="Arial"/>
          <w:sz w:val="16"/>
          <w:szCs w:val="16"/>
          <w:color w:val="auto"/>
        </w:rPr>
        <w:t>against any and all reasonably documented expense whatsoever, as incurred (including the fees and disbursements of one counsel (in addition to any local counsel) chosen by the Representatives),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87" w:lineRule="exact"/>
        <w:rPr>
          <w:sz w:val="20"/>
          <w:szCs w:val="20"/>
          <w:color w:val="auto"/>
        </w:rPr>
      </w:pPr>
    </w:p>
    <w:p>
      <w:pPr>
        <w:jc w:val="both"/>
        <w:ind w:right="120" w:firstLine="697"/>
        <w:spacing w:after="0" w:line="288" w:lineRule="auto"/>
        <w:tabs>
          <w:tab w:leader="none" w:pos="1304"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Each Underwriter severally agrees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w:t>
      </w:r>
    </w:p>
    <w:p>
      <w:pPr>
        <w:ind w:right="160" w:firstLine="8"/>
        <w:spacing w:after="0" w:line="277" w:lineRule="auto"/>
        <w:tabs>
          <w:tab w:leader="none" w:pos="2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or the Prospectus (or any amendment or supplement thereto) in reliance upon and in conformity with the Underwriter Information.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60" w:firstLine="656"/>
        <w:spacing w:after="0" w:line="286" w:lineRule="auto"/>
        <w:tabs>
          <w:tab w:leader="none" w:pos="1307"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6(a) above, counsel to the indemnified parties shall be selected by the Representatives, and, in the case of parties indemnified pursuant to</w:t>
      </w:r>
    </w:p>
    <w:p>
      <w:pPr>
        <w:spacing w:after="0" w:line="20" w:lineRule="exact"/>
        <w:rPr>
          <w:rFonts w:ascii="Arial" w:cs="Arial" w:eastAsia="Arial" w:hAnsi="Arial"/>
          <w:sz w:val="16"/>
          <w:szCs w:val="16"/>
          <w:color w:val="auto"/>
        </w:rPr>
      </w:pPr>
    </w:p>
    <w:p>
      <w:pPr>
        <w:ind w:right="80"/>
        <w:spacing w:after="0" w:line="286" w:lineRule="auto"/>
        <w:rPr>
          <w:rFonts w:ascii="Arial" w:cs="Arial" w:eastAsia="Arial" w:hAnsi="Arial"/>
          <w:sz w:val="16"/>
          <w:szCs w:val="16"/>
          <w:color w:val="auto"/>
        </w:rPr>
      </w:pPr>
      <w:r>
        <w:rPr>
          <w:rFonts w:ascii="Arial" w:cs="Arial" w:eastAsia="Arial" w:hAnsi="Arial"/>
          <w:sz w:val="16"/>
          <w:szCs w:val="16"/>
          <w:color w:val="auto"/>
        </w:rPr>
        <w:t>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70" w:lineRule="exact"/>
        <w:rPr>
          <w:rFonts w:ascii="Arial" w:cs="Arial" w:eastAsia="Arial" w:hAnsi="Arial"/>
          <w:sz w:val="16"/>
          <w:szCs w:val="16"/>
          <w:color w:val="auto"/>
        </w:rPr>
      </w:pPr>
    </w:p>
    <w:p>
      <w:pPr>
        <w:ind w:firstLine="656"/>
        <w:spacing w:after="0" w:line="255" w:lineRule="auto"/>
        <w:tabs>
          <w:tab w:leader="none" w:pos="130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on the cover of the Prospectus, bear to the aggregate public offering price of the Securities as set forth on the cover of the Prospectus.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5"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93"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Representations, Warranties and Agreements to Survive</w:t>
      </w:r>
      <w:r>
        <w:rPr>
          <w:rFonts w:ascii="Arial" w:cs="Arial" w:eastAsia="Arial" w:hAnsi="Arial"/>
          <w:sz w:val="17"/>
          <w:szCs w:val="17"/>
          <w:color w:val="auto"/>
        </w:rPr>
        <w:t>. All representations, warranties and agreements contained in this Agreement or in certificates of officers of the Company or its Subsidiary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7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may terminate this Agreement, by notice to the Company, at any time at or prior to the Closing Time</w:t>
      </w:r>
    </w:p>
    <w:p>
      <w:pPr>
        <w:spacing w:after="0" w:line="34" w:lineRule="exact"/>
        <w:rPr>
          <w:rFonts w:ascii="Arial" w:cs="Arial" w:eastAsia="Arial" w:hAnsi="Arial"/>
          <w:sz w:val="17"/>
          <w:szCs w:val="17"/>
          <w:color w:val="auto"/>
        </w:rPr>
      </w:pPr>
    </w:p>
    <w:p>
      <w:pPr>
        <w:ind w:right="100" w:firstLine="8"/>
        <w:spacing w:after="0" w:line="302" w:lineRule="auto"/>
        <w:tabs>
          <w:tab w:leader="none" w:pos="2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Subsidiary considered as one enterprise, whether or not arising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spacing w:after="0" w:line="270" w:lineRule="auto"/>
        <w:rPr>
          <w:sz w:val="20"/>
          <w:szCs w:val="20"/>
          <w:color w:val="auto"/>
        </w:rPr>
      </w:pPr>
      <w:r>
        <w:rPr>
          <w:rFonts w:ascii="Arial" w:cs="Arial" w:eastAsia="Arial" w:hAnsi="Arial"/>
          <w:sz w:val="17"/>
          <w:szCs w:val="17"/>
          <w:color w:val="auto"/>
        </w:rPr>
        <w:t>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Select Market, or (iv) if trading generally on the NYSE MKT or the New York Stock Exchange or in the Nasdaq Global Select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78" w:lineRule="exact"/>
        <w:rPr>
          <w:sz w:val="20"/>
          <w:szCs w:val="20"/>
          <w:color w:val="auto"/>
        </w:rPr>
      </w:pPr>
    </w:p>
    <w:p>
      <w:pPr>
        <w:ind w:right="80" w:firstLine="656"/>
        <w:spacing w:after="0" w:line="264" w:lineRule="auto"/>
        <w:tabs>
          <w:tab w:leader="none" w:pos="1304"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except as provided in Section 4 hereof, and provided further that Sections 1, 6, 7, 8, 14, 15, 16 and 17 shall survive such termination and remain in full force and effect.</w:t>
      </w:r>
    </w:p>
    <w:p>
      <w:pPr>
        <w:spacing w:after="0" w:line="181"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Default by One or More of the Underwriters</w:t>
      </w:r>
      <w:r>
        <w:rPr>
          <w:rFonts w:ascii="Arial" w:cs="Arial" w:eastAsia="Arial" w:hAnsi="Arial"/>
          <w:sz w:val="16"/>
          <w:szCs w:val="16"/>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reasonably satisfactory to the Company,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158" w:lineRule="exact"/>
        <w:rPr>
          <w:sz w:val="20"/>
          <w:szCs w:val="20"/>
          <w:color w:val="auto"/>
        </w:rPr>
      </w:pPr>
    </w:p>
    <w:p>
      <w:pPr>
        <w:jc w:val="both"/>
        <w:ind w:left="660" w:right="140" w:firstLine="645"/>
        <w:spacing w:after="0" w:line="286" w:lineRule="auto"/>
        <w:tabs>
          <w:tab w:leader="none" w:pos="1978"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65" w:lineRule="exact"/>
        <w:rPr>
          <w:rFonts w:ascii="Arial" w:cs="Arial" w:eastAsia="Arial" w:hAnsi="Arial"/>
          <w:sz w:val="17"/>
          <w:szCs w:val="17"/>
          <w:color w:val="auto"/>
        </w:rPr>
      </w:pPr>
    </w:p>
    <w:p>
      <w:pPr>
        <w:jc w:val="both"/>
        <w:ind w:left="660" w:right="160" w:firstLine="645"/>
        <w:spacing w:after="0" w:line="259" w:lineRule="auto"/>
        <w:tabs>
          <w:tab w:leader="none" w:pos="19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Any termination of this Agreement pursuant to this Section 10 shall be without liability on the part of the Company except that the Company will continue to be liable for the payment of expenses as set forth in Section 4 hereof and except that the provisions of Section 6 hereof shall not terminate and shall remain in effect.</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right="20"/>
        <w:spacing w:after="0" w:line="279" w:lineRule="auto"/>
        <w:rPr>
          <w:sz w:val="20"/>
          <w:szCs w:val="20"/>
          <w:color w:val="auto"/>
        </w:rPr>
      </w:pPr>
      <w:r>
        <w:rPr>
          <w:rFonts w:ascii="Arial" w:cs="Arial" w:eastAsia="Arial" w:hAnsi="Arial"/>
          <w:sz w:val="17"/>
          <w:szCs w:val="17"/>
          <w:color w:val="auto"/>
        </w:rPr>
        <w:t>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7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by any standard form of telecommunication. Notices to the Underwriters shall be directed to (i) Morgan Stanley at 1585 Broadway, New York, New York 10036, Attention: Equity Syndicate Desk, with a copy to the Legal Department; (ii) J.P. Morgan at 383 Madison Avenue, New York, New York 10179, fax (212) 622-8358; and (iii) BofAS at One Bryant Park, New York, New York 10036, attention of Syndicate Department (facsimile: (646) 855-3073), with a copy to ECM Legal (facsimile: (212) 230-8730); with a copy to Shearman &amp; Sterling LLP at 599 Lexington Avenue, New York, NY 10022, attention of Ilir Mujalovic and Harald Halbhuber. Notices to the Company shall be directed to it at Y-mAbs Therapeutics, Inc., 230 Park Avenue, Suite 3350, New York, New York 10169, attention: Thomas Gad, Chairman, with a copy to Satterlee Stephens LLP at 230 Park Avenue, Suite 1130, New York, New York 10169, attention Dwight A. Kinsey.</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its Subsidiary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its Subsidiary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59" w:lineRule="auto"/>
        <w:tabs>
          <w:tab w:leader="none" w:pos="12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140" w:firstLine="656"/>
        <w:spacing w:after="0" w:line="259" w:lineRule="auto"/>
        <w:tabs>
          <w:tab w:leader="none" w:pos="13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spacing w:after="0" w:line="291" w:lineRule="auto"/>
        <w:rPr>
          <w:sz w:val="20"/>
          <w:szCs w:val="20"/>
          <w:color w:val="auto"/>
        </w:rPr>
      </w:pPr>
      <w:r>
        <w:rPr>
          <w:rFonts w:ascii="Arial" w:cs="Arial" w:eastAsia="Arial" w:hAnsi="Arial"/>
          <w:sz w:val="16"/>
          <w:szCs w:val="16"/>
          <w:color w:val="auto"/>
        </w:rPr>
        <w:t>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w:t>
      </w:r>
    </w:p>
    <w:p>
      <w:pPr>
        <w:ind w:right="240" w:firstLine="8"/>
        <w:spacing w:after="0" w:line="253" w:lineRule="auto"/>
        <w:tabs>
          <w:tab w:leader="none" w:pos="1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b w:val="1"/>
          <w:bCs w:val="1"/>
          <w:color w:val="auto"/>
        </w:rPr>
        <w:t>“</w:t>
      </w:r>
      <w:r>
        <w:rPr>
          <w:rFonts w:ascii="Arial" w:cs="Arial" w:eastAsia="Arial" w:hAnsi="Arial"/>
          <w:sz w:val="18"/>
          <w:szCs w:val="18"/>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firstLine="648"/>
        <w:spacing w:after="0" w:line="27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70" w:lineRule="exact"/>
        <w:rPr>
          <w:sz w:val="20"/>
          <w:szCs w:val="20"/>
          <w:color w:val="auto"/>
        </w:rPr>
      </w:pPr>
    </w:p>
    <w:p>
      <w:pPr>
        <w:jc w:val="center"/>
        <w:ind w:right="80"/>
        <w:spacing w:after="0"/>
        <w:tabs>
          <w:tab w:leader="none" w:pos="26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34" w:name="page35"/>
    <w:bookmarkEnd w:id="34"/>
    <w:p>
      <w:pPr>
        <w:ind w:firstLine="648"/>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3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Y-MABS THERAPEUTICS,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Gad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Chairman,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Chris Rigoli</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Tommy Rueger</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Greg Butz</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For themselves and as Representatives of the other Underwriters named in Schedule A hereto.</w:t>
      </w:r>
    </w:p>
    <w:p>
      <w:pPr>
        <w:spacing w:after="0" w:line="237"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public offering price per share for the Securities shall be $28.00.</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purchase price per share for the Securities to be paid by the several Underwriters shall be $26.32, being an amount equal to the public offering price set forth above less $1.68 per share, subject to adjustment in accordance with Section 2(b) for dividends or distributions declared by the Company and payable on the Initial Securities but not payable on the Option Securities.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Underwriter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9940" w:type="dxa"/>
            <w:vAlign w:val="bottom"/>
            <w:gridSpan w:val="3"/>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Initial Securities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1,428,800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H.C. Wainwright &amp; Co., LLC</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920" w:type="dxa"/>
            <w:vAlign w:val="bottom"/>
            <w:gridSpan w:val="2"/>
            <w:vMerge w:val="continue"/>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4,465,000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ind w:right="-51"/>
        <w:spacing w:after="0"/>
        <w:rPr>
          <w:sz w:val="20"/>
          <w:szCs w:val="20"/>
          <w:color w:val="auto"/>
        </w:rPr>
      </w:pPr>
      <w:r>
        <w:rPr>
          <w:rFonts w:ascii="Arial" w:cs="Arial" w:eastAsia="Arial" w:hAnsi="Arial"/>
          <w:sz w:val="18"/>
          <w:szCs w:val="18"/>
          <w:color w:val="auto"/>
        </w:rPr>
        <w:t>SCHEDULE B-1</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u w:val="single" w:color="auto"/>
          <w:color w:val="auto"/>
        </w:rPr>
        <w:t>Pricing Terms</w:t>
      </w:r>
    </w:p>
    <w:p>
      <w:pPr>
        <w:spacing w:after="0" w:line="225" w:lineRule="exact"/>
        <w:rPr>
          <w:sz w:val="20"/>
          <w:szCs w:val="20"/>
          <w:color w:val="auto"/>
        </w:rPr>
      </w:pPr>
    </w:p>
    <w:p>
      <w:pPr>
        <w:ind w:left="652" w:hanging="652"/>
        <w:spacing w:after="0"/>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is selling 4,465,000 shares of Common Stock.</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has granted an option to the Underwriters, severally and not jointly, to purchase up to an additional 669,750 shares of Common Stock.</w:t>
      </w:r>
    </w:p>
    <w:p>
      <w:pPr>
        <w:spacing w:after="0" w:line="248" w:lineRule="exact"/>
        <w:rPr>
          <w:rFonts w:ascii="Arial" w:cs="Arial" w:eastAsia="Arial" w:hAnsi="Arial"/>
          <w:sz w:val="16"/>
          <w:szCs w:val="16"/>
          <w:color w:val="auto"/>
        </w:rPr>
      </w:pPr>
    </w:p>
    <w:p>
      <w:pPr>
        <w:ind w:left="652" w:hanging="652"/>
        <w:spacing w:after="0"/>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public offering price per share for the Securities shall be $28.00.</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Sch.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38" w:name="page39"/>
    <w:bookmarkEnd w:id="38"/>
    <w:p>
      <w:pPr>
        <w:jc w:val="center"/>
        <w:ind w:right="-1200"/>
        <w:spacing w:after="0"/>
        <w:rPr>
          <w:sz w:val="20"/>
          <w:szCs w:val="20"/>
          <w:color w:val="auto"/>
        </w:rPr>
      </w:pPr>
      <w:r>
        <w:rPr>
          <w:rFonts w:ascii="Arial" w:cs="Arial" w:eastAsia="Arial" w:hAnsi="Arial"/>
          <w:sz w:val="18"/>
          <w:szCs w:val="18"/>
          <w:color w:val="auto"/>
        </w:rPr>
        <w:t>SCHEDULE B-2</w:t>
      </w:r>
    </w:p>
    <w:p>
      <w:pPr>
        <w:spacing w:after="0" w:line="225" w:lineRule="exact"/>
        <w:rPr>
          <w:sz w:val="20"/>
          <w:szCs w:val="20"/>
          <w:color w:val="auto"/>
        </w:rPr>
      </w:pPr>
    </w:p>
    <w:p>
      <w:pPr>
        <w:jc w:val="right"/>
        <w:ind w:right="3559"/>
        <w:spacing w:after="0"/>
        <w:rPr>
          <w:sz w:val="20"/>
          <w:szCs w:val="20"/>
          <w:color w:val="auto"/>
        </w:rPr>
      </w:pPr>
      <w:r>
        <w:rPr>
          <w:rFonts w:ascii="Arial" w:cs="Arial" w:eastAsia="Arial" w:hAnsi="Arial"/>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Sch.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9" w:name="page40"/>
    <w:bookmarkEnd w:id="39"/>
    <w:p>
      <w:pPr>
        <w:jc w:val="center"/>
        <w:ind w:right="-1220"/>
        <w:spacing w:after="0"/>
        <w:rPr>
          <w:sz w:val="20"/>
          <w:szCs w:val="20"/>
          <w:color w:val="auto"/>
        </w:rPr>
      </w:pPr>
      <w:r>
        <w:rPr>
          <w:rFonts w:ascii="Arial" w:cs="Arial" w:eastAsia="Arial" w:hAnsi="Arial"/>
          <w:sz w:val="18"/>
          <w:szCs w:val="18"/>
          <w:color w:val="auto"/>
        </w:rPr>
        <w:t>SCHEDULE C</w:t>
      </w:r>
    </w:p>
    <w:p>
      <w:pPr>
        <w:spacing w:after="0" w:line="225" w:lineRule="exact"/>
        <w:rPr>
          <w:sz w:val="20"/>
          <w:szCs w:val="20"/>
          <w:color w:val="auto"/>
        </w:rPr>
      </w:pPr>
    </w:p>
    <w:p>
      <w:pPr>
        <w:jc w:val="right"/>
        <w:ind w:right="2799"/>
        <w:spacing w:after="0"/>
        <w:rPr>
          <w:sz w:val="20"/>
          <w:szCs w:val="20"/>
          <w:color w:val="auto"/>
        </w:rPr>
      </w:pPr>
      <w:r>
        <w:rPr>
          <w:rFonts w:ascii="Arial" w:cs="Arial" w:eastAsia="Arial" w:hAnsi="Arial"/>
          <w:sz w:val="18"/>
          <w:szCs w:val="18"/>
          <w:u w:val="single" w:color="auto"/>
          <w:color w:val="auto"/>
        </w:rPr>
        <w:t>List of Persons and Entities Subject to 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Gérard 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Nai-Kong V. Cheung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Gad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I. Healy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 Kruse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Steen Lisby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Torben Lund-Hansen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Claus Juan Moller-San Pedro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Gregory Raskin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Sofinnova Venture Partners X,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Ashutosh Tyagi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Weco Group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Johan Wedell-Wedellsborg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WG Biotech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Joris Wiel Jan Wilms</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Sch.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A-1</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Exh.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LOCK-UP FROM DIRECTORS, OFFICERS OR OTHER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 SECTION 5(k)</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to be named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Underwriting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c/o</w:t>
            </w: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Morgan Stanley &amp; Co. LLC</w:t>
            </w: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1585 Broadway</w:t>
            </w:r>
          </w:p>
        </w:tc>
      </w:tr>
      <w:tr>
        <w:trPr>
          <w:trHeight w:val="23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New York, New York 10036</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c/o</w:t>
            </w: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J.P. Morgan Securities LLC</w:t>
            </w: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383 Madison Avenue</w:t>
            </w:r>
          </w:p>
        </w:tc>
      </w:tr>
      <w:tr>
        <w:trPr>
          <w:trHeight w:val="23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New York, New York 10179</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c/o</w:t>
            </w: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BofA Securities, Inc.</w:t>
            </w: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One Bryant Park</w:t>
            </w:r>
          </w:p>
        </w:tc>
      </w:tr>
      <w:tr>
        <w:trPr>
          <w:trHeight w:val="23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New York, New York 10036</w:t>
            </w: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Re:</w:t>
            </w:r>
          </w:p>
        </w:tc>
        <w:tc>
          <w:tcPr>
            <w:tcW w:w="180" w:type="dxa"/>
            <w:vAlign w:val="bottom"/>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Proposed Public Offering by Y-mAbs Therapeutics, Inc.</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undersigned, a stockholder, an officer and/or a director, as applicable, of Y-mAbs Therapeutics, Inc., a Delaware corporation (the “Company”), understands that Morgan Stanley &amp; Co. LLC (“Morgan Stanley”), J.P. Morgan Securities LLC (“J.P. Morgan”) and BofA Securities, Inc. (“BofAS”) propose to enter into an Underwriting Agreement (the “Underwriting Agreement”) with the Company and the other underwriters party thereto providing for the public offering (the “Public Offering”) of shares of the Company’s common stock, par value $0.0001 per share (the “Common Stock”). In recognition of the benefit that the Public Offering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spacing w:after="0" w:line="268" w:lineRule="auto"/>
        <w:rPr>
          <w:sz w:val="20"/>
          <w:szCs w:val="20"/>
          <w:color w:val="auto"/>
        </w:rPr>
      </w:pPr>
      <w:r>
        <w:rPr>
          <w:rFonts w:ascii="Arial" w:cs="Arial" w:eastAsia="Arial" w:hAnsi="Arial"/>
          <w:sz w:val="17"/>
          <w:szCs w:val="17"/>
          <w:color w:val="auto"/>
        </w:rPr>
        <w:t>confer upon the undersigned as a stockholder, an officer and/or a director, as applicable, of the Company, and for other good and valuable consideration, the receipt and sufficiency of which are hereby acknowledged, pursuant to the terms of this letter agreement (the “Lock-Up Agreement”), the undersigned hereby agrees with each underwriter to be named in the Underwriting Agreement (the “Underwriters”) that, during the period beginning on the date hereof and ending on the date that is [90][60](1) days from the date of the Underwriting Agreement (the “Lock-Up Period”), the undersigned will not, without the prior written consent of Morgan Stanley, J.P. Morgan and BofAS, (i) directly or indirectly, offer, pledge, sell, contract to sell, sell any option or contract to purchase, purchase any option or contract to sell, grant any option, right or warrant to purchase or otherwise transfer or dispose of any shares of the Common Stock or any securities convertible into or exercisable or exchangeable for shares of the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of 1933, as amended (the “Securities Act”), or (ii) enter into any swap or any other agreement or any transaction that transfers, in whole or in part, directly or indirectly, the economic consequence of ownership of the Lock-Up Securities, whether any such swap or transaction is to be settled by delivery of shares of the Common Stock or other securities, in cash or otherwise or (iii) publicly disclose the intention to do any of the foregoing described in clauses (i) or (ii).</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Notwithstanding the foregoing, and subject to the conditions below, the undersigned may transfer the Lock-Up Securities without the prior written consent of Morgan Stanley, J.P. Morgan and BofAS:</w:t>
      </w:r>
    </w:p>
    <w:p>
      <w:pPr>
        <w:spacing w:after="0" w:line="170" w:lineRule="exact"/>
        <w:rPr>
          <w:sz w:val="20"/>
          <w:szCs w:val="20"/>
          <w:color w:val="auto"/>
        </w:rPr>
      </w:pPr>
    </w:p>
    <w:p>
      <w:pPr>
        <w:ind w:left="1940" w:hanging="635"/>
        <w:spacing w:after="0"/>
        <w:tabs>
          <w:tab w:leader="none" w:pos="1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 a bona fide gift or gifts; or</w:t>
      </w:r>
    </w:p>
    <w:p>
      <w:pPr>
        <w:spacing w:after="0" w:line="225" w:lineRule="exact"/>
        <w:rPr>
          <w:rFonts w:ascii="Arial" w:cs="Arial" w:eastAsia="Arial" w:hAnsi="Arial"/>
          <w:sz w:val="18"/>
          <w:szCs w:val="18"/>
          <w:color w:val="auto"/>
        </w:rPr>
      </w:pPr>
    </w:p>
    <w:p>
      <w:pPr>
        <w:ind w:left="1960" w:right="80" w:hanging="655"/>
        <w:spacing w:after="0" w:line="257" w:lineRule="auto"/>
        <w:tabs>
          <w:tab w:leader="none" w:pos="19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undersigned or the immediate family of the undersigned or any of their successors upon death, or any partnerships or limited liability company, the partners or members of which consist of or are for the direct or indirect benefit of the undersigned and/or immediate family members or other dependents of the undersigned (for purposes of this Lock-Up Agreement, “immediate family” shall mean any relationship by blood, marriage or adoption, not more remote than first cousin); or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 a distribution to partners, members, stockholders or other equity holders of the undersigned; or</w:t>
      </w:r>
    </w:p>
    <w:p>
      <w:pPr>
        <w:spacing w:after="0" w:line="225" w:lineRule="exact"/>
        <w:rPr>
          <w:rFonts w:ascii="Arial" w:cs="Arial" w:eastAsia="Arial" w:hAnsi="Arial"/>
          <w:sz w:val="18"/>
          <w:szCs w:val="18"/>
          <w:color w:val="auto"/>
        </w:rPr>
      </w:pPr>
    </w:p>
    <w:p>
      <w:pPr>
        <w:ind w:left="1960" w:right="660" w:hanging="655"/>
        <w:spacing w:after="0" w:line="312" w:lineRule="auto"/>
        <w:tabs>
          <w:tab w:leader="none" w:pos="1954"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another corporation, partnership, limited liability company or other business entity if the undersigned is a corporation, partnership, limited liability company or other business entity, or to the undersigned’s affiliates (as such term is defined in Rule 405 as promulgated by the Securities and Exchange Commission (the “SEC”) under the Securities</w:t>
      </w:r>
    </w:p>
    <w:p>
      <w:pPr>
        <w:spacing w:after="0" w:line="376" w:lineRule="exact"/>
        <w:rPr>
          <w:rFonts w:ascii="Arial" w:cs="Arial" w:eastAsia="Arial" w:hAnsi="Arial"/>
          <w:sz w:val="16"/>
          <w:szCs w:val="16"/>
          <w:color w:val="auto"/>
        </w:rPr>
      </w:pPr>
    </w:p>
    <w:p>
      <w:pPr>
        <w:ind w:left="300" w:hanging="292"/>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60 day Lock-Up Period for certain shareholders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 w:name="page44"/>
    <w:bookmarkEnd w:id="43"/>
    <w:p>
      <w:pPr>
        <w:ind w:left="760"/>
        <w:spacing w:after="0"/>
        <w:rPr>
          <w:sz w:val="20"/>
          <w:szCs w:val="20"/>
          <w:color w:val="auto"/>
        </w:rPr>
      </w:pPr>
      <w:r>
        <w:rPr>
          <w:rFonts w:ascii="Arial" w:cs="Arial" w:eastAsia="Arial" w:hAnsi="Arial"/>
          <w:sz w:val="18"/>
          <w:szCs w:val="18"/>
          <w:color w:val="auto"/>
        </w:rPr>
        <w:t>Act) or to any investment fund or other entity controlled or managed by the undersigned; or</w:t>
      </w:r>
    </w:p>
    <w:p>
      <w:pPr>
        <w:spacing w:after="0" w:line="225" w:lineRule="exact"/>
        <w:rPr>
          <w:sz w:val="20"/>
          <w:szCs w:val="20"/>
          <w:color w:val="auto"/>
        </w:rPr>
      </w:pPr>
    </w:p>
    <w:p>
      <w:pPr>
        <w:ind w:left="760" w:right="160" w:hanging="655"/>
        <w:spacing w:after="0" w:line="277" w:lineRule="auto"/>
        <w:tabs>
          <w:tab w:leader="none" w:pos="74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such Lock-Up Securities were acquired by the undersigned in the Public Offering from the Underwriters or on the open market following the effective date of the registration statement for the Public Offering; or</w:t>
      </w:r>
    </w:p>
    <w:p>
      <w:pPr>
        <w:spacing w:after="0" w:line="170" w:lineRule="exact"/>
        <w:rPr>
          <w:rFonts w:ascii="Arial" w:cs="Arial" w:eastAsia="Arial" w:hAnsi="Arial"/>
          <w:sz w:val="18"/>
          <w:szCs w:val="18"/>
          <w:color w:val="auto"/>
        </w:rPr>
      </w:pPr>
    </w:p>
    <w:p>
      <w:pPr>
        <w:ind w:left="760" w:right="140" w:hanging="655"/>
        <w:spacing w:after="0" w:line="290" w:lineRule="auto"/>
        <w:tabs>
          <w:tab w:leader="none" w:pos="754"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pursuant to the exercise, including by “net” exercise, of any options, warrants or other rights to acquire shares of Common Stock, the settlement of any share-settled share appreciation rights or restricted share units or the conversion of any convertible security into Common Stock described in the final prospectus related to the Public Offering (the “Prospectus”), or issued pursuant to an equity plan described in the Prospectus, it being understood that any shares of Common Stock received by the undersigned upon such exercise, settlement or conversion shall be subject to the restrictions on transfers set forth in this Lock-Up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filing required under the Securities Exchange Act of 1934, as amended (the “Exchange Act”) shall clearly indicate in the codes and footnotes thereto that (A) the filing relates to the circumstances described above and (B) any disposition of shares in connection with the “net” exercise was made solely to the Company; or</w:t>
      </w:r>
    </w:p>
    <w:p>
      <w:pPr>
        <w:spacing w:after="0" w:line="166" w:lineRule="exact"/>
        <w:rPr>
          <w:rFonts w:ascii="Arial" w:cs="Arial" w:eastAsia="Arial" w:hAnsi="Arial"/>
          <w:sz w:val="16"/>
          <w:szCs w:val="16"/>
          <w:color w:val="auto"/>
        </w:rPr>
      </w:pPr>
    </w:p>
    <w:p>
      <w:pPr>
        <w:ind w:left="760" w:hanging="655"/>
        <w:spacing w:after="0" w:line="257" w:lineRule="auto"/>
        <w:tabs>
          <w:tab w:leader="none" w:pos="7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pursuant to the sale or transfer to the Company of such number of shares of Common Stock acquired by the undersigned in connection with the exercise of such options or warrants on a “net” exercise basis described in the foregoing clause (vi);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filing required under the Exchange Act shall clearly indicate in the codes and footnotes thereto that (A) the filing relates to the circumstances described above and (B) such sale or transfer, as applicable, in connection with the “net” exercise was made solely to the Company; or</w:t>
      </w:r>
    </w:p>
    <w:p>
      <w:pPr>
        <w:spacing w:after="0" w:line="188" w:lineRule="exact"/>
        <w:rPr>
          <w:rFonts w:ascii="Arial" w:cs="Arial" w:eastAsia="Arial" w:hAnsi="Arial"/>
          <w:sz w:val="18"/>
          <w:szCs w:val="18"/>
          <w:color w:val="auto"/>
        </w:rPr>
      </w:pPr>
    </w:p>
    <w:p>
      <w:pPr>
        <w:ind w:left="760" w:right="140" w:hanging="655"/>
        <w:spacing w:after="0" w:line="276" w:lineRule="auto"/>
        <w:tabs>
          <w:tab w:leader="none" w:pos="778" w:val="left"/>
        </w:tabs>
        <w:numPr>
          <w:ilvl w:val="0"/>
          <w:numId w:val="45"/>
        </w:numPr>
        <w:rPr>
          <w:rFonts w:ascii="Arial" w:cs="Arial" w:eastAsia="Arial" w:hAnsi="Arial"/>
          <w:sz w:val="17"/>
          <w:szCs w:val="17"/>
          <w:color w:val="auto"/>
        </w:rPr>
      </w:pPr>
      <w:r>
        <w:rPr>
          <w:rFonts w:ascii="Arial" w:cs="Arial" w:eastAsia="Arial" w:hAnsi="Arial"/>
          <w:sz w:val="17"/>
          <w:szCs w:val="17"/>
          <w:color w:val="auto"/>
        </w:rPr>
        <w:t>pursuant to the sale or transfer to the Company of such number of shares of Common Stock necessary to generate only such amount of cash needed for the payment of taxes (including estimated taxes) due as a result of the exercise or vesting of such options or warrants described in the foregoing clause (vii); provided that any filing required under the Exchange Act shall clearly indicate in the codes and footnotes thereto that (A) the filing relates to the circumstances described above and (B) any disposition of shares in connection with such sale or transfer, as applicable, was made solely to the Company; or</w:t>
      </w:r>
    </w:p>
    <w:p>
      <w:pPr>
        <w:spacing w:after="0" w:line="172" w:lineRule="exact"/>
        <w:rPr>
          <w:rFonts w:ascii="Arial" w:cs="Arial" w:eastAsia="Arial" w:hAnsi="Arial"/>
          <w:sz w:val="17"/>
          <w:szCs w:val="17"/>
          <w:color w:val="auto"/>
        </w:rPr>
      </w:pPr>
    </w:p>
    <w:p>
      <w:pPr>
        <w:ind w:left="760" w:right="320" w:hanging="655"/>
        <w:spacing w:after="0" w:line="277" w:lineRule="auto"/>
        <w:tabs>
          <w:tab w:leader="none" w:pos="7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pursuant to transfers by operation of law, including pursuant to a qualified domestic relations order, or pursuant to a negotiated divorce settlement; or</w:t>
      </w:r>
    </w:p>
    <w:p>
      <w:pPr>
        <w:spacing w:after="0" w:line="170" w:lineRule="exact"/>
        <w:rPr>
          <w:rFonts w:ascii="Arial" w:cs="Arial" w:eastAsia="Arial" w:hAnsi="Arial"/>
          <w:sz w:val="18"/>
          <w:szCs w:val="18"/>
          <w:color w:val="auto"/>
        </w:rPr>
      </w:pPr>
    </w:p>
    <w:p>
      <w:pPr>
        <w:ind w:left="740" w:hanging="635"/>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undersigned is a trust, pursuant to transfers to a trustor or beneficiary of the trust;</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44" w:name="page45"/>
    <w:bookmarkEnd w:id="44"/>
    <w:p>
      <w:pPr>
        <w:ind w:left="1960" w:right="180" w:hanging="655"/>
        <w:spacing w:after="0" w:line="342" w:lineRule="auto"/>
        <w:tabs>
          <w:tab w:leader="none" w:pos="1954"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pursuant to transfers or dispositions of shares of Common Stock or such other securities by will, other testamentary document or intestate succession to the legal representative, heir, beneficiary or a member of the immediate family of the undersigned;</w:t>
      </w:r>
    </w:p>
    <w:p>
      <w:pPr>
        <w:spacing w:after="0" w:line="123" w:lineRule="exact"/>
        <w:rPr>
          <w:rFonts w:ascii="Arial" w:cs="Arial" w:eastAsia="Arial" w:hAnsi="Arial"/>
          <w:sz w:val="16"/>
          <w:szCs w:val="16"/>
          <w:color w:val="auto"/>
        </w:rPr>
      </w:pPr>
    </w:p>
    <w:p>
      <w:pPr>
        <w:ind w:left="1960" w:hanging="655"/>
        <w:spacing w:after="0" w:line="257" w:lineRule="auto"/>
        <w:tabs>
          <w:tab w:leader="none" w:pos="19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pursuant to any transactions effectuated pursuant to any contract, instruction or plan that satisfies the requirements of Rule 10b5-1 under the Exchange Act for the transfer of Lock-Up Securities (a “Rule 10b5-1 Plan”) established prior to the date of this Lock-Up Agreement, provided that if a filing under Section 16 of the Exchange Act is required by, or voluntarily made with respect to, such transaction, the undersigned shall disclose in such filing that the transaction was effectuated pursuant to a Rule 10b5-1 Plan in existence at the time this Lock-up Agreement was entered into; or</w:t>
      </w:r>
    </w:p>
    <w:p>
      <w:pPr>
        <w:spacing w:after="0" w:line="188" w:lineRule="exact"/>
        <w:rPr>
          <w:rFonts w:ascii="Arial" w:cs="Arial" w:eastAsia="Arial" w:hAnsi="Arial"/>
          <w:sz w:val="18"/>
          <w:szCs w:val="18"/>
          <w:color w:val="auto"/>
        </w:rPr>
      </w:pPr>
    </w:p>
    <w:p>
      <w:pPr>
        <w:ind w:left="1960" w:right="280" w:hanging="655"/>
        <w:spacing w:after="0" w:line="342" w:lineRule="auto"/>
        <w:tabs>
          <w:tab w:leader="none" w:pos="19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[pursuant to the pledge of up to 450,000 shares of Common Stock as collateral or security pursuant to that certain line of credit maintained by the undersigned with Bank of America, N.A., and any transfer upon foreclosure upon such shares;](2)</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transfer or distribution pursuant to clauses (i), (ii), (iii), (iv), (ix), (x) or (xi), each donee, trustee, transferee or distributee shall execute and deliver to Morgan Stanley, J.P. Morgan and BofAS a lock-up letter in the form of this Lock-Up Agreement for the balance of the Lock-Up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case of any transfer or distribution pursuant to clauses (i), (ii), (iii), (iv), (v), (ix), (x) or (xi), no filing by any party (donor, donee, transferor or transferee) under the Exchange Act or other public announcement reporting a reduction in the beneficial ownership shall be required or shall be made voluntarily in connection with such transfer or distribution (other than a filing on a Form 5, Schedule 13G (or 13G/A) or 13F made after the expiration of the Lock-Up Period);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transfer or distribution pursuant to clauses (i), (ii), (iii), (iv), (x) or (xi) shall not involve a disposition for value.</w:t>
      </w:r>
    </w:p>
    <w:p>
      <w:pPr>
        <w:spacing w:after="0" w:line="18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In addition, this Lock-Up Agreement shall not prohibit the undersigned from establishing, during the Lock-Up Period, a Rule 10b5-1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no sales of Lock-Up Securities or other transactions shall be made pursuant to a Rule 10b5-1 Plan prior to the expiration of the Lock-Up Period, and</w:t>
      </w:r>
    </w:p>
    <w:p>
      <w:pPr>
        <w:ind w:right="120"/>
        <w:spacing w:after="0" w:line="261" w:lineRule="auto"/>
        <w:rPr>
          <w:sz w:val="20"/>
          <w:szCs w:val="20"/>
          <w:color w:val="auto"/>
        </w:rPr>
      </w:pPr>
      <w:r>
        <w:rPr>
          <w:rFonts w:ascii="Arial" w:cs="Arial" w:eastAsia="Arial" w:hAnsi="Arial"/>
          <w:sz w:val="18"/>
          <w:szCs w:val="18"/>
          <w:color w:val="auto"/>
        </w:rPr>
        <w:t>(2)(A) the Company is not required to, and does not voluntarily, report the establishment of such Rule 10b5-1 Plan with the SEC during the Lock-Up Period and (B) no filing shall be voluntarily made by or on behalf of the undersigned during the Lock-Up Period.</w:t>
      </w:r>
    </w:p>
    <w:p>
      <w:pPr>
        <w:spacing w:after="0" w:line="184"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[TO BE INCLUDED IN LOCK-UP EXECUTED BY MAJOR HOLDERS (AS DEFINED BELOW): The restrictions contained herein shall not apply to any transfers, sales, tenders or other dispositions of Common Stock or any security convertible into or exercisable or exchangeable for Common Stock pursuant to a bona fide third-party tender offer, merger, amalgamation, consolidation or other similar transaction made to or involving all holders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left="5660" w:right="5100" w:hanging="5652"/>
        <w:spacing w:after="0" w:line="432" w:lineRule="auto"/>
        <w:tabs>
          <w:tab w:leader="none" w:pos="29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be included in Lock-Up Agreement executed by one of the Company’s officers.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p>
      <w:pPr>
        <w:spacing w:after="0" w:line="253" w:lineRule="auto"/>
        <w:rPr>
          <w:sz w:val="20"/>
          <w:szCs w:val="20"/>
          <w:color w:val="auto"/>
        </w:rPr>
      </w:pPr>
      <w:r>
        <w:rPr>
          <w:rFonts w:ascii="Arial" w:cs="Arial" w:eastAsia="Arial" w:hAnsi="Arial"/>
          <w:sz w:val="18"/>
          <w:szCs w:val="18"/>
          <w:color w:val="auto"/>
        </w:rPr>
        <w:t xml:space="preserve">Common Stock or such other securities pursuant to a change of control of the ownership of the Company (including, without limitation, the entry into any lock-up, voting or similar agreement pursuant to which the undersigned may agree to transfer, sell, tender or otherwise dispose of Common Stock or other such securities in connection with any such transaction, or vote any securities in favor of any such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tender offer, merger, amalgamation, consolidation or other similar transaction is not completed, any Common Stock or any security convertible into or exercisable or exchangeable for Common Stock subject to this Lock-Up Agreement shall remain subject to the restrictions contained in this Lock-Up Agreement. For purposes of this Lock-Up Agreement, “change of control” shall mean the consummation of any bona fide third-party tender offer, merger, amalgamation, consolidation or other similar transaction, in one transaction or a series of related transactions, the result of which is that any “person” (as defined in Section 13(d)(3) of the Exchange Act), or group of affiliated persons, other than the Company or an Underwriter in the Public Offering, becomes the beneficial owner (as defined in Rules 13d-3 and 13d-5 of the Exchange Act) of greater than 50% of the total voting power of the outstanding voting securities of the Company or the surviving entity.]</w:t>
      </w:r>
    </w:p>
    <w:p>
      <w:pPr>
        <w:spacing w:after="0" w:line="19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This Lock-Up Agreement shall automatically terminate upon the earliest to occur, if any, of (1) either the Company, on the one hand, or Morgan Stanley, J.P. Morgan and BofAS on behalf of the Underwriters, on the other hand, advising the other in writing, prior to the execution of the Underwriting Agreement, that they have determined not to proceed with the Public Offering, (2) termination of the Underwriting Agreement (other than the provisions thereof which survive termination) before the payment for and delivery of the Common Stock to be sold thereunder, (3) the withdrawal of the registration statement filed with the SEC with respect to the Public Offering, or (4) December 20, 2019, in the event that the Underwriting Agreement has not been executed by that date.</w:t>
      </w:r>
    </w:p>
    <w:p>
      <w:pPr>
        <w:spacing w:after="0" w:line="19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0"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This Lock-Up Agreement and any claim, controversy or dispute arising under or related to this Lock-Up Agreement shall be governed by and construed in accordance with the laws of the State of New York, without regard to the conflict of laws principles thereof.</w:t>
      </w:r>
    </w:p>
    <w:p>
      <w:pPr>
        <w:spacing w:after="0" w:line="14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any record or beneficial owner of any securities of the Company is granted an early release from the restrictions described herein during the Lock-Up Period with respect to an aggregate amount of securities of the Company in excess of one percent of the issued and outstanding shares of the Company (whether in one or multiple releases), then each Major Holder (as defined below) shall also be granted an early release from its obligations hereunder on a pro rata basis with all other record or beneficial holders of similarly restricted securities of the Company based on the maximum percentage of shares held by any such record or beneficial holder being released from such holder’s lock-up agreement; provided, however, that in the case of an early release from the restrictions described herein during the Lock-Up Period in connection with an underwritten public offering, whether or not such offering or sale is wholly or partially a secondary offering of the Company’s Common Stock (an “Underwritten Sale”), such early release shall only apply with respect to such Major Holder’s participation in such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right="40"/>
        <w:spacing w:after="0" w:line="255" w:lineRule="auto"/>
        <w:rPr>
          <w:sz w:val="20"/>
          <w:szCs w:val="20"/>
          <w:color w:val="auto"/>
        </w:rPr>
      </w:pPr>
      <w:r>
        <w:rPr>
          <w:rFonts w:ascii="Arial" w:cs="Arial" w:eastAsia="Arial" w:hAnsi="Arial"/>
          <w:sz w:val="18"/>
          <w:szCs w:val="18"/>
          <w:color w:val="auto"/>
        </w:rPr>
        <w:t>Underwritten Sale. Notwithstanding any other provisions of this lock-up agreement, if Morgan Stanley, J.P. Morgan and BofAS determine that a record or beneficial owner of any securities should be granted an early release from a lock-up agreement due to circumstances of an emergency or hardship, then the Major Holders shall not have any right to be granted an early release pursuant to the terms of this paragraph. For purposes of this lock-up agreement, each of the following persons is a “Major Holder”: each record or beneficial owner, as of the date hereof, of more than 5% of the outstanding shares of securities of the Company (for purposes of determining record or beneficial ownership of a stockholder, all shares of securities held by investment funds affiliated with such stockholder shall be aggregated).</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7" w:name="page48"/>
    <w:bookmarkEnd w:id="47"/>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STOCKHOLDER/OFFICER/DIRECTOR]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If not signing in an individual capacity:</w:t>
      </w: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-130175</wp:posOffset>
            </wp:positionV>
            <wp:extent cx="36188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4520"/>
        <w:spacing w:after="0" w:line="261" w:lineRule="auto"/>
        <w:rPr>
          <w:sz w:val="20"/>
          <w:szCs w:val="20"/>
          <w:color w:val="auto"/>
        </w:rPr>
      </w:pPr>
      <w:r>
        <w:rPr>
          <w:rFonts w:ascii="Arial" w:cs="Arial" w:eastAsia="Arial" w:hAnsi="Arial"/>
          <w:sz w:val="18"/>
          <w:szCs w:val="18"/>
          <w:i w:val="1"/>
          <w:iCs w:val="1"/>
          <w:color w:val="auto"/>
        </w:rPr>
        <w:t>(Indicate capacity of person signing if signing as custodian, trustee, or on behalf of an entity.)</w:t>
      </w:r>
    </w:p>
    <w:p>
      <w:pPr>
        <w:spacing w:after="0" w:line="184"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Exh.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40"/>
          </w:cols>
          <w:pgMar w:left="1440" w:top="341" w:right="6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078480" cy="325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784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5480" w:type="dxa"/>
            <w:vAlign w:val="bottom"/>
            <w:gridSpan w:val="2"/>
          </w:tcPr>
          <w:p>
            <w:pPr>
              <w:ind w:left="3240"/>
              <w:spacing w:after="0"/>
              <w:rPr>
                <w:sz w:val="20"/>
                <w:szCs w:val="20"/>
                <w:color w:val="auto"/>
              </w:rPr>
            </w:pPr>
            <w:r>
              <w:rPr>
                <w:rFonts w:ascii="Arial" w:cs="Arial" w:eastAsia="Arial" w:hAnsi="Arial"/>
                <w:sz w:val="18"/>
                <w:szCs w:val="18"/>
                <w:b w:val="1"/>
                <w:bCs w:val="1"/>
                <w:color w:val="auto"/>
                <w:w w:val="94"/>
              </w:rPr>
              <w:t>230 Park Avenue 11th Floor</w:t>
            </w:r>
          </w:p>
        </w:tc>
      </w:tr>
      <w:tr>
        <w:trPr>
          <w:trHeight w:val="216"/>
        </w:trPr>
        <w:tc>
          <w:tcPr>
            <w:tcW w:w="5340" w:type="dxa"/>
            <w:vAlign w:val="bottom"/>
          </w:tcPr>
          <w:p>
            <w:pPr>
              <w:spacing w:after="0"/>
              <w:rPr>
                <w:sz w:val="18"/>
                <w:szCs w:val="18"/>
                <w:color w:val="auto"/>
              </w:rPr>
            </w:pPr>
          </w:p>
        </w:tc>
        <w:tc>
          <w:tcPr>
            <w:tcW w:w="5480" w:type="dxa"/>
            <w:vAlign w:val="bottom"/>
            <w:gridSpan w:val="2"/>
          </w:tcPr>
          <w:p>
            <w:pPr>
              <w:ind w:left="3240"/>
              <w:spacing w:after="0"/>
              <w:rPr>
                <w:sz w:val="20"/>
                <w:szCs w:val="20"/>
                <w:color w:val="auto"/>
              </w:rPr>
            </w:pPr>
            <w:r>
              <w:rPr>
                <w:rFonts w:ascii="Arial" w:cs="Arial" w:eastAsia="Arial" w:hAnsi="Arial"/>
                <w:sz w:val="18"/>
                <w:szCs w:val="18"/>
                <w:b w:val="1"/>
                <w:bCs w:val="1"/>
                <w:color w:val="auto"/>
              </w:rPr>
              <w:t>New York, NY 10169-0079</w:t>
            </w:r>
          </w:p>
        </w:tc>
      </w:tr>
      <w:tr>
        <w:trPr>
          <w:trHeight w:val="216"/>
        </w:trPr>
        <w:tc>
          <w:tcPr>
            <w:tcW w:w="5340" w:type="dxa"/>
            <w:vAlign w:val="bottom"/>
          </w:tcPr>
          <w:p>
            <w:pPr>
              <w:spacing w:after="0"/>
              <w:rPr>
                <w:sz w:val="18"/>
                <w:szCs w:val="18"/>
                <w:color w:val="auto"/>
              </w:rPr>
            </w:pPr>
          </w:p>
        </w:tc>
        <w:tc>
          <w:tcPr>
            <w:tcW w:w="3640" w:type="dxa"/>
            <w:vAlign w:val="bottom"/>
          </w:tcPr>
          <w:p>
            <w:pPr>
              <w:ind w:left="3240"/>
              <w:spacing w:after="0"/>
              <w:rPr>
                <w:sz w:val="20"/>
                <w:szCs w:val="20"/>
                <w:color w:val="auto"/>
              </w:rPr>
            </w:pPr>
            <w:r>
              <w:rPr>
                <w:rFonts w:ascii="Arial" w:cs="Arial" w:eastAsia="Arial" w:hAnsi="Arial"/>
                <w:sz w:val="18"/>
                <w:szCs w:val="18"/>
                <w:b w:val="1"/>
                <w:bCs w:val="1"/>
                <w:color w:val="auto"/>
                <w:w w:val="90"/>
              </w:rPr>
              <w:t>(212)</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818-9200</w:t>
            </w:r>
          </w:p>
        </w:tc>
      </w:tr>
      <w:tr>
        <w:trPr>
          <w:trHeight w:val="234"/>
        </w:trPr>
        <w:tc>
          <w:tcPr>
            <w:tcW w:w="5340" w:type="dxa"/>
            <w:vAlign w:val="bottom"/>
          </w:tcPr>
          <w:p>
            <w:pPr>
              <w:spacing w:after="0"/>
              <w:rPr>
                <w:sz w:val="20"/>
                <w:szCs w:val="20"/>
                <w:color w:val="auto"/>
              </w:rPr>
            </w:pPr>
          </w:p>
        </w:tc>
        <w:tc>
          <w:tcPr>
            <w:tcW w:w="3640" w:type="dxa"/>
            <w:vAlign w:val="bottom"/>
          </w:tcPr>
          <w:p>
            <w:pPr>
              <w:ind w:left="3240"/>
              <w:spacing w:after="0"/>
              <w:rPr>
                <w:sz w:val="20"/>
                <w:szCs w:val="20"/>
                <w:color w:val="auto"/>
              </w:rPr>
            </w:pPr>
            <w:r>
              <w:rPr>
                <w:rFonts w:ascii="Arial" w:cs="Arial" w:eastAsia="Arial" w:hAnsi="Arial"/>
                <w:sz w:val="18"/>
                <w:szCs w:val="18"/>
                <w:b w:val="1"/>
                <w:bCs w:val="1"/>
                <w:color w:val="auto"/>
                <w:w w:val="90"/>
              </w:rPr>
              <w:t>(212)</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818-9606 (Fax)</w:t>
            </w:r>
          </w:p>
        </w:tc>
      </w:tr>
      <w:tr>
        <w:trPr>
          <w:trHeight w:val="414"/>
        </w:trPr>
        <w:tc>
          <w:tcPr>
            <w:tcW w:w="5340" w:type="dxa"/>
            <w:vAlign w:val="bottom"/>
          </w:tcPr>
          <w:p>
            <w:pPr>
              <w:spacing w:after="0"/>
              <w:rPr>
                <w:sz w:val="24"/>
                <w:szCs w:val="24"/>
                <w:color w:val="auto"/>
              </w:rPr>
            </w:pPr>
          </w:p>
        </w:tc>
        <w:tc>
          <w:tcPr>
            <w:tcW w:w="5480" w:type="dxa"/>
            <w:vAlign w:val="bottom"/>
            <w:gridSpan w:val="2"/>
          </w:tcPr>
          <w:p>
            <w:pPr>
              <w:ind w:left="3240"/>
              <w:spacing w:after="0"/>
              <w:rPr>
                <w:sz w:val="20"/>
                <w:szCs w:val="20"/>
                <w:color w:val="auto"/>
              </w:rPr>
            </w:pPr>
            <w:r>
              <w:rPr>
                <w:rFonts w:ascii="Arial" w:cs="Arial" w:eastAsia="Arial" w:hAnsi="Arial"/>
                <w:sz w:val="18"/>
                <w:szCs w:val="18"/>
                <w:b w:val="1"/>
                <w:bCs w:val="1"/>
                <w:color w:val="auto"/>
                <w:w w:val="89"/>
              </w:rPr>
              <w:t>51 John F. Kennedy Parkway</w:t>
            </w:r>
          </w:p>
        </w:tc>
      </w:tr>
      <w:tr>
        <w:trPr>
          <w:trHeight w:val="216"/>
        </w:trPr>
        <w:tc>
          <w:tcPr>
            <w:tcW w:w="5340" w:type="dxa"/>
            <w:vAlign w:val="bottom"/>
          </w:tcPr>
          <w:p>
            <w:pPr>
              <w:spacing w:after="0"/>
              <w:rPr>
                <w:sz w:val="18"/>
                <w:szCs w:val="18"/>
                <w:color w:val="auto"/>
              </w:rPr>
            </w:pPr>
          </w:p>
        </w:tc>
        <w:tc>
          <w:tcPr>
            <w:tcW w:w="5480" w:type="dxa"/>
            <w:vAlign w:val="bottom"/>
            <w:gridSpan w:val="2"/>
          </w:tcPr>
          <w:p>
            <w:pPr>
              <w:ind w:left="3240"/>
              <w:spacing w:after="0"/>
              <w:rPr>
                <w:sz w:val="20"/>
                <w:szCs w:val="20"/>
                <w:color w:val="auto"/>
              </w:rPr>
            </w:pPr>
            <w:r>
              <w:rPr>
                <w:rFonts w:ascii="Arial" w:cs="Arial" w:eastAsia="Arial" w:hAnsi="Arial"/>
                <w:sz w:val="18"/>
                <w:szCs w:val="18"/>
                <w:b w:val="1"/>
                <w:bCs w:val="1"/>
                <w:color w:val="auto"/>
              </w:rPr>
              <w:t>First Floor West</w:t>
            </w:r>
          </w:p>
        </w:tc>
      </w:tr>
      <w:tr>
        <w:trPr>
          <w:trHeight w:val="216"/>
        </w:trPr>
        <w:tc>
          <w:tcPr>
            <w:tcW w:w="5340" w:type="dxa"/>
            <w:vAlign w:val="bottom"/>
          </w:tcPr>
          <w:p>
            <w:pPr>
              <w:spacing w:after="0"/>
              <w:rPr>
                <w:sz w:val="18"/>
                <w:szCs w:val="18"/>
                <w:color w:val="auto"/>
              </w:rPr>
            </w:pPr>
          </w:p>
        </w:tc>
        <w:tc>
          <w:tcPr>
            <w:tcW w:w="5480" w:type="dxa"/>
            <w:vAlign w:val="bottom"/>
            <w:gridSpan w:val="2"/>
          </w:tcPr>
          <w:p>
            <w:pPr>
              <w:ind w:left="3240"/>
              <w:spacing w:after="0"/>
              <w:rPr>
                <w:sz w:val="20"/>
                <w:szCs w:val="20"/>
                <w:color w:val="auto"/>
              </w:rPr>
            </w:pPr>
            <w:r>
              <w:rPr>
                <w:rFonts w:ascii="Arial" w:cs="Arial" w:eastAsia="Arial" w:hAnsi="Arial"/>
                <w:sz w:val="18"/>
                <w:szCs w:val="18"/>
                <w:b w:val="1"/>
                <w:bCs w:val="1"/>
                <w:color w:val="auto"/>
                <w:w w:val="99"/>
              </w:rPr>
              <w:t>Short Hills, NJ 07078-2713</w:t>
            </w:r>
          </w:p>
        </w:tc>
      </w:tr>
      <w:tr>
        <w:trPr>
          <w:trHeight w:val="216"/>
        </w:trPr>
        <w:tc>
          <w:tcPr>
            <w:tcW w:w="5340" w:type="dxa"/>
            <w:vAlign w:val="bottom"/>
          </w:tcPr>
          <w:p>
            <w:pPr>
              <w:spacing w:after="0"/>
              <w:rPr>
                <w:sz w:val="20"/>
                <w:szCs w:val="20"/>
                <w:color w:val="auto"/>
              </w:rPr>
            </w:pPr>
            <w:r>
              <w:rPr>
                <w:rFonts w:ascii="Arial" w:cs="Arial" w:eastAsia="Arial" w:hAnsi="Arial"/>
                <w:sz w:val="18"/>
                <w:szCs w:val="18"/>
                <w:b w:val="1"/>
                <w:bCs w:val="1"/>
                <w:color w:val="auto"/>
              </w:rPr>
              <w:t>Dwight A. Kinsey</w:t>
            </w:r>
          </w:p>
        </w:tc>
        <w:tc>
          <w:tcPr>
            <w:tcW w:w="3640" w:type="dxa"/>
            <w:vAlign w:val="bottom"/>
          </w:tcPr>
          <w:p>
            <w:pPr>
              <w:ind w:left="3240"/>
              <w:spacing w:after="0"/>
              <w:rPr>
                <w:sz w:val="20"/>
                <w:szCs w:val="20"/>
                <w:color w:val="auto"/>
              </w:rPr>
            </w:pPr>
            <w:r>
              <w:rPr>
                <w:rFonts w:ascii="Arial" w:cs="Arial" w:eastAsia="Arial" w:hAnsi="Arial"/>
                <w:sz w:val="18"/>
                <w:szCs w:val="18"/>
                <w:b w:val="1"/>
                <w:bCs w:val="1"/>
                <w:color w:val="auto"/>
                <w:w w:val="90"/>
              </w:rPr>
              <w:t>(973)</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218-2509</w:t>
            </w:r>
          </w:p>
        </w:tc>
      </w:tr>
      <w:tr>
        <w:trPr>
          <w:trHeight w:val="234"/>
        </w:trPr>
        <w:tc>
          <w:tcPr>
            <w:tcW w:w="5340" w:type="dxa"/>
            <w:vAlign w:val="bottom"/>
          </w:tcPr>
          <w:p>
            <w:pPr>
              <w:spacing w:after="0"/>
              <w:rPr>
                <w:sz w:val="20"/>
                <w:szCs w:val="20"/>
                <w:color w:val="auto"/>
              </w:rPr>
            </w:pPr>
            <w:r>
              <w:rPr>
                <w:rFonts w:ascii="Arial" w:cs="Arial" w:eastAsia="Arial" w:hAnsi="Arial"/>
                <w:sz w:val="18"/>
                <w:szCs w:val="18"/>
                <w:b w:val="1"/>
                <w:bCs w:val="1"/>
                <w:color w:val="auto"/>
              </w:rPr>
              <w:t>Direct Dial: (212) 404-8727</w:t>
            </w:r>
          </w:p>
        </w:tc>
        <w:tc>
          <w:tcPr>
            <w:tcW w:w="3640" w:type="dxa"/>
            <w:vAlign w:val="bottom"/>
          </w:tcPr>
          <w:p>
            <w:pPr>
              <w:ind w:left="3240"/>
              <w:spacing w:after="0"/>
              <w:rPr>
                <w:sz w:val="20"/>
                <w:szCs w:val="20"/>
                <w:color w:val="auto"/>
              </w:rPr>
            </w:pPr>
            <w:r>
              <w:rPr>
                <w:rFonts w:ascii="Arial" w:cs="Arial" w:eastAsia="Arial" w:hAnsi="Arial"/>
                <w:sz w:val="18"/>
                <w:szCs w:val="18"/>
                <w:b w:val="1"/>
                <w:bCs w:val="1"/>
                <w:color w:val="auto"/>
                <w:w w:val="90"/>
              </w:rPr>
              <w:t>(973)</w:t>
            </w:r>
          </w:p>
        </w:tc>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218-2401 (Fax)</w:t>
            </w:r>
          </w:p>
        </w:tc>
      </w:tr>
    </w:tbl>
    <w:p>
      <w:pPr>
        <w:spacing w:after="0"/>
        <w:rPr>
          <w:sz w:val="20"/>
          <w:szCs w:val="20"/>
          <w:color w:val="auto"/>
        </w:rPr>
      </w:pPr>
      <w:r>
        <w:rPr>
          <w:rFonts w:ascii="Arial" w:cs="Arial" w:eastAsia="Arial" w:hAnsi="Arial"/>
          <w:sz w:val="18"/>
          <w:szCs w:val="18"/>
          <w:b w:val="1"/>
          <w:bCs w:val="1"/>
          <w:color w:val="auto"/>
        </w:rPr>
        <w:t>dkinsey@ssbb.com</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www.ssbb.com</w:t>
      </w:r>
    </w:p>
    <w:p>
      <w:pPr>
        <w:spacing w:after="0" w:line="211"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October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10169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 Registration Statement on Form S- 3 (File No. 333-234034)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You have requested our opinion, as counsel to Y-mAbs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respect to certain matters in connection with the offering by the Company of up to 5,134,750 shares of the Company’s common stock, par value $0.0001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including up to 669,750 Shares that may be sold pursuant to the exercise of an option to purchase additional shares, pursuant to a Registration Statement on Form S-3 (Registration Statement No. 333-234034)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on October 1, 2019, the prospectus included within the Registration Statement (the “</w:t>
      </w:r>
      <w:r>
        <w:rPr>
          <w:rFonts w:ascii="Arial" w:cs="Arial" w:eastAsia="Arial" w:hAnsi="Arial"/>
          <w:sz w:val="18"/>
          <w:szCs w:val="18"/>
          <w:b w:val="1"/>
          <w:bCs w:val="1"/>
          <w:i w:val="1"/>
          <w:iCs w:val="1"/>
          <w:color w:val="auto"/>
        </w:rPr>
        <w:t>Base Prospectus</w:t>
      </w:r>
      <w:r>
        <w:rPr>
          <w:rFonts w:ascii="Arial" w:cs="Arial" w:eastAsia="Arial" w:hAnsi="Arial"/>
          <w:sz w:val="18"/>
          <w:szCs w:val="18"/>
          <w:color w:val="auto"/>
        </w:rPr>
        <w:t>”), and the prospectus supplement relating to the Shares dated October 29, 2019, filed with the Commission pursuant to Rule 424(b) of the Act (together with the Base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connection with this opinion, we have examined and relied upon the Registration Statement, the Prospectus, the Company’s Amended and Restated Certificate of Incorporation and Amended and Restated Bylaws, as currently in effect, and the originals or copies certified to our satisfaction of such other documents, records, certificates, memoranda and other instruments as in our judgment are necessary or appropriate to enable us to render the opinion expressed below. 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due authorization, execution and delivery are a prerequisite to the effectiveness thereof. As to certain factual matters, we have relied upon a certificate of an officer of the Company and have not independently verified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right="200"/>
        <w:spacing w:after="0" w:line="264"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We express no opinion to the extent that any other laws are applicable to the subject matter hereof and express no opinion and provide no assurance as to compliance with any federal or state securities law, rule or regulation.</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the basis of the foregoing, and in reliance thereon, and subject to the other matters set forth herein, it is our opinion that the Shares to be issued and sold by the Company pursuant to the Registration Statement, when issued, sold and delivered in the manner and for the consideration stated in the Registration Statement and the Prospectus and when duly registered on the books of the transfer agent and registrar therefor in the name or on behalf of the purchasers, the Shares will be validly issued, fully paid and non-assessable. In rendering the foregoing opinion, we have assumed that the Company will comply with all applicable notice requirements regarding uncertificated shares provided in the DGCL.</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a Current report on Form 8-K to be filed with the Commission for incorporation by reference in the Registration Statement.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opinion is expressed as of the date hereof, and we disclaim any responsibility to advise you of any changes in the facts stated or assumed herein or of any changes in applicable law.</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SATTERLEE STEPHENS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154940</wp:posOffset>
            </wp:positionV>
            <wp:extent cx="1646555" cy="780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4655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Announces Pricing of Public Offering of Common Stock</w:t>
      </w:r>
    </w:p>
    <w:p>
      <w:pPr>
        <w:spacing w:after="0" w:line="22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New York, NY, October 29, 2019 (GLOBE NEWSWIRE) — Y-mAbs Therapeutics, Inc. (the “Company” or “Y-mAbs”) (Nasdaq: YMAB), a late-stage clinical biopharmaceutical company focused on the development and commercialization of novel, antibody-based therapeutic products for the treatment of cancer, today announced the pricing of its public offering of 4,465,000 shares of its common stock at a public offering price of $28.00 per share. The gross proceeds from the offering, before deducting underwriting discounts and commissions and estimated offering expenses, are expected to be approximately $125 million. All of the shares are being offered by Y-mAbs. In addition, Y-mAbs has granted the underwriters a 30-day option to purchase up to an additional 669,750 shares of common stock at the public offering price, less the underwriting discounts. The offering is expected to close on November 1, 2019, subject to the satisfaction of customary closing conditions.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Morgan Stanley, J.P. Morgan and BofA Securities are acting as the joint book-running managers for the offering. Wedbush PacGrow and H.C. Wainwright &amp; Co. are acting as co-managers for the offering.</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prospectus and prospectus supplement relating to the offering may be obtained, when available, from: Morgan Stanley &amp; Co. LLC, Attention: Prospectus Department, 180 Varick Street, Second Floor, New York, New York 10014; J.P. Morgan, c/o Broadridge Financial Solutions, 1155 Long Island</w:t>
      </w:r>
    </w:p>
    <w:p>
      <w:pPr>
        <w:ind w:right="380"/>
        <w:spacing w:after="0" w:line="261" w:lineRule="auto"/>
        <w:rPr>
          <w:sz w:val="20"/>
          <w:szCs w:val="20"/>
          <w:color w:val="auto"/>
        </w:rPr>
      </w:pPr>
      <w:r>
        <w:rPr>
          <w:rFonts w:ascii="Arial" w:cs="Arial" w:eastAsia="Arial" w:hAnsi="Arial"/>
          <w:sz w:val="18"/>
          <w:szCs w:val="18"/>
          <w:color w:val="auto"/>
        </w:rPr>
        <w:t>Avenue, Edgewood, NY, 11717, or by telephone at (866) 803-9204; or BofA Securities, 200 North College Street, 3rd Floor, Charlotte, NC 28255-0001, Attn: Prospectus Department, or by email at dg.prospectus_requests@baml.com.</w:t>
      </w:r>
    </w:p>
    <w:p>
      <w:pPr>
        <w:spacing w:after="0" w:line="18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shares of common stock described above are being offered by Y-mAbs pursuant to its shelf registration statement on Form S-3 (Reg. No. 333-234034), including a base prospectus, that was declared effective by the SEC on October 15, 2019. The securities are being offered only by means of a prospectus supplement and accompanying prospectus forming a part of the effective registration statement. 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line="285" w:lineRule="auto"/>
        <w:rPr>
          <w:sz w:val="20"/>
          <w:szCs w:val="20"/>
          <w:color w:val="auto"/>
        </w:rPr>
      </w:pPr>
      <w:r>
        <w:rPr>
          <w:rFonts w:ascii="Arial" w:cs="Arial" w:eastAsia="Arial" w:hAnsi="Arial"/>
          <w:sz w:val="16"/>
          <w:szCs w:val="16"/>
          <w:color w:val="auto"/>
        </w:rPr>
        <w:t>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the uncertainties related to market conditions and the completion of the public offering on the anticipated terms or at all,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154940</wp:posOffset>
            </wp:positionV>
            <wp:extent cx="1475105" cy="694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751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Announces Proposed Public Offering of Common Stock</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York, NY, October 29, 2019 (GLOBE NEWSWIRE) — Y-mAbs Therapeutics, Inc. (the “Company” or “Y-mAbs”) (Nasdaq: YMAB), a late-stage clinical biopharmaceutical company focused on the development and commercialization of novel, antibody-based therapeutic products for the treatment of cancer, today announced the commencement of a registered underwritten public offering of up to $125 million in shares of its common stock. All shares in the offering are expected to be offered by the Company. In addition, the Company intends to grant the underwriters a 30-day option to purchase up to $18.75 million in shares of its common stock.</w:t>
      </w:r>
    </w:p>
    <w:p>
      <w:pPr>
        <w:spacing w:after="0" w:line="18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Morgan Stanley, J.P. Morgan and BofA Securities, are acting as the joint book-running managers for the proposed offering. The offering is subject to market and other customary closing conditions, and there can be no assurance as to whether or when the offering may be completed.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 shelf registration statement relating to the shares of common stock being offered in the public offering described above was filed on Form S-3 (Reg.</w:t>
      </w:r>
    </w:p>
    <w:p>
      <w:pPr>
        <w:spacing w:after="0" w:line="35"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No. 333-234034) which was declared effective by the Securities and Exchange Commission (SEC) on October 15, 2019. The securities may be offered only by means of a written prospectus, including a prospectus supplement, forming a part of the effective registration statement. A preliminary prospectus supplement and accompanying prospectus relating to the offering will be filed with the SEC and will be available on the SEC’s website at www.sec.gov. When available, copies of the preliminary prospectus supplement and the accompanying prospectus relating to the offering may also be obtained from:</w:t>
      </w:r>
    </w:p>
    <w:p>
      <w:pPr>
        <w:spacing w:after="0" w:line="3"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Morgan Stanley &amp; Co. LLC, Attention: Prospectus Department, 180 Varick Street, Second Floor, New York, New York 10014; J.P. Morgan, c/o Broadridge Financial Solutions, 1155 Long Island Avenue, Edgewood, NY, 11717, or by telephone at (866) 803-9204; or BofA Securities, 200 North College Street, 3rd Floor, Charlotte, NC 28255-0001, Attn: Prospectus Department, or by emailing dg.prospectus_requests@baml.com.</w:t>
      </w:r>
    </w:p>
    <w:p>
      <w:pPr>
        <w:spacing w:after="0" w:line="17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relating to the timing and size of our proposed offering;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the uncertainties related to market conditions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line="270" w:lineRule="auto"/>
        <w:rPr>
          <w:sz w:val="20"/>
          <w:szCs w:val="20"/>
          <w:color w:val="auto"/>
        </w:rPr>
      </w:pPr>
      <w:r>
        <w:rPr>
          <w:rFonts w:ascii="Arial" w:cs="Arial" w:eastAsia="Arial" w:hAnsi="Arial"/>
          <w:sz w:val="17"/>
          <w:szCs w:val="17"/>
          <w:color w:val="auto"/>
        </w:rPr>
        <w:t>completion of the public offering on the anticipated terms or at all,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1)"/>
      <w:numFmt w:val="lowerRoman"/>
      <w:start w:val="3"/>
    </w:lvl>
  </w:abstractNum>
  <w:abstractNum w:abstractNumId="2">
    <w:nsid w:val="79838CB2"/>
    <w:multiLevelType w:val="hybridMultilevel"/>
    <w:lvl w:ilvl="0">
      <w:lvlJc w:val="left"/>
      <w:lvlText w:val="(%1)"/>
      <w:numFmt w:val="lowerLetter"/>
      <w:start w:val="1"/>
    </w:lvl>
    <w:lvl w:ilvl="1">
      <w:lvlJc w:val="left"/>
      <w:lvlText w:val="(%2)"/>
      <w:numFmt w:val="lowerLetter"/>
      <w:start w:val="9"/>
    </w:lvl>
  </w:abstractNum>
  <w:abstractNum w:abstractNumId="3">
    <w:nsid w:val="4353D0CD"/>
    <w:multiLevelType w:val="hybridMultilevel"/>
    <w:lvl w:ilvl="0">
      <w:lvlJc w:val="left"/>
      <w:lvlText w:val="(%1)"/>
      <w:numFmt w:val="lowerRoman"/>
      <w:start w:val="2"/>
    </w:lvl>
  </w:abstractNum>
  <w:abstractNum w:abstractNumId="4">
    <w:nsid w:val="B03E0C6"/>
    <w:multiLevelType w:val="hybridMultilevel"/>
    <w:lvl w:ilvl="0">
      <w:lvlJc w:val="left"/>
      <w:lvlText w:val="(%1)"/>
      <w:numFmt w:val="lowerRoman"/>
      <w:start w:val="3"/>
    </w:lvl>
  </w:abstractNum>
  <w:abstractNum w:abstractNumId="5">
    <w:nsid w:val="189A769B"/>
    <w:multiLevelType w:val="hybridMultilevel"/>
    <w:lvl w:ilvl="0">
      <w:lvlJc w:val="left"/>
      <w:lvlText w:val="(%1)"/>
      <w:numFmt w:val="lowerRoman"/>
      <w:start w:val="4"/>
    </w:lvl>
  </w:abstractNum>
  <w:abstractNum w:abstractNumId="6">
    <w:nsid w:val="54E49EB4"/>
    <w:multiLevelType w:val="hybridMultilevel"/>
    <w:lvl w:ilvl="0">
      <w:lvlJc w:val="left"/>
      <w:lvlText w:val="(%1)"/>
      <w:numFmt w:val="lowerRoman"/>
      <w:start w:val="9"/>
    </w:lvl>
  </w:abstractNum>
  <w:abstractNum w:abstractNumId="7">
    <w:nsid w:val="71F32454"/>
    <w:multiLevelType w:val="hybridMultilevel"/>
    <w:lvl w:ilvl="0">
      <w:lvlJc w:val="left"/>
      <w:lvlText w:val="(%1)"/>
      <w:numFmt w:val="lowerRoman"/>
      <w:start w:val="13"/>
    </w:lvl>
  </w:abstractNum>
  <w:abstractNum w:abstractNumId="8">
    <w:nsid w:val="2CA88611"/>
    <w:multiLevelType w:val="hybridMultilevel"/>
    <w:lvl w:ilvl="0">
      <w:lvlJc w:val="left"/>
      <w:lvlText w:val="(%1)"/>
      <w:numFmt w:val="lowerRoman"/>
      <w:start w:val="17"/>
    </w:lvl>
  </w:abstractNum>
  <w:abstractNum w:abstractNumId="9">
    <w:nsid w:val="836C40E"/>
    <w:multiLevelType w:val="hybridMultilevel"/>
    <w:lvl w:ilvl="0">
      <w:lvlJc w:val="left"/>
      <w:lvlText w:val="(%1)"/>
      <w:numFmt w:val="lowerRoman"/>
      <w:start w:val="22"/>
    </w:lvl>
  </w:abstractNum>
  <w:abstractNum w:abstractNumId="10">
    <w:nsid w:val="2901D82"/>
    <w:multiLevelType w:val="hybridMultilevel"/>
    <w:lvl w:ilvl="0">
      <w:lvlJc w:val="left"/>
      <w:lvlText w:val="(%1)"/>
      <w:numFmt w:val="lowerRoman"/>
      <w:start w:val="24"/>
    </w:lvl>
  </w:abstractNum>
  <w:abstractNum w:abstractNumId="11">
    <w:nsid w:val="3A95F874"/>
    <w:multiLevelType w:val="hybridMultilevel"/>
    <w:lvl w:ilvl="0">
      <w:lvlJc w:val="left"/>
      <w:lvlText w:val="(%1)"/>
      <w:numFmt w:val="upperLetter"/>
      <w:start w:val="1"/>
    </w:lvl>
    <w:lvl w:ilvl="1">
      <w:lvlJc w:val="left"/>
      <w:lvlText w:val="(%2)"/>
      <w:numFmt w:val="lowerRoman"/>
      <w:start w:val="26"/>
    </w:lvl>
  </w:abstractNum>
  <w:abstractNum w:abstractNumId="12">
    <w:nsid w:val="8138641"/>
    <w:multiLevelType w:val="hybridMultilevel"/>
    <w:lvl w:ilvl="0">
      <w:lvlJc w:val="left"/>
      <w:lvlText w:val="(%1)"/>
      <w:numFmt w:val="lowerRoman"/>
      <w:start w:val="29"/>
    </w:lvl>
  </w:abstractNum>
  <w:abstractNum w:abstractNumId="13">
    <w:nsid w:val="1E7FF521"/>
    <w:multiLevelType w:val="hybridMultilevel"/>
    <w:lvl w:ilvl="0">
      <w:lvlJc w:val="left"/>
      <w:lvlText w:val="(%1)"/>
      <w:numFmt w:val="lowerRoman"/>
      <w:start w:val="34"/>
    </w:lvl>
  </w:abstractNum>
  <w:abstractNum w:abstractNumId="14">
    <w:nsid w:val="7C3DBD3D"/>
    <w:multiLevelType w:val="hybridMultilevel"/>
    <w:lvl w:ilvl="0">
      <w:lvlJc w:val="left"/>
      <w:lvlText w:val="(%1)"/>
      <w:numFmt w:val="lowerRoman"/>
      <w:start w:val="37"/>
    </w:lvl>
  </w:abstractNum>
  <w:abstractNum w:abstractNumId="15">
    <w:nsid w:val="737B8DDC"/>
    <w:multiLevelType w:val="hybridMultilevel"/>
    <w:lvl w:ilvl="0">
      <w:lvlJc w:val="left"/>
      <w:lvlText w:val="(%1)"/>
      <w:numFmt w:val="lowerLetter"/>
      <w:start w:val="2"/>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3"/>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Roman"/>
      <w:start w:val="4"/>
    </w:lvl>
    <w:lvl w:ilvl="1">
      <w:lvlJc w:val="left"/>
      <w:lvlText w:val="(%2)"/>
      <w:numFmt w:val="lowerLetter"/>
      <w:start w:val="2"/>
    </w:lvl>
  </w:abstractNum>
  <w:abstractNum w:abstractNumId="20">
    <w:nsid w:val="614FD4A1"/>
    <w:multiLevelType w:val="hybridMultilevel"/>
    <w:lvl w:ilvl="0">
      <w:lvlJc w:val="left"/>
      <w:lvlText w:val="(%1)"/>
      <w:numFmt w:val="lowerRoman"/>
      <w:start w:val="1"/>
    </w:lvl>
    <w:lvl w:ilvl="1">
      <w:lvlJc w:val="left"/>
      <w:lvlText w:val="(%2)"/>
      <w:numFmt w:val="lowerLetter"/>
      <w:start w:val="3"/>
    </w:lvl>
  </w:abstractNum>
  <w:abstractNum w:abstractNumId="21">
    <w:nsid w:val="419AC241"/>
    <w:multiLevelType w:val="hybridMultilevel"/>
    <w:lvl w:ilvl="0">
      <w:lvlJc w:val="left"/>
      <w:lvlText w:val="(%1)"/>
      <w:numFmt w:val="lowerLetter"/>
      <w:start w:val="4"/>
    </w:lvl>
  </w:abstractNum>
  <w:abstractNum w:abstractNumId="22">
    <w:nsid w:val="5577F8E1"/>
    <w:multiLevelType w:val="hybridMultilevel"/>
    <w:lvl w:ilvl="0">
      <w:lvlJc w:val="left"/>
      <w:lvlText w:val="(%1)"/>
      <w:numFmt w:val="upperLetter"/>
      <w:start w:val="2"/>
    </w:lvl>
    <w:lvl w:ilvl="1">
      <w:lvlJc w:val="left"/>
      <w:lvlText w:val="(%2)"/>
      <w:numFmt w:val="lowerLetter"/>
      <w:start w:val="11"/>
    </w:lvl>
  </w:abstractNum>
  <w:abstractNum w:abstractNumId="23">
    <w:nsid w:val="440BADFC"/>
    <w:multiLevelType w:val="hybridMultilevel"/>
    <w:lvl w:ilvl="0">
      <w:lvlJc w:val="left"/>
      <w:lvlText w:val="(%1)"/>
      <w:numFmt w:val="lowerLetter"/>
      <w:start w:val="13"/>
    </w:lvl>
  </w:abstractNum>
  <w:abstractNum w:abstractNumId="24">
    <w:nsid w:val="5072367"/>
    <w:multiLevelType w:val="hybridMultilevel"/>
    <w:lvl w:ilvl="0">
      <w:lvlJc w:val="left"/>
      <w:lvlText w:val="%1"/>
      <w:numFmt w:val="lowerRoman"/>
      <w:start w:val="1"/>
    </w:lvl>
    <w:lvl w:ilvl="1">
      <w:lvlJc w:val="left"/>
      <w:lvlText w:val="(%2)"/>
      <w:numFmt w:val="lowerLetter"/>
      <w:start w:val="1"/>
    </w:lvl>
  </w:abstractNum>
  <w:abstractNum w:abstractNumId="25">
    <w:nsid w:val="3804823E"/>
    <w:multiLevelType w:val="hybridMultilevel"/>
    <w:lvl w:ilvl="0">
      <w:lvlJc w:val="left"/>
      <w:lvlText w:val="(%1)"/>
      <w:numFmt w:val="lowerRoman"/>
      <w:start w:val="4"/>
    </w:lvl>
    <w:lvl w:ilvl="1">
      <w:lvlJc w:val="left"/>
      <w:lvlText w:val="(%2)"/>
      <w:numFmt w:val="lowerLetter"/>
      <w:start w:val="2"/>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7"/>
    </w:lvl>
    <w:lvl w:ilvl="1">
      <w:lvlJc w:val="left"/>
      <w:lvlText w:val="(%2)"/>
      <w:numFmt w:val="lowerRoman"/>
      <w:start w:val="1"/>
    </w:lvl>
  </w:abstractNum>
  <w:abstractNum w:abstractNumId="28">
    <w:nsid w:val="5C482A97"/>
    <w:multiLevelType w:val="hybridMultilevel"/>
    <w:lvl w:ilvl="0">
      <w:lvlJc w:val="left"/>
      <w:lvlText w:val="%1"/>
      <w:numFmt w:val="lowerLetter"/>
      <w:start w:val="1"/>
    </w:lvl>
    <w:lvl w:ilvl="1">
      <w:lvlJc w:val="left"/>
      <w:lvlText w:val="(%2)"/>
      <w:numFmt w:val="lowerRoman"/>
      <w:start w:val="4"/>
    </w:lvl>
  </w:abstractNum>
  <w:abstractNum w:abstractNumId="29">
    <w:nsid w:val="2463B9EA"/>
    <w:multiLevelType w:val="hybridMultilevel"/>
    <w:lvl w:ilvl="0">
      <w:lvlJc w:val="left"/>
      <w:lvlText w:val="(%1)"/>
      <w:numFmt w:val="lowerLetter"/>
      <w:start w:val="14"/>
    </w:lvl>
    <w:lvl w:ilvl="1">
      <w:lvlJc w:val="left"/>
      <w:lvlText w:val="%2"/>
      <w:numFmt w:val="lowerRoman"/>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Roman"/>
      <w:start w:val="1"/>
    </w:lvl>
  </w:abstractNum>
  <w:abstractNum w:abstractNumId="32">
    <w:nsid w:val="2D517796"/>
    <w:multiLevelType w:val="hybridMultilevel"/>
    <w:lvl w:ilvl="0">
      <w:lvlJc w:val="left"/>
      <w:lvlText w:val="%1"/>
      <w:numFmt w:val="lowerLetter"/>
      <w:start w:val="1"/>
    </w:lvl>
    <w:lvl w:ilvl="1">
      <w:lvlJc w:val="left"/>
      <w:lvlText w:val="(%2)"/>
      <w:numFmt w:val="lowerLetter"/>
      <w:start w:val="2"/>
    </w:lvl>
  </w:abstractNum>
  <w:abstractNum w:abstractNumId="33">
    <w:nsid w:val="580BD78F"/>
    <w:multiLevelType w:val="hybridMultilevel"/>
    <w:lvl w:ilvl="0">
      <w:lvlJc w:val="left"/>
      <w:lvlText w:val="(%1)"/>
      <w:numFmt w:val="lowerLetter"/>
      <w:start w:val="1"/>
    </w:lvl>
    <w:lvl w:ilvl="1">
      <w:lvlJc w:val="left"/>
      <w:lvlText w:val="%2"/>
      <w:numFmt w:val="lowerLetter"/>
      <w:start w:val="1"/>
    </w:lvl>
  </w:abstractNum>
  <w:abstractNum w:abstractNumId="34">
    <w:nsid w:val="153EA438"/>
    <w:multiLevelType w:val="hybridMultilevel"/>
    <w:lvl w:ilvl="0">
      <w:lvlJc w:val="left"/>
      <w:lvlText w:val="(%1)"/>
      <w:numFmt w:val="lowerLetter"/>
      <w:start w:val="3"/>
    </w:lvl>
  </w:abstractNum>
  <w:abstractNum w:abstractNumId="35">
    <w:nsid w:val="3855585C"/>
    <w:multiLevelType w:val="hybridMultilevel"/>
    <w:lvl w:ilvl="0">
      <w:lvlJc w:val="left"/>
      <w:lvlText w:val="%1"/>
      <w:numFmt w:val="lowerLetter"/>
      <w:start w:val="1"/>
    </w:lvl>
    <w:lvl w:ilvl="1">
      <w:lvlJc w:val="left"/>
      <w:lvlText w:val="(%2)"/>
      <w:numFmt w:val="lowerLetter"/>
      <w:start w:val="1"/>
    </w:lvl>
  </w:abstractNum>
  <w:abstractNum w:abstractNumId="36">
    <w:nsid w:val="70A64E2A"/>
    <w:multiLevelType w:val="hybridMultilevel"/>
    <w:lvl w:ilvl="0">
      <w:lvlJc w:val="left"/>
      <w:lvlText w:val="(%1)"/>
      <w:numFmt w:val="lowerLetter"/>
      <w:start w:val="9"/>
    </w:lvl>
    <w:lvl w:ilvl="1">
      <w:lvlJc w:val="left"/>
      <w:lvlText w:val="%2"/>
      <w:numFmt w:val="lowerLetter"/>
      <w:start w:val="1"/>
    </w:lvl>
  </w:abstractNum>
  <w:abstractNum w:abstractNumId="37">
    <w:nsid w:val="6A2342EC"/>
    <w:multiLevelType w:val="hybridMultilevel"/>
    <w:lvl w:ilvl="0">
      <w:lvlJc w:val="left"/>
      <w:lvlText w:val="(%1)"/>
      <w:numFmt w:val="lowerLetter"/>
      <w:start w:val="2"/>
    </w:lvl>
  </w:abstractNum>
  <w:abstractNum w:abstractNumId="38">
    <w:nsid w:val="2A487CB0"/>
    <w:multiLevelType w:val="hybridMultilevel"/>
    <w:lvl w:ilvl="0">
      <w:lvlJc w:val="left"/>
      <w:lvlText w:val="(%1)"/>
      <w:numFmt w:val="lowerRoman"/>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lvl w:ilvl="1">
      <w:lvlJc w:val="left"/>
      <w:lvlText w:val="(%2)"/>
      <w:numFmt w:val="lowerRoman"/>
      <w:start w:val="1"/>
    </w:lvl>
  </w:abstractNum>
  <w:abstractNum w:abstractNumId="43">
    <w:nsid w:val="7A6D8D3C"/>
    <w:multiLevelType w:val="hybridMultilevel"/>
    <w:lvl w:ilvl="0">
      <w:lvlJc w:val="left"/>
      <w:lvlText w:val="(%1)"/>
      <w:numFmt w:val="decimal"/>
      <w:start w:val="1"/>
    </w:lvl>
    <w:lvl w:ilvl="1">
      <w:lvlJc w:val="left"/>
      <w:lvlText w:val="%2"/>
      <w:numFmt w:val="lowerRoman"/>
      <w:start w:val="1"/>
    </w:lvl>
  </w:abstractNum>
  <w:abstractNum w:abstractNumId="44">
    <w:nsid w:val="4B588F54"/>
    <w:multiLevelType w:val="hybridMultilevel"/>
    <w:lvl w:ilvl="0">
      <w:lvlJc w:val="left"/>
      <w:lvlText w:val="(%1)"/>
      <w:numFmt w:val="lowerRoman"/>
      <w:start w:val="5"/>
    </w:lvl>
  </w:abstractNum>
  <w:abstractNum w:abstractNumId="45">
    <w:nsid w:val="542289EC"/>
    <w:multiLevelType w:val="hybridMultilevel"/>
    <w:lvl w:ilvl="0">
      <w:lvlJc w:val="left"/>
      <w:lvlText w:val="(%1)"/>
      <w:numFmt w:val="lowerRoman"/>
      <w:start w:val="11"/>
    </w:lvl>
  </w:abstractNum>
  <w:abstractNum w:abstractNumId="46">
    <w:nsid w:val="6DE91B1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2019-12-28T03:35:40Z</dcterms:created>
  <dcterms:modified xsi:type="dcterms:W3CDTF">2019-12-28T03:35:40Z</dcterms:modified>
</cp:coreProperties>
</file>