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12, 2020 (June 11,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001-38650</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(State or other jurisdiction of</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incorporation or organization)</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File Number)</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230 Park Avenue</w:t>
            </w:r>
          </w:p>
        </w:tc>
        <w:tc>
          <w:tcPr>
            <w:tcW w:w="19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Suite 3350</w:t>
            </w:r>
          </w:p>
        </w:tc>
        <w:tc>
          <w:tcPr>
            <w:tcW w:w="19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New York, New York 10169</w:t>
            </w:r>
          </w:p>
        </w:tc>
        <w:tc>
          <w:tcPr>
            <w:tcW w:w="1900" w:type="dxa"/>
            <w:vAlign w:val="bottom"/>
          </w:tcPr>
          <w:p>
            <w:pPr>
              <w:spacing w:after="0"/>
              <w:rPr>
                <w:sz w:val="18"/>
                <w:szCs w:val="18"/>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1900" w:type="dxa"/>
            <w:vAlign w:val="bottom"/>
          </w:tcPr>
          <w:p>
            <w:pPr>
              <w:spacing w:after="0"/>
              <w:rPr>
                <w:sz w:val="20"/>
                <w:szCs w:val="20"/>
                <w:color w:val="auto"/>
              </w:rPr>
            </w:pP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(646) 885-8505</w:t>
            </w:r>
          </w:p>
        </w:tc>
        <w:tc>
          <w:tcPr>
            <w:tcW w:w="1900" w:type="dxa"/>
            <w:vAlign w:val="bottom"/>
          </w:tcPr>
          <w:p>
            <w:pPr>
              <w:spacing w:after="0"/>
              <w:rPr>
                <w:sz w:val="24"/>
                <w:szCs w:val="24"/>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(Registrant’s telephone number, include area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12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1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June 11, 2020, Y-mAbs Therapeutics, Inc., (the “Company”) held its annual meeting of stockholders (the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proposals were submitted to the stockholders at the Annual Meeting:</w:t>
      </w:r>
    </w:p>
    <w:p>
      <w:pPr>
        <w:spacing w:after="0" w:line="225" w:lineRule="exact"/>
        <w:rPr>
          <w:sz w:val="20"/>
          <w:szCs w:val="20"/>
          <w:color w:val="auto"/>
        </w:rPr>
      </w:pPr>
    </w:p>
    <w:p>
      <w:pPr>
        <w:jc w:val="both"/>
        <w:ind w:left="660" w:hanging="652"/>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election of three (3) Class II directors, James I. Healy, M.D., Ashutosh Tyagi, M.D., and Laura J. Hamill, nominated by the Company’s Board of Directors, each to serve for a three-year term to expire at the 2023 annual meeting of stockholders, each such nominee to hold office until his/her successor has been duly elected and qualified or until his/her earlier death, resignation or removal; and</w:t>
      </w:r>
    </w:p>
    <w:p>
      <w:pPr>
        <w:spacing w:after="0" w:line="165" w:lineRule="exact"/>
        <w:rPr>
          <w:rFonts w:ascii="Arial" w:cs="Arial" w:eastAsia="Arial" w:hAnsi="Arial"/>
          <w:sz w:val="17"/>
          <w:szCs w:val="17"/>
          <w:color w:val="auto"/>
        </w:rPr>
      </w:pPr>
    </w:p>
    <w:p>
      <w:pPr>
        <w:ind w:left="660" w:right="20" w:hanging="652"/>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as the Company’s independent registered public accounting firm for the Company’s fiscal year ending December 31, 2020.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proposals are described in detail in the Company’s Proxy Statement filed with the Securities and Exchange Commission on April 28, 2020. No other proposals were submitted to the stockholders at the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entitled to vote at the Annual Meeting was 39,757,623.</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 matters submitted to a vote of the Company’s stockholders at the Annual Meeting were approved and all director nominees were elected. The number of votes cast for and against and the number of abstentions and broker non-votes with respect to each matter voted upon are set forth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1. Election of three Class II directors.</w:t>
            </w:r>
          </w:p>
        </w:tc>
        <w:tc>
          <w:tcPr>
            <w:tcW w:w="2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Nominee</w:t>
            </w:r>
          </w:p>
        </w:tc>
        <w:tc>
          <w:tcPr>
            <w:tcW w:w="2500" w:type="dxa"/>
            <w:vAlign w:val="bottom"/>
            <w:gridSpan w:val="2"/>
          </w:tcPr>
          <w:p>
            <w:pPr>
              <w:ind w:left="20"/>
              <w:spacing w:after="0"/>
              <w:rPr>
                <w:sz w:val="20"/>
                <w:szCs w:val="20"/>
                <w:color w:val="auto"/>
              </w:rPr>
            </w:pPr>
            <w:r>
              <w:rPr>
                <w:rFonts w:ascii="Arial" w:cs="Arial" w:eastAsia="Arial" w:hAnsi="Arial"/>
                <w:sz w:val="18"/>
                <w:szCs w:val="18"/>
                <w:b w:val="1"/>
                <w:bCs w:val="1"/>
                <w:color w:val="auto"/>
              </w:rPr>
              <w:t>For</w:t>
            </w:r>
          </w:p>
        </w:tc>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Withheld</w:t>
            </w:r>
          </w:p>
        </w:tc>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Broker Non-Votes</w:t>
            </w: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I. Healy, M.D.</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21,179,389</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1430"/>
              <w:spacing w:after="0"/>
              <w:rPr>
                <w:sz w:val="20"/>
                <w:szCs w:val="20"/>
                <w:color w:val="auto"/>
              </w:rPr>
            </w:pPr>
            <w:r>
              <w:rPr>
                <w:rFonts w:ascii="Arial" w:cs="Arial" w:eastAsia="Arial" w:hAnsi="Arial"/>
                <w:sz w:val="18"/>
                <w:szCs w:val="18"/>
                <w:color w:val="auto"/>
                <w:w w:val="87"/>
              </w:rPr>
              <w:t>6,623,361</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3,414,604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Ashutosh Tyagi, M.D.</w:t>
            </w:r>
          </w:p>
        </w:tc>
        <w:tc>
          <w:tcPr>
            <w:tcW w:w="2260" w:type="dxa"/>
            <w:vAlign w:val="bottom"/>
          </w:tcPr>
          <w:p>
            <w:pPr>
              <w:ind w:left="20"/>
              <w:spacing w:after="0"/>
              <w:rPr>
                <w:sz w:val="20"/>
                <w:szCs w:val="20"/>
                <w:color w:val="auto"/>
              </w:rPr>
            </w:pPr>
            <w:r>
              <w:rPr>
                <w:rFonts w:ascii="Arial" w:cs="Arial" w:eastAsia="Arial" w:hAnsi="Arial"/>
                <w:sz w:val="18"/>
                <w:szCs w:val="18"/>
                <w:color w:val="auto"/>
              </w:rPr>
              <w:t>24,803,197</w:t>
            </w:r>
          </w:p>
        </w:tc>
        <w:tc>
          <w:tcPr>
            <w:tcW w:w="240" w:type="dxa"/>
            <w:vAlign w:val="bottom"/>
          </w:tcPr>
          <w:p>
            <w:pPr>
              <w:spacing w:after="0"/>
              <w:rPr>
                <w:sz w:val="18"/>
                <w:szCs w:val="18"/>
                <w:color w:val="auto"/>
              </w:rPr>
            </w:pPr>
          </w:p>
        </w:tc>
        <w:tc>
          <w:tcPr>
            <w:tcW w:w="2240" w:type="dxa"/>
            <w:vAlign w:val="bottom"/>
          </w:tcPr>
          <w:p>
            <w:pPr>
              <w:jc w:val="right"/>
              <w:ind w:right="1430"/>
              <w:spacing w:after="0"/>
              <w:rPr>
                <w:sz w:val="20"/>
                <w:szCs w:val="20"/>
                <w:color w:val="auto"/>
              </w:rPr>
            </w:pPr>
            <w:r>
              <w:rPr>
                <w:rFonts w:ascii="Arial" w:cs="Arial" w:eastAsia="Arial" w:hAnsi="Arial"/>
                <w:sz w:val="18"/>
                <w:szCs w:val="18"/>
                <w:color w:val="auto"/>
                <w:w w:val="87"/>
              </w:rPr>
              <w:t>2,999,553</w:t>
            </w:r>
          </w:p>
        </w:tc>
        <w:tc>
          <w:tcPr>
            <w:tcW w:w="22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3,414,604</w:t>
            </w: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J. Hamill</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27,759,750</w:t>
            </w:r>
          </w:p>
        </w:tc>
        <w:tc>
          <w:tcPr>
            <w:tcW w:w="240" w:type="dxa"/>
            <w:vAlign w:val="bottom"/>
            <w:shd w:val="clear" w:color="auto" w:fill="CCEEFF"/>
          </w:tcPr>
          <w:p>
            <w:pPr>
              <w:spacing w:after="0"/>
              <w:rPr>
                <w:sz w:val="18"/>
                <w:szCs w:val="18"/>
                <w:color w:val="auto"/>
              </w:rPr>
            </w:pPr>
          </w:p>
        </w:tc>
        <w:tc>
          <w:tcPr>
            <w:tcW w:w="2240" w:type="dxa"/>
            <w:vAlign w:val="bottom"/>
            <w:shd w:val="clear" w:color="auto" w:fill="CCEEFF"/>
          </w:tcPr>
          <w:p>
            <w:pPr>
              <w:jc w:val="right"/>
              <w:ind w:right="1430"/>
              <w:spacing w:after="0"/>
              <w:rPr>
                <w:sz w:val="20"/>
                <w:szCs w:val="20"/>
                <w:color w:val="auto"/>
              </w:rPr>
            </w:pPr>
            <w:r>
              <w:rPr>
                <w:rFonts w:ascii="Arial" w:cs="Arial" w:eastAsia="Arial" w:hAnsi="Arial"/>
                <w:sz w:val="18"/>
                <w:szCs w:val="18"/>
                <w:color w:val="auto"/>
              </w:rPr>
              <w:t>43,000</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3,414,604</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stockholders elected James I. Healy, M.D., Ashutosh Tyagi, M.D., and Laura J. Hamill each to serve for a three-year term to expire at the 2023 annual meeting of stockholders, each such nominee to hold office until his/her successor has been duly elected and qualified or until his/her earlier death, resignation or removal.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Ratification of appointment of independent registered public accounting firm.</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Arial" w:cs="Arial" w:eastAsia="Arial" w:hAnsi="Arial"/>
                <w:sz w:val="18"/>
                <w:szCs w:val="18"/>
                <w:b w:val="1"/>
                <w:bCs w:val="1"/>
                <w:color w:val="auto"/>
              </w:rPr>
              <w:t>For</w:t>
            </w:r>
          </w:p>
        </w:tc>
        <w:tc>
          <w:tcPr>
            <w:tcW w:w="2720" w:type="dxa"/>
            <w:vAlign w:val="bottom"/>
            <w:gridSpan w:val="3"/>
          </w:tcPr>
          <w:p>
            <w:pPr>
              <w:ind w:left="240"/>
              <w:spacing w:after="0"/>
              <w:rPr>
                <w:sz w:val="20"/>
                <w:szCs w:val="20"/>
                <w:color w:val="auto"/>
              </w:rPr>
            </w:pPr>
            <w:r>
              <w:rPr>
                <w:rFonts w:ascii="Arial" w:cs="Arial" w:eastAsia="Arial" w:hAnsi="Arial"/>
                <w:sz w:val="18"/>
                <w:szCs w:val="18"/>
                <w:b w:val="1"/>
                <w:bCs w:val="1"/>
                <w:color w:val="auto"/>
              </w:rPr>
              <w:t>Against</w:t>
            </w:r>
          </w:p>
        </w:tc>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Abstain</w:t>
            </w:r>
          </w:p>
        </w:tc>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Broker Non-Votes</w:t>
            </w:r>
          </w:p>
        </w:tc>
      </w:tr>
      <w:tr>
        <w:trPr>
          <w:trHeight w:val="209"/>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31,217,080</w:t>
            </w:r>
          </w:p>
        </w:tc>
        <w:tc>
          <w:tcPr>
            <w:tcW w:w="24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104</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170</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stockholders ratified the appointment of PricewaterhouseCoopers LLP as the Company’s independent registered public accounting firm for the fiscal year ending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6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640" w:type="dxa"/>
            <w:vAlign w:val="bottom"/>
            <w:gridSpan w:val="2"/>
          </w:tcPr>
          <w:p>
            <w:pPr>
              <w:ind w:left="2140"/>
              <w:spacing w:after="0"/>
              <w:rPr>
                <w:sz w:val="20"/>
                <w:szCs w:val="20"/>
                <w:color w:val="auto"/>
              </w:rPr>
            </w:pPr>
            <w:r>
              <w:rPr>
                <w:rFonts w:ascii="Arial" w:cs="Arial" w:eastAsia="Arial" w:hAnsi="Arial"/>
                <w:sz w:val="18"/>
                <w:szCs w:val="18"/>
                <w:color w:val="auto"/>
              </w:rPr>
              <w:t>Y-MABS THERAPEUTICS, INC.</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June 12, 2020</w:t>
            </w:r>
          </w:p>
        </w:tc>
        <w:tc>
          <w:tcPr>
            <w:tcW w:w="7640" w:type="dxa"/>
            <w:vAlign w:val="bottom"/>
            <w:gridSpan w:val="2"/>
          </w:tcPr>
          <w:p>
            <w:pPr>
              <w:ind w:left="2140"/>
              <w:spacing w:after="0"/>
              <w:rPr>
                <w:sz w:val="20"/>
                <w:szCs w:val="20"/>
                <w:color w:val="auto"/>
              </w:rPr>
            </w:pPr>
            <w:r>
              <w:rPr>
                <w:rFonts w:ascii="Arial" w:cs="Arial" w:eastAsia="Arial" w:hAnsi="Arial"/>
                <w:sz w:val="18"/>
                <w:szCs w:val="18"/>
                <w:color w:val="auto"/>
              </w:rPr>
              <w:t>By: /s/ Thomas Gad</w:t>
            </w:r>
          </w:p>
        </w:tc>
      </w:tr>
      <w:tr>
        <w:trPr>
          <w:trHeight w:val="195"/>
        </w:trPr>
        <w:tc>
          <w:tcPr>
            <w:tcW w:w="36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r>
      <w:tr>
        <w:trPr>
          <w:trHeight w:val="216"/>
        </w:trPr>
        <w:tc>
          <w:tcPr>
            <w:tcW w:w="3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w w:val="93"/>
              </w:rPr>
              <w:t>Founder, Chairman, President and Head of Business Development &amp;</w:t>
            </w:r>
          </w:p>
        </w:tc>
      </w:tr>
      <w:tr>
        <w:trPr>
          <w:trHeight w:val="230"/>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Strategy</w:t>
            </w:r>
          </w:p>
        </w:tc>
      </w:tr>
      <w:tr>
        <w:trPr>
          <w:trHeight w:val="675"/>
        </w:trPr>
        <w:tc>
          <w:tcPr>
            <w:tcW w:w="36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2020-06-12T15:16:29Z</dcterms:created>
  <dcterms:modified xsi:type="dcterms:W3CDTF">2020-06-12T15:16:29Z</dcterms:modified>
</cp:coreProperties>
</file>