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8890</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SCHEDULE 13G</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(Amendment No. )*</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(Name of Issuer)</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984241109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March 15,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640" w:right="9100" w:hanging="6"/>
        <w:spacing w:after="0" w:line="247" w:lineRule="exact"/>
        <w:tabs>
          <w:tab w:leader="none" w:pos="1022"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 xml:space="preserve">Rule 13d-1(b)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Rule 13d-1(c)</w:t>
      </w:r>
    </w:p>
    <w:p>
      <w:pPr>
        <w:spacing w:after="0" w:line="1" w:lineRule="exact"/>
        <w:rPr>
          <w:rFonts w:ascii="MS PGothic" w:cs="MS PGothic" w:eastAsia="MS PGothic" w:hAnsi="MS PGothic"/>
          <w:sz w:val="19"/>
          <w:szCs w:val="19"/>
          <w:color w:val="auto"/>
        </w:rPr>
      </w:pPr>
    </w:p>
    <w:p>
      <w:pPr>
        <w:ind w:left="1020" w:hanging="386"/>
        <w:spacing w:after="0"/>
        <w:tabs>
          <w:tab w:leader="none" w:pos="10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Rule 13d-1(d)</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(Page 1 of 11 Pages)</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______________________________</w:t>
      </w:r>
    </w:p>
    <w:p>
      <w:pPr>
        <w:spacing w:after="0" w:line="9" w:lineRule="exact"/>
        <w:rPr>
          <w:sz w:val="24"/>
          <w:szCs w:val="24"/>
          <w:color w:val="auto"/>
        </w:rPr>
      </w:pPr>
    </w:p>
    <w:p>
      <w:pPr>
        <w:jc w:val="both"/>
        <w:ind w:firstLine="648"/>
        <w:spacing w:after="0" w:line="242" w:lineRule="auto"/>
        <w:rPr>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20"/>
          <w:szCs w:val="20"/>
          <w:u w:val="single" w:color="auto"/>
          <w:color w:val="auto"/>
        </w:rPr>
        <w:t>Act</w:t>
      </w:r>
      <w:r>
        <w:rPr>
          <w:rFonts w:ascii="Times New Roman" w:cs="Times New Roman" w:eastAsia="Times New Roman" w:hAnsi="Times New Roman"/>
          <w:sz w:val="20"/>
          <w:szCs w:val="20"/>
          <w:color w:val="auto"/>
        </w:rPr>
        <w:t>") or otherwise subject to the liabilities of that section of the Act but shall be subject to all other provisions of the Act (however, see the Notes).</w:t>
      </w:r>
    </w:p>
    <w:p>
      <w:pPr>
        <w:sectPr>
          <w:pgSz w:w="11900" w:h="16838" w:orient="portrait"/>
          <w:cols w:equalWidth="0" w:num="1">
            <w:col w:w="11240"/>
          </w:cols>
          <w:pgMar w:left="320" w:top="225" w:right="339" w:bottom="1440" w:gutter="0" w:footer="0" w:header="0"/>
        </w:sectPr>
      </w:pPr>
    </w:p>
    <w:bookmarkStart w:id="1" w:name="page2"/>
    <w:bookmarkEnd w:id="1"/>
    <w:p>
      <w:pPr>
        <w:spacing w:after="0"/>
        <w:tabs>
          <w:tab w:leader="none" w:pos="54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984241109</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2 of 11 Pages</w:t>
      </w:r>
    </w:p>
    <w:p>
      <w:pPr>
        <w:sectPr>
          <w:pgSz w:w="11900" w:h="16838" w:orient="portrait"/>
          <w:cols w:equalWidth="0" w:num="1">
            <w:col w:w="11240"/>
          </w:cols>
          <w:pgMar w:left="320" w:top="225" w:right="339" w:bottom="1440" w:gutter="0" w:footer="0" w:header="0"/>
        </w:sectPr>
      </w:pPr>
    </w:p>
    <w:p>
      <w:pPr>
        <w:ind w:left="1700" w:hanging="967"/>
        <w:spacing w:after="0" w:line="227" w:lineRule="auto"/>
        <w:tabs>
          <w:tab w:leader="none" w:pos="1700" w:val="left"/>
        </w:tabs>
        <w:numPr>
          <w:ilvl w:val="0"/>
          <w:numId w:val="2"/>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47574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757420"/>
                    </a:xfrm>
                    <a:prstGeom prst="rect">
                      <a:avLst/>
                    </a:prstGeom>
                    <a:noFill/>
                  </pic:spPr>
                </pic:pic>
              </a:graphicData>
            </a:graphic>
          </wp:anchor>
        </w:drawing>
      </w:r>
    </w:p>
    <w:p>
      <w:pPr>
        <w:spacing w:after="0" w:line="168"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Acorn Bioventures, L.P.</w:t>
      </w:r>
    </w:p>
    <w:p>
      <w:pPr>
        <w:ind w:left="1700" w:hanging="967"/>
        <w:spacing w:after="0" w:line="182" w:lineRule="auto"/>
        <w:tabs>
          <w:tab w:leader="none" w:pos="1700" w:val="left"/>
        </w:tabs>
        <w:numPr>
          <w:ilvl w:val="0"/>
          <w:numId w:val="3"/>
        </w:numPr>
        <w:rPr>
          <w:rFonts w:ascii="Times New Roman" w:cs="Times New Roman" w:eastAsia="Times New Roman" w:hAnsi="Times New Roman"/>
          <w:sz w:val="45"/>
          <w:szCs w:val="45"/>
          <w:b w:val="1"/>
          <w:bCs w:val="1"/>
          <w:color w:val="auto"/>
          <w:vertAlign w:val="subscript"/>
        </w:rPr>
      </w:pPr>
      <w:r>
        <w:rPr>
          <w:rFonts w:ascii="Times New Roman" w:cs="Times New Roman" w:eastAsia="Times New Roman" w:hAnsi="Times New Roman"/>
          <w:sz w:val="15"/>
          <w:szCs w:val="15"/>
          <w:color w:val="auto"/>
        </w:rPr>
        <w:t>CHECK THE APPROPRIATE BOX IF A MEMBER OF A GROUP</w:t>
      </w:r>
    </w:p>
    <w:p>
      <w:pPr>
        <w:spacing w:after="0" w:line="91" w:lineRule="exact"/>
        <w:rPr>
          <w:sz w:val="20"/>
          <w:szCs w:val="20"/>
          <w:color w:val="auto"/>
        </w:rPr>
      </w:pPr>
    </w:p>
    <w:p>
      <w:pPr>
        <w:ind w:left="1700" w:hanging="967"/>
        <w:spacing w:after="0"/>
        <w:tabs>
          <w:tab w:leader="none" w:pos="1700" w:val="left"/>
        </w:tabs>
        <w:numPr>
          <w:ilvl w:val="0"/>
          <w:numId w:val="4"/>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w w:val="99"/>
              </w:rPr>
              <w:t>Delaware</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977,142</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977,142</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977,142</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1"/>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jc w:val="right"/>
              <w:ind w:right="274"/>
              <w:spacing w:after="0"/>
              <w:rPr>
                <w:sz w:val="20"/>
                <w:szCs w:val="20"/>
                <w:color w:val="auto"/>
              </w:rPr>
            </w:pPr>
            <w:r>
              <w:rPr>
                <w:rFonts w:ascii="Times New Roman" w:cs="Times New Roman" w:eastAsia="Times New Roman" w:hAnsi="Times New Roman"/>
                <w:sz w:val="20"/>
                <w:szCs w:val="20"/>
                <w:color w:val="auto"/>
              </w:rPr>
              <w:t>2.2%</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PN</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73" w:hanging="273"/>
        <w:spacing w:after="0" w:line="263" w:lineRule="exact"/>
        <w:tabs>
          <w:tab w:leader="none" w:pos="27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190" w:lineRule="exact"/>
        <w:rPr>
          <w:rFonts w:ascii="Times New Roman" w:cs="Times New Roman" w:eastAsia="Times New Roman" w:hAnsi="Times New Roman"/>
          <w:sz w:val="18"/>
          <w:szCs w:val="18"/>
          <w:color w:val="auto"/>
        </w:rPr>
      </w:pPr>
    </w:p>
    <w:p>
      <w:pPr>
        <w:ind w:left="273" w:hanging="273"/>
        <w:spacing w:after="0" w:line="263" w:lineRule="exact"/>
        <w:tabs>
          <w:tab w:leader="none" w:pos="27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5" w:right="339" w:bottom="1440" w:gutter="0" w:footer="0" w:header="0"/>
          <w:type w:val="continuous"/>
        </w:sectPr>
      </w:pPr>
    </w:p>
    <w:bookmarkStart w:id="2" w:name="page3"/>
    <w:bookmarkEnd w:id="2"/>
    <w:p>
      <w:pPr>
        <w:spacing w:after="0"/>
        <w:tabs>
          <w:tab w:leader="none" w:pos="54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984241109</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3 of 11 Pages</w:t>
      </w:r>
    </w:p>
    <w:p>
      <w:pPr>
        <w:sectPr>
          <w:pgSz w:w="11900" w:h="16838" w:orient="portrait"/>
          <w:cols w:equalWidth="0" w:num="1">
            <w:col w:w="11240"/>
          </w:cols>
          <w:pgMar w:left="320" w:top="225" w:right="339" w:bottom="1440" w:gutter="0" w:footer="0" w:header="0"/>
        </w:sectPr>
      </w:pPr>
    </w:p>
    <w:p>
      <w:pPr>
        <w:ind w:left="1700" w:hanging="967"/>
        <w:spacing w:after="0" w:line="227" w:lineRule="auto"/>
        <w:tabs>
          <w:tab w:leader="none" w:pos="1700" w:val="left"/>
        </w:tabs>
        <w:numPr>
          <w:ilvl w:val="0"/>
          <w:numId w:val="6"/>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4774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774565"/>
                    </a:xfrm>
                    <a:prstGeom prst="rect">
                      <a:avLst/>
                    </a:prstGeom>
                    <a:noFill/>
                  </pic:spPr>
                </pic:pic>
              </a:graphicData>
            </a:graphic>
          </wp:anchor>
        </w:drawing>
      </w:r>
    </w:p>
    <w:p>
      <w:pPr>
        <w:spacing w:after="0" w:line="19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Acorn Capital Advisors GP, LLC</w:t>
      </w:r>
    </w:p>
    <w:p>
      <w:pPr>
        <w:ind w:left="1700" w:hanging="967"/>
        <w:spacing w:after="0" w:line="182" w:lineRule="auto"/>
        <w:tabs>
          <w:tab w:leader="none" w:pos="1700" w:val="left"/>
        </w:tabs>
        <w:numPr>
          <w:ilvl w:val="0"/>
          <w:numId w:val="7"/>
        </w:numPr>
        <w:rPr>
          <w:rFonts w:ascii="Times New Roman" w:cs="Times New Roman" w:eastAsia="Times New Roman" w:hAnsi="Times New Roman"/>
          <w:sz w:val="45"/>
          <w:szCs w:val="45"/>
          <w:b w:val="1"/>
          <w:bCs w:val="1"/>
          <w:color w:val="auto"/>
          <w:vertAlign w:val="subscript"/>
        </w:rPr>
      </w:pPr>
      <w:r>
        <w:rPr>
          <w:rFonts w:ascii="Times New Roman" w:cs="Times New Roman" w:eastAsia="Times New Roman" w:hAnsi="Times New Roman"/>
          <w:sz w:val="15"/>
          <w:szCs w:val="15"/>
          <w:color w:val="auto"/>
        </w:rPr>
        <w:t>CHECK THE APPROPRIATE BOX IF A MEMBER OF A GROUP</w:t>
      </w:r>
    </w:p>
    <w:p>
      <w:pPr>
        <w:spacing w:after="0" w:line="91" w:lineRule="exact"/>
        <w:rPr>
          <w:sz w:val="20"/>
          <w:szCs w:val="20"/>
          <w:color w:val="auto"/>
        </w:rPr>
      </w:pPr>
    </w:p>
    <w:p>
      <w:pPr>
        <w:ind w:left="1700" w:hanging="967"/>
        <w:spacing w:after="0"/>
        <w:tabs>
          <w:tab w:leader="none" w:pos="1700" w:val="left"/>
        </w:tabs>
        <w:numPr>
          <w:ilvl w:val="0"/>
          <w:numId w:val="8"/>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w w:val="99"/>
              </w:rPr>
              <w:t>Delaware</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977,142</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977,142</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977,142</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jc w:val="right"/>
              <w:ind w:right="274"/>
              <w:spacing w:after="0"/>
              <w:rPr>
                <w:sz w:val="20"/>
                <w:szCs w:val="20"/>
                <w:color w:val="auto"/>
              </w:rPr>
            </w:pPr>
            <w:r>
              <w:rPr>
                <w:rFonts w:ascii="Times New Roman" w:cs="Times New Roman" w:eastAsia="Times New Roman" w:hAnsi="Times New Roman"/>
                <w:sz w:val="20"/>
                <w:szCs w:val="20"/>
                <w:color w:val="auto"/>
              </w:rPr>
              <w:t>2.2%</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OO</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73" w:hanging="273"/>
        <w:spacing w:after="0" w:line="263" w:lineRule="exact"/>
        <w:tabs>
          <w:tab w:leader="none" w:pos="273"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190" w:lineRule="exact"/>
        <w:rPr>
          <w:rFonts w:ascii="Times New Roman" w:cs="Times New Roman" w:eastAsia="Times New Roman" w:hAnsi="Times New Roman"/>
          <w:sz w:val="18"/>
          <w:szCs w:val="18"/>
          <w:color w:val="auto"/>
        </w:rPr>
      </w:pPr>
    </w:p>
    <w:p>
      <w:pPr>
        <w:ind w:left="273" w:hanging="273"/>
        <w:spacing w:after="0" w:line="263" w:lineRule="exact"/>
        <w:tabs>
          <w:tab w:leader="none" w:pos="273"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5" w:right="339" w:bottom="1440" w:gutter="0" w:footer="0" w:header="0"/>
          <w:type w:val="continuous"/>
        </w:sectPr>
      </w:pPr>
    </w:p>
    <w:bookmarkStart w:id="3" w:name="page4"/>
    <w:bookmarkEnd w:id="3"/>
    <w:p>
      <w:pPr>
        <w:spacing w:after="0"/>
        <w:tabs>
          <w:tab w:leader="none" w:pos="54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984241109</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4 of 11 Pages</w:t>
      </w:r>
    </w:p>
    <w:p>
      <w:pPr>
        <w:sectPr>
          <w:pgSz w:w="11900" w:h="16838" w:orient="portrait"/>
          <w:cols w:equalWidth="0" w:num="1">
            <w:col w:w="11240"/>
          </w:cols>
          <w:pgMar w:left="320" w:top="225" w:right="339" w:bottom="1440" w:gutter="0" w:footer="0" w:header="0"/>
        </w:sectPr>
      </w:pPr>
    </w:p>
    <w:p>
      <w:pPr>
        <w:ind w:left="1700" w:hanging="967"/>
        <w:spacing w:after="0" w:line="227" w:lineRule="auto"/>
        <w:tabs>
          <w:tab w:leader="none" w:pos="1700" w:val="left"/>
        </w:tabs>
        <w:numPr>
          <w:ilvl w:val="0"/>
          <w:numId w:val="10"/>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47745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774565"/>
                    </a:xfrm>
                    <a:prstGeom prst="rect">
                      <a:avLst/>
                    </a:prstGeom>
                    <a:noFill/>
                  </pic:spPr>
                </pic:pic>
              </a:graphicData>
            </a:graphic>
          </wp:anchor>
        </w:drawing>
      </w:r>
    </w:p>
    <w:p>
      <w:pPr>
        <w:spacing w:after="0" w:line="19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Acorn Bioventures 2 L.P.</w:t>
      </w:r>
    </w:p>
    <w:p>
      <w:pPr>
        <w:ind w:left="1700" w:hanging="967"/>
        <w:spacing w:after="0" w:line="182" w:lineRule="auto"/>
        <w:tabs>
          <w:tab w:leader="none" w:pos="1700" w:val="left"/>
        </w:tabs>
        <w:numPr>
          <w:ilvl w:val="0"/>
          <w:numId w:val="11"/>
        </w:numPr>
        <w:rPr>
          <w:rFonts w:ascii="Times New Roman" w:cs="Times New Roman" w:eastAsia="Times New Roman" w:hAnsi="Times New Roman"/>
          <w:sz w:val="45"/>
          <w:szCs w:val="45"/>
          <w:b w:val="1"/>
          <w:bCs w:val="1"/>
          <w:color w:val="auto"/>
          <w:vertAlign w:val="subscript"/>
        </w:rPr>
      </w:pPr>
      <w:r>
        <w:rPr>
          <w:rFonts w:ascii="Times New Roman" w:cs="Times New Roman" w:eastAsia="Times New Roman" w:hAnsi="Times New Roman"/>
          <w:sz w:val="15"/>
          <w:szCs w:val="15"/>
          <w:color w:val="auto"/>
        </w:rPr>
        <w:t>CHECK THE APPROPRIATE BOX IF A MEMBER OF A GROUP</w:t>
      </w:r>
    </w:p>
    <w:p>
      <w:pPr>
        <w:spacing w:after="0" w:line="91" w:lineRule="exact"/>
        <w:rPr>
          <w:sz w:val="20"/>
          <w:szCs w:val="20"/>
          <w:color w:val="auto"/>
        </w:rPr>
      </w:pPr>
    </w:p>
    <w:p>
      <w:pPr>
        <w:ind w:left="1700" w:hanging="967"/>
        <w:spacing w:after="0"/>
        <w:tabs>
          <w:tab w:leader="none" w:pos="1700" w:val="left"/>
        </w:tabs>
        <w:numPr>
          <w:ilvl w:val="0"/>
          <w:numId w:val="12"/>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w w:val="99"/>
              </w:rPr>
              <w:t>Delaware</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1,349,386</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1,349,386</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w w:val="94"/>
              </w:rPr>
              <w:t>1,349,386</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jc w:val="right"/>
              <w:ind w:right="274"/>
              <w:spacing w:after="0"/>
              <w:rPr>
                <w:sz w:val="20"/>
                <w:szCs w:val="20"/>
                <w:color w:val="auto"/>
              </w:rPr>
            </w:pPr>
            <w:r>
              <w:rPr>
                <w:rFonts w:ascii="Times New Roman" w:cs="Times New Roman" w:eastAsia="Times New Roman" w:hAnsi="Times New Roman"/>
                <w:sz w:val="20"/>
                <w:szCs w:val="20"/>
                <w:color w:val="auto"/>
              </w:rPr>
              <w:t>3.1%</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PN</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73" w:hanging="273"/>
        <w:spacing w:after="0" w:line="263" w:lineRule="exact"/>
        <w:tabs>
          <w:tab w:leader="none" w:pos="273"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190" w:lineRule="exact"/>
        <w:rPr>
          <w:rFonts w:ascii="Times New Roman" w:cs="Times New Roman" w:eastAsia="Times New Roman" w:hAnsi="Times New Roman"/>
          <w:sz w:val="18"/>
          <w:szCs w:val="18"/>
          <w:color w:val="auto"/>
        </w:rPr>
      </w:pPr>
    </w:p>
    <w:p>
      <w:pPr>
        <w:ind w:left="273" w:hanging="273"/>
        <w:spacing w:after="0" w:line="263" w:lineRule="exact"/>
        <w:tabs>
          <w:tab w:leader="none" w:pos="273" w:val="left"/>
        </w:tabs>
        <w:numPr>
          <w:ilvl w:val="0"/>
          <w:numId w:val="13"/>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5" w:right="339" w:bottom="1440" w:gutter="0" w:footer="0" w:header="0"/>
          <w:type w:val="continuous"/>
        </w:sectPr>
      </w:pPr>
    </w:p>
    <w:bookmarkStart w:id="4" w:name="page5"/>
    <w:bookmarkEnd w:id="4"/>
    <w:p>
      <w:pPr>
        <w:spacing w:after="0"/>
        <w:tabs>
          <w:tab w:leader="none" w:pos="54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984241109</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5 of 11 Pages</w:t>
      </w:r>
    </w:p>
    <w:p>
      <w:pPr>
        <w:sectPr>
          <w:pgSz w:w="11900" w:h="16838" w:orient="portrait"/>
          <w:cols w:equalWidth="0" w:num="1">
            <w:col w:w="11240"/>
          </w:cols>
          <w:pgMar w:left="320" w:top="225" w:right="339" w:bottom="1440" w:gutter="0" w:footer="0" w:header="0"/>
        </w:sectPr>
      </w:pPr>
    </w:p>
    <w:p>
      <w:pPr>
        <w:ind w:left="1700" w:hanging="967"/>
        <w:spacing w:after="0" w:line="227" w:lineRule="auto"/>
        <w:tabs>
          <w:tab w:leader="none" w:pos="1700" w:val="left"/>
        </w:tabs>
        <w:numPr>
          <w:ilvl w:val="0"/>
          <w:numId w:val="14"/>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47745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774565"/>
                    </a:xfrm>
                    <a:prstGeom prst="rect">
                      <a:avLst/>
                    </a:prstGeom>
                    <a:noFill/>
                  </pic:spPr>
                </pic:pic>
              </a:graphicData>
            </a:graphic>
          </wp:anchor>
        </w:drawing>
      </w:r>
    </w:p>
    <w:p>
      <w:pPr>
        <w:spacing w:after="0" w:line="19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Acorn Capital Advisors GP 2, LLC</w:t>
      </w:r>
    </w:p>
    <w:p>
      <w:pPr>
        <w:ind w:left="1700" w:hanging="967"/>
        <w:spacing w:after="0" w:line="182" w:lineRule="auto"/>
        <w:tabs>
          <w:tab w:leader="none" w:pos="1700" w:val="left"/>
        </w:tabs>
        <w:numPr>
          <w:ilvl w:val="0"/>
          <w:numId w:val="15"/>
        </w:numPr>
        <w:rPr>
          <w:rFonts w:ascii="Times New Roman" w:cs="Times New Roman" w:eastAsia="Times New Roman" w:hAnsi="Times New Roman"/>
          <w:sz w:val="45"/>
          <w:szCs w:val="45"/>
          <w:b w:val="1"/>
          <w:bCs w:val="1"/>
          <w:color w:val="auto"/>
          <w:vertAlign w:val="subscript"/>
        </w:rPr>
      </w:pPr>
      <w:r>
        <w:rPr>
          <w:rFonts w:ascii="Times New Roman" w:cs="Times New Roman" w:eastAsia="Times New Roman" w:hAnsi="Times New Roman"/>
          <w:sz w:val="15"/>
          <w:szCs w:val="15"/>
          <w:color w:val="auto"/>
        </w:rPr>
        <w:t>CHECK THE APPROPRIATE BOX IF A MEMBER OF A GROUP</w:t>
      </w:r>
    </w:p>
    <w:p>
      <w:pPr>
        <w:spacing w:after="0" w:line="91" w:lineRule="exact"/>
        <w:rPr>
          <w:sz w:val="20"/>
          <w:szCs w:val="20"/>
          <w:color w:val="auto"/>
        </w:rPr>
      </w:pPr>
    </w:p>
    <w:p>
      <w:pPr>
        <w:ind w:left="1700" w:hanging="967"/>
        <w:spacing w:after="0"/>
        <w:tabs>
          <w:tab w:leader="none" w:pos="1700" w:val="left"/>
        </w:tabs>
        <w:numPr>
          <w:ilvl w:val="0"/>
          <w:numId w:val="16"/>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w w:val="99"/>
              </w:rPr>
              <w:t>Delaware</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1,349,386</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1,349,386</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w w:val="94"/>
              </w:rPr>
              <w:t>1,349,386</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jc w:val="right"/>
              <w:ind w:right="274"/>
              <w:spacing w:after="0"/>
              <w:rPr>
                <w:sz w:val="20"/>
                <w:szCs w:val="20"/>
                <w:color w:val="auto"/>
              </w:rPr>
            </w:pPr>
            <w:r>
              <w:rPr>
                <w:rFonts w:ascii="Times New Roman" w:cs="Times New Roman" w:eastAsia="Times New Roman" w:hAnsi="Times New Roman"/>
                <w:sz w:val="20"/>
                <w:szCs w:val="20"/>
                <w:color w:val="auto"/>
              </w:rPr>
              <w:t>3.1%</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OO</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73" w:hanging="273"/>
        <w:spacing w:after="0" w:line="263" w:lineRule="exact"/>
        <w:tabs>
          <w:tab w:leader="none" w:pos="273" w:val="left"/>
        </w:tabs>
        <w:numPr>
          <w:ilvl w:val="0"/>
          <w:numId w:val="17"/>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190" w:lineRule="exact"/>
        <w:rPr>
          <w:rFonts w:ascii="Times New Roman" w:cs="Times New Roman" w:eastAsia="Times New Roman" w:hAnsi="Times New Roman"/>
          <w:sz w:val="18"/>
          <w:szCs w:val="18"/>
          <w:color w:val="auto"/>
        </w:rPr>
      </w:pPr>
    </w:p>
    <w:p>
      <w:pPr>
        <w:ind w:left="273" w:hanging="273"/>
        <w:spacing w:after="0" w:line="263" w:lineRule="exact"/>
        <w:tabs>
          <w:tab w:leader="none" w:pos="273" w:val="left"/>
        </w:tabs>
        <w:numPr>
          <w:ilvl w:val="0"/>
          <w:numId w:val="17"/>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5" w:right="339" w:bottom="1440" w:gutter="0" w:footer="0" w:header="0"/>
          <w:type w:val="continuous"/>
        </w:sectPr>
      </w:pPr>
    </w:p>
    <w:bookmarkStart w:id="5" w:name="page6"/>
    <w:bookmarkEnd w:id="5"/>
    <w:p>
      <w:pPr>
        <w:spacing w:after="0"/>
        <w:tabs>
          <w:tab w:leader="none" w:pos="54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984241109</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6 of 11 Pages</w:t>
      </w:r>
    </w:p>
    <w:p>
      <w:pPr>
        <w:sectPr>
          <w:pgSz w:w="11900" w:h="16838" w:orient="portrait"/>
          <w:cols w:equalWidth="0" w:num="1">
            <w:col w:w="11240"/>
          </w:cols>
          <w:pgMar w:left="320" w:top="225" w:right="339" w:bottom="1440" w:gutter="0" w:footer="0" w:header="0"/>
        </w:sectPr>
      </w:pPr>
    </w:p>
    <w:p>
      <w:pPr>
        <w:ind w:left="1700" w:hanging="967"/>
        <w:spacing w:after="0" w:line="227" w:lineRule="auto"/>
        <w:tabs>
          <w:tab w:leader="none" w:pos="1700" w:val="left"/>
        </w:tabs>
        <w:numPr>
          <w:ilvl w:val="0"/>
          <w:numId w:val="18"/>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NAME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47745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774565"/>
                    </a:xfrm>
                    <a:prstGeom prst="rect">
                      <a:avLst/>
                    </a:prstGeom>
                    <a:noFill/>
                  </pic:spPr>
                </pic:pic>
              </a:graphicData>
            </a:graphic>
          </wp:anchor>
        </w:drawing>
      </w:r>
    </w:p>
    <w:p>
      <w:pPr>
        <w:spacing w:after="0" w:line="19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0"/>
          <w:szCs w:val="20"/>
          <w:color w:val="auto"/>
        </w:rPr>
        <w:t>Anders Hove</w:t>
      </w:r>
    </w:p>
    <w:p>
      <w:pPr>
        <w:ind w:left="1700" w:hanging="967"/>
        <w:spacing w:after="0" w:line="182" w:lineRule="auto"/>
        <w:tabs>
          <w:tab w:leader="none" w:pos="1700" w:val="left"/>
        </w:tabs>
        <w:numPr>
          <w:ilvl w:val="0"/>
          <w:numId w:val="19"/>
        </w:numPr>
        <w:rPr>
          <w:rFonts w:ascii="Times New Roman" w:cs="Times New Roman" w:eastAsia="Times New Roman" w:hAnsi="Times New Roman"/>
          <w:sz w:val="45"/>
          <w:szCs w:val="45"/>
          <w:b w:val="1"/>
          <w:bCs w:val="1"/>
          <w:color w:val="auto"/>
          <w:vertAlign w:val="subscript"/>
        </w:rPr>
      </w:pPr>
      <w:r>
        <w:rPr>
          <w:rFonts w:ascii="Times New Roman" w:cs="Times New Roman" w:eastAsia="Times New Roman" w:hAnsi="Times New Roman"/>
          <w:sz w:val="15"/>
          <w:szCs w:val="15"/>
          <w:color w:val="auto"/>
        </w:rPr>
        <w:t>CHECK THE APPROPRIATE BOX IF A MEMBER OF A GROUP</w:t>
      </w:r>
    </w:p>
    <w:p>
      <w:pPr>
        <w:spacing w:after="0" w:line="91" w:lineRule="exact"/>
        <w:rPr>
          <w:sz w:val="20"/>
          <w:szCs w:val="20"/>
          <w:color w:val="auto"/>
        </w:rPr>
      </w:pPr>
    </w:p>
    <w:p>
      <w:pPr>
        <w:ind w:left="1700" w:hanging="967"/>
        <w:spacing w:after="0"/>
        <w:tabs>
          <w:tab w:leader="none" w:pos="1700" w:val="left"/>
        </w:tabs>
        <w:numPr>
          <w:ilvl w:val="0"/>
          <w:numId w:val="20"/>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6540" w:type="dxa"/>
            <w:vAlign w:val="bottom"/>
            <w:gridSpan w:val="3"/>
            <w:vMerge w:val="restart"/>
          </w:tcPr>
          <w:p>
            <w:pPr>
              <w:ind w:left="500"/>
              <w:spacing w:after="0"/>
              <w:rPr>
                <w:sz w:val="20"/>
                <w:szCs w:val="20"/>
                <w:color w:val="auto"/>
              </w:rPr>
            </w:pPr>
            <w:r>
              <w:rPr>
                <w:rFonts w:ascii="Times New Roman" w:cs="Times New Roman" w:eastAsia="Times New Roman" w:hAnsi="Times New Roman"/>
                <w:sz w:val="20"/>
                <w:szCs w:val="20"/>
                <w:color w:val="auto"/>
              </w:rPr>
              <w:t>United States of America</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2,326,528</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2,326,528</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w w:val="94"/>
              </w:rPr>
              <w:t>2,326,528</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jc w:val="right"/>
              <w:ind w:right="274"/>
              <w:spacing w:after="0"/>
              <w:rPr>
                <w:sz w:val="20"/>
                <w:szCs w:val="20"/>
                <w:color w:val="auto"/>
              </w:rPr>
            </w:pPr>
            <w:r>
              <w:rPr>
                <w:rFonts w:ascii="Times New Roman" w:cs="Times New Roman" w:eastAsia="Times New Roman" w:hAnsi="Times New Roman"/>
                <w:sz w:val="20"/>
                <w:szCs w:val="20"/>
                <w:color w:val="auto"/>
              </w:rPr>
              <w:t>5.3%</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IN</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73" w:hanging="273"/>
        <w:spacing w:after="0" w:line="263" w:lineRule="exact"/>
        <w:tabs>
          <w:tab w:leader="none" w:pos="273" w:val="left"/>
        </w:tabs>
        <w:numPr>
          <w:ilvl w:val="0"/>
          <w:numId w:val="21"/>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190" w:lineRule="exact"/>
        <w:rPr>
          <w:rFonts w:ascii="Times New Roman" w:cs="Times New Roman" w:eastAsia="Times New Roman" w:hAnsi="Times New Roman"/>
          <w:sz w:val="18"/>
          <w:szCs w:val="18"/>
          <w:color w:val="auto"/>
        </w:rPr>
      </w:pPr>
    </w:p>
    <w:p>
      <w:pPr>
        <w:ind w:left="273" w:hanging="273"/>
        <w:spacing w:after="0" w:line="263" w:lineRule="exact"/>
        <w:tabs>
          <w:tab w:leader="none" w:pos="273" w:val="left"/>
        </w:tabs>
        <w:numPr>
          <w:ilvl w:val="0"/>
          <w:numId w:val="21"/>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225" w:right="339" w:bottom="1440" w:gutter="0" w:footer="0" w:header="0"/>
          <w:type w:val="continuous"/>
        </w:sectPr>
      </w:pPr>
    </w:p>
    <w:bookmarkStart w:id="6" w:name="page7"/>
    <w:bookmarkEnd w:id="6"/>
    <w:p>
      <w:pPr>
        <w:spacing w:after="0"/>
        <w:tabs>
          <w:tab w:leader="none" w:pos="54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984241109</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7 of 11 Pages</w:t>
      </w:r>
    </w:p>
    <w:p>
      <w:pPr>
        <w:sectPr>
          <w:pgSz w:w="11900" w:h="16838" w:orient="portrait"/>
          <w:cols w:equalWidth="0" w:num="1">
            <w:col w:w="11240"/>
          </w:cols>
          <w:pgMar w:left="320" w:top="225" w:right="339" w:bottom="1440" w:gutter="0" w:footer="0" w:header="0"/>
        </w:sectPr>
      </w:pP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262"/>
        </w:trPr>
        <w:tc>
          <w:tcPr>
            <w:tcW w:w="1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1(a).</w:t>
            </w:r>
          </w:p>
        </w:tc>
        <w:tc>
          <w:tcPr>
            <w:tcW w:w="9820" w:type="dxa"/>
            <w:vAlign w:val="bottom"/>
            <w:gridSpan w:val="18"/>
          </w:tcPr>
          <w:p>
            <w:pPr>
              <w:ind w:left="480"/>
              <w:spacing w:after="0"/>
              <w:rPr>
                <w:sz w:val="20"/>
                <w:szCs w:val="20"/>
                <w:color w:val="auto"/>
              </w:rPr>
            </w:pPr>
            <w:r>
              <w:rPr>
                <w:rFonts w:ascii="Times New Roman" w:cs="Times New Roman" w:eastAsia="Times New Roman" w:hAnsi="Times New Roman"/>
                <w:sz w:val="20"/>
                <w:szCs w:val="20"/>
                <w:b w:val="1"/>
                <w:bCs w:val="1"/>
                <w:color w:val="auto"/>
              </w:rPr>
              <w:t>Name of Issuer.</w:t>
            </w:r>
          </w:p>
        </w:tc>
        <w:tc>
          <w:tcPr>
            <w:tcW w:w="0" w:type="dxa"/>
            <w:vAlign w:val="bottom"/>
          </w:tcPr>
          <w:p>
            <w:pPr>
              <w:spacing w:after="0"/>
              <w:rPr>
                <w:sz w:val="1"/>
                <w:szCs w:val="1"/>
                <w:color w:val="auto"/>
              </w:rPr>
            </w:pPr>
          </w:p>
        </w:tc>
      </w:tr>
      <w:tr>
        <w:trPr>
          <w:trHeight w:val="413"/>
        </w:trPr>
        <w:tc>
          <w:tcPr>
            <w:tcW w:w="1200" w:type="dxa"/>
            <w:vAlign w:val="bottom"/>
          </w:tcPr>
          <w:p>
            <w:pPr>
              <w:spacing w:after="0"/>
              <w:rPr>
                <w:sz w:val="24"/>
                <w:szCs w:val="24"/>
                <w:color w:val="auto"/>
              </w:rPr>
            </w:pPr>
          </w:p>
        </w:tc>
        <w:tc>
          <w:tcPr>
            <w:tcW w:w="9820" w:type="dxa"/>
            <w:vAlign w:val="bottom"/>
            <w:gridSpan w:val="18"/>
          </w:tcPr>
          <w:p>
            <w:pPr>
              <w:ind w:left="480"/>
              <w:spacing w:after="0"/>
              <w:rPr>
                <w:sz w:val="20"/>
                <w:szCs w:val="20"/>
                <w:color w:val="auto"/>
              </w:rPr>
            </w:pPr>
            <w:r>
              <w:rPr>
                <w:rFonts w:ascii="Times New Roman" w:cs="Times New Roman" w:eastAsia="Times New Roman" w:hAnsi="Times New Roman"/>
                <w:sz w:val="20"/>
                <w:szCs w:val="20"/>
                <w:color w:val="auto"/>
              </w:rPr>
              <w:t>Y-mAbs Therapeutics, Inc. (the "Issuer")</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1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1(b).</w:t>
            </w:r>
          </w:p>
        </w:tc>
        <w:tc>
          <w:tcPr>
            <w:tcW w:w="9820" w:type="dxa"/>
            <w:vAlign w:val="bottom"/>
            <w:gridSpan w:val="18"/>
          </w:tcPr>
          <w:p>
            <w:pPr>
              <w:ind w:left="480"/>
              <w:spacing w:after="0"/>
              <w:rPr>
                <w:sz w:val="20"/>
                <w:szCs w:val="20"/>
                <w:color w:val="auto"/>
              </w:rPr>
            </w:pPr>
            <w:r>
              <w:rPr>
                <w:rFonts w:ascii="Times New Roman" w:cs="Times New Roman" w:eastAsia="Times New Roman" w:hAnsi="Times New Roman"/>
                <w:sz w:val="20"/>
                <w:szCs w:val="20"/>
                <w:b w:val="1"/>
                <w:bCs w:val="1"/>
                <w:color w:val="auto"/>
              </w:rPr>
              <w:t>Address of Issuer's Principal Executive Offices.</w:t>
            </w:r>
          </w:p>
        </w:tc>
        <w:tc>
          <w:tcPr>
            <w:tcW w:w="0" w:type="dxa"/>
            <w:vAlign w:val="bottom"/>
          </w:tcPr>
          <w:p>
            <w:pPr>
              <w:spacing w:after="0"/>
              <w:rPr>
                <w:sz w:val="1"/>
                <w:szCs w:val="1"/>
                <w:color w:val="auto"/>
              </w:rPr>
            </w:pPr>
          </w:p>
        </w:tc>
      </w:tr>
      <w:tr>
        <w:trPr>
          <w:trHeight w:val="430"/>
        </w:trPr>
        <w:tc>
          <w:tcPr>
            <w:tcW w:w="1200" w:type="dxa"/>
            <w:vAlign w:val="bottom"/>
          </w:tcPr>
          <w:p>
            <w:pPr>
              <w:spacing w:after="0"/>
              <w:rPr>
                <w:sz w:val="24"/>
                <w:szCs w:val="24"/>
                <w:color w:val="auto"/>
              </w:rPr>
            </w:pPr>
          </w:p>
        </w:tc>
        <w:tc>
          <w:tcPr>
            <w:tcW w:w="9820" w:type="dxa"/>
            <w:vAlign w:val="bottom"/>
            <w:gridSpan w:val="18"/>
          </w:tcPr>
          <w:p>
            <w:pPr>
              <w:ind w:left="480"/>
              <w:spacing w:after="0"/>
              <w:rPr>
                <w:sz w:val="20"/>
                <w:szCs w:val="20"/>
                <w:color w:val="auto"/>
              </w:rPr>
            </w:pPr>
            <w:r>
              <w:rPr>
                <w:rFonts w:ascii="Times New Roman" w:cs="Times New Roman" w:eastAsia="Times New Roman" w:hAnsi="Times New Roman"/>
                <w:sz w:val="20"/>
                <w:szCs w:val="20"/>
                <w:color w:val="auto"/>
              </w:rPr>
              <w:t>230 Park Avenue, Suite 3350</w:t>
            </w:r>
          </w:p>
        </w:tc>
        <w:tc>
          <w:tcPr>
            <w:tcW w:w="0" w:type="dxa"/>
            <w:vAlign w:val="bottom"/>
          </w:tcPr>
          <w:p>
            <w:pPr>
              <w:spacing w:after="0"/>
              <w:rPr>
                <w:sz w:val="1"/>
                <w:szCs w:val="1"/>
                <w:color w:val="auto"/>
              </w:rPr>
            </w:pPr>
          </w:p>
        </w:tc>
      </w:tr>
      <w:tr>
        <w:trPr>
          <w:trHeight w:val="258"/>
        </w:trPr>
        <w:tc>
          <w:tcPr>
            <w:tcW w:w="1200" w:type="dxa"/>
            <w:vAlign w:val="bottom"/>
          </w:tcPr>
          <w:p>
            <w:pPr>
              <w:spacing w:after="0"/>
              <w:rPr>
                <w:sz w:val="22"/>
                <w:szCs w:val="22"/>
                <w:color w:val="auto"/>
              </w:rPr>
            </w:pPr>
          </w:p>
        </w:tc>
        <w:tc>
          <w:tcPr>
            <w:tcW w:w="9820" w:type="dxa"/>
            <w:vAlign w:val="bottom"/>
            <w:gridSpan w:val="18"/>
          </w:tcPr>
          <w:p>
            <w:pPr>
              <w:ind w:left="480"/>
              <w:spacing w:after="0"/>
              <w:rPr>
                <w:sz w:val="20"/>
                <w:szCs w:val="20"/>
                <w:color w:val="auto"/>
              </w:rPr>
            </w:pPr>
            <w:r>
              <w:rPr>
                <w:rFonts w:ascii="Times New Roman" w:cs="Times New Roman" w:eastAsia="Times New Roman" w:hAnsi="Times New Roman"/>
                <w:sz w:val="20"/>
                <w:szCs w:val="20"/>
                <w:color w:val="auto"/>
              </w:rPr>
              <w:t>New York, NY 10169</w:t>
            </w:r>
          </w:p>
        </w:tc>
        <w:tc>
          <w:tcPr>
            <w:tcW w:w="0" w:type="dxa"/>
            <w:vAlign w:val="bottom"/>
          </w:tcPr>
          <w:p>
            <w:pPr>
              <w:spacing w:after="0"/>
              <w:rPr>
                <w:sz w:val="1"/>
                <w:szCs w:val="1"/>
                <w:color w:val="auto"/>
              </w:rPr>
            </w:pPr>
          </w:p>
        </w:tc>
      </w:tr>
      <w:tr>
        <w:trPr>
          <w:trHeight w:val="459"/>
        </w:trPr>
        <w:tc>
          <w:tcPr>
            <w:tcW w:w="1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2(a).</w:t>
            </w:r>
          </w:p>
        </w:tc>
        <w:tc>
          <w:tcPr>
            <w:tcW w:w="9820" w:type="dxa"/>
            <w:vAlign w:val="bottom"/>
            <w:gridSpan w:val="18"/>
          </w:tcPr>
          <w:p>
            <w:pPr>
              <w:ind w:left="480"/>
              <w:spacing w:after="0"/>
              <w:rPr>
                <w:sz w:val="20"/>
                <w:szCs w:val="20"/>
                <w:color w:val="auto"/>
              </w:rPr>
            </w:pPr>
            <w:r>
              <w:rPr>
                <w:rFonts w:ascii="Times New Roman" w:cs="Times New Roman" w:eastAsia="Times New Roman" w:hAnsi="Times New Roman"/>
                <w:sz w:val="20"/>
                <w:szCs w:val="20"/>
                <w:b w:val="1"/>
                <w:bCs w:val="1"/>
                <w:color w:val="auto"/>
              </w:rPr>
              <w:t>Name of Person Filing.</w:t>
            </w:r>
          </w:p>
        </w:tc>
        <w:tc>
          <w:tcPr>
            <w:tcW w:w="0" w:type="dxa"/>
            <w:vAlign w:val="bottom"/>
          </w:tcPr>
          <w:p>
            <w:pPr>
              <w:spacing w:after="0"/>
              <w:rPr>
                <w:sz w:val="1"/>
                <w:szCs w:val="1"/>
                <w:color w:val="auto"/>
              </w:rPr>
            </w:pPr>
          </w:p>
        </w:tc>
      </w:tr>
      <w:tr>
        <w:trPr>
          <w:trHeight w:val="459"/>
        </w:trPr>
        <w:tc>
          <w:tcPr>
            <w:tcW w:w="1200" w:type="dxa"/>
            <w:vAlign w:val="bottom"/>
          </w:tcPr>
          <w:p>
            <w:pPr>
              <w:spacing w:after="0"/>
              <w:rPr>
                <w:sz w:val="24"/>
                <w:szCs w:val="24"/>
                <w:color w:val="auto"/>
              </w:rPr>
            </w:pPr>
          </w:p>
        </w:tc>
        <w:tc>
          <w:tcPr>
            <w:tcW w:w="9820" w:type="dxa"/>
            <w:vAlign w:val="bottom"/>
            <w:gridSpan w:val="18"/>
          </w:tcPr>
          <w:p>
            <w:pPr>
              <w:ind w:left="480"/>
              <w:spacing w:after="0"/>
              <w:rPr>
                <w:sz w:val="20"/>
                <w:szCs w:val="20"/>
                <w:color w:val="auto"/>
              </w:rPr>
            </w:pPr>
            <w:r>
              <w:rPr>
                <w:rFonts w:ascii="Times New Roman" w:cs="Times New Roman" w:eastAsia="Times New Roman" w:hAnsi="Times New Roman"/>
                <w:sz w:val="20"/>
                <w:szCs w:val="20"/>
                <w:color w:val="auto"/>
              </w:rPr>
              <w:t>This statement is filed by:</w:t>
            </w:r>
          </w:p>
        </w:tc>
        <w:tc>
          <w:tcPr>
            <w:tcW w:w="0" w:type="dxa"/>
            <w:vAlign w:val="bottom"/>
          </w:tcPr>
          <w:p>
            <w:pPr>
              <w:spacing w:after="0"/>
              <w:rPr>
                <w:sz w:val="1"/>
                <w:szCs w:val="1"/>
                <w:color w:val="auto"/>
              </w:rPr>
            </w:pPr>
          </w:p>
        </w:tc>
      </w:tr>
      <w:tr>
        <w:trPr>
          <w:trHeight w:val="413"/>
        </w:trPr>
        <w:tc>
          <w:tcPr>
            <w:tcW w:w="1200" w:type="dxa"/>
            <w:vAlign w:val="bottom"/>
          </w:tcPr>
          <w:p>
            <w:pPr>
              <w:spacing w:after="0"/>
              <w:rPr>
                <w:sz w:val="24"/>
                <w:szCs w:val="24"/>
                <w:color w:val="auto"/>
              </w:rPr>
            </w:pPr>
          </w:p>
        </w:tc>
        <w:tc>
          <w:tcPr>
            <w:tcW w:w="126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(i)</w:t>
            </w:r>
          </w:p>
        </w:tc>
        <w:tc>
          <w:tcPr>
            <w:tcW w:w="8560" w:type="dxa"/>
            <w:vAlign w:val="bottom"/>
            <w:gridSpan w:val="17"/>
          </w:tcPr>
          <w:p>
            <w:pPr>
              <w:ind w:left="20"/>
              <w:spacing w:after="0"/>
              <w:rPr>
                <w:sz w:val="20"/>
                <w:szCs w:val="20"/>
                <w:color w:val="auto"/>
              </w:rPr>
            </w:pPr>
            <w:r>
              <w:rPr>
                <w:rFonts w:ascii="Times New Roman" w:cs="Times New Roman" w:eastAsia="Times New Roman" w:hAnsi="Times New Roman"/>
                <w:sz w:val="20"/>
                <w:szCs w:val="20"/>
                <w:color w:val="auto"/>
              </w:rPr>
              <w:t>Acorn Bioventures, L.P. (“Acorn”);</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6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(ii)</w:t>
            </w: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8560" w:type="dxa"/>
            <w:vAlign w:val="bottom"/>
            <w:gridSpan w:val="17"/>
          </w:tcPr>
          <w:p>
            <w:pPr>
              <w:ind w:left="20"/>
              <w:spacing w:after="0" w:line="209" w:lineRule="exact"/>
              <w:rPr>
                <w:sz w:val="20"/>
                <w:szCs w:val="20"/>
                <w:color w:val="auto"/>
              </w:rPr>
            </w:pPr>
            <w:r>
              <w:rPr>
                <w:rFonts w:ascii="Times New Roman" w:cs="Times New Roman" w:eastAsia="Times New Roman" w:hAnsi="Times New Roman"/>
                <w:sz w:val="20"/>
                <w:szCs w:val="20"/>
                <w:color w:val="auto"/>
              </w:rPr>
              <w:t>Acorn Capital Advisors GP, LLC (“Acorn GP”), which is the sole general partner of Acorn;</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6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(iii)</w:t>
            </w: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8560" w:type="dxa"/>
            <w:vAlign w:val="bottom"/>
            <w:gridSpan w:val="17"/>
          </w:tcPr>
          <w:p>
            <w:pPr>
              <w:ind w:left="20"/>
              <w:spacing w:after="0" w:line="209" w:lineRule="exact"/>
              <w:rPr>
                <w:sz w:val="20"/>
                <w:szCs w:val="20"/>
                <w:color w:val="auto"/>
              </w:rPr>
            </w:pPr>
            <w:r>
              <w:rPr>
                <w:rFonts w:ascii="Times New Roman" w:cs="Times New Roman" w:eastAsia="Times New Roman" w:hAnsi="Times New Roman"/>
                <w:sz w:val="20"/>
                <w:szCs w:val="20"/>
                <w:color w:val="auto"/>
              </w:rPr>
              <w:t>Acorn Bioventures 2, L.P. (“Acorn 2”);</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26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(iv)</w:t>
            </w: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Borders>
              <w:right w:val="single" w:sz="8" w:color="auto"/>
            </w:tcBorders>
            <w:gridSpan w:val="2"/>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8560" w:type="dxa"/>
            <w:vAlign w:val="bottom"/>
            <w:gridSpan w:val="17"/>
          </w:tcPr>
          <w:p>
            <w:pPr>
              <w:ind w:left="20"/>
              <w:spacing w:after="0" w:line="209" w:lineRule="exact"/>
              <w:rPr>
                <w:sz w:val="20"/>
                <w:szCs w:val="20"/>
                <w:color w:val="auto"/>
              </w:rPr>
            </w:pPr>
            <w:r>
              <w:rPr>
                <w:rFonts w:ascii="Times New Roman" w:cs="Times New Roman" w:eastAsia="Times New Roman" w:hAnsi="Times New Roman"/>
                <w:sz w:val="20"/>
                <w:szCs w:val="20"/>
                <w:color w:val="auto"/>
              </w:rPr>
              <w:t>Acorn Capital Advisors GP 2, LLC (“Acorn GP 2”), which is the sole general partner of Acorn 2; and</w:t>
            </w:r>
          </w:p>
        </w:tc>
        <w:tc>
          <w:tcPr>
            <w:tcW w:w="0" w:type="dxa"/>
            <w:vAlign w:val="bottom"/>
          </w:tcPr>
          <w:p>
            <w:pPr>
              <w:spacing w:after="0"/>
              <w:rPr>
                <w:sz w:val="1"/>
                <w:szCs w:val="1"/>
                <w:color w:val="auto"/>
              </w:rPr>
            </w:pPr>
          </w:p>
        </w:tc>
      </w:tr>
      <w:tr>
        <w:trPr>
          <w:trHeight w:val="209"/>
        </w:trPr>
        <w:tc>
          <w:tcPr>
            <w:tcW w:w="1200" w:type="dxa"/>
            <w:vAlign w:val="bottom"/>
          </w:tcPr>
          <w:p>
            <w:pPr>
              <w:spacing w:after="0"/>
              <w:rPr>
                <w:sz w:val="18"/>
                <w:szCs w:val="18"/>
                <w:color w:val="auto"/>
              </w:rPr>
            </w:pPr>
          </w:p>
        </w:tc>
        <w:tc>
          <w:tcPr>
            <w:tcW w:w="1260" w:type="dxa"/>
            <w:vAlign w:val="bottom"/>
          </w:tcPr>
          <w:p>
            <w:pPr>
              <w:ind w:left="480"/>
              <w:spacing w:after="0" w:line="209" w:lineRule="exact"/>
              <w:rPr>
                <w:sz w:val="20"/>
                <w:szCs w:val="20"/>
                <w:color w:val="auto"/>
              </w:rPr>
            </w:pPr>
            <w:r>
              <w:rPr>
                <w:rFonts w:ascii="Times New Roman" w:cs="Times New Roman" w:eastAsia="Times New Roman" w:hAnsi="Times New Roman"/>
                <w:sz w:val="20"/>
                <w:szCs w:val="20"/>
                <w:color w:val="auto"/>
              </w:rPr>
              <w:t>(v)</w:t>
            </w:r>
          </w:p>
        </w:tc>
        <w:tc>
          <w:tcPr>
            <w:tcW w:w="3020" w:type="dxa"/>
            <w:vAlign w:val="bottom"/>
            <w:gridSpan w:val="10"/>
          </w:tcPr>
          <w:p>
            <w:pPr>
              <w:ind w:left="20"/>
              <w:spacing w:after="0" w:line="209" w:lineRule="exact"/>
              <w:rPr>
                <w:sz w:val="20"/>
                <w:szCs w:val="20"/>
                <w:color w:val="auto"/>
              </w:rPr>
            </w:pPr>
            <w:r>
              <w:rPr>
                <w:rFonts w:ascii="Times New Roman" w:cs="Times New Roman" w:eastAsia="Times New Roman" w:hAnsi="Times New Roman"/>
                <w:sz w:val="20"/>
                <w:szCs w:val="20"/>
                <w:color w:val="auto"/>
              </w:rPr>
              <w:t>Anders Hove (“Hove or “Manager”).</w:t>
            </w:r>
          </w:p>
        </w:tc>
        <w:tc>
          <w:tcPr>
            <w:tcW w:w="940" w:type="dxa"/>
            <w:vAlign w:val="bottom"/>
            <w:tcBorders>
              <w:top w:val="single" w:sz="8" w:color="auto"/>
            </w:tcBorders>
            <w:gridSpan w:val="3"/>
          </w:tcPr>
          <w:p>
            <w:pPr>
              <w:spacing w:after="0"/>
              <w:rPr>
                <w:sz w:val="18"/>
                <w:szCs w:val="18"/>
                <w:color w:val="auto"/>
              </w:rPr>
            </w:pPr>
          </w:p>
        </w:tc>
        <w:tc>
          <w:tcPr>
            <w:tcW w:w="460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4"/>
            <w:shd w:val="clear" w:color="auto" w:fill="000000"/>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0" w:type="dxa"/>
            <w:vAlign w:val="bottom"/>
          </w:tcPr>
          <w:p>
            <w:pPr>
              <w:spacing w:after="0"/>
              <w:rPr>
                <w:sz w:val="24"/>
                <w:szCs w:val="24"/>
                <w:color w:val="auto"/>
              </w:rPr>
            </w:pPr>
          </w:p>
        </w:tc>
        <w:tc>
          <w:tcPr>
            <w:tcW w:w="9820" w:type="dxa"/>
            <w:vAlign w:val="bottom"/>
            <w:gridSpan w:val="18"/>
          </w:tcPr>
          <w:p>
            <w:pPr>
              <w:ind w:left="480"/>
              <w:spacing w:after="0"/>
              <w:rPr>
                <w:sz w:val="20"/>
                <w:szCs w:val="20"/>
                <w:color w:val="auto"/>
              </w:rPr>
            </w:pPr>
            <w:r>
              <w:rPr>
                <w:rFonts w:ascii="Times New Roman" w:cs="Times New Roman" w:eastAsia="Times New Roman" w:hAnsi="Times New Roman"/>
                <w:sz w:val="20"/>
                <w:szCs w:val="20"/>
                <w:color w:val="auto"/>
              </w:rPr>
              <w:t>The foregoing persons are hereinafter sometimes collectively referred to as the "Reporting Persons."</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4360" w:type="dxa"/>
            <w:vAlign w:val="bottom"/>
            <w:gridSpan w:val="12"/>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1200" w:type="dxa"/>
            <w:vAlign w:val="bottom"/>
          </w:tcPr>
          <w:p>
            <w:pPr>
              <w:spacing w:after="0"/>
              <w:rPr>
                <w:sz w:val="24"/>
                <w:szCs w:val="24"/>
                <w:color w:val="auto"/>
              </w:rPr>
            </w:pPr>
          </w:p>
        </w:tc>
        <w:tc>
          <w:tcPr>
            <w:tcW w:w="9820" w:type="dxa"/>
            <w:vAlign w:val="bottom"/>
            <w:gridSpan w:val="18"/>
          </w:tcPr>
          <w:p>
            <w:pPr>
              <w:ind w:left="480"/>
              <w:spacing w:after="0"/>
              <w:rPr>
                <w:sz w:val="20"/>
                <w:szCs w:val="20"/>
                <w:color w:val="auto"/>
              </w:rPr>
            </w:pPr>
            <w:r>
              <w:rPr>
                <w:rFonts w:ascii="Times New Roman" w:cs="Times New Roman" w:eastAsia="Times New Roman" w:hAnsi="Times New Roman"/>
                <w:sz w:val="20"/>
                <w:szCs w:val="20"/>
                <w:color w:val="auto"/>
              </w:rPr>
              <w:t>The filing of this statement should not be construed as an admission that any of the foregoing persons or any</w:t>
            </w:r>
          </w:p>
        </w:tc>
        <w:tc>
          <w:tcPr>
            <w:tcW w:w="0" w:type="dxa"/>
            <w:vAlign w:val="bottom"/>
          </w:tcPr>
          <w:p>
            <w:pPr>
              <w:spacing w:after="0"/>
              <w:rPr>
                <w:sz w:val="1"/>
                <w:szCs w:val="1"/>
                <w:color w:val="auto"/>
              </w:rPr>
            </w:pPr>
          </w:p>
        </w:tc>
      </w:tr>
      <w:tr>
        <w:trPr>
          <w:trHeight w:val="230"/>
        </w:trPr>
        <w:tc>
          <w:tcPr>
            <w:tcW w:w="1200" w:type="dxa"/>
            <w:vAlign w:val="bottom"/>
          </w:tcPr>
          <w:p>
            <w:pPr>
              <w:spacing w:after="0"/>
              <w:rPr>
                <w:sz w:val="19"/>
                <w:szCs w:val="19"/>
                <w:color w:val="auto"/>
              </w:rPr>
            </w:pPr>
          </w:p>
        </w:tc>
        <w:tc>
          <w:tcPr>
            <w:tcW w:w="9820" w:type="dxa"/>
            <w:vAlign w:val="bottom"/>
            <w:gridSpan w:val="18"/>
          </w:tcPr>
          <w:p>
            <w:pPr>
              <w:ind w:left="480"/>
              <w:spacing w:after="0"/>
              <w:rPr>
                <w:sz w:val="20"/>
                <w:szCs w:val="20"/>
                <w:color w:val="auto"/>
              </w:rPr>
            </w:pPr>
            <w:r>
              <w:rPr>
                <w:rFonts w:ascii="Times New Roman" w:cs="Times New Roman" w:eastAsia="Times New Roman" w:hAnsi="Times New Roman"/>
                <w:sz w:val="20"/>
                <w:szCs w:val="20"/>
                <w:color w:val="auto"/>
              </w:rPr>
              <w:t>Reporting Person is, for the purposes of Section 13 of the Act, the beneficial owner of the shares of Common Stock</w:t>
            </w:r>
          </w:p>
        </w:tc>
        <w:tc>
          <w:tcPr>
            <w:tcW w:w="0" w:type="dxa"/>
            <w:vAlign w:val="bottom"/>
          </w:tcPr>
          <w:p>
            <w:pPr>
              <w:spacing w:after="0"/>
              <w:rPr>
                <w:sz w:val="1"/>
                <w:szCs w:val="1"/>
                <w:color w:val="auto"/>
              </w:rPr>
            </w:pPr>
          </w:p>
        </w:tc>
      </w:tr>
      <w:tr>
        <w:trPr>
          <w:trHeight w:val="258"/>
        </w:trPr>
        <w:tc>
          <w:tcPr>
            <w:tcW w:w="1200" w:type="dxa"/>
            <w:vAlign w:val="bottom"/>
          </w:tcPr>
          <w:p>
            <w:pPr>
              <w:spacing w:after="0"/>
              <w:rPr>
                <w:sz w:val="22"/>
                <w:szCs w:val="22"/>
                <w:color w:val="auto"/>
              </w:rPr>
            </w:pPr>
          </w:p>
        </w:tc>
        <w:tc>
          <w:tcPr>
            <w:tcW w:w="9820" w:type="dxa"/>
            <w:vAlign w:val="bottom"/>
            <w:gridSpan w:val="18"/>
          </w:tcPr>
          <w:p>
            <w:pPr>
              <w:ind w:left="480"/>
              <w:spacing w:after="0"/>
              <w:rPr>
                <w:sz w:val="20"/>
                <w:szCs w:val="20"/>
                <w:color w:val="auto"/>
              </w:rPr>
            </w:pPr>
            <w:r>
              <w:rPr>
                <w:rFonts w:ascii="Times New Roman" w:cs="Times New Roman" w:eastAsia="Times New Roman" w:hAnsi="Times New Roman"/>
                <w:sz w:val="20"/>
                <w:szCs w:val="20"/>
                <w:color w:val="auto"/>
              </w:rPr>
              <w:t>reported herein.</w:t>
            </w:r>
          </w:p>
        </w:tc>
        <w:tc>
          <w:tcPr>
            <w:tcW w:w="0" w:type="dxa"/>
            <w:vAlign w:val="bottom"/>
          </w:tcPr>
          <w:p>
            <w:pPr>
              <w:spacing w:after="0"/>
              <w:rPr>
                <w:sz w:val="1"/>
                <w:szCs w:val="1"/>
                <w:color w:val="auto"/>
              </w:rPr>
            </w:pPr>
          </w:p>
        </w:tc>
      </w:tr>
      <w:tr>
        <w:trPr>
          <w:trHeight w:val="688"/>
        </w:trPr>
        <w:tc>
          <w:tcPr>
            <w:tcW w:w="1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2(b).</w:t>
            </w:r>
          </w:p>
        </w:tc>
        <w:tc>
          <w:tcPr>
            <w:tcW w:w="9820" w:type="dxa"/>
            <w:vAlign w:val="bottom"/>
            <w:gridSpan w:val="18"/>
          </w:tcPr>
          <w:p>
            <w:pPr>
              <w:ind w:left="480"/>
              <w:spacing w:after="0"/>
              <w:rPr>
                <w:sz w:val="20"/>
                <w:szCs w:val="20"/>
                <w:color w:val="auto"/>
              </w:rPr>
            </w:pPr>
            <w:r>
              <w:rPr>
                <w:rFonts w:ascii="Times New Roman" w:cs="Times New Roman" w:eastAsia="Times New Roman" w:hAnsi="Times New Roman"/>
                <w:sz w:val="20"/>
                <w:szCs w:val="20"/>
                <w:b w:val="1"/>
                <w:bCs w:val="1"/>
                <w:color w:val="auto"/>
              </w:rPr>
              <w:t>Address of Principal Business Office.</w:t>
            </w:r>
          </w:p>
        </w:tc>
        <w:tc>
          <w:tcPr>
            <w:tcW w:w="0" w:type="dxa"/>
            <w:vAlign w:val="bottom"/>
          </w:tcPr>
          <w:p>
            <w:pPr>
              <w:spacing w:after="0"/>
              <w:rPr>
                <w:sz w:val="1"/>
                <w:szCs w:val="1"/>
                <w:color w:val="auto"/>
              </w:rPr>
            </w:pPr>
          </w:p>
        </w:tc>
      </w:tr>
      <w:tr>
        <w:trPr>
          <w:trHeight w:val="430"/>
        </w:trPr>
        <w:tc>
          <w:tcPr>
            <w:tcW w:w="1200" w:type="dxa"/>
            <w:vAlign w:val="bottom"/>
          </w:tcPr>
          <w:p>
            <w:pPr>
              <w:spacing w:after="0"/>
              <w:rPr>
                <w:sz w:val="24"/>
                <w:szCs w:val="24"/>
                <w:color w:val="auto"/>
              </w:rPr>
            </w:pPr>
          </w:p>
        </w:tc>
        <w:tc>
          <w:tcPr>
            <w:tcW w:w="9820" w:type="dxa"/>
            <w:vAlign w:val="bottom"/>
            <w:gridSpan w:val="18"/>
          </w:tcPr>
          <w:p>
            <w:pPr>
              <w:ind w:left="480"/>
              <w:spacing w:after="0"/>
              <w:rPr>
                <w:sz w:val="20"/>
                <w:szCs w:val="20"/>
                <w:color w:val="auto"/>
              </w:rPr>
            </w:pPr>
            <w:r>
              <w:rPr>
                <w:rFonts w:ascii="Times New Roman" w:cs="Times New Roman" w:eastAsia="Times New Roman" w:hAnsi="Times New Roman"/>
                <w:sz w:val="20"/>
                <w:szCs w:val="20"/>
                <w:color w:val="auto"/>
              </w:rPr>
              <w:t>The address of the principal business office of each of the Reporting Persons is 420 Lexington Avenue, Suite 2626,</w:t>
            </w:r>
          </w:p>
        </w:tc>
        <w:tc>
          <w:tcPr>
            <w:tcW w:w="0" w:type="dxa"/>
            <w:vAlign w:val="bottom"/>
          </w:tcPr>
          <w:p>
            <w:pPr>
              <w:spacing w:after="0"/>
              <w:rPr>
                <w:sz w:val="1"/>
                <w:szCs w:val="1"/>
                <w:color w:val="auto"/>
              </w:rPr>
            </w:pPr>
          </w:p>
        </w:tc>
      </w:tr>
      <w:tr>
        <w:trPr>
          <w:trHeight w:val="258"/>
        </w:trPr>
        <w:tc>
          <w:tcPr>
            <w:tcW w:w="1200" w:type="dxa"/>
            <w:vAlign w:val="bottom"/>
          </w:tcPr>
          <w:p>
            <w:pPr>
              <w:spacing w:after="0"/>
              <w:rPr>
                <w:sz w:val="22"/>
                <w:szCs w:val="22"/>
                <w:color w:val="auto"/>
              </w:rPr>
            </w:pPr>
          </w:p>
        </w:tc>
        <w:tc>
          <w:tcPr>
            <w:tcW w:w="9820" w:type="dxa"/>
            <w:vAlign w:val="bottom"/>
            <w:gridSpan w:val="18"/>
          </w:tcPr>
          <w:p>
            <w:pPr>
              <w:ind w:left="480"/>
              <w:spacing w:after="0"/>
              <w:rPr>
                <w:sz w:val="20"/>
                <w:szCs w:val="20"/>
                <w:color w:val="auto"/>
              </w:rPr>
            </w:pPr>
            <w:r>
              <w:rPr>
                <w:rFonts w:ascii="Times New Roman" w:cs="Times New Roman" w:eastAsia="Times New Roman" w:hAnsi="Times New Roman"/>
                <w:sz w:val="20"/>
                <w:szCs w:val="20"/>
                <w:color w:val="auto"/>
              </w:rPr>
              <w:t>New York, New York 10170</w:t>
            </w:r>
          </w:p>
        </w:tc>
        <w:tc>
          <w:tcPr>
            <w:tcW w:w="0" w:type="dxa"/>
            <w:vAlign w:val="bottom"/>
          </w:tcPr>
          <w:p>
            <w:pPr>
              <w:spacing w:after="0"/>
              <w:rPr>
                <w:sz w:val="1"/>
                <w:szCs w:val="1"/>
                <w:color w:val="auto"/>
              </w:rPr>
            </w:pPr>
          </w:p>
        </w:tc>
      </w:tr>
      <w:tr>
        <w:trPr>
          <w:trHeight w:val="459"/>
        </w:trPr>
        <w:tc>
          <w:tcPr>
            <w:tcW w:w="1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2(c).</w:t>
            </w:r>
          </w:p>
        </w:tc>
        <w:tc>
          <w:tcPr>
            <w:tcW w:w="9820" w:type="dxa"/>
            <w:vAlign w:val="bottom"/>
            <w:gridSpan w:val="18"/>
          </w:tcPr>
          <w:p>
            <w:pPr>
              <w:ind w:left="480"/>
              <w:spacing w:after="0"/>
              <w:rPr>
                <w:sz w:val="20"/>
                <w:szCs w:val="20"/>
                <w:color w:val="auto"/>
              </w:rPr>
            </w:pPr>
            <w:r>
              <w:rPr>
                <w:rFonts w:ascii="Times New Roman" w:cs="Times New Roman" w:eastAsia="Times New Roman" w:hAnsi="Times New Roman"/>
                <w:sz w:val="20"/>
                <w:szCs w:val="20"/>
                <w:b w:val="1"/>
                <w:bCs w:val="1"/>
                <w:color w:val="auto"/>
              </w:rPr>
              <w:t>Place of Organization.</w:t>
            </w:r>
          </w:p>
        </w:tc>
        <w:tc>
          <w:tcPr>
            <w:tcW w:w="0" w:type="dxa"/>
            <w:vAlign w:val="bottom"/>
          </w:tcPr>
          <w:p>
            <w:pPr>
              <w:spacing w:after="0"/>
              <w:rPr>
                <w:sz w:val="1"/>
                <w:szCs w:val="1"/>
                <w:color w:val="auto"/>
              </w:rPr>
            </w:pPr>
          </w:p>
        </w:tc>
      </w:tr>
      <w:tr>
        <w:trPr>
          <w:trHeight w:val="430"/>
        </w:trPr>
        <w:tc>
          <w:tcPr>
            <w:tcW w:w="1200" w:type="dxa"/>
            <w:vAlign w:val="bottom"/>
          </w:tcPr>
          <w:p>
            <w:pPr>
              <w:spacing w:after="0"/>
              <w:rPr>
                <w:sz w:val="24"/>
                <w:szCs w:val="24"/>
                <w:color w:val="auto"/>
              </w:rPr>
            </w:pPr>
          </w:p>
        </w:tc>
        <w:tc>
          <w:tcPr>
            <w:tcW w:w="9820" w:type="dxa"/>
            <w:vAlign w:val="bottom"/>
            <w:gridSpan w:val="18"/>
          </w:tcPr>
          <w:p>
            <w:pPr>
              <w:ind w:left="480"/>
              <w:spacing w:after="0"/>
              <w:rPr>
                <w:sz w:val="20"/>
                <w:szCs w:val="20"/>
                <w:color w:val="auto"/>
              </w:rPr>
            </w:pPr>
            <w:r>
              <w:rPr>
                <w:rFonts w:ascii="Times New Roman" w:cs="Times New Roman" w:eastAsia="Times New Roman" w:hAnsi="Times New Roman"/>
                <w:sz w:val="20"/>
                <w:szCs w:val="20"/>
                <w:color w:val="auto"/>
              </w:rPr>
              <w:t>Acorn is a Delaware limited partnership. Acorn GP is a Delaware limited liability company. Acorn 2 is a Delaware</w:t>
            </w:r>
          </w:p>
        </w:tc>
        <w:tc>
          <w:tcPr>
            <w:tcW w:w="0" w:type="dxa"/>
            <w:vAlign w:val="bottom"/>
          </w:tcPr>
          <w:p>
            <w:pPr>
              <w:spacing w:after="0"/>
              <w:rPr>
                <w:sz w:val="1"/>
                <w:szCs w:val="1"/>
                <w:color w:val="auto"/>
              </w:rPr>
            </w:pPr>
          </w:p>
        </w:tc>
      </w:tr>
      <w:tr>
        <w:trPr>
          <w:trHeight w:val="229"/>
        </w:trPr>
        <w:tc>
          <w:tcPr>
            <w:tcW w:w="1200" w:type="dxa"/>
            <w:vAlign w:val="bottom"/>
          </w:tcPr>
          <w:p>
            <w:pPr>
              <w:spacing w:after="0"/>
              <w:rPr>
                <w:sz w:val="19"/>
                <w:szCs w:val="19"/>
                <w:color w:val="auto"/>
              </w:rPr>
            </w:pPr>
          </w:p>
        </w:tc>
        <w:tc>
          <w:tcPr>
            <w:tcW w:w="9820" w:type="dxa"/>
            <w:vAlign w:val="bottom"/>
            <w:gridSpan w:val="18"/>
          </w:tcPr>
          <w:p>
            <w:pPr>
              <w:ind w:left="480"/>
              <w:spacing w:after="0"/>
              <w:rPr>
                <w:sz w:val="20"/>
                <w:szCs w:val="20"/>
                <w:color w:val="auto"/>
              </w:rPr>
            </w:pPr>
            <w:r>
              <w:rPr>
                <w:rFonts w:ascii="Times New Roman" w:cs="Times New Roman" w:eastAsia="Times New Roman" w:hAnsi="Times New Roman"/>
                <w:sz w:val="20"/>
                <w:szCs w:val="20"/>
                <w:color w:val="auto"/>
                <w:w w:val="99"/>
              </w:rPr>
              <w:t>limited partnership. Acorn GP 2 is a Delaware limited liability company. Each of Hove and Manke are citizens of the</w:t>
            </w:r>
          </w:p>
        </w:tc>
        <w:tc>
          <w:tcPr>
            <w:tcW w:w="0" w:type="dxa"/>
            <w:vAlign w:val="bottom"/>
          </w:tcPr>
          <w:p>
            <w:pPr>
              <w:spacing w:after="0"/>
              <w:rPr>
                <w:sz w:val="1"/>
                <w:szCs w:val="1"/>
                <w:color w:val="auto"/>
              </w:rPr>
            </w:pPr>
          </w:p>
        </w:tc>
      </w:tr>
      <w:tr>
        <w:trPr>
          <w:trHeight w:val="258"/>
        </w:trPr>
        <w:tc>
          <w:tcPr>
            <w:tcW w:w="1200" w:type="dxa"/>
            <w:vAlign w:val="bottom"/>
          </w:tcPr>
          <w:p>
            <w:pPr>
              <w:spacing w:after="0"/>
              <w:rPr>
                <w:sz w:val="22"/>
                <w:szCs w:val="22"/>
                <w:color w:val="auto"/>
              </w:rPr>
            </w:pPr>
          </w:p>
        </w:tc>
        <w:tc>
          <w:tcPr>
            <w:tcW w:w="9820" w:type="dxa"/>
            <w:vAlign w:val="bottom"/>
            <w:gridSpan w:val="18"/>
          </w:tcPr>
          <w:p>
            <w:pPr>
              <w:ind w:left="480"/>
              <w:spacing w:after="0"/>
              <w:rPr>
                <w:sz w:val="20"/>
                <w:szCs w:val="20"/>
                <w:color w:val="auto"/>
              </w:rPr>
            </w:pPr>
            <w:r>
              <w:rPr>
                <w:rFonts w:ascii="Times New Roman" w:cs="Times New Roman" w:eastAsia="Times New Roman" w:hAnsi="Times New Roman"/>
                <w:sz w:val="20"/>
                <w:szCs w:val="20"/>
                <w:color w:val="auto"/>
              </w:rPr>
              <w:t>United States of America.</w:t>
            </w:r>
          </w:p>
        </w:tc>
        <w:tc>
          <w:tcPr>
            <w:tcW w:w="0" w:type="dxa"/>
            <w:vAlign w:val="bottom"/>
          </w:tcPr>
          <w:p>
            <w:pPr>
              <w:spacing w:after="0"/>
              <w:rPr>
                <w:sz w:val="1"/>
                <w:szCs w:val="1"/>
                <w:color w:val="auto"/>
              </w:rPr>
            </w:pPr>
          </w:p>
        </w:tc>
      </w:tr>
      <w:tr>
        <w:trPr>
          <w:trHeight w:val="459"/>
        </w:trPr>
        <w:tc>
          <w:tcPr>
            <w:tcW w:w="1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2(d).</w:t>
            </w:r>
          </w:p>
        </w:tc>
        <w:tc>
          <w:tcPr>
            <w:tcW w:w="9820" w:type="dxa"/>
            <w:vAlign w:val="bottom"/>
            <w:gridSpan w:val="18"/>
          </w:tcPr>
          <w:p>
            <w:pPr>
              <w:ind w:left="380"/>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tc>
        <w:tc>
          <w:tcPr>
            <w:tcW w:w="0" w:type="dxa"/>
            <w:vAlign w:val="bottom"/>
          </w:tcPr>
          <w:p>
            <w:pPr>
              <w:spacing w:after="0"/>
              <w:rPr>
                <w:sz w:val="1"/>
                <w:szCs w:val="1"/>
                <w:color w:val="auto"/>
              </w:rPr>
            </w:pPr>
          </w:p>
        </w:tc>
      </w:tr>
      <w:tr>
        <w:trPr>
          <w:trHeight w:val="413"/>
        </w:trPr>
        <w:tc>
          <w:tcPr>
            <w:tcW w:w="1200" w:type="dxa"/>
            <w:vAlign w:val="bottom"/>
          </w:tcPr>
          <w:p>
            <w:pPr>
              <w:spacing w:after="0"/>
              <w:rPr>
                <w:sz w:val="24"/>
                <w:szCs w:val="24"/>
                <w:color w:val="auto"/>
              </w:rPr>
            </w:pPr>
          </w:p>
        </w:tc>
        <w:tc>
          <w:tcPr>
            <w:tcW w:w="9820" w:type="dxa"/>
            <w:vAlign w:val="bottom"/>
            <w:gridSpan w:val="18"/>
          </w:tcPr>
          <w:p>
            <w:pPr>
              <w:ind w:left="380"/>
              <w:spacing w:after="0"/>
              <w:rPr>
                <w:sz w:val="20"/>
                <w:szCs w:val="20"/>
                <w:color w:val="auto"/>
              </w:rPr>
            </w:pPr>
            <w:r>
              <w:rPr>
                <w:rFonts w:ascii="Times New Roman" w:cs="Times New Roman" w:eastAsia="Times New Roman" w:hAnsi="Times New Roman"/>
                <w:sz w:val="20"/>
                <w:szCs w:val="20"/>
                <w:color w:val="auto"/>
              </w:rPr>
              <w:t>Common stock, $0.0001 par value per share (the "Common Stock")</w:t>
            </w:r>
          </w:p>
        </w:tc>
        <w:tc>
          <w:tcPr>
            <w:tcW w:w="0" w:type="dxa"/>
            <w:vAlign w:val="bottom"/>
          </w:tcPr>
          <w:p>
            <w:pPr>
              <w:spacing w:after="0"/>
              <w:rPr>
                <w:sz w:val="1"/>
                <w:szCs w:val="1"/>
                <w:color w:val="auto"/>
              </w:rPr>
            </w:pPr>
          </w:p>
        </w:tc>
      </w:tr>
      <w:tr>
        <w:trPr>
          <w:trHeight w:val="485"/>
        </w:trPr>
        <w:tc>
          <w:tcPr>
            <w:tcW w:w="1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2(e).</w:t>
            </w:r>
          </w:p>
        </w:tc>
        <w:tc>
          <w:tcPr>
            <w:tcW w:w="4360" w:type="dxa"/>
            <w:vAlign w:val="bottom"/>
            <w:gridSpan w:val="12"/>
          </w:tcPr>
          <w:p>
            <w:pPr>
              <w:ind w:left="380"/>
              <w:spacing w:after="0"/>
              <w:rPr>
                <w:sz w:val="20"/>
                <w:szCs w:val="20"/>
                <w:color w:val="auto"/>
              </w:rPr>
            </w:pPr>
            <w:r>
              <w:rPr>
                <w:rFonts w:ascii="Times New Roman" w:cs="Times New Roman" w:eastAsia="Times New Roman" w:hAnsi="Times New Roman"/>
                <w:sz w:val="20"/>
                <w:szCs w:val="20"/>
                <w:b w:val="1"/>
                <w:bCs w:val="1"/>
                <w:color w:val="auto"/>
              </w:rPr>
              <w:t>CUSIP Number.</w:t>
            </w:r>
          </w:p>
        </w:tc>
        <w:tc>
          <w:tcPr>
            <w:tcW w:w="1220" w:type="dxa"/>
            <w:vAlign w:val="bottom"/>
            <w:tcBorders>
              <w:top w:val="single" w:sz="8" w:color="auto"/>
            </w:tcBorders>
            <w:gridSpan w:val="3"/>
          </w:tcPr>
          <w:p>
            <w:pPr>
              <w:spacing w:after="0"/>
              <w:rPr>
                <w:sz w:val="24"/>
                <w:szCs w:val="24"/>
                <w:color w:val="auto"/>
              </w:rPr>
            </w:pPr>
          </w:p>
        </w:tc>
        <w:tc>
          <w:tcPr>
            <w:tcW w:w="42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00" w:type="dxa"/>
            <w:vAlign w:val="bottom"/>
          </w:tcPr>
          <w:p>
            <w:pPr>
              <w:spacing w:after="0"/>
              <w:rPr>
                <w:sz w:val="24"/>
                <w:szCs w:val="24"/>
                <w:color w:val="auto"/>
              </w:rPr>
            </w:pPr>
          </w:p>
        </w:tc>
        <w:tc>
          <w:tcPr>
            <w:tcW w:w="1260" w:type="dxa"/>
            <w:vAlign w:val="bottom"/>
          </w:tcPr>
          <w:p>
            <w:pPr>
              <w:ind w:left="380"/>
              <w:spacing w:after="0"/>
              <w:rPr>
                <w:sz w:val="20"/>
                <w:szCs w:val="20"/>
                <w:color w:val="auto"/>
              </w:rPr>
            </w:pPr>
            <w:r>
              <w:rPr>
                <w:rFonts w:ascii="Times New Roman" w:cs="Times New Roman" w:eastAsia="Times New Roman" w:hAnsi="Times New Roman"/>
                <w:sz w:val="20"/>
                <w:szCs w:val="20"/>
                <w:color w:val="auto"/>
                <w:w w:val="95"/>
              </w:rPr>
              <w:t>984241109</w:t>
            </w: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type w:val="continuous"/>
        </w:sectPr>
      </w:pPr>
    </w:p>
    <w:bookmarkStart w:id="7" w:name="page8"/>
    <w:bookmarkEnd w:id="7"/>
    <w:p>
      <w:pPr>
        <w:spacing w:after="0"/>
        <w:tabs>
          <w:tab w:leader="none" w:pos="54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984241109</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8 of 11 Pages</w:t>
      </w:r>
    </w:p>
    <w:p>
      <w:pPr>
        <w:sectPr>
          <w:pgSz w:w="11900" w:h="16838" w:orient="portrait"/>
          <w:cols w:equalWidth="0" w:num="1">
            <w:col w:w="11240"/>
          </w:cols>
          <w:pgMar w:left="320" w:top="225" w:right="339" w:bottom="1440" w:gutter="0" w:footer="0" w:header="0"/>
        </w:sectPr>
      </w:pPr>
    </w:p>
    <w:p>
      <w:pPr>
        <w:spacing w:after="0" w:line="342" w:lineRule="exact"/>
        <w:rPr>
          <w:sz w:val="20"/>
          <w:szCs w:val="20"/>
          <w:color w:val="auto"/>
        </w:rPr>
      </w:pPr>
    </w:p>
    <w:p>
      <w:pPr>
        <w:ind w:left="1800" w:right="100" w:hanging="1687"/>
        <w:spacing w:after="0" w:line="273" w:lineRule="auto"/>
        <w:tabs>
          <w:tab w:leader="none" w:pos="17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20"/>
          <w:szCs w:val="20"/>
          <w:b w:val="1"/>
          <w:bCs w:val="1"/>
          <w:color w:val="auto"/>
        </w:rPr>
        <w:t>If this Statement is Filed Pursuant to §§ 240.13d-1(b) or 240.13d-2(b), or (c), check whether the Person Filing is a:</w:t>
      </w:r>
    </w:p>
    <w:p>
      <w:pPr>
        <w:spacing w:after="0" w:line="151" w:lineRule="exact"/>
        <w:rPr>
          <w:sz w:val="20"/>
          <w:szCs w:val="20"/>
          <w:color w:val="auto"/>
        </w:rPr>
      </w:pPr>
    </w:p>
    <w:p>
      <w:pPr>
        <w:ind w:left="2560" w:hanging="761"/>
        <w:spacing w:after="0" w:line="230" w:lineRule="exact"/>
        <w:tabs>
          <w:tab w:leader="none" w:pos="2560" w:val="left"/>
        </w:tabs>
        <w:numPr>
          <w:ilvl w:val="0"/>
          <w:numId w:val="2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Broker or dealer registered under section 15 of the Act (15 U.S.C. 78o);</w:t>
      </w:r>
    </w:p>
    <w:p>
      <w:pPr>
        <w:spacing w:after="0" w:line="215" w:lineRule="exact"/>
        <w:rPr>
          <w:rFonts w:ascii="Times New Roman" w:cs="Times New Roman" w:eastAsia="Times New Roman" w:hAnsi="Times New Roman"/>
          <w:sz w:val="20"/>
          <w:szCs w:val="20"/>
          <w:color w:val="auto"/>
        </w:rPr>
      </w:pPr>
    </w:p>
    <w:p>
      <w:pPr>
        <w:ind w:left="2560" w:hanging="761"/>
        <w:spacing w:after="0" w:line="230" w:lineRule="exact"/>
        <w:tabs>
          <w:tab w:leader="none" w:pos="2560" w:val="left"/>
        </w:tabs>
        <w:numPr>
          <w:ilvl w:val="0"/>
          <w:numId w:val="2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Bank as defined in section 3(a)(6) of the Act (15 U.S.C. 78c);</w:t>
      </w:r>
    </w:p>
    <w:p>
      <w:pPr>
        <w:spacing w:after="0" w:line="215" w:lineRule="exact"/>
        <w:rPr>
          <w:rFonts w:ascii="Times New Roman" w:cs="Times New Roman" w:eastAsia="Times New Roman" w:hAnsi="Times New Roman"/>
          <w:sz w:val="20"/>
          <w:szCs w:val="20"/>
          <w:color w:val="auto"/>
        </w:rPr>
      </w:pPr>
    </w:p>
    <w:p>
      <w:pPr>
        <w:ind w:left="2560" w:hanging="761"/>
        <w:spacing w:after="0" w:line="230" w:lineRule="exact"/>
        <w:tabs>
          <w:tab w:leader="none" w:pos="2560" w:val="left"/>
        </w:tabs>
        <w:numPr>
          <w:ilvl w:val="0"/>
          <w:numId w:val="2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Insurance company as defined in section 3(a)(19) of the Act (15 U.S.C. 78c);</w:t>
      </w:r>
    </w:p>
    <w:p>
      <w:pPr>
        <w:spacing w:after="0" w:line="215" w:lineRule="exact"/>
        <w:rPr>
          <w:rFonts w:ascii="Times New Roman" w:cs="Times New Roman" w:eastAsia="Times New Roman" w:hAnsi="Times New Roman"/>
          <w:sz w:val="20"/>
          <w:szCs w:val="20"/>
          <w:color w:val="auto"/>
        </w:rPr>
      </w:pPr>
    </w:p>
    <w:p>
      <w:pPr>
        <w:ind w:left="3040" w:right="120" w:hanging="1241"/>
        <w:spacing w:after="0" w:line="253" w:lineRule="exact"/>
        <w:tabs>
          <w:tab w:leader="none" w:pos="2565" w:val="left"/>
        </w:tabs>
        <w:numPr>
          <w:ilvl w:val="0"/>
          <w:numId w:val="2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Investment company registered under section 8 of the Investment Company Act of 1940 (15 U.S.C. 80a-8);</w:t>
      </w:r>
    </w:p>
    <w:p>
      <w:pPr>
        <w:spacing w:after="0" w:line="170" w:lineRule="exact"/>
        <w:rPr>
          <w:rFonts w:ascii="Times New Roman" w:cs="Times New Roman" w:eastAsia="Times New Roman" w:hAnsi="Times New Roman"/>
          <w:sz w:val="20"/>
          <w:szCs w:val="20"/>
          <w:color w:val="auto"/>
        </w:rPr>
      </w:pPr>
    </w:p>
    <w:p>
      <w:pPr>
        <w:ind w:left="2560" w:hanging="761"/>
        <w:spacing w:after="0" w:line="230" w:lineRule="exact"/>
        <w:tabs>
          <w:tab w:leader="none" w:pos="2560" w:val="left"/>
        </w:tabs>
        <w:numPr>
          <w:ilvl w:val="0"/>
          <w:numId w:val="2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An investment adviser in accordance with § 240.13d-1(b)(1)(ii)(E);</w:t>
      </w:r>
    </w:p>
    <w:p>
      <w:pPr>
        <w:spacing w:after="0" w:line="215" w:lineRule="exact"/>
        <w:rPr>
          <w:rFonts w:ascii="Times New Roman" w:cs="Times New Roman" w:eastAsia="Times New Roman" w:hAnsi="Times New Roman"/>
          <w:sz w:val="20"/>
          <w:szCs w:val="20"/>
          <w:color w:val="auto"/>
        </w:rPr>
      </w:pPr>
    </w:p>
    <w:p>
      <w:pPr>
        <w:ind w:left="2560" w:hanging="761"/>
        <w:spacing w:after="0" w:line="230" w:lineRule="exact"/>
        <w:tabs>
          <w:tab w:leader="none" w:pos="2560" w:val="left"/>
        </w:tabs>
        <w:numPr>
          <w:ilvl w:val="0"/>
          <w:numId w:val="2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An employee benefit plan or endowment fund in accordance with § 240.13d-1(b)(1)(ii)(F);</w:t>
      </w:r>
    </w:p>
    <w:p>
      <w:pPr>
        <w:spacing w:after="0" w:line="246" w:lineRule="exact"/>
        <w:rPr>
          <w:rFonts w:ascii="Times New Roman" w:cs="Times New Roman" w:eastAsia="Times New Roman" w:hAnsi="Times New Roman"/>
          <w:sz w:val="20"/>
          <w:szCs w:val="20"/>
          <w:color w:val="auto"/>
        </w:rPr>
      </w:pPr>
    </w:p>
    <w:p>
      <w:pPr>
        <w:ind w:left="2560" w:hanging="761"/>
        <w:spacing w:after="0"/>
        <w:tabs>
          <w:tab w:leader="none" w:pos="2560" w:val="left"/>
        </w:tabs>
        <w:numPr>
          <w:ilvl w:val="0"/>
          <w:numId w:val="22"/>
        </w:numPr>
        <w:rPr>
          <w:rFonts w:ascii="Times New Roman" w:cs="Times New Roman" w:eastAsia="Times New Roman" w:hAnsi="Times New Roman"/>
          <w:sz w:val="20"/>
          <w:szCs w:val="20"/>
          <w:color w:val="auto"/>
        </w:rPr>
      </w:pPr>
      <w:r>
        <w:rPr>
          <w:rFonts w:ascii="Wingdings" w:cs="Wingdings" w:eastAsia="Wingdings" w:hAnsi="Wingdings"/>
          <w:sz w:val="20"/>
          <w:szCs w:val="20"/>
          <w:b w:val="1"/>
          <w:bCs w:val="1"/>
          <w:color w:val="auto"/>
        </w:rPr>
        <w:t xml:space="preserve">o   </w:t>
      </w:r>
      <w:r>
        <w:rPr>
          <w:rFonts w:ascii="Times New Roman" w:cs="Times New Roman" w:eastAsia="Times New Roman" w:hAnsi="Times New Roman"/>
          <w:sz w:val="20"/>
          <w:szCs w:val="20"/>
          <w:color w:val="auto"/>
        </w:rPr>
        <w:t>A parent holding company or control person in accordance with §240.13d-1(b)(1)(ii)(G);</w:t>
      </w:r>
    </w:p>
    <w:p>
      <w:pPr>
        <w:spacing w:after="0" w:line="211" w:lineRule="exact"/>
        <w:rPr>
          <w:rFonts w:ascii="Times New Roman" w:cs="Times New Roman" w:eastAsia="Times New Roman" w:hAnsi="Times New Roman"/>
          <w:sz w:val="20"/>
          <w:szCs w:val="20"/>
          <w:color w:val="auto"/>
        </w:rPr>
      </w:pPr>
    </w:p>
    <w:p>
      <w:pPr>
        <w:ind w:left="3040" w:right="100" w:hanging="1241"/>
        <w:spacing w:after="0" w:line="253" w:lineRule="exact"/>
        <w:tabs>
          <w:tab w:leader="none" w:pos="2565" w:val="left"/>
        </w:tabs>
        <w:numPr>
          <w:ilvl w:val="0"/>
          <w:numId w:val="2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 savings association as defined in Section 3(b) of the Federal Deposit Insurance Act (12 U.S.C.1813);</w:t>
      </w:r>
    </w:p>
    <w:p>
      <w:pPr>
        <w:spacing w:after="0" w:line="200" w:lineRule="exact"/>
        <w:rPr>
          <w:rFonts w:ascii="Times New Roman" w:cs="Times New Roman" w:eastAsia="Times New Roman" w:hAnsi="Times New Roman"/>
          <w:sz w:val="20"/>
          <w:szCs w:val="20"/>
          <w:color w:val="auto"/>
        </w:rPr>
      </w:pPr>
    </w:p>
    <w:p>
      <w:pPr>
        <w:spacing w:after="0" w:line="236" w:lineRule="exact"/>
        <w:rPr>
          <w:rFonts w:ascii="Times New Roman" w:cs="Times New Roman" w:eastAsia="Times New Roman" w:hAnsi="Times New Roman"/>
          <w:sz w:val="20"/>
          <w:szCs w:val="20"/>
          <w:color w:val="auto"/>
        </w:rPr>
      </w:pPr>
    </w:p>
    <w:p>
      <w:pPr>
        <w:ind w:left="3040" w:right="100" w:hanging="1241"/>
        <w:spacing w:after="0" w:line="253" w:lineRule="exact"/>
        <w:tabs>
          <w:tab w:leader="none" w:pos="2565" w:val="left"/>
        </w:tabs>
        <w:numPr>
          <w:ilvl w:val="0"/>
          <w:numId w:val="2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184" w:lineRule="exact"/>
        <w:rPr>
          <w:rFonts w:ascii="Times New Roman" w:cs="Times New Roman" w:eastAsia="Times New Roman" w:hAnsi="Times New Roman"/>
          <w:sz w:val="20"/>
          <w:szCs w:val="20"/>
          <w:color w:val="auto"/>
        </w:rPr>
      </w:pPr>
    </w:p>
    <w:p>
      <w:pPr>
        <w:ind w:left="2560" w:hanging="761"/>
        <w:spacing w:after="0" w:line="230" w:lineRule="exact"/>
        <w:tabs>
          <w:tab w:leader="none" w:pos="2560" w:val="left"/>
        </w:tabs>
        <w:numPr>
          <w:ilvl w:val="0"/>
          <w:numId w:val="2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A non-U.S. institution in accordance with §240.13d-1(b)(1)(ii)(J);</w:t>
      </w:r>
    </w:p>
    <w:p>
      <w:pPr>
        <w:spacing w:after="0" w:line="215" w:lineRule="exact"/>
        <w:rPr>
          <w:rFonts w:ascii="Times New Roman" w:cs="Times New Roman" w:eastAsia="Times New Roman" w:hAnsi="Times New Roman"/>
          <w:sz w:val="20"/>
          <w:szCs w:val="20"/>
          <w:color w:val="auto"/>
        </w:rPr>
      </w:pPr>
    </w:p>
    <w:p>
      <w:pPr>
        <w:ind w:left="2560" w:hanging="761"/>
        <w:spacing w:after="0" w:line="230" w:lineRule="exact"/>
        <w:tabs>
          <w:tab w:leader="none" w:pos="2560" w:val="left"/>
        </w:tabs>
        <w:numPr>
          <w:ilvl w:val="0"/>
          <w:numId w:val="22"/>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Group, in accordance with §240.13d-1(b)(1)(ii)(K).</w:t>
      </w:r>
    </w:p>
    <w:p>
      <w:pPr>
        <w:spacing w:after="0" w:line="247" w:lineRule="exact"/>
        <w:rPr>
          <w:sz w:val="20"/>
          <w:szCs w:val="20"/>
          <w:color w:val="auto"/>
        </w:rPr>
      </w:pPr>
    </w:p>
    <w:p>
      <w:pPr>
        <w:ind w:left="1800" w:right="2880"/>
        <w:spacing w:after="0" w:line="269" w:lineRule="auto"/>
        <w:rPr>
          <w:sz w:val="20"/>
          <w:szCs w:val="20"/>
          <w:color w:val="auto"/>
        </w:rPr>
      </w:pPr>
      <w:r>
        <w:rPr>
          <w:rFonts w:ascii="Times New Roman" w:cs="Times New Roman" w:eastAsia="Times New Roman" w:hAnsi="Times New Roman"/>
          <w:sz w:val="20"/>
          <w:szCs w:val="20"/>
          <w:color w:val="auto"/>
        </w:rPr>
        <w:t>If filing as a non-U.S. institution in accordance with Rule 13d-1(b)(1)(ii)(J), please specify the type of institution: ___________________________________</w:t>
      </w:r>
    </w:p>
    <w:p>
      <w:pPr>
        <w:spacing w:after="0" w:line="398" w:lineRule="exact"/>
        <w:rPr>
          <w:sz w:val="20"/>
          <w:szCs w:val="20"/>
          <w:color w:val="auto"/>
        </w:rPr>
      </w:pPr>
    </w:p>
    <w:p>
      <w:pPr>
        <w:ind w:left="100"/>
        <w:spacing w:after="0"/>
        <w:tabs>
          <w:tab w:leader="none" w:pos="166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Ownership.</w:t>
      </w:r>
    </w:p>
    <w:p>
      <w:pPr>
        <w:spacing w:after="0" w:line="233" w:lineRule="exact"/>
        <w:rPr>
          <w:sz w:val="20"/>
          <w:szCs w:val="20"/>
          <w:color w:val="auto"/>
        </w:rPr>
      </w:pPr>
    </w:p>
    <w:p>
      <w:pPr>
        <w:ind w:left="1680" w:right="640"/>
        <w:spacing w:after="0" w:line="269" w:lineRule="auto"/>
        <w:rPr>
          <w:sz w:val="20"/>
          <w:szCs w:val="20"/>
          <w:color w:val="auto"/>
        </w:rPr>
      </w:pPr>
      <w:r>
        <w:rPr>
          <w:rFonts w:ascii="Times New Roman" w:cs="Times New Roman" w:eastAsia="Times New Roman" w:hAnsi="Times New Roman"/>
          <w:sz w:val="20"/>
          <w:szCs w:val="20"/>
          <w:color w:val="auto"/>
        </w:rPr>
        <w:t>The information required by Items 4(a) – (c) is set forth in Rows (5) – (11) of the cover page for each Reporting Person hereto and is incorporated herein by reference for each Reporting Person.</w:t>
      </w:r>
    </w:p>
    <w:p>
      <w:pPr>
        <w:spacing w:after="0" w:line="173" w:lineRule="exact"/>
        <w:rPr>
          <w:sz w:val="20"/>
          <w:szCs w:val="20"/>
          <w:color w:val="auto"/>
        </w:rPr>
      </w:pPr>
    </w:p>
    <w:p>
      <w:pPr>
        <w:ind w:left="1680" w:right="100"/>
        <w:spacing w:after="0" w:line="254" w:lineRule="auto"/>
        <w:rPr>
          <w:sz w:val="20"/>
          <w:szCs w:val="20"/>
          <w:color w:val="auto"/>
        </w:rPr>
      </w:pPr>
      <w:r>
        <w:rPr>
          <w:rFonts w:ascii="Times New Roman" w:cs="Times New Roman" w:eastAsia="Times New Roman" w:hAnsi="Times New Roman"/>
          <w:sz w:val="20"/>
          <w:szCs w:val="20"/>
          <w:color w:val="auto"/>
        </w:rPr>
        <w:t>The percentages set forth herein are calculated based upon 43,677,767 shares of Common Stock outstanding as of March 23, 2023 as reported in the Company’s Annual Report for the fiscal year ended December 31, 2022 on Form 10-K filed with the Securities and Exchange Commission on March 30, 2023.</w:t>
      </w:r>
    </w:p>
    <w:p>
      <w:pPr>
        <w:spacing w:after="0" w:line="188" w:lineRule="exact"/>
        <w:rPr>
          <w:sz w:val="20"/>
          <w:szCs w:val="20"/>
          <w:color w:val="auto"/>
        </w:rPr>
      </w:pPr>
    </w:p>
    <w:p>
      <w:pPr>
        <w:ind w:left="1680" w:right="340"/>
        <w:spacing w:after="0" w:line="254" w:lineRule="auto"/>
        <w:rPr>
          <w:sz w:val="20"/>
          <w:szCs w:val="20"/>
          <w:color w:val="auto"/>
        </w:rPr>
      </w:pPr>
      <w:r>
        <w:rPr>
          <w:rFonts w:ascii="Times New Roman" w:cs="Times New Roman" w:eastAsia="Times New Roman" w:hAnsi="Times New Roman"/>
          <w:sz w:val="20"/>
          <w:szCs w:val="20"/>
          <w:color w:val="auto"/>
        </w:rPr>
        <w:t>Acorn GP is the general partner of Acorn and may be deemed to beneficially own the shares of Common Stock beneficially owned by Acorn. Acorn GP 2 is the general partner of Acorn 2 and may be deemed to beneficially own the shares of Common Stock beneficially owned by Acorn 2.</w:t>
      </w:r>
    </w:p>
    <w:p>
      <w:pPr>
        <w:sectPr>
          <w:pgSz w:w="11900" w:h="16838" w:orient="portrait"/>
          <w:cols w:equalWidth="0" w:num="1">
            <w:col w:w="11240"/>
          </w:cols>
          <w:pgMar w:left="320" w:top="225" w:right="339" w:bottom="1440" w:gutter="0" w:footer="0" w:header="0"/>
          <w:type w:val="continuous"/>
        </w:sectPr>
      </w:pPr>
    </w:p>
    <w:bookmarkStart w:id="8" w:name="page9"/>
    <w:bookmarkEnd w:id="8"/>
    <w:p>
      <w:pPr>
        <w:spacing w:after="0"/>
        <w:tabs>
          <w:tab w:leader="none" w:pos="5460" w:val="left"/>
          <w:tab w:leader="none" w:pos="9820" w:val="left"/>
        </w:tabs>
        <w:rPr>
          <w:sz w:val="20"/>
          <w:szCs w:val="20"/>
          <w:color w:val="auto"/>
        </w:rPr>
      </w:pPr>
      <w:r>
        <w:rPr>
          <w:rFonts w:ascii="Times New Roman" w:cs="Times New Roman" w:eastAsia="Times New Roman" w:hAnsi="Times New Roman"/>
          <w:sz w:val="18"/>
          <w:szCs w:val="18"/>
          <w:b w:val="1"/>
          <w:bCs w:val="1"/>
          <w:color w:val="auto"/>
        </w:rPr>
        <w:t>CUSIP No. 984241109</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9 of 11 Pages</w:t>
      </w:r>
    </w:p>
    <w:p>
      <w:pPr>
        <w:sectPr>
          <w:pgSz w:w="11900" w:h="16838" w:orient="portrait"/>
          <w:cols w:equalWidth="0" w:num="1">
            <w:col w:w="11240"/>
          </w:cols>
          <w:pgMar w:left="320" w:top="225" w:right="339" w:bottom="1440" w:gutter="0" w:footer="0" w:header="0"/>
        </w:sectPr>
      </w:pPr>
    </w:p>
    <w:p>
      <w:pPr>
        <w:spacing w:after="0" w:line="346" w:lineRule="exact"/>
        <w:rPr>
          <w:sz w:val="20"/>
          <w:szCs w:val="20"/>
          <w:color w:val="auto"/>
        </w:rPr>
      </w:pPr>
    </w:p>
    <w:p>
      <w:pPr>
        <w:ind w:left="1700" w:right="380"/>
        <w:spacing w:after="0" w:line="269" w:lineRule="auto"/>
        <w:rPr>
          <w:sz w:val="20"/>
          <w:szCs w:val="20"/>
          <w:color w:val="auto"/>
        </w:rPr>
      </w:pPr>
      <w:r>
        <w:rPr>
          <w:rFonts w:ascii="Times New Roman" w:cs="Times New Roman" w:eastAsia="Times New Roman" w:hAnsi="Times New Roman"/>
          <w:sz w:val="20"/>
          <w:szCs w:val="20"/>
          <w:color w:val="auto"/>
        </w:rPr>
        <w:t>The Manager, in his capacity as manager of each of Acorn GP and Acorn GP 2, may be deemed to beneficially own the shares beneficially owned by each of Acorn and Acorn 2.</w:t>
      </w:r>
    </w:p>
    <w:p>
      <w:pPr>
        <w:spacing w:after="0" w:line="169" w:lineRule="exact"/>
        <w:rPr>
          <w:sz w:val="20"/>
          <w:szCs w:val="20"/>
          <w:color w:val="auto"/>
        </w:rPr>
      </w:pPr>
    </w:p>
    <w:p>
      <w:pPr>
        <w:ind w:left="120"/>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3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20"/>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3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20"/>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19"/>
          <w:szCs w:val="19"/>
          <w:b w:val="1"/>
          <w:bCs w:val="1"/>
          <w:color w:val="auto"/>
        </w:rPr>
        <w:t>Identification and Classification of the Subsidiary Which Acquired the Security Being Reported on by the</w:t>
      </w:r>
    </w:p>
    <w:p>
      <w:pPr>
        <w:spacing w:after="0" w:line="2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b w:val="1"/>
          <w:bCs w:val="1"/>
          <w:color w:val="auto"/>
        </w:rPr>
        <w:t>Parent Holding Company or Control Person.</w:t>
      </w:r>
    </w:p>
    <w:p>
      <w:pPr>
        <w:spacing w:after="0" w:line="2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20"/>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3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20"/>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3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20"/>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w:t>
      </w:r>
    </w:p>
    <w:p>
      <w:pPr>
        <w:spacing w:after="0" w:line="23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0"/>
          <w:szCs w:val="20"/>
          <w:color w:val="auto"/>
        </w:rPr>
        <w:t>By signing below each Reporting Person certifies that, to the best of his or its knowledge and belief, the securities</w:t>
      </w:r>
    </w:p>
    <w:p>
      <w:pPr>
        <w:spacing w:after="0" w:line="2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20"/>
          <w:szCs w:val="20"/>
          <w:color w:val="auto"/>
        </w:rPr>
        <w:t>referred to above were not acquired for the purpose of or with the effect of changing or influencing the control of the</w:t>
      </w:r>
    </w:p>
    <w:p>
      <w:pPr>
        <w:jc w:val="right"/>
        <w:ind w:right="100"/>
        <w:spacing w:after="0"/>
        <w:rPr>
          <w:sz w:val="20"/>
          <w:szCs w:val="20"/>
          <w:color w:val="auto"/>
        </w:rPr>
      </w:pPr>
      <w:r>
        <w:rPr>
          <w:rFonts w:ascii="Times New Roman" w:cs="Times New Roman" w:eastAsia="Times New Roman" w:hAnsi="Times New Roman"/>
          <w:sz w:val="20"/>
          <w:szCs w:val="20"/>
          <w:color w:val="auto"/>
        </w:rPr>
        <w:t>issuer of the securities and were not acquired and are not held in connection with or as a participant in any transaction</w:t>
      </w:r>
    </w:p>
    <w:p>
      <w:pPr>
        <w:ind w:left="1700"/>
        <w:spacing w:after="0"/>
        <w:rPr>
          <w:sz w:val="20"/>
          <w:szCs w:val="20"/>
          <w:color w:val="auto"/>
        </w:rPr>
      </w:pPr>
      <w:r>
        <w:rPr>
          <w:rFonts w:ascii="Times New Roman" w:cs="Times New Roman" w:eastAsia="Times New Roman" w:hAnsi="Times New Roman"/>
          <w:sz w:val="20"/>
          <w:szCs w:val="20"/>
          <w:color w:val="auto"/>
        </w:rPr>
        <w:t>having that purpose or effect.</w:t>
      </w:r>
    </w:p>
    <w:p>
      <w:pPr>
        <w:sectPr>
          <w:pgSz w:w="11900" w:h="16838" w:orient="portrait"/>
          <w:cols w:equalWidth="0" w:num="1">
            <w:col w:w="11240"/>
          </w:cols>
          <w:pgMar w:left="320" w:top="225" w:right="339" w:bottom="1440" w:gutter="0" w:footer="0" w:header="0"/>
          <w:type w:val="continuous"/>
        </w:sectPr>
      </w:pPr>
    </w:p>
    <w:bookmarkStart w:id="9" w:name="page10"/>
    <w:bookmarkEnd w:id="9"/>
    <w:p>
      <w:pPr>
        <w:spacing w:after="0"/>
        <w:tabs>
          <w:tab w:leader="none" w:pos="5460" w:val="left"/>
          <w:tab w:leader="none" w:pos="9740" w:val="left"/>
        </w:tabs>
        <w:rPr>
          <w:sz w:val="20"/>
          <w:szCs w:val="20"/>
          <w:color w:val="auto"/>
        </w:rPr>
      </w:pPr>
      <w:r>
        <w:rPr>
          <w:rFonts w:ascii="Times New Roman" w:cs="Times New Roman" w:eastAsia="Times New Roman" w:hAnsi="Times New Roman"/>
          <w:sz w:val="18"/>
          <w:szCs w:val="18"/>
          <w:b w:val="1"/>
          <w:bCs w:val="1"/>
          <w:color w:val="auto"/>
        </w:rPr>
        <w:t>CUSIP No. 984241109</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10 of 11 Pages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SIGNATURE</w:t>
      </w:r>
    </w:p>
    <w:p>
      <w:pPr>
        <w:spacing w:after="0" w:line="220" w:lineRule="exact"/>
        <w:rPr>
          <w:sz w:val="20"/>
          <w:szCs w:val="20"/>
          <w:color w:val="auto"/>
        </w:rPr>
      </w:pPr>
    </w:p>
    <w:p>
      <w:pPr>
        <w:ind w:right="180"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each of the undersigned certifies that the information set forth in this statement is true, complete and correct.</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Date: April 3, 2023</w:t>
      </w:r>
    </w:p>
    <w:p>
      <w:pPr>
        <w:spacing w:after="0" w:line="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b w:val="1"/>
          <w:bCs w:val="1"/>
          <w:color w:val="auto"/>
        </w:rPr>
        <w:t>ACORN BIOVENTURES, L.P.</w:t>
      </w:r>
    </w:p>
    <w:p>
      <w:pPr>
        <w:ind w:left="5520"/>
        <w:spacing w:after="0"/>
        <w:rPr>
          <w:sz w:val="20"/>
          <w:szCs w:val="20"/>
          <w:color w:val="auto"/>
        </w:rPr>
      </w:pPr>
      <w:r>
        <w:rPr>
          <w:rFonts w:ascii="Times New Roman" w:cs="Times New Roman" w:eastAsia="Times New Roman" w:hAnsi="Times New Roman"/>
          <w:sz w:val="20"/>
          <w:szCs w:val="20"/>
          <w:color w:val="auto"/>
        </w:rPr>
        <w:t>By: ACORN CAPITAL ADVISORS GP, LLC, its General Partner</w:t>
      </w:r>
    </w:p>
    <w:tbl>
      <w:tblPr>
        <w:tblLayout w:type="fixed"/>
        <w:tblInd w:w="5520" w:type="dxa"/>
        <w:tblCellMar>
          <w:top w:w="0" w:type="dxa"/>
          <w:left w:w="0" w:type="dxa"/>
          <w:bottom w:w="0" w:type="dxa"/>
          <w:right w:w="0" w:type="dxa"/>
        </w:tblCellMar>
      </w:tblPr>
      <w:tr>
        <w:trPr>
          <w:trHeight w:val="208"/>
        </w:trPr>
        <w:tc>
          <w:tcPr>
            <w:tcW w:w="56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By:</w:t>
            </w:r>
          </w:p>
        </w:tc>
        <w:tc>
          <w:tcPr>
            <w:tcW w:w="5160" w:type="dxa"/>
            <w:vAlign w:val="bottom"/>
          </w:tcPr>
          <w:p>
            <w:pPr>
              <w:ind w:left="100"/>
              <w:spacing w:after="0" w:line="207" w:lineRule="exact"/>
              <w:rPr>
                <w:sz w:val="20"/>
                <w:szCs w:val="20"/>
                <w:color w:val="auto"/>
              </w:rPr>
            </w:pPr>
            <w:r>
              <w:rPr>
                <w:rFonts w:ascii="Times New Roman" w:cs="Times New Roman" w:eastAsia="Times New Roman" w:hAnsi="Times New Roman"/>
                <w:sz w:val="20"/>
                <w:szCs w:val="20"/>
                <w:color w:val="auto"/>
              </w:rPr>
              <w:t>/s/ Anders Hove</w:t>
            </w:r>
          </w:p>
        </w:tc>
        <w:tc>
          <w:tcPr>
            <w:tcW w:w="0" w:type="dxa"/>
            <w:vAlign w:val="bottom"/>
          </w:tcPr>
          <w:p>
            <w:pPr>
              <w:spacing w:after="0"/>
              <w:rPr>
                <w:sz w:val="1"/>
                <w:szCs w:val="1"/>
                <w:color w:val="auto"/>
              </w:rPr>
            </w:pPr>
          </w:p>
        </w:tc>
      </w:tr>
      <w:tr>
        <w:trPr>
          <w:trHeight w:val="23"/>
        </w:trPr>
        <w:tc>
          <w:tcPr>
            <w:tcW w:w="5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5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60" w:type="dxa"/>
            <w:vAlign w:val="bottom"/>
            <w:vMerge w:val="continue"/>
          </w:tcPr>
          <w:p>
            <w:pPr>
              <w:spacing w:after="0"/>
              <w:rPr>
                <w:sz w:val="17"/>
                <w:szCs w:val="17"/>
                <w:color w:val="auto"/>
              </w:rPr>
            </w:pPr>
          </w:p>
        </w:tc>
        <w:tc>
          <w:tcPr>
            <w:tcW w:w="5160" w:type="dxa"/>
            <w:vAlign w:val="bottom"/>
          </w:tcPr>
          <w:p>
            <w:pPr>
              <w:ind w:left="440"/>
              <w:spacing w:after="0" w:line="200" w:lineRule="exact"/>
              <w:rPr>
                <w:sz w:val="20"/>
                <w:szCs w:val="20"/>
                <w:color w:val="auto"/>
              </w:rPr>
            </w:pPr>
            <w:r>
              <w:rPr>
                <w:rFonts w:ascii="Times New Roman" w:cs="Times New Roman" w:eastAsia="Times New Roman" w:hAnsi="Times New Roman"/>
                <w:sz w:val="20"/>
                <w:szCs w:val="20"/>
                <w:color w:val="auto"/>
              </w:rPr>
              <w:t>Anders Hove</w:t>
            </w:r>
          </w:p>
        </w:tc>
        <w:tc>
          <w:tcPr>
            <w:tcW w:w="0" w:type="dxa"/>
            <w:vAlign w:val="bottom"/>
          </w:tcPr>
          <w:p>
            <w:pPr>
              <w:spacing w:after="0"/>
              <w:rPr>
                <w:sz w:val="1"/>
                <w:szCs w:val="1"/>
                <w:color w:val="auto"/>
              </w:rPr>
            </w:pP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1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Manager</w:t>
            </w:r>
          </w:p>
        </w:tc>
        <w:tc>
          <w:tcPr>
            <w:tcW w:w="0" w:type="dxa"/>
            <w:vAlign w:val="bottom"/>
          </w:tcPr>
          <w:p>
            <w:pPr>
              <w:spacing w:after="0"/>
              <w:rPr>
                <w:sz w:val="1"/>
                <w:szCs w:val="1"/>
                <w:color w:val="auto"/>
              </w:rPr>
            </w:pPr>
          </w:p>
        </w:tc>
      </w:tr>
      <w:tr>
        <w:trPr>
          <w:trHeight w:val="660"/>
        </w:trPr>
        <w:tc>
          <w:tcPr>
            <w:tcW w:w="57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ACORN CAPITAL ADVISORS GP, LLC</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Anders Hove</w:t>
            </w:r>
          </w:p>
        </w:tc>
        <w:tc>
          <w:tcPr>
            <w:tcW w:w="0" w:type="dxa"/>
            <w:vAlign w:val="bottom"/>
          </w:tcPr>
          <w:p>
            <w:pPr>
              <w:spacing w:after="0"/>
              <w:rPr>
                <w:sz w:val="1"/>
                <w:szCs w:val="1"/>
                <w:color w:val="auto"/>
              </w:rPr>
            </w:pPr>
          </w:p>
        </w:tc>
      </w:tr>
      <w:tr>
        <w:trPr>
          <w:trHeight w:val="23"/>
        </w:trPr>
        <w:tc>
          <w:tcPr>
            <w:tcW w:w="5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5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60" w:type="dxa"/>
            <w:vAlign w:val="bottom"/>
            <w:vMerge w:val="continue"/>
          </w:tcPr>
          <w:p>
            <w:pPr>
              <w:spacing w:after="0"/>
              <w:rPr>
                <w:sz w:val="17"/>
                <w:szCs w:val="17"/>
                <w:color w:val="auto"/>
              </w:rPr>
            </w:pPr>
          </w:p>
        </w:tc>
        <w:tc>
          <w:tcPr>
            <w:tcW w:w="5160" w:type="dxa"/>
            <w:vAlign w:val="bottom"/>
          </w:tcPr>
          <w:p>
            <w:pPr>
              <w:ind w:left="440"/>
              <w:spacing w:after="0" w:line="200" w:lineRule="exact"/>
              <w:rPr>
                <w:sz w:val="20"/>
                <w:szCs w:val="20"/>
                <w:color w:val="auto"/>
              </w:rPr>
            </w:pPr>
            <w:r>
              <w:rPr>
                <w:rFonts w:ascii="Times New Roman" w:cs="Times New Roman" w:eastAsia="Times New Roman" w:hAnsi="Times New Roman"/>
                <w:sz w:val="20"/>
                <w:szCs w:val="20"/>
                <w:color w:val="auto"/>
              </w:rPr>
              <w:t>Anders Hove</w:t>
            </w:r>
          </w:p>
        </w:tc>
        <w:tc>
          <w:tcPr>
            <w:tcW w:w="0" w:type="dxa"/>
            <w:vAlign w:val="bottom"/>
          </w:tcPr>
          <w:p>
            <w:pPr>
              <w:spacing w:after="0"/>
              <w:rPr>
                <w:sz w:val="1"/>
                <w:szCs w:val="1"/>
                <w:color w:val="auto"/>
              </w:rPr>
            </w:pP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1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Manager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b w:val="1"/>
          <w:bCs w:val="1"/>
          <w:color w:val="auto"/>
        </w:rPr>
        <w:t>ACORN BIOVENTURES 2, L.P.</w:t>
      </w:r>
    </w:p>
    <w:p>
      <w:pPr>
        <w:spacing w:after="0" w:line="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By: ACORN CAPITAL ADVISORS GP 2, LLC, its General Partner</w:t>
      </w:r>
    </w:p>
    <w:tbl>
      <w:tblPr>
        <w:tblLayout w:type="fixed"/>
        <w:tblInd w:w="5520" w:type="dxa"/>
        <w:tblCellMar>
          <w:top w:w="0" w:type="dxa"/>
          <w:left w:w="0" w:type="dxa"/>
          <w:bottom w:w="0" w:type="dxa"/>
          <w:right w:w="0" w:type="dxa"/>
        </w:tblCellMar>
      </w:tblPr>
      <w:tr>
        <w:trPr>
          <w:trHeight w:val="208"/>
        </w:trPr>
        <w:tc>
          <w:tcPr>
            <w:tcW w:w="56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By:</w:t>
            </w:r>
          </w:p>
        </w:tc>
        <w:tc>
          <w:tcPr>
            <w:tcW w:w="5160" w:type="dxa"/>
            <w:vAlign w:val="bottom"/>
          </w:tcPr>
          <w:p>
            <w:pPr>
              <w:ind w:left="100"/>
              <w:spacing w:after="0" w:line="207" w:lineRule="exact"/>
              <w:rPr>
                <w:sz w:val="20"/>
                <w:szCs w:val="20"/>
                <w:color w:val="auto"/>
              </w:rPr>
            </w:pPr>
            <w:r>
              <w:rPr>
                <w:rFonts w:ascii="Times New Roman" w:cs="Times New Roman" w:eastAsia="Times New Roman" w:hAnsi="Times New Roman"/>
                <w:sz w:val="20"/>
                <w:szCs w:val="20"/>
                <w:color w:val="auto"/>
              </w:rPr>
              <w:t>/s/ Anders Hove</w:t>
            </w:r>
          </w:p>
        </w:tc>
        <w:tc>
          <w:tcPr>
            <w:tcW w:w="0" w:type="dxa"/>
            <w:vAlign w:val="bottom"/>
          </w:tcPr>
          <w:p>
            <w:pPr>
              <w:spacing w:after="0"/>
              <w:rPr>
                <w:sz w:val="1"/>
                <w:szCs w:val="1"/>
                <w:color w:val="auto"/>
              </w:rPr>
            </w:pPr>
          </w:p>
        </w:tc>
      </w:tr>
      <w:tr>
        <w:trPr>
          <w:trHeight w:val="23"/>
        </w:trPr>
        <w:tc>
          <w:tcPr>
            <w:tcW w:w="5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5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60" w:type="dxa"/>
            <w:vAlign w:val="bottom"/>
            <w:vMerge w:val="continue"/>
          </w:tcPr>
          <w:p>
            <w:pPr>
              <w:spacing w:after="0"/>
              <w:rPr>
                <w:sz w:val="17"/>
                <w:szCs w:val="17"/>
                <w:color w:val="auto"/>
              </w:rPr>
            </w:pPr>
          </w:p>
        </w:tc>
        <w:tc>
          <w:tcPr>
            <w:tcW w:w="5160" w:type="dxa"/>
            <w:vAlign w:val="bottom"/>
          </w:tcPr>
          <w:p>
            <w:pPr>
              <w:ind w:left="440"/>
              <w:spacing w:after="0" w:line="200" w:lineRule="exact"/>
              <w:rPr>
                <w:sz w:val="20"/>
                <w:szCs w:val="20"/>
                <w:color w:val="auto"/>
              </w:rPr>
            </w:pPr>
            <w:r>
              <w:rPr>
                <w:rFonts w:ascii="Times New Roman" w:cs="Times New Roman" w:eastAsia="Times New Roman" w:hAnsi="Times New Roman"/>
                <w:sz w:val="20"/>
                <w:szCs w:val="20"/>
                <w:color w:val="auto"/>
              </w:rPr>
              <w:t>Anders Hove</w:t>
            </w:r>
          </w:p>
        </w:tc>
        <w:tc>
          <w:tcPr>
            <w:tcW w:w="0" w:type="dxa"/>
            <w:vAlign w:val="bottom"/>
          </w:tcPr>
          <w:p>
            <w:pPr>
              <w:spacing w:after="0"/>
              <w:rPr>
                <w:sz w:val="1"/>
                <w:szCs w:val="1"/>
                <w:color w:val="auto"/>
              </w:rPr>
            </w:pP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1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Manager</w:t>
            </w:r>
          </w:p>
        </w:tc>
        <w:tc>
          <w:tcPr>
            <w:tcW w:w="0" w:type="dxa"/>
            <w:vAlign w:val="bottom"/>
          </w:tcPr>
          <w:p>
            <w:pPr>
              <w:spacing w:after="0"/>
              <w:rPr>
                <w:sz w:val="1"/>
                <w:szCs w:val="1"/>
                <w:color w:val="auto"/>
              </w:rPr>
            </w:pPr>
          </w:p>
        </w:tc>
      </w:tr>
      <w:tr>
        <w:trPr>
          <w:trHeight w:val="660"/>
        </w:trPr>
        <w:tc>
          <w:tcPr>
            <w:tcW w:w="57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ACORN CAPITAL ADVISORS GP 2, LLC</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Anders Hove</w:t>
            </w:r>
          </w:p>
        </w:tc>
        <w:tc>
          <w:tcPr>
            <w:tcW w:w="0" w:type="dxa"/>
            <w:vAlign w:val="bottom"/>
          </w:tcPr>
          <w:p>
            <w:pPr>
              <w:spacing w:after="0"/>
              <w:rPr>
                <w:sz w:val="1"/>
                <w:szCs w:val="1"/>
                <w:color w:val="auto"/>
              </w:rPr>
            </w:pPr>
          </w:p>
        </w:tc>
      </w:tr>
      <w:tr>
        <w:trPr>
          <w:trHeight w:val="23"/>
        </w:trPr>
        <w:tc>
          <w:tcPr>
            <w:tcW w:w="5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5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60" w:type="dxa"/>
            <w:vAlign w:val="bottom"/>
            <w:vMerge w:val="continue"/>
          </w:tcPr>
          <w:p>
            <w:pPr>
              <w:spacing w:after="0"/>
              <w:rPr>
                <w:sz w:val="17"/>
                <w:szCs w:val="17"/>
                <w:color w:val="auto"/>
              </w:rPr>
            </w:pPr>
          </w:p>
        </w:tc>
        <w:tc>
          <w:tcPr>
            <w:tcW w:w="5160" w:type="dxa"/>
            <w:vAlign w:val="bottom"/>
          </w:tcPr>
          <w:p>
            <w:pPr>
              <w:ind w:left="440"/>
              <w:spacing w:after="0" w:line="200" w:lineRule="exact"/>
              <w:rPr>
                <w:sz w:val="20"/>
                <w:szCs w:val="20"/>
                <w:color w:val="auto"/>
              </w:rPr>
            </w:pPr>
            <w:r>
              <w:rPr>
                <w:rFonts w:ascii="Times New Roman" w:cs="Times New Roman" w:eastAsia="Times New Roman" w:hAnsi="Times New Roman"/>
                <w:sz w:val="20"/>
                <w:szCs w:val="20"/>
                <w:color w:val="auto"/>
              </w:rPr>
              <w:t>Anders Hove</w:t>
            </w:r>
          </w:p>
        </w:tc>
        <w:tc>
          <w:tcPr>
            <w:tcW w:w="0" w:type="dxa"/>
            <w:vAlign w:val="bottom"/>
          </w:tcPr>
          <w:p>
            <w:pPr>
              <w:spacing w:after="0"/>
              <w:rPr>
                <w:sz w:val="1"/>
                <w:szCs w:val="1"/>
                <w:color w:val="auto"/>
              </w:rPr>
            </w:pP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1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Manager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b w:val="1"/>
          <w:bCs w:val="1"/>
          <w:color w:val="auto"/>
        </w:rPr>
        <w:t>ANDERS HOVE</w:t>
      </w:r>
    </w:p>
    <w:p>
      <w:pPr>
        <w:spacing w:after="0" w:line="2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/s/ Anders Hove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0</wp:posOffset>
            </wp:positionV>
            <wp:extent cx="3703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0" w:name="page11"/>
    <w:bookmarkEnd w:id="10"/>
    <w:p>
      <w:pPr>
        <w:spacing w:after="0"/>
        <w:tabs>
          <w:tab w:leader="none" w:pos="5460" w:val="left"/>
          <w:tab w:leader="none" w:pos="9740" w:val="left"/>
        </w:tabs>
        <w:rPr>
          <w:sz w:val="20"/>
          <w:szCs w:val="20"/>
          <w:color w:val="auto"/>
        </w:rPr>
      </w:pPr>
      <w:r>
        <w:rPr>
          <w:rFonts w:ascii="Times New Roman" w:cs="Times New Roman" w:eastAsia="Times New Roman" w:hAnsi="Times New Roman"/>
          <w:sz w:val="18"/>
          <w:szCs w:val="18"/>
          <w:b w:val="1"/>
          <w:bCs w:val="1"/>
          <w:color w:val="auto"/>
        </w:rPr>
        <w:t>CUSIP No. 984241109</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11 of 11 Pages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JOINT FILING AGREEMENT</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Date: April 3, 2023</w:t>
      </w:r>
    </w:p>
    <w:p>
      <w:pPr>
        <w:spacing w:after="0" w:line="2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b w:val="1"/>
          <w:bCs w:val="1"/>
          <w:color w:val="auto"/>
        </w:rPr>
        <w:t>ACORN BIOVENTURES, L.P.</w:t>
      </w:r>
    </w:p>
    <w:p>
      <w:pPr>
        <w:ind w:left="5520"/>
        <w:spacing w:after="0"/>
        <w:rPr>
          <w:sz w:val="20"/>
          <w:szCs w:val="20"/>
          <w:color w:val="auto"/>
        </w:rPr>
      </w:pPr>
      <w:r>
        <w:rPr>
          <w:rFonts w:ascii="Times New Roman" w:cs="Times New Roman" w:eastAsia="Times New Roman" w:hAnsi="Times New Roman"/>
          <w:sz w:val="20"/>
          <w:szCs w:val="20"/>
          <w:color w:val="auto"/>
        </w:rPr>
        <w:t>By: ACORN CAPITAL ADVISORS GP, LLC, its General Partner</w:t>
      </w:r>
    </w:p>
    <w:tbl>
      <w:tblPr>
        <w:tblLayout w:type="fixed"/>
        <w:tblInd w:w="5520" w:type="dxa"/>
        <w:tblCellMar>
          <w:top w:w="0" w:type="dxa"/>
          <w:left w:w="0" w:type="dxa"/>
          <w:bottom w:w="0" w:type="dxa"/>
          <w:right w:w="0" w:type="dxa"/>
        </w:tblCellMar>
      </w:tblPr>
      <w:tr>
        <w:trPr>
          <w:trHeight w:val="208"/>
        </w:trPr>
        <w:tc>
          <w:tcPr>
            <w:tcW w:w="56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By:</w:t>
            </w:r>
          </w:p>
        </w:tc>
        <w:tc>
          <w:tcPr>
            <w:tcW w:w="5160" w:type="dxa"/>
            <w:vAlign w:val="bottom"/>
          </w:tcPr>
          <w:p>
            <w:pPr>
              <w:ind w:left="100"/>
              <w:spacing w:after="0" w:line="207" w:lineRule="exact"/>
              <w:rPr>
                <w:sz w:val="20"/>
                <w:szCs w:val="20"/>
                <w:color w:val="auto"/>
              </w:rPr>
            </w:pPr>
            <w:r>
              <w:rPr>
                <w:rFonts w:ascii="Times New Roman" w:cs="Times New Roman" w:eastAsia="Times New Roman" w:hAnsi="Times New Roman"/>
                <w:sz w:val="20"/>
                <w:szCs w:val="20"/>
                <w:color w:val="auto"/>
              </w:rPr>
              <w:t>/s/ Anders Hove</w:t>
            </w:r>
          </w:p>
        </w:tc>
        <w:tc>
          <w:tcPr>
            <w:tcW w:w="0" w:type="dxa"/>
            <w:vAlign w:val="bottom"/>
          </w:tcPr>
          <w:p>
            <w:pPr>
              <w:spacing w:after="0"/>
              <w:rPr>
                <w:sz w:val="1"/>
                <w:szCs w:val="1"/>
                <w:color w:val="auto"/>
              </w:rPr>
            </w:pPr>
          </w:p>
        </w:tc>
      </w:tr>
      <w:tr>
        <w:trPr>
          <w:trHeight w:val="23"/>
        </w:trPr>
        <w:tc>
          <w:tcPr>
            <w:tcW w:w="5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5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60" w:type="dxa"/>
            <w:vAlign w:val="bottom"/>
            <w:vMerge w:val="continue"/>
          </w:tcPr>
          <w:p>
            <w:pPr>
              <w:spacing w:after="0"/>
              <w:rPr>
                <w:sz w:val="17"/>
                <w:szCs w:val="17"/>
                <w:color w:val="auto"/>
              </w:rPr>
            </w:pPr>
          </w:p>
        </w:tc>
        <w:tc>
          <w:tcPr>
            <w:tcW w:w="5160" w:type="dxa"/>
            <w:vAlign w:val="bottom"/>
          </w:tcPr>
          <w:p>
            <w:pPr>
              <w:ind w:left="440"/>
              <w:spacing w:after="0" w:line="200" w:lineRule="exact"/>
              <w:rPr>
                <w:sz w:val="20"/>
                <w:szCs w:val="20"/>
                <w:color w:val="auto"/>
              </w:rPr>
            </w:pPr>
            <w:r>
              <w:rPr>
                <w:rFonts w:ascii="Times New Roman" w:cs="Times New Roman" w:eastAsia="Times New Roman" w:hAnsi="Times New Roman"/>
                <w:sz w:val="20"/>
                <w:szCs w:val="20"/>
                <w:color w:val="auto"/>
              </w:rPr>
              <w:t>Anders Hove</w:t>
            </w:r>
          </w:p>
        </w:tc>
        <w:tc>
          <w:tcPr>
            <w:tcW w:w="0" w:type="dxa"/>
            <w:vAlign w:val="bottom"/>
          </w:tcPr>
          <w:p>
            <w:pPr>
              <w:spacing w:after="0"/>
              <w:rPr>
                <w:sz w:val="1"/>
                <w:szCs w:val="1"/>
                <w:color w:val="auto"/>
              </w:rPr>
            </w:pP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1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Manager</w:t>
            </w:r>
          </w:p>
        </w:tc>
        <w:tc>
          <w:tcPr>
            <w:tcW w:w="0" w:type="dxa"/>
            <w:vAlign w:val="bottom"/>
          </w:tcPr>
          <w:p>
            <w:pPr>
              <w:spacing w:after="0"/>
              <w:rPr>
                <w:sz w:val="1"/>
                <w:szCs w:val="1"/>
                <w:color w:val="auto"/>
              </w:rPr>
            </w:pPr>
          </w:p>
        </w:tc>
      </w:tr>
      <w:tr>
        <w:trPr>
          <w:trHeight w:val="660"/>
        </w:trPr>
        <w:tc>
          <w:tcPr>
            <w:tcW w:w="57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ACORN CAPITAL ADVISORS GP, LLC</w:t>
            </w:r>
          </w:p>
        </w:tc>
        <w:tc>
          <w:tcPr>
            <w:tcW w:w="0" w:type="dxa"/>
            <w:vAlign w:val="bottom"/>
          </w:tcPr>
          <w:p>
            <w:pPr>
              <w:spacing w:after="0"/>
              <w:rPr>
                <w:sz w:val="1"/>
                <w:szCs w:val="1"/>
                <w:color w:val="auto"/>
              </w:rPr>
            </w:pPr>
          </w:p>
        </w:tc>
      </w:tr>
      <w:tr>
        <w:trPr>
          <w:trHeight w:val="229"/>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Anders Hove</w:t>
            </w:r>
          </w:p>
        </w:tc>
        <w:tc>
          <w:tcPr>
            <w:tcW w:w="0" w:type="dxa"/>
            <w:vAlign w:val="bottom"/>
          </w:tcPr>
          <w:p>
            <w:pPr>
              <w:spacing w:after="0"/>
              <w:rPr>
                <w:sz w:val="1"/>
                <w:szCs w:val="1"/>
                <w:color w:val="auto"/>
              </w:rPr>
            </w:pPr>
          </w:p>
        </w:tc>
      </w:tr>
      <w:tr>
        <w:trPr>
          <w:trHeight w:val="23"/>
        </w:trPr>
        <w:tc>
          <w:tcPr>
            <w:tcW w:w="5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5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60" w:type="dxa"/>
            <w:vAlign w:val="bottom"/>
            <w:vMerge w:val="continue"/>
          </w:tcPr>
          <w:p>
            <w:pPr>
              <w:spacing w:after="0"/>
              <w:rPr>
                <w:sz w:val="17"/>
                <w:szCs w:val="17"/>
                <w:color w:val="auto"/>
              </w:rPr>
            </w:pPr>
          </w:p>
        </w:tc>
        <w:tc>
          <w:tcPr>
            <w:tcW w:w="5160" w:type="dxa"/>
            <w:vAlign w:val="bottom"/>
          </w:tcPr>
          <w:p>
            <w:pPr>
              <w:ind w:left="440"/>
              <w:spacing w:after="0" w:line="200" w:lineRule="exact"/>
              <w:rPr>
                <w:sz w:val="20"/>
                <w:szCs w:val="20"/>
                <w:color w:val="auto"/>
              </w:rPr>
            </w:pPr>
            <w:r>
              <w:rPr>
                <w:rFonts w:ascii="Times New Roman" w:cs="Times New Roman" w:eastAsia="Times New Roman" w:hAnsi="Times New Roman"/>
                <w:sz w:val="20"/>
                <w:szCs w:val="20"/>
                <w:color w:val="auto"/>
              </w:rPr>
              <w:t>Anders Hove</w:t>
            </w:r>
          </w:p>
        </w:tc>
        <w:tc>
          <w:tcPr>
            <w:tcW w:w="0" w:type="dxa"/>
            <w:vAlign w:val="bottom"/>
          </w:tcPr>
          <w:p>
            <w:pPr>
              <w:spacing w:after="0"/>
              <w:rPr>
                <w:sz w:val="1"/>
                <w:szCs w:val="1"/>
                <w:color w:val="auto"/>
              </w:rPr>
            </w:pP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1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Manager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b w:val="1"/>
          <w:bCs w:val="1"/>
          <w:color w:val="auto"/>
        </w:rPr>
        <w:t>ACORN BIOVENTURES 2, L.P.</w:t>
      </w:r>
    </w:p>
    <w:p>
      <w:pPr>
        <w:spacing w:after="0" w:line="2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By: ACORN CAPITAL ADVISORS GP 2, LLC, its General Partner</w:t>
      </w:r>
    </w:p>
    <w:tbl>
      <w:tblPr>
        <w:tblLayout w:type="fixed"/>
        <w:tblInd w:w="5520" w:type="dxa"/>
        <w:tblCellMar>
          <w:top w:w="0" w:type="dxa"/>
          <w:left w:w="0" w:type="dxa"/>
          <w:bottom w:w="0" w:type="dxa"/>
          <w:right w:w="0" w:type="dxa"/>
        </w:tblCellMar>
      </w:tblPr>
      <w:tr>
        <w:trPr>
          <w:trHeight w:val="208"/>
        </w:trPr>
        <w:tc>
          <w:tcPr>
            <w:tcW w:w="560" w:type="dxa"/>
            <w:vAlign w:val="bottom"/>
          </w:tcPr>
          <w:p>
            <w:pPr>
              <w:spacing w:after="0" w:line="207" w:lineRule="exact"/>
              <w:rPr>
                <w:sz w:val="20"/>
                <w:szCs w:val="20"/>
                <w:color w:val="auto"/>
              </w:rPr>
            </w:pPr>
            <w:r>
              <w:rPr>
                <w:rFonts w:ascii="Times New Roman" w:cs="Times New Roman" w:eastAsia="Times New Roman" w:hAnsi="Times New Roman"/>
                <w:sz w:val="20"/>
                <w:szCs w:val="20"/>
                <w:color w:val="auto"/>
              </w:rPr>
              <w:t>By:</w:t>
            </w:r>
          </w:p>
        </w:tc>
        <w:tc>
          <w:tcPr>
            <w:tcW w:w="5160" w:type="dxa"/>
            <w:vAlign w:val="bottom"/>
          </w:tcPr>
          <w:p>
            <w:pPr>
              <w:ind w:left="100"/>
              <w:spacing w:after="0" w:line="207" w:lineRule="exact"/>
              <w:rPr>
                <w:sz w:val="20"/>
                <w:szCs w:val="20"/>
                <w:color w:val="auto"/>
              </w:rPr>
            </w:pPr>
            <w:r>
              <w:rPr>
                <w:rFonts w:ascii="Times New Roman" w:cs="Times New Roman" w:eastAsia="Times New Roman" w:hAnsi="Times New Roman"/>
                <w:sz w:val="20"/>
                <w:szCs w:val="20"/>
                <w:color w:val="auto"/>
              </w:rPr>
              <w:t>/s/ Anders Hove</w:t>
            </w:r>
          </w:p>
        </w:tc>
        <w:tc>
          <w:tcPr>
            <w:tcW w:w="0" w:type="dxa"/>
            <w:vAlign w:val="bottom"/>
          </w:tcPr>
          <w:p>
            <w:pPr>
              <w:spacing w:after="0"/>
              <w:rPr>
                <w:sz w:val="1"/>
                <w:szCs w:val="1"/>
                <w:color w:val="auto"/>
              </w:rPr>
            </w:pPr>
          </w:p>
        </w:tc>
      </w:tr>
      <w:tr>
        <w:trPr>
          <w:trHeight w:val="23"/>
        </w:trPr>
        <w:tc>
          <w:tcPr>
            <w:tcW w:w="5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5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60" w:type="dxa"/>
            <w:vAlign w:val="bottom"/>
            <w:vMerge w:val="continue"/>
          </w:tcPr>
          <w:p>
            <w:pPr>
              <w:spacing w:after="0"/>
              <w:rPr>
                <w:sz w:val="17"/>
                <w:szCs w:val="17"/>
                <w:color w:val="auto"/>
              </w:rPr>
            </w:pPr>
          </w:p>
        </w:tc>
        <w:tc>
          <w:tcPr>
            <w:tcW w:w="5160" w:type="dxa"/>
            <w:vAlign w:val="bottom"/>
          </w:tcPr>
          <w:p>
            <w:pPr>
              <w:ind w:left="440"/>
              <w:spacing w:after="0" w:line="200" w:lineRule="exact"/>
              <w:rPr>
                <w:sz w:val="20"/>
                <w:szCs w:val="20"/>
                <w:color w:val="auto"/>
              </w:rPr>
            </w:pPr>
            <w:r>
              <w:rPr>
                <w:rFonts w:ascii="Times New Roman" w:cs="Times New Roman" w:eastAsia="Times New Roman" w:hAnsi="Times New Roman"/>
                <w:sz w:val="20"/>
                <w:szCs w:val="20"/>
                <w:color w:val="auto"/>
              </w:rPr>
              <w:t>Anders Hove</w:t>
            </w:r>
          </w:p>
        </w:tc>
        <w:tc>
          <w:tcPr>
            <w:tcW w:w="0" w:type="dxa"/>
            <w:vAlign w:val="bottom"/>
          </w:tcPr>
          <w:p>
            <w:pPr>
              <w:spacing w:after="0"/>
              <w:rPr>
                <w:sz w:val="1"/>
                <w:szCs w:val="1"/>
                <w:color w:val="auto"/>
              </w:rPr>
            </w:pP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1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Manager</w:t>
            </w:r>
          </w:p>
        </w:tc>
        <w:tc>
          <w:tcPr>
            <w:tcW w:w="0" w:type="dxa"/>
            <w:vAlign w:val="bottom"/>
          </w:tcPr>
          <w:p>
            <w:pPr>
              <w:spacing w:after="0"/>
              <w:rPr>
                <w:sz w:val="1"/>
                <w:szCs w:val="1"/>
                <w:color w:val="auto"/>
              </w:rPr>
            </w:pPr>
          </w:p>
        </w:tc>
      </w:tr>
      <w:tr>
        <w:trPr>
          <w:trHeight w:val="660"/>
        </w:trPr>
        <w:tc>
          <w:tcPr>
            <w:tcW w:w="57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ACORN CAPITAL ADVISORS GP 2, LLC</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5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 Anders Hove</w:t>
            </w:r>
          </w:p>
        </w:tc>
        <w:tc>
          <w:tcPr>
            <w:tcW w:w="0" w:type="dxa"/>
            <w:vAlign w:val="bottom"/>
          </w:tcPr>
          <w:p>
            <w:pPr>
              <w:spacing w:after="0"/>
              <w:rPr>
                <w:sz w:val="1"/>
                <w:szCs w:val="1"/>
                <w:color w:val="auto"/>
              </w:rPr>
            </w:pPr>
          </w:p>
        </w:tc>
      </w:tr>
      <w:tr>
        <w:trPr>
          <w:trHeight w:val="23"/>
        </w:trPr>
        <w:tc>
          <w:tcPr>
            <w:tcW w:w="5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5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560" w:type="dxa"/>
            <w:vAlign w:val="bottom"/>
            <w:vMerge w:val="continue"/>
          </w:tcPr>
          <w:p>
            <w:pPr>
              <w:spacing w:after="0"/>
              <w:rPr>
                <w:sz w:val="17"/>
                <w:szCs w:val="17"/>
                <w:color w:val="auto"/>
              </w:rPr>
            </w:pPr>
          </w:p>
        </w:tc>
        <w:tc>
          <w:tcPr>
            <w:tcW w:w="5160" w:type="dxa"/>
            <w:vAlign w:val="bottom"/>
          </w:tcPr>
          <w:p>
            <w:pPr>
              <w:ind w:left="440"/>
              <w:spacing w:after="0" w:line="200" w:lineRule="exact"/>
              <w:rPr>
                <w:sz w:val="20"/>
                <w:szCs w:val="20"/>
                <w:color w:val="auto"/>
              </w:rPr>
            </w:pPr>
            <w:r>
              <w:rPr>
                <w:rFonts w:ascii="Times New Roman" w:cs="Times New Roman" w:eastAsia="Times New Roman" w:hAnsi="Times New Roman"/>
                <w:sz w:val="20"/>
                <w:szCs w:val="20"/>
                <w:color w:val="auto"/>
              </w:rPr>
              <w:t>Anders Hove</w:t>
            </w:r>
          </w:p>
        </w:tc>
        <w:tc>
          <w:tcPr>
            <w:tcW w:w="0" w:type="dxa"/>
            <w:vAlign w:val="bottom"/>
          </w:tcPr>
          <w:p>
            <w:pPr>
              <w:spacing w:after="0"/>
              <w:rPr>
                <w:sz w:val="1"/>
                <w:szCs w:val="1"/>
                <w:color w:val="auto"/>
              </w:rPr>
            </w:pPr>
          </w:p>
        </w:tc>
      </w:tr>
      <w:tr>
        <w:trPr>
          <w:trHeight w:val="258"/>
        </w:trPr>
        <w:tc>
          <w:tcPr>
            <w:tcW w:w="5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516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Manager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b w:val="1"/>
          <w:bCs w:val="1"/>
          <w:color w:val="auto"/>
        </w:rPr>
        <w:t>ANDERS HOVE</w:t>
      </w:r>
    </w:p>
    <w:p>
      <w:pPr>
        <w:spacing w:after="0" w:line="2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/s/ Anders Hove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0</wp:posOffset>
            </wp:positionV>
            <wp:extent cx="3703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bullet"/>
      <w:start w:val="1"/>
    </w:lvl>
  </w:abstractNum>
  <w:abstractNum w:abstractNumId="2">
    <w:nsid w:val="140E0F76"/>
    <w:multiLevelType w:val="hybridMultilevel"/>
    <w:lvl w:ilvl="0">
      <w:lvlJc w:val="left"/>
      <w:lvlText w:val="2"/>
      <w:numFmt w:val="bullet"/>
      <w:start w:val="1"/>
    </w:lvl>
  </w:abstractNum>
  <w:abstractNum w:abstractNumId="3">
    <w:nsid w:val="3352255A"/>
    <w:multiLevelType w:val="hybridMultilevel"/>
    <w:lvl w:ilvl="0">
      <w:lvlJc w:val="left"/>
      <w:lvlText w:val="3"/>
      <w:numFmt w:val="bullet"/>
      <w:start w:val="1"/>
    </w:lvl>
  </w:abstractNum>
  <w:abstractNum w:abstractNumId="4">
    <w:nsid w:val="109CF92E"/>
    <w:multiLevelType w:val="hybridMultilevel"/>
    <w:lvl w:ilvl="0">
      <w:lvlJc w:val="left"/>
      <w:lvlText w:val="(%1)"/>
      <w:numFmt w:val="lowerLetter"/>
      <w:start w:val="1"/>
    </w:lvl>
  </w:abstractNum>
  <w:abstractNum w:abstractNumId="5">
    <w:nsid w:val="DED7263"/>
    <w:multiLevelType w:val="hybridMultilevel"/>
    <w:lvl w:ilvl="0">
      <w:lvlJc w:val="left"/>
      <w:lvlText w:val="1"/>
      <w:numFmt w:val="bullet"/>
      <w:start w:val="1"/>
    </w:lvl>
  </w:abstractNum>
  <w:abstractNum w:abstractNumId="6">
    <w:nsid w:val="7FDCC233"/>
    <w:multiLevelType w:val="hybridMultilevel"/>
    <w:lvl w:ilvl="0">
      <w:lvlJc w:val="left"/>
      <w:lvlText w:val="2"/>
      <w:numFmt w:val="bullet"/>
      <w:start w:val="1"/>
    </w:lvl>
  </w:abstractNum>
  <w:abstractNum w:abstractNumId="7">
    <w:nsid w:val="1BEFD79F"/>
    <w:multiLevelType w:val="hybridMultilevel"/>
    <w:lvl w:ilvl="0">
      <w:lvlJc w:val="left"/>
      <w:lvlText w:val="3"/>
      <w:numFmt w:val="bullet"/>
      <w:start w:val="1"/>
    </w:lvl>
  </w:abstractNum>
  <w:abstractNum w:abstractNumId="8">
    <w:nsid w:val="41A7C4C9"/>
    <w:multiLevelType w:val="hybridMultilevel"/>
    <w:lvl w:ilvl="0">
      <w:lvlJc w:val="left"/>
      <w:lvlText w:val="(%1)"/>
      <w:numFmt w:val="lowerLetter"/>
      <w:start w:val="1"/>
    </w:lvl>
  </w:abstractNum>
  <w:abstractNum w:abstractNumId="9">
    <w:nsid w:val="6B68079A"/>
    <w:multiLevelType w:val="hybridMultilevel"/>
    <w:lvl w:ilvl="0">
      <w:lvlJc w:val="left"/>
      <w:lvlText w:val="1"/>
      <w:numFmt w:val="bullet"/>
      <w:start w:val="1"/>
    </w:lvl>
  </w:abstractNum>
  <w:abstractNum w:abstractNumId="10">
    <w:nsid w:val="4E6AFB66"/>
    <w:multiLevelType w:val="hybridMultilevel"/>
    <w:lvl w:ilvl="0">
      <w:lvlJc w:val="left"/>
      <w:lvlText w:val="2"/>
      <w:numFmt w:val="bullet"/>
      <w:start w:val="1"/>
    </w:lvl>
  </w:abstractNum>
  <w:abstractNum w:abstractNumId="11">
    <w:nsid w:val="25E45D32"/>
    <w:multiLevelType w:val="hybridMultilevel"/>
    <w:lvl w:ilvl="0">
      <w:lvlJc w:val="left"/>
      <w:lvlText w:val="3"/>
      <w:numFmt w:val="bullet"/>
      <w:start w:val="1"/>
    </w:lvl>
  </w:abstractNum>
  <w:abstractNum w:abstractNumId="12">
    <w:nsid w:val="519B500D"/>
    <w:multiLevelType w:val="hybridMultilevel"/>
    <w:lvl w:ilvl="0">
      <w:lvlJc w:val="left"/>
      <w:lvlText w:val="(%1)"/>
      <w:numFmt w:val="lowerLetter"/>
      <w:start w:val="1"/>
    </w:lvl>
  </w:abstractNum>
  <w:abstractNum w:abstractNumId="13">
    <w:nsid w:val="431BD7B7"/>
    <w:multiLevelType w:val="hybridMultilevel"/>
    <w:lvl w:ilvl="0">
      <w:lvlJc w:val="left"/>
      <w:lvlText w:val="1"/>
      <w:numFmt w:val="bullet"/>
      <w:start w:val="1"/>
    </w:lvl>
  </w:abstractNum>
  <w:abstractNum w:abstractNumId="14">
    <w:nsid w:val="3F2DBA31"/>
    <w:multiLevelType w:val="hybridMultilevel"/>
    <w:lvl w:ilvl="0">
      <w:lvlJc w:val="left"/>
      <w:lvlText w:val="2"/>
      <w:numFmt w:val="bullet"/>
      <w:start w:val="1"/>
    </w:lvl>
  </w:abstractNum>
  <w:abstractNum w:abstractNumId="15">
    <w:nsid w:val="7C83E458"/>
    <w:multiLevelType w:val="hybridMultilevel"/>
    <w:lvl w:ilvl="0">
      <w:lvlJc w:val="left"/>
      <w:lvlText w:val="3"/>
      <w:numFmt w:val="bullet"/>
      <w:start w:val="1"/>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bullet"/>
      <w:start w:val="1"/>
    </w:lvl>
  </w:abstractNum>
  <w:abstractNum w:abstractNumId="18">
    <w:nsid w:val="436C6125"/>
    <w:multiLevelType w:val="hybridMultilevel"/>
    <w:lvl w:ilvl="0">
      <w:lvlJc w:val="left"/>
      <w:lvlText w:val="2"/>
      <w:numFmt w:val="bullet"/>
      <w:start w:val="1"/>
    </w:lvl>
  </w:abstractNum>
  <w:abstractNum w:abstractNumId="19">
    <w:nsid w:val="628C895D"/>
    <w:multiLevelType w:val="hybridMultilevel"/>
    <w:lvl w:ilvl="0">
      <w:lvlJc w:val="left"/>
      <w:lvlText w:val="3"/>
      <w:numFmt w:val="bullet"/>
      <w:start w:val="1"/>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2023-04-03T12:49:46Z</dcterms:created>
  <dcterms:modified xsi:type="dcterms:W3CDTF">2023-04-03T12:49:46Z</dcterms:modified>
</cp:coreProperties>
</file>