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SCHEDULE 13G</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spacing w:after="0"/>
        <w:tabs>
          <w:tab w:leader="none" w:pos="220" w:val="left"/>
        </w:tabs>
        <w:rPr>
          <w:sz w:val="20"/>
          <w:szCs w:val="20"/>
          <w:color w:val="auto"/>
        </w:rPr>
      </w:pPr>
      <w:r>
        <w:rPr>
          <w:rFonts w:ascii="Arial" w:cs="Arial" w:eastAsia="Arial" w:hAnsi="Arial"/>
          <w:sz w:val="18"/>
          <w:szCs w:val="18"/>
          <w:b w:val="1"/>
          <w:bCs w:val="1"/>
          <w:color w:val="auto"/>
        </w:rPr>
        <w:t>(Amendment No.</w:t>
        <w:tab/>
        <w:t>)*</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984241109</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September 20, 2018</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79"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ind w:left="60"/>
              <w:spacing w:after="0"/>
              <w:rPr>
                <w:sz w:val="20"/>
                <w:szCs w:val="20"/>
                <w:color w:val="auto"/>
              </w:rPr>
            </w:pPr>
            <w:r>
              <w:rPr>
                <w:rFonts w:ascii="Arial" w:cs="Arial" w:eastAsia="Arial" w:hAnsi="Arial"/>
                <w:sz w:val="18"/>
                <w:szCs w:val="18"/>
                <w:color w:val="auto"/>
              </w:rPr>
              <w:t>CUSIP No. 74257L108</w:t>
            </w:r>
          </w:p>
        </w:tc>
        <w:tc>
          <w:tcPr>
            <w:tcW w:w="7760" w:type="dxa"/>
            <w:vAlign w:val="bottom"/>
          </w:tcPr>
          <w:p>
            <w:pPr>
              <w:ind w:left="1920"/>
              <w:spacing w:after="0"/>
              <w:rPr>
                <w:sz w:val="20"/>
                <w:szCs w:val="20"/>
                <w:color w:val="auto"/>
              </w:rPr>
            </w:pPr>
            <w:r>
              <w:rPr>
                <w:rFonts w:ascii="Arial" w:cs="Arial" w:eastAsia="Arial" w:hAnsi="Arial"/>
                <w:sz w:val="18"/>
                <w:szCs w:val="18"/>
                <w:b w:val="1"/>
                <w:bCs w:val="1"/>
                <w:color w:val="auto"/>
              </w:rPr>
              <w:t>13G</w:t>
            </w:r>
          </w:p>
        </w:tc>
      </w:tr>
      <w:tr>
        <w:trPr>
          <w:trHeight w:val="54"/>
        </w:trPr>
        <w:tc>
          <w:tcPr>
            <w:tcW w:w="3660" w:type="dxa"/>
            <w:vAlign w:val="bottom"/>
            <w:tcBorders>
              <w:bottom w:val="single" w:sz="8" w:color="auto"/>
            </w:tcBorders>
          </w:tcPr>
          <w:p>
            <w:pPr>
              <w:spacing w:after="0"/>
              <w:rPr>
                <w:sz w:val="4"/>
                <w:szCs w:val="4"/>
                <w:color w:val="auto"/>
              </w:rPr>
            </w:pPr>
          </w:p>
        </w:tc>
        <w:tc>
          <w:tcPr>
            <w:tcW w:w="7760" w:type="dxa"/>
            <w:vAlign w:val="bottom"/>
            <w:tcBorders>
              <w:bottom w:val="single" w:sz="8" w:color="auto"/>
            </w:tcBorders>
          </w:tcPr>
          <w:p>
            <w:pPr>
              <w:spacing w:after="0"/>
              <w:rPr>
                <w:sz w:val="4"/>
                <w:szCs w:val="4"/>
                <w:color w:val="auto"/>
              </w:rPr>
            </w:pPr>
          </w:p>
        </w:tc>
      </w:tr>
    </w:tbl>
    <w:p>
      <w:pPr>
        <w:spacing w:after="0" w:line="364" w:lineRule="exact"/>
        <w:rPr>
          <w:sz w:val="24"/>
          <w:szCs w:val="24"/>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HBM Healthcare Investments (Cayman) Ltd.</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1700" w:hanging="639"/>
        <w:spacing w:after="0"/>
        <w:tabs>
          <w:tab w:leader="none" w:pos="170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39"/>
        <w:spacing w:after="0"/>
        <w:tabs>
          <w:tab w:leader="none" w:pos="170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jc w:val="both"/>
        <w:ind w:left="1060" w:right="7740" w:hanging="620"/>
        <w:spacing w:after="0" w:line="342"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Citizenship or Place of Organization Cayman Islands, British West Indies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-563245</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-974725</wp:posOffset>
            </wp:positionV>
            <wp:extent cx="62090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-1189355</wp:posOffset>
            </wp:positionV>
            <wp:extent cx="62090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-1806575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420"/>
          </w:cols>
          <w:pgMar w:left="240" w:top="436" w:right="239" w:bottom="0" w:gutter="0" w:footer="0" w:header="0"/>
        </w:sectPr>
      </w:pPr>
    </w:p>
    <w:p>
      <w:pPr>
        <w:spacing w:after="0" w:line="353"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3,076,095</w:t>
      </w:r>
      <w:r>
        <w:rPr>
          <w:rFonts w:ascii="Arial" w:cs="Arial" w:eastAsia="Arial" w:hAnsi="Arial"/>
          <w:sz w:val="23"/>
          <w:szCs w:val="23"/>
          <w:color w:val="auto"/>
          <w:vertAlign w:val="superscript"/>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3810</wp:posOffset>
            </wp:positionV>
            <wp:extent cx="58661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349" w:lineRule="exact"/>
        <w:rPr>
          <w:sz w:val="24"/>
          <w:szCs w:val="24"/>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40005</wp:posOffset>
            </wp:positionV>
            <wp:extent cx="58661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3,076,095</w:t>
      </w:r>
      <w:r>
        <w:rPr>
          <w:rFonts w:ascii="Arial" w:cs="Arial" w:eastAsia="Arial" w:hAnsi="Arial"/>
          <w:sz w:val="23"/>
          <w:szCs w:val="23"/>
          <w:color w:val="auto"/>
          <w:vertAlign w:val="superscript"/>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3810</wp:posOffset>
            </wp:positionV>
            <wp:extent cx="58661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349" w:lineRule="exact"/>
        <w:rPr>
          <w:sz w:val="24"/>
          <w:szCs w:val="24"/>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40005</wp:posOffset>
            </wp:positionV>
            <wp:extent cx="58661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1800" w:space="440"/>
            <w:col w:w="9180"/>
          </w:cols>
          <w:pgMar w:left="240" w:top="436" w:right="239" w:bottom="0" w:gutter="0" w:footer="0" w:header="0"/>
          <w:type w:val="continuous"/>
        </w:sectPr>
      </w:pPr>
    </w:p>
    <w:p>
      <w:pPr>
        <w:spacing w:after="0" w:line="227" w:lineRule="exact"/>
        <w:rPr>
          <w:sz w:val="24"/>
          <w:szCs w:val="24"/>
          <w:color w:val="auto"/>
        </w:rPr>
      </w:pPr>
    </w:p>
    <w:p>
      <w:pPr>
        <w:ind w:left="1060" w:hanging="620"/>
        <w:spacing w:after="0"/>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w:t>
      </w:r>
    </w:p>
    <w:p>
      <w:pPr>
        <w:sectPr>
          <w:pgSz w:w="11900" w:h="16838" w:orient="portrait"/>
          <w:cols w:equalWidth="0" w:num="1">
            <w:col w:w="11420"/>
          </w:cols>
          <w:pgMar w:left="240" w:top="436" w:right="239" w:bottom="0" w:gutter="0" w:footer="0" w:header="0"/>
          <w:type w:val="continuous"/>
        </w:sectPr>
      </w:pPr>
    </w:p>
    <w:bookmarkStart w:id="1" w:name="page2"/>
    <w:bookmarkEnd w:id="1"/>
    <w:p>
      <w:pPr>
        <w:ind w:left="1060"/>
        <w:spacing w:after="0"/>
        <w:rPr>
          <w:sz w:val="20"/>
          <w:szCs w:val="20"/>
          <w:color w:val="auto"/>
        </w:rPr>
      </w:pPr>
      <w:r>
        <w:rPr>
          <w:rFonts w:ascii="Arial" w:cs="Arial" w:eastAsia="Arial" w:hAnsi="Arial"/>
          <w:sz w:val="18"/>
          <w:szCs w:val="18"/>
          <w:color w:val="auto"/>
        </w:rPr>
        <w:t xml:space="preserve">3,076,095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12700</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4" w:lineRule="exact"/>
        <w:rPr>
          <w:sz w:val="20"/>
          <w:szCs w:val="20"/>
          <w:color w:val="auto"/>
        </w:rPr>
      </w:pPr>
    </w:p>
    <w:p>
      <w:pPr>
        <w:ind w:left="1060" w:hanging="620"/>
        <w:spacing w:after="0"/>
        <w:tabs>
          <w:tab w:leader="none" w:pos="1060" w:val="left"/>
        </w:tabs>
        <w:numPr>
          <w:ilvl w:val="1"/>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6680" w:hanging="620"/>
        <w:spacing w:after="0" w:line="292" w:lineRule="auto"/>
        <w:tabs>
          <w:tab w:leader="none" w:pos="10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9.0%</w:t>
      </w:r>
      <w:r>
        <w:rPr>
          <w:rFonts w:ascii="Arial" w:cs="Arial" w:eastAsia="Arial" w:hAnsi="Arial"/>
          <w:sz w:val="23"/>
          <w:szCs w:val="23"/>
          <w:color w:val="auto"/>
          <w:vertAlign w:val="superscript"/>
        </w:rPr>
        <w:t>(2)</w:t>
      </w:r>
    </w:p>
    <w:p>
      <w:pPr>
        <w:spacing w:after="0" w:line="290" w:lineRule="exact"/>
        <w:rPr>
          <w:rFonts w:ascii="Arial" w:cs="Arial" w:eastAsia="Arial" w:hAnsi="Arial"/>
          <w:sz w:val="18"/>
          <w:szCs w:val="18"/>
          <w:color w:val="auto"/>
        </w:rPr>
      </w:pPr>
    </w:p>
    <w:p>
      <w:pPr>
        <w:ind w:left="1060" w:hanging="620"/>
        <w:spacing w:after="0"/>
        <w:tabs>
          <w:tab w:leader="none" w:pos="10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660" w:right="120" w:hanging="652"/>
        <w:spacing w:after="0" w:line="259" w:lineRule="auto"/>
        <w:tabs>
          <w:tab w:leader="none" w:pos="717" w:val="left"/>
        </w:tabs>
        <w:numPr>
          <w:ilvl w:val="0"/>
          <w:numId w:val="5"/>
        </w:numPr>
        <w:rPr>
          <w:rFonts w:ascii="Arial" w:cs="Arial" w:eastAsia="Arial" w:hAnsi="Arial"/>
          <w:sz w:val="18"/>
          <w:szCs w:val="18"/>
          <w:color w:val="auto"/>
        </w:rPr>
      </w:pPr>
      <w:r>
        <w:rPr>
          <w:rFonts w:ascii="Arial" w:cs="Arial" w:eastAsia="Arial" w:hAnsi="Arial"/>
          <w:sz w:val="18"/>
          <w:szCs w:val="18"/>
          <w:color w:val="auto"/>
        </w:rPr>
        <w:t>Voting and investment power over the shares held by HBM Healthcare Investments (Cayman) Ltd. is exercised by the board of directors of HBM Healthcare Investments (Cayman) Ltd. The board of directors of HBM Healthcare Investments (Cayman) Ltd. consists of Jean-Marc LeSieur, Richard H. Coles, Sophia Harris, Dr. Andreas Wicki, Mark Kronenfeld, M.D. and Richard Paul Woodhouse, none of whom has individual voting or investment power with respect to the shares.</w:t>
      </w:r>
    </w:p>
    <w:p>
      <w:pPr>
        <w:spacing w:after="0" w:line="186" w:lineRule="exact"/>
        <w:rPr>
          <w:rFonts w:ascii="Arial" w:cs="Arial" w:eastAsia="Arial" w:hAnsi="Arial"/>
          <w:sz w:val="18"/>
          <w:szCs w:val="18"/>
          <w:color w:val="auto"/>
        </w:rPr>
      </w:pPr>
    </w:p>
    <w:p>
      <w:pPr>
        <w:jc w:val="both"/>
        <w:ind w:left="660" w:right="180" w:hanging="652"/>
        <w:spacing w:after="0" w:line="286" w:lineRule="auto"/>
        <w:tabs>
          <w:tab w:leader="none" w:pos="717" w:val="left"/>
        </w:tabs>
        <w:numPr>
          <w:ilvl w:val="0"/>
          <w:numId w:val="5"/>
        </w:numPr>
        <w:rPr>
          <w:rFonts w:ascii="Arial" w:cs="Arial" w:eastAsia="Arial" w:hAnsi="Arial"/>
          <w:sz w:val="17"/>
          <w:szCs w:val="17"/>
          <w:color w:val="auto"/>
        </w:rPr>
      </w:pPr>
      <w:r>
        <w:rPr>
          <w:rFonts w:ascii="Arial" w:cs="Arial" w:eastAsia="Arial" w:hAnsi="Arial"/>
          <w:sz w:val="17"/>
          <w:szCs w:val="17"/>
          <w:color w:val="auto"/>
        </w:rPr>
        <w:t>This percentage is calculated based upon 34,193,666 shares of the Issuer’s Common Stock outstanding (includes the exercise of the underwriters’ overallotment), as set forth in Issuer’s Rule 424(b)(4) Prospectus, filed with the Securities and Exchange Commission on September 24, 2018. The Issuer’s press release dated September 25, 2018 reported that such overallotment was exercised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-1411605</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-1960245</wp:posOffset>
            </wp:positionV>
            <wp:extent cx="6612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-2509520</wp:posOffset>
            </wp:positionV>
            <wp:extent cx="6612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-1196975</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13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960" w:type="dxa"/>
            <w:vAlign w:val="bottom"/>
          </w:tcPr>
          <w:p>
            <w:pPr>
              <w:ind w:left="60"/>
              <w:spacing w:after="0"/>
              <w:rPr>
                <w:sz w:val="20"/>
                <w:szCs w:val="20"/>
                <w:color w:val="auto"/>
              </w:rPr>
            </w:pPr>
            <w:r>
              <w:rPr>
                <w:rFonts w:ascii="Arial" w:cs="Arial" w:eastAsia="Arial" w:hAnsi="Arial"/>
                <w:sz w:val="18"/>
                <w:szCs w:val="18"/>
                <w:color w:val="auto"/>
              </w:rPr>
              <w:t>Name of Issuer:</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Y-mAbs Therapeutics, Inc.</w:t>
            </w:r>
          </w:p>
        </w:tc>
        <w:tc>
          <w:tcPr>
            <w:tcW w:w="0" w:type="dxa"/>
            <w:vAlign w:val="bottom"/>
          </w:tcPr>
          <w:p>
            <w:pPr>
              <w:spacing w:after="0"/>
              <w:rPr>
                <w:sz w:val="1"/>
                <w:szCs w:val="1"/>
                <w:color w:val="auto"/>
              </w:rPr>
            </w:pPr>
          </w:p>
        </w:tc>
      </w:tr>
      <w:tr>
        <w:trPr>
          <w:trHeight w:val="54"/>
        </w:trPr>
        <w:tc>
          <w:tcPr>
            <w:tcW w:w="1340" w:type="dxa"/>
            <w:vAlign w:val="bottom"/>
            <w:vMerge w:val="restart"/>
          </w:tcPr>
          <w:p>
            <w:pPr>
              <w:spacing w:after="0"/>
              <w:rPr>
                <w:sz w:val="20"/>
                <w:szCs w:val="20"/>
                <w:color w:val="auto"/>
              </w:rPr>
            </w:pPr>
            <w:r>
              <w:rPr>
                <w:rFonts w:ascii="Arial" w:cs="Arial" w:eastAsia="Arial" w:hAnsi="Arial"/>
                <w:sz w:val="18"/>
                <w:szCs w:val="18"/>
                <w:b w:val="1"/>
                <w:bCs w:val="1"/>
                <w:color w:val="auto"/>
              </w:rPr>
              <w:t>Item 1(b).</w:t>
            </w:r>
          </w:p>
        </w:tc>
        <w:tc>
          <w:tcPr>
            <w:tcW w:w="9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1340" w:type="dxa"/>
            <w:vAlign w:val="bottom"/>
            <w:vMerge w:val="continue"/>
          </w:tcPr>
          <w:p>
            <w:pPr>
              <w:spacing w:after="0"/>
              <w:rPr>
                <w:sz w:val="21"/>
                <w:szCs w:val="21"/>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Address of Issuer’s Principal Executive Offices:</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230 Park Avenue</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33rd Floor</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New York, New York 10169</w:t>
            </w:r>
          </w:p>
        </w:tc>
        <w:tc>
          <w:tcPr>
            <w:tcW w:w="0" w:type="dxa"/>
            <w:vAlign w:val="bottom"/>
          </w:tcPr>
          <w:p>
            <w:pPr>
              <w:spacing w:after="0"/>
              <w:rPr>
                <w:sz w:val="1"/>
                <w:szCs w:val="1"/>
                <w:color w:val="auto"/>
              </w:rPr>
            </w:pPr>
          </w:p>
        </w:tc>
      </w:tr>
      <w:tr>
        <w:trPr>
          <w:trHeight w:val="54"/>
        </w:trPr>
        <w:tc>
          <w:tcPr>
            <w:tcW w:w="1340" w:type="dxa"/>
            <w:vAlign w:val="bottom"/>
          </w:tcPr>
          <w:p>
            <w:pPr>
              <w:spacing w:after="0"/>
              <w:rPr>
                <w:sz w:val="4"/>
                <w:szCs w:val="4"/>
                <w:color w:val="auto"/>
              </w:rPr>
            </w:pPr>
          </w:p>
        </w:tc>
        <w:tc>
          <w:tcPr>
            <w:tcW w:w="9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81" w:gutter="0" w:footer="0" w:header="0"/>
        </w:sectPr>
      </w:pPr>
    </w:p>
    <w:p>
      <w:pPr>
        <w:spacing w:after="0" w:line="146"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Item 2(a).</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Item 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Item 2(c).</w:t>
      </w:r>
    </w:p>
    <w:p>
      <w:pPr>
        <w:spacing w:after="0" w:line="358"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Item 2(d).</w:t>
      </w:r>
    </w:p>
    <w:p>
      <w:pPr>
        <w:spacing w:after="0" w:line="358"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Item 2(e).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of Person Filing:</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HBM Healthcare Investments (Cayman)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40005</wp:posOffset>
            </wp:positionV>
            <wp:extent cx="63201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Address of Principal Business Office or, if none, Residence: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Governors Square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Suite #4-212-2</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23 Lime Tree Bay Avenue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West Bay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Grand Cayman,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40005</wp:posOffset>
            </wp:positionV>
            <wp:extent cx="63201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Citizenship: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Cayman Islands, British West Indies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40005</wp:posOffset>
            </wp:positionV>
            <wp:extent cx="63201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of Class of Securities: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40005</wp:posOffset>
            </wp:positionV>
            <wp:extent cx="63201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CUSIP Number: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984241109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40005</wp:posOffset>
            </wp:positionV>
            <wp:extent cx="63201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this statement is filed pursuant to §§240.13d-1(b), or 240.13d-2(b) or (c), check whether the person filing is 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ectPr>
          <w:pgSz w:w="11900" w:h="16838" w:orient="portrait"/>
          <w:cols w:equalWidth="0" w:num="2">
            <w:col w:w="880" w:space="620"/>
            <w:col w:w="9920"/>
          </w:cols>
          <w:pgMar w:left="240" w:top="125" w:right="239" w:bottom="181" w:gutter="0" w:footer="0" w:header="0"/>
          <w:type w:val="continuous"/>
        </w:sectPr>
      </w:pP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00" w:lineRule="exact"/>
        <w:rPr>
          <w:sz w:val="20"/>
          <w:szCs w:val="20"/>
          <w:color w:val="auto"/>
        </w:rPr>
      </w:pPr>
    </w:p>
    <w:p>
      <w:pPr>
        <w:spacing w:after="0" w:line="299" w:lineRule="exact"/>
        <w:rPr>
          <w:sz w:val="20"/>
          <w:szCs w:val="20"/>
          <w:color w:val="auto"/>
        </w:rPr>
      </w:pPr>
    </w:p>
    <w:p>
      <w:pPr>
        <w:ind w:left="1660" w:hanging="394"/>
        <w:spacing w:after="0"/>
        <w:tabs>
          <w:tab w:leader="none" w:pos="1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63" w:lineRule="exact"/>
        <w:rPr>
          <w:rFonts w:ascii="Arial" w:cs="Arial" w:eastAsia="Arial" w:hAnsi="Arial"/>
          <w:sz w:val="18"/>
          <w:szCs w:val="18"/>
          <w:color w:val="auto"/>
        </w:rPr>
      </w:pPr>
    </w:p>
    <w:p>
      <w:pPr>
        <w:ind w:left="1660"/>
        <w:spacing w:after="0"/>
        <w:rPr>
          <w:rFonts w:ascii="Arial" w:cs="Arial" w:eastAsia="Arial" w:hAnsi="Arial"/>
          <w:sz w:val="18"/>
          <w:szCs w:val="18"/>
          <w:color w:val="auto"/>
        </w:rPr>
      </w:pPr>
      <w:r>
        <w:rPr>
          <w:rFonts w:ascii="Arial" w:cs="Arial" w:eastAsia="Arial" w:hAnsi="Arial"/>
          <w:sz w:val="18"/>
          <w:szCs w:val="18"/>
          <w:color w:val="auto"/>
        </w:rPr>
        <w:t>3,076,095</w:t>
      </w:r>
      <w:r>
        <w:rPr>
          <w:rFonts w:ascii="Arial" w:cs="Arial" w:eastAsia="Arial" w:hAnsi="Arial"/>
          <w:sz w:val="23"/>
          <w:szCs w:val="23"/>
          <w:color w:val="auto"/>
          <w:vertAlign w:val="superscript"/>
        </w:rPr>
        <w:t>(1)</w:t>
      </w:r>
    </w:p>
    <w:p>
      <w:pPr>
        <w:spacing w:after="0" w:line="181" w:lineRule="exact"/>
        <w:rPr>
          <w:rFonts w:ascii="Arial" w:cs="Arial" w:eastAsia="Arial" w:hAnsi="Arial"/>
          <w:sz w:val="18"/>
          <w:szCs w:val="18"/>
          <w:color w:val="auto"/>
        </w:rPr>
      </w:pPr>
    </w:p>
    <w:p>
      <w:pPr>
        <w:ind w:left="1660" w:hanging="400"/>
        <w:spacing w:after="0"/>
        <w:tabs>
          <w:tab w:leader="none" w:pos="1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60"/>
        <w:spacing w:after="0"/>
        <w:rPr>
          <w:rFonts w:ascii="Arial" w:cs="Arial" w:eastAsia="Arial" w:hAnsi="Arial"/>
          <w:sz w:val="18"/>
          <w:szCs w:val="18"/>
          <w:color w:val="auto"/>
        </w:rPr>
      </w:pPr>
      <w:r>
        <w:rPr>
          <w:rFonts w:ascii="Arial" w:cs="Arial" w:eastAsia="Arial" w:hAnsi="Arial"/>
          <w:sz w:val="18"/>
          <w:szCs w:val="18"/>
          <w:color w:val="auto"/>
        </w:rPr>
        <w:t>9.0%</w:t>
      </w:r>
      <w:r>
        <w:rPr>
          <w:rFonts w:ascii="Arial" w:cs="Arial" w:eastAsia="Arial" w:hAnsi="Arial"/>
          <w:sz w:val="23"/>
          <w:szCs w:val="23"/>
          <w:color w:val="auto"/>
          <w:vertAlign w:val="superscript"/>
        </w:rPr>
        <w:t>(2)</w:t>
      </w:r>
    </w:p>
    <w:p>
      <w:pPr>
        <w:spacing w:after="0" w:line="181" w:lineRule="exact"/>
        <w:rPr>
          <w:rFonts w:ascii="Arial" w:cs="Arial" w:eastAsia="Arial" w:hAnsi="Arial"/>
          <w:sz w:val="18"/>
          <w:szCs w:val="18"/>
          <w:color w:val="auto"/>
        </w:rPr>
      </w:pPr>
    </w:p>
    <w:p>
      <w:pPr>
        <w:ind w:left="1660" w:hanging="394"/>
        <w:spacing w:after="0"/>
        <w:tabs>
          <w:tab w:leader="none" w:pos="1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255270</wp:posOffset>
            </wp:positionV>
            <wp:extent cx="62344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-198755</wp:posOffset>
            </wp:positionV>
            <wp:extent cx="62344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-653415</wp:posOffset>
            </wp:positionV>
            <wp:extent cx="62344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ectPr>
          <w:pgSz w:w="11900" w:h="16838" w:orient="portrait"/>
          <w:cols w:equalWidth="0" w:num="1">
            <w:col w:w="11420"/>
          </w:cols>
          <w:pgMar w:left="240" w:top="125" w:right="239" w:bottom="181" w:gutter="0" w:footer="0" w:header="0"/>
          <w:type w:val="continuous"/>
        </w:sectPr>
      </w:pPr>
    </w:p>
    <w:bookmarkStart w:id="2" w:name="page3"/>
    <w:bookmarkEnd w:id="2"/>
    <w:p>
      <w:pPr>
        <w:ind w:left="2280" w:right="6340" w:hanging="453"/>
        <w:spacing w:after="0" w:line="341" w:lineRule="auto"/>
        <w:tabs>
          <w:tab w:leader="none" w:pos="2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to direct the vote 3,076,095</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-38100</wp:posOffset>
            </wp:positionV>
            <wp:extent cx="58400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6" w:lineRule="exact"/>
        <w:rPr>
          <w:sz w:val="20"/>
          <w:szCs w:val="20"/>
          <w:color w:val="auto"/>
        </w:rPr>
      </w:pPr>
    </w:p>
    <w:p>
      <w:pPr>
        <w:ind w:left="2280" w:right="6100" w:hanging="478"/>
        <w:spacing w:after="0" w:line="340" w:lineRule="auto"/>
        <w:tabs>
          <w:tab w:leader="none" w:pos="2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13970</wp:posOffset>
            </wp:positionV>
            <wp:extent cx="58400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80" w:right="5380" w:hanging="503"/>
        <w:spacing w:after="0" w:line="341" w:lineRule="auto"/>
        <w:tabs>
          <w:tab w:leader="none" w:pos="2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3,076,095</w:t>
      </w:r>
      <w:r>
        <w:rPr>
          <w:rFonts w:ascii="Arial" w:cs="Arial" w:eastAsia="Arial" w:hAnsi="Arial"/>
          <w:sz w:val="23"/>
          <w:szCs w:val="23"/>
          <w:color w:val="auto"/>
          <w:vertAlign w:val="superscript"/>
        </w:rPr>
        <w:t>(1)</w:t>
      </w:r>
    </w:p>
    <w:p>
      <w:pPr>
        <w:spacing w:after="0" w:line="45" w:lineRule="exact"/>
        <w:rPr>
          <w:rFonts w:ascii="Arial" w:cs="Arial" w:eastAsia="Arial" w:hAnsi="Arial"/>
          <w:sz w:val="18"/>
          <w:szCs w:val="18"/>
          <w:color w:val="auto"/>
        </w:rPr>
      </w:pPr>
    </w:p>
    <w:p>
      <w:pPr>
        <w:ind w:left="2280" w:right="5200" w:hanging="498"/>
        <w:spacing w:after="0" w:line="340" w:lineRule="auto"/>
        <w:tabs>
          <w:tab w:leader="none" w:pos="2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13970</wp:posOffset>
            </wp:positionV>
            <wp:extent cx="58400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-440055</wp:posOffset>
            </wp:positionV>
            <wp:extent cx="58400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362"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5 Percent or Less of a Class</w:t>
      </w:r>
    </w:p>
    <w:p>
      <w:pPr>
        <w:spacing w:after="0" w:line="121" w:lineRule="exact"/>
        <w:rPr>
          <w:sz w:val="20"/>
          <w:szCs w:val="20"/>
          <w:color w:val="auto"/>
        </w:rPr>
      </w:pPr>
    </w:p>
    <w:p>
      <w:pPr>
        <w:ind w:left="60" w:right="6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5 percent of the class of securities, check the following o.</w:t>
      </w:r>
    </w:p>
    <w:p>
      <w:pPr>
        <w:spacing w:after="0" w:line="383"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5 Percent on Behalf of Another Person</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180" w:right="80" w:hanging="1120"/>
        <w:spacing w:after="0" w:line="282" w:lineRule="auto"/>
        <w:tabs>
          <w:tab w:leader="none" w:pos="11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a Group</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18268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660" w:right="120" w:hanging="652"/>
        <w:spacing w:after="0" w:line="259" w:lineRule="auto"/>
        <w:tabs>
          <w:tab w:leader="none" w:pos="667" w:val="left"/>
        </w:tabs>
        <w:numPr>
          <w:ilvl w:val="0"/>
          <w:numId w:val="10"/>
        </w:numPr>
        <w:rPr>
          <w:rFonts w:ascii="Arial" w:cs="Arial" w:eastAsia="Arial" w:hAnsi="Arial"/>
          <w:sz w:val="18"/>
          <w:szCs w:val="18"/>
          <w:color w:val="auto"/>
        </w:rPr>
      </w:pPr>
      <w:r>
        <w:rPr>
          <w:rFonts w:ascii="Arial" w:cs="Arial" w:eastAsia="Arial" w:hAnsi="Arial"/>
          <w:sz w:val="18"/>
          <w:szCs w:val="18"/>
          <w:color w:val="auto"/>
        </w:rPr>
        <w:t>Voting and investment power over the shares held by HBM Healthcare Investments (Cayman) Ltd. is exercised by the board of directors of HBM Healthcare Investments (Cayman) Ltd. The board of directors of HBM Healthcare Investments (Cayman) Ltd. consists of Jean-Marc LeSieur, Richard H. Coles, Sophia Harris, Dr. Andreas Wicki, Mark Kronenfeld, M.D. and Richard Paul Woodhouse, none of whom has individual voting or investment power with respect to the shares.</w:t>
      </w:r>
    </w:p>
    <w:p>
      <w:pPr>
        <w:spacing w:after="0" w:line="186" w:lineRule="exact"/>
        <w:rPr>
          <w:rFonts w:ascii="Arial" w:cs="Arial" w:eastAsia="Arial" w:hAnsi="Arial"/>
          <w:sz w:val="18"/>
          <w:szCs w:val="18"/>
          <w:color w:val="auto"/>
        </w:rPr>
      </w:pPr>
    </w:p>
    <w:p>
      <w:pPr>
        <w:ind w:left="660" w:right="180" w:hanging="652"/>
        <w:spacing w:after="0" w:line="286" w:lineRule="auto"/>
        <w:tabs>
          <w:tab w:leader="none" w:pos="667"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This percentage is calculated based upon 34,193,666 shares of the Issuer’s Common Stock outstanding (includes the exercise of the underwriters’ overallotment), as set forth in Issuer’s Rule 424(b)(4) Prospectus, filed with the Securities and Exchange Commission on September 24, 2018. The Issuer’s press release dated September 25, 2018 reported that such overallotment was exercised in full.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p>
        </w:tc>
        <w:tc>
          <w:tcPr>
            <w:tcW w:w="10320" w:type="dxa"/>
            <w:vAlign w:val="bottom"/>
            <w:gridSpan w:val="2"/>
          </w:tcPr>
          <w:p>
            <w:pPr>
              <w:ind w:left="4620"/>
              <w:spacing w:after="0"/>
              <w:rPr>
                <w:sz w:val="20"/>
                <w:szCs w:val="20"/>
                <w:color w:val="auto"/>
              </w:rPr>
            </w:pPr>
            <w:r>
              <w:rPr>
                <w:rFonts w:ascii="Arial" w:cs="Arial" w:eastAsia="Arial" w:hAnsi="Arial"/>
                <w:sz w:val="18"/>
                <w:szCs w:val="18"/>
                <w:color w:val="auto"/>
              </w:rPr>
              <w:t>October 1, 2018</w:t>
            </w:r>
          </w:p>
        </w:tc>
      </w:tr>
      <w:tr>
        <w:trPr>
          <w:trHeight w:val="648"/>
        </w:trPr>
        <w:tc>
          <w:tcPr>
            <w:tcW w:w="1100" w:type="dxa"/>
            <w:vAlign w:val="bottom"/>
          </w:tcPr>
          <w:p>
            <w:pPr>
              <w:spacing w:after="0"/>
              <w:rPr>
                <w:sz w:val="24"/>
                <w:szCs w:val="24"/>
                <w:color w:val="auto"/>
              </w:rPr>
            </w:pPr>
          </w:p>
        </w:tc>
        <w:tc>
          <w:tcPr>
            <w:tcW w:w="10320" w:type="dxa"/>
            <w:vAlign w:val="bottom"/>
            <w:gridSpan w:val="2"/>
          </w:tcPr>
          <w:p>
            <w:pPr>
              <w:ind w:left="4620"/>
              <w:spacing w:after="0"/>
              <w:rPr>
                <w:sz w:val="20"/>
                <w:szCs w:val="20"/>
                <w:color w:val="auto"/>
              </w:rPr>
            </w:pPr>
            <w:r>
              <w:rPr>
                <w:rFonts w:ascii="Arial" w:cs="Arial" w:eastAsia="Arial" w:hAnsi="Arial"/>
                <w:sz w:val="18"/>
                <w:szCs w:val="18"/>
                <w:b w:val="1"/>
                <w:bCs w:val="1"/>
                <w:color w:val="auto"/>
              </w:rPr>
              <w:t>HBM HEALTHCARE INVESTMENTS (CAYMAN) LTD.</w:t>
            </w:r>
          </w:p>
        </w:tc>
      </w:tr>
      <w:tr>
        <w:trPr>
          <w:trHeight w:val="432"/>
        </w:trPr>
        <w:tc>
          <w:tcPr>
            <w:tcW w:w="1100" w:type="dxa"/>
            <w:vAlign w:val="bottom"/>
          </w:tcPr>
          <w:p>
            <w:pPr>
              <w:spacing w:after="0"/>
              <w:rPr>
                <w:sz w:val="24"/>
                <w:szCs w:val="24"/>
                <w:color w:val="auto"/>
              </w:rPr>
            </w:pPr>
          </w:p>
        </w:tc>
        <w:tc>
          <w:tcPr>
            <w:tcW w:w="10320" w:type="dxa"/>
            <w:vAlign w:val="bottom"/>
            <w:gridSpan w:val="2"/>
          </w:tcPr>
          <w:p>
            <w:pPr>
              <w:ind w:left="4620"/>
              <w:spacing w:after="0"/>
              <w:rPr>
                <w:sz w:val="20"/>
                <w:szCs w:val="20"/>
                <w:color w:val="auto"/>
              </w:rPr>
            </w:pPr>
            <w:r>
              <w:rPr>
                <w:rFonts w:ascii="Arial" w:cs="Arial" w:eastAsia="Arial" w:hAnsi="Arial"/>
                <w:sz w:val="18"/>
                <w:szCs w:val="18"/>
                <w:color w:val="auto"/>
              </w:rPr>
              <w:t>By:  /s/ Jean-Marc LeSieur</w:t>
            </w:r>
          </w:p>
        </w:tc>
      </w:tr>
      <w:tr>
        <w:trPr>
          <w:trHeight w:val="224"/>
        </w:trPr>
        <w:tc>
          <w:tcPr>
            <w:tcW w:w="110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5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Jean-Marc LeSieur, Managing Director</w:t>
            </w:r>
          </w:p>
        </w:tc>
      </w:tr>
      <w:tr>
        <w:trPr>
          <w:trHeight w:val="418"/>
        </w:trPr>
        <w:tc>
          <w:tcPr>
            <w:tcW w:w="1100" w:type="dxa"/>
            <w:vAlign w:val="bottom"/>
          </w:tcPr>
          <w:p>
            <w:pPr>
              <w:spacing w:after="0"/>
              <w:rPr>
                <w:sz w:val="20"/>
                <w:szCs w:val="20"/>
                <w:color w:val="auto"/>
              </w:rPr>
            </w:pPr>
            <w:r>
              <w:rPr>
                <w:rFonts w:ascii="Arial" w:cs="Arial" w:eastAsia="Arial" w:hAnsi="Arial"/>
                <w:sz w:val="18"/>
                <w:szCs w:val="18"/>
                <w:b w:val="1"/>
                <w:bCs w:val="1"/>
                <w:color w:val="auto"/>
              </w:rPr>
              <w:t>Attention:</w:t>
            </w:r>
          </w:p>
        </w:tc>
        <w:tc>
          <w:tcPr>
            <w:tcW w:w="10320" w:type="dxa"/>
            <w:vAlign w:val="bottom"/>
            <w:gridSpan w:val="2"/>
          </w:tcPr>
          <w:p>
            <w:pPr>
              <w:ind w:left="280"/>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tc>
      </w:tr>
    </w:tbl>
    <w:p>
      <w:pPr>
        <w:spacing w:after="0" w:line="200" w:lineRule="exact"/>
        <w:rPr>
          <w:sz w:val="20"/>
          <w:szCs w:val="20"/>
          <w:color w:val="auto"/>
        </w:rPr>
      </w:pPr>
    </w:p>
    <w:p>
      <w:pPr>
        <w:sectPr>
          <w:pgSz w:w="11900" w:h="16838" w:orient="portrait"/>
          <w:cols w:equalWidth="0" w:num="1">
            <w:col w:w="11420"/>
          </w:cols>
          <w:pgMar w:left="240" w:top="125" w:right="239" w:bottom="368"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36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1."/>
      <w:numFmt w:val="decimal"/>
      <w:start w:val="1"/>
    </w:lvl>
    <w:lvl w:ilvl="1">
      <w:lvlJc w:val="left"/>
      <w:lvlText w:val="(%2)"/>
      <w:numFmt w:val="lowerLetter"/>
      <w:start w:val="1"/>
    </w:lvl>
  </w:abstractNum>
  <w:abstractNum w:abstractNumId="2">
    <w:nsid w:val="2EB141F2"/>
    <w:multiLevelType w:val="hybridMultilevel"/>
    <w:lvl w:ilvl="0">
      <w:lvlJc w:val="left"/>
      <w:lvlText w:val="%1."/>
      <w:numFmt w:val="decimal"/>
      <w:start w:val="9"/>
    </w:lvl>
  </w:abstractNum>
  <w:abstractNum w:abstractNumId="3">
    <w:nsid w:val="41B71EFB"/>
    <w:multiLevelType w:val="hybridMultilevel"/>
    <w:lvl w:ilvl="0">
      <w:lvlJc w:val="left"/>
      <w:lvlText w:val="%1"/>
      <w:numFmt w:val="decimal"/>
      <w:start w:val="1"/>
    </w:lvl>
    <w:lvl w:ilvl="1">
      <w:lvlJc w:val="left"/>
      <w:lvlText w:val="%2."/>
      <w:numFmt w:val="decimal"/>
      <w:start w:val="10"/>
    </w:lvl>
  </w:abstractNum>
  <w:abstractNum w:abstractNumId="4">
    <w:nsid w:val="79E2A9E3"/>
    <w:multiLevelType w:val="hybridMultilevel"/>
    <w:lvl w:ilvl="0">
      <w:lvlJc w:val="left"/>
      <w:lvlText w:val="(%1)"/>
      <w:numFmt w:val="decimal"/>
      <w:start w:val="1"/>
    </w:lvl>
    <w:lvl w:ilvl="1">
      <w:lvlJc w:val="left"/>
      <w:lvlText w:val="%2"/>
      <w:numFmt w:val="decimal"/>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Roman"/>
      <w:start w:val="1"/>
    </w:lvl>
  </w:abstractNum>
  <w:abstractNum w:abstractNumId="7">
    <w:nsid w:val="5BD062C2"/>
    <w:multiLevelType w:val="hybridMultilevel"/>
    <w:lvl w:ilvl="0">
      <w:lvlJc w:val="left"/>
      <w:lvlText w:val="(%1)"/>
      <w:numFmt w:val="lowerRoman"/>
      <w:start w:val="2"/>
    </w:lvl>
  </w:abstractNum>
  <w:abstractNum w:abstractNumId="8">
    <w:nsid w:val="12200854"/>
    <w:multiLevelType w:val="hybridMultilevel"/>
    <w:lvl w:ilvl="0">
      <w:lvlJc w:val="left"/>
      <w:lvlText w:val="(%1)"/>
      <w:numFmt w:val="lowerRoman"/>
      <w:start w:val="3"/>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2019-12-08T17:15:41Z</dcterms:created>
  <dcterms:modified xsi:type="dcterms:W3CDTF">2019-12-08T17:15:41Z</dcterms:modified>
</cp:coreProperties>
</file>