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-601980</wp:posOffset>
            </wp:positionV>
            <wp:extent cx="8255" cy="602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-610235</wp:posOffset>
            </wp:positionV>
            <wp:extent cx="825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-585470</wp:posOffset>
            </wp:positionV>
            <wp:extent cx="1270000" cy="56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27305</wp:posOffset>
            </wp:positionV>
            <wp:extent cx="6969125" cy="1734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Ber Gerard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Y-mAbs Therapeutics,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YMAB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Y-MABS THERAPEUTICS, INC.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06/23/2020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230 PARK AVENUE SUITE 3350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48.67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06/23/2030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07/23/2020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-2906395</wp:posOffset>
            </wp:positionV>
            <wp:extent cx="7033895" cy="31508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5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granted to the Reporting Person as a non-employee director pursuant to the 2018 Equity Incentive Plan of Y-mAbs Therapeutics, Inc.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vest in equal monthly installments during the first year following the date of grant, subject to the Reporting Person's continued service on the board of directors of Y-mAbs Therapeutics, Inc., and are exercisable immediately upon vesting.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Gerard Ber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06/24/2020</w:t>
            </w: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2144" TargetMode="External"/><Relationship Id="rId14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2020-06-24T15:48:03Z</dcterms:created>
  <dcterms:modified xsi:type="dcterms:W3CDTF">2020-06-24T15:48:03Z</dcterms:modified>
</cp:coreProperties>
</file>