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8, 2020 (October 7, 2020)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98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680" w:type="dxa"/>
            <w:vAlign w:val="bottom"/>
          </w:tcPr>
          <w:p>
            <w:pPr>
              <w:spacing w:after="0"/>
              <w:rPr>
                <w:sz w:val="24"/>
                <w:szCs w:val="24"/>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98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98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980" w:type="dxa"/>
            <w:vAlign w:val="bottom"/>
          </w:tcPr>
          <w:p>
            <w:pPr>
              <w:spacing w:after="0"/>
              <w:rPr>
                <w:sz w:val="18"/>
                <w:szCs w:val="18"/>
                <w:color w:val="auto"/>
              </w:rPr>
            </w:pPr>
          </w:p>
        </w:tc>
      </w:tr>
      <w:tr>
        <w:trPr>
          <w:trHeight w:val="238"/>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980" w:type="dxa"/>
            <w:vAlign w:val="bottom"/>
          </w:tcPr>
          <w:p>
            <w:pPr>
              <w:spacing w:after="0"/>
              <w:rPr>
                <w:sz w:val="20"/>
                <w:szCs w:val="20"/>
                <w:color w:val="auto"/>
              </w:rPr>
            </w:pPr>
          </w:p>
        </w:tc>
      </w:tr>
      <w:tr>
        <w:trPr>
          <w:trHeight w:val="410"/>
        </w:trPr>
        <w:tc>
          <w:tcPr>
            <w:tcW w:w="2680" w:type="dxa"/>
            <w:vAlign w:val="bottom"/>
          </w:tcPr>
          <w:p>
            <w:pPr>
              <w:spacing w:after="0"/>
              <w:rPr>
                <w:sz w:val="24"/>
                <w:szCs w:val="24"/>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980" w:type="dxa"/>
            <w:vAlign w:val="bottom"/>
          </w:tcPr>
          <w:p>
            <w:pPr>
              <w:spacing w:after="0"/>
              <w:rPr>
                <w:sz w:val="24"/>
                <w:szCs w:val="24"/>
                <w:color w:val="auto"/>
              </w:rPr>
            </w:pPr>
          </w:p>
        </w:tc>
      </w:tr>
      <w:tr>
        <w:trPr>
          <w:trHeight w:val="238"/>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include area code)</w:t>
            </w:r>
          </w:p>
        </w:tc>
        <w:tc>
          <w:tcPr>
            <w:tcW w:w="19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YMAB</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198"/>
        </w:trPr>
        <w:tc>
          <w:tcPr>
            <w:tcW w:w="3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8"/>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7, 2020, Y-mAbs Therapeutics, Inc., (the “Company”) and Memorial Sloan Kettering Cancer Center executed a Master Sponsored Research Agreement (the “MSRA”), effective as of October 7, 2020. Pursuant to the MSRA, the Company agreed to pay MSK to conduct certain research projects over a period of five (5) years related directly to the pretargeted radioimmunotherapy inventions which are the subject of that certain License Agreement executed among MSK, Massachusetts Institute of Technology and the Company on April 15, 2020 covering a worldwide exclusive license, and a research collaboration, to develop and commercialize antibody constructs based on the SADA-BiDE (2-step Self-Assembly and DisAssembly-Bispecific DOTA-Engaging antibody system) Pre-targeted Radioimmunotherapy Platform (the “SADA technology”).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research will be conducted in accordance with written plans and budgets approved by the parties. MSK has granted the Company a non-exclusive, non-commercial, non-transferable, royalty-free license to use any inventions or discoveries developed by MSK within the scope of the information resulting from the project, for the Company’s internal, non-commercial research purposes. The Company has also been granted both a first option to negotiate an exclusive or non-exclusive commercial license to MSK's rights in inventions developed by MSK and a first option to negotiate an exclusive license to MSK's rights in inventions jointly developed by the parties.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of the MSRA continues until the earlier of (i) the completion of the activities set forth in each statement of work entered into thereunder or (ii) October 7, 2025. The MSRA or any individual statement of work may be terminated for convenience by either party upon prior written notice.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MSRA is not complete and is qualified in its entirety by reference to the text of the MSRA, a copy of which is attached hereto as Exhibit 10.1 and incorporated herein by reference.</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1760" w:type="dxa"/>
            <w:vAlign w:val="bottom"/>
          </w:tcPr>
          <w:p>
            <w:pPr>
              <w:spacing w:after="0"/>
              <w:rPr>
                <w:sz w:val="20"/>
                <w:szCs w:val="20"/>
                <w:color w:val="auto"/>
              </w:rPr>
            </w:pPr>
          </w:p>
        </w:tc>
        <w:tc>
          <w:tcPr>
            <w:tcW w:w="7780" w:type="dxa"/>
            <w:vAlign w:val="bottom"/>
          </w:tcPr>
          <w:p>
            <w:pPr>
              <w:spacing w:after="0"/>
              <w:rPr>
                <w:sz w:val="20"/>
                <w:szCs w:val="20"/>
                <w:color w:val="auto"/>
              </w:rPr>
            </w:pPr>
          </w:p>
        </w:tc>
      </w:tr>
      <w:tr>
        <w:trPr>
          <w:trHeight w:val="414"/>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Description/Exhibit</w:t>
            </w:r>
          </w:p>
        </w:tc>
      </w:tr>
      <w:tr>
        <w:trPr>
          <w:trHeight w:val="194"/>
        </w:trPr>
        <w:tc>
          <w:tcPr>
            <w:tcW w:w="1700" w:type="dxa"/>
            <w:vAlign w:val="bottom"/>
          </w:tcPr>
          <w:p>
            <w:pPr>
              <w:spacing w:after="0" w:line="194" w:lineRule="exact"/>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10.1*</w:t>
              </w:r>
            </w:hyperlink>
          </w:p>
        </w:tc>
        <w:tc>
          <w:tcPr>
            <w:tcW w:w="954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Master Sponsored Research Agreement effective as of October 7, 2020 by and between the Company and Memorial Sloan</w:t>
              </w:r>
            </w:hyperlink>
          </w:p>
        </w:tc>
      </w:tr>
      <w:tr>
        <w:trPr>
          <w:trHeight w:val="196"/>
        </w:trPr>
        <w:tc>
          <w:tcPr>
            <w:tcW w:w="1700" w:type="dxa"/>
            <w:vAlign w:val="bottom"/>
          </w:tcPr>
          <w:p>
            <w:pPr>
              <w:spacing w:after="0"/>
              <w:rPr>
                <w:sz w:val="17"/>
                <w:szCs w:val="17"/>
                <w:color w:val="auto"/>
              </w:rPr>
            </w:pPr>
          </w:p>
        </w:tc>
        <w:tc>
          <w:tcPr>
            <w:tcW w:w="1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Kettering Cancer Center</w:t>
              </w:r>
            </w:hyperlink>
          </w:p>
        </w:tc>
        <w:tc>
          <w:tcPr>
            <w:tcW w:w="7780" w:type="dxa"/>
            <w:vAlign w:val="bottom"/>
          </w:tcPr>
          <w:p>
            <w:pPr>
              <w:spacing w:after="0"/>
              <w:rPr>
                <w:sz w:val="17"/>
                <w:szCs w:val="17"/>
                <w:color w:val="auto"/>
              </w:rPr>
            </w:pPr>
          </w:p>
        </w:tc>
      </w:tr>
      <w:tr>
        <w:trPr>
          <w:trHeight w:val="237"/>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XBRL tags are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firstLine="8"/>
        <w:spacing w:after="0" w:line="282" w:lineRule="auto"/>
        <w:tabs>
          <w:tab w:leader="none" w:pos="22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brackets (“[***]”) because the identified confidential portions (i) are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8, 2020</w:t>
            </w:r>
          </w:p>
        </w:tc>
        <w:tc>
          <w:tcPr>
            <w:tcW w:w="75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Thomas Gad</w:t>
            </w:r>
          </w:p>
        </w:tc>
      </w:tr>
      <w:tr>
        <w:trPr>
          <w:trHeight w:val="191"/>
        </w:trPr>
        <w:tc>
          <w:tcPr>
            <w:tcW w:w="3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Gad</w:t>
            </w:r>
          </w:p>
        </w:tc>
      </w:tr>
      <w:tr>
        <w:trPr>
          <w:trHeight w:val="216"/>
        </w:trPr>
        <w:tc>
          <w:tcPr>
            <w:tcW w:w="3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Founder, Chairman, President and Head of Business Development</w:t>
            </w:r>
          </w:p>
        </w:tc>
      </w:tr>
      <w:tr>
        <w:trPr>
          <w:trHeight w:val="234"/>
        </w:trPr>
        <w:tc>
          <w:tcPr>
            <w:tcW w:w="3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and Head of Strategy</w:t>
            </w:r>
          </w:p>
        </w:tc>
      </w:tr>
      <w:tr>
        <w:trPr>
          <w:trHeight w:val="675"/>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Certain information (marked as [***]) has been excluded from this exhibit because it is both (i) not material and (ii) would be competitively harmful if publicly disclosed.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MASTER SPONSORED RESEARCH AGREEMENT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Master Sponsored Research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effective as of the date of the last signature below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is by and between Memorial Sloan Kettering Cancer Center, a New York not-for-profit entity, with offices at 1275 York Avenue, New York, NY 10065 (“</w:t>
      </w:r>
      <w:r>
        <w:rPr>
          <w:rFonts w:ascii="Times New Roman" w:cs="Times New Roman" w:eastAsia="Times New Roman" w:hAnsi="Times New Roman"/>
          <w:sz w:val="18"/>
          <w:szCs w:val="18"/>
          <w:b w:val="1"/>
          <w:bCs w:val="1"/>
          <w:u w:val="single" w:color="auto"/>
          <w:color w:val="auto"/>
        </w:rPr>
        <w:t>MSK</w:t>
      </w:r>
      <w:r>
        <w:rPr>
          <w:rFonts w:ascii="Times New Roman" w:cs="Times New Roman" w:eastAsia="Times New Roman" w:hAnsi="Times New Roman"/>
          <w:sz w:val="18"/>
          <w:szCs w:val="18"/>
          <w:color w:val="auto"/>
        </w:rPr>
        <w:t>”) and Y-mAbs Therapeutics, Inc., a Delaware corporation with a principal office at 230 Park Avenue, Suite 3350, New York, New York 10169 (“</w:t>
      </w: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color w:val="auto"/>
        </w:rPr>
        <w:t>”). MSK and Sponsor may be individually referred to as a “</w:t>
      </w:r>
      <w:r>
        <w:rPr>
          <w:rFonts w:ascii="Times New Roman" w:cs="Times New Roman" w:eastAsia="Times New Roman" w:hAnsi="Times New Roman"/>
          <w:sz w:val="18"/>
          <w:szCs w:val="18"/>
          <w:b w:val="1"/>
          <w:bCs w:val="1"/>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Sponsor is clinical-state biotech company; and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wish for MSK to undertake a program of research related directly to the pretargeted radioimmunotherapy inventions which are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of that License Agreement executed between MSK and Sponsor on April 15, 2020; and</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performance and support of such research is of mutual interest and benefit to Sponsor and MSK and consistent with the academic,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and public service objectives of MSK as a nonprofit, tax-exempt institution.</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recitals, mutual agreements, and promises set forth below,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agree as follows:</w:t>
      </w:r>
    </w:p>
    <w:p>
      <w:pPr>
        <w:spacing w:after="0" w:line="15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RESEARCH.</w:t>
      </w:r>
    </w:p>
    <w:p>
      <w:pPr>
        <w:spacing w:after="0" w:line="22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Research Plan</w:t>
      </w:r>
      <w:r>
        <w:rPr>
          <w:rFonts w:ascii="Times New Roman" w:cs="Times New Roman" w:eastAsia="Times New Roman" w:hAnsi="Times New Roman"/>
          <w:sz w:val="18"/>
          <w:szCs w:val="18"/>
          <w:color w:val="auto"/>
        </w:rPr>
        <w:t>. MSK agrees to use reasonable efforts to undertake a mutually agreed-upon program of Research (“Research”),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overview of which is attached as Exhibit A. MSK shall perform the Research in full compliance with all applicable laws, rules and regulations and good scientific practices. The studies comprising Research will be fully set forth in individual project agreements (each an “SOW”) to be attached to this Agreement as sequentially numbered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s (e.g., Exhibit A-1, Exhibit A-2), each including a research plan labeled as </w:t>
      </w:r>
      <w:r>
        <w:rPr>
          <w:rFonts w:ascii="Times New Roman" w:cs="Times New Roman" w:eastAsia="Times New Roman" w:hAnsi="Times New Roman"/>
          <w:sz w:val="18"/>
          <w:szCs w:val="18"/>
          <w:b w:val="1"/>
          <w:bCs w:val="1"/>
          <w:u w:val="single" w:color="auto"/>
          <w:color w:val="auto"/>
        </w:rPr>
        <w:t>Appendix A</w:t>
      </w:r>
      <w:r>
        <w:rPr>
          <w:rFonts w:ascii="Times New Roman" w:cs="Times New Roman" w:eastAsia="Times New Roman" w:hAnsi="Times New Roman"/>
          <w:sz w:val="18"/>
          <w:szCs w:val="18"/>
          <w:color w:val="auto"/>
        </w:rPr>
        <w:t xml:space="preserve"> and a study budget “Budget”) labeled as </w:t>
      </w:r>
      <w:r>
        <w:rPr>
          <w:rFonts w:ascii="Times New Roman" w:cs="Times New Roman" w:eastAsia="Times New Roman" w:hAnsi="Times New Roman"/>
          <w:sz w:val="18"/>
          <w:szCs w:val="18"/>
          <w:b w:val="1"/>
          <w:bCs w:val="1"/>
          <w:u w:val="single" w:color="auto"/>
          <w:color w:val="auto"/>
        </w:rPr>
        <w:t>Appendix B</w:t>
      </w:r>
      <w:r>
        <w:rPr>
          <w:rFonts w:ascii="Times New Roman" w:cs="Times New Roman" w:eastAsia="Times New Roman" w:hAnsi="Times New Roman"/>
          <w:sz w:val="18"/>
          <w:szCs w:val="18"/>
          <w:color w:val="auto"/>
        </w:rPr>
        <w:t>. Upon mutual execution by the Parties, each SOW shall form a part of this Agreement. MSK and the Principal Investigator (as defined in Section 1.2) shall not make any changes to the Research without the prior written consent of Sponsor.</w:t>
      </w:r>
    </w:p>
    <w:p>
      <w:pPr>
        <w:spacing w:after="0" w:line="182"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Principal Investigator</w:t>
      </w:r>
      <w:r>
        <w:rPr>
          <w:rFonts w:ascii="Times New Roman" w:cs="Times New Roman" w:eastAsia="Times New Roman" w:hAnsi="Times New Roman"/>
          <w:sz w:val="18"/>
          <w:szCs w:val="18"/>
          <w:color w:val="auto"/>
        </w:rPr>
        <w:t>. MSK’s principal investigator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Principal Investigator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for each study under the Research shall be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indicated on the applicable SOW. If for any reason the Principal Investigator becomes unavailable, or cannot conduct or complete the Research, MSK will propose a successor whose appointment as Principal Investigator shall be subject to the approval of Sponsor. If the Parties are unable to agree upon a successor within [***] after the Principal Investigator ceases his or her involvement in the SOW, the SOW may be terminated by Sponsor.</w:t>
      </w:r>
    </w:p>
    <w:p>
      <w:pPr>
        <w:spacing w:after="0" w:line="399"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 Sponsor will provide the financial support for the Research as detailed in the Budgets set forth in the applicable SOWs.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at any time, a Party has reason to believe that the cost of any SOW will exceed the amount set forth in the applicable Budget, such Party will notify the other Party, giving a revised budget for completion of the SOW.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Certain information (marked as [***]) has been excluded from this exhibit because it is both (i) not material and (ii) would be competitively harmful if publicly disclosed.</w:t>
      </w:r>
    </w:p>
    <w:p>
      <w:pPr>
        <w:spacing w:after="0" w:line="158"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By entering into this Agreement, the Parties specifically intend to comply with all applicable laws, rules and regulations as they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amended from time to time, including but not limited to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the federal anti-kickback statute (42 U.S.C. 1320a-7(b)) and the related safe harbor regulations </w:t>
      </w:r>
      <w:r>
        <w:rPr>
          <w:rFonts w:ascii="Times New Roman" w:cs="Times New Roman" w:eastAsia="Times New Roman" w:hAnsi="Times New Roman"/>
          <w:sz w:val="18"/>
          <w:szCs w:val="18"/>
          <w:b w:val="1"/>
          <w:bCs w:val="1"/>
          <w:u w:val="single" w:color="auto"/>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the limitation on certain physician referrals, also referred to as the “Stark Law” (42 U.S.C. 1395nn). Accordingly, no part of any consideration paid hereunder is a prohibited payment for the recommending or arranging for the referral of business of the ordering of items or services; nor are the payments intended to induce illegal referrals of business. If as a result of a change in law or otherwise this Agreement is reasonably determined by legal counsel of a Party to violate, or present an unacceptable risk of violating, any federal, state, or local laws, rules, or regulations, the Parties agree to negotiate in good faith revisions to any provision which is in, or which presents an unacceptable risk of, violation. The Parties acknowledge that rights of MSK may be subject to statutory rights of agencies of the United States government under terms of 35 USC§§200-212 or other statutes, or rights of other funding agencies</w:t>
      </w:r>
    </w:p>
    <w:p>
      <w:pPr>
        <w:spacing w:after="0" w:line="18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ANIMAL STUDIES</w:t>
      </w:r>
    </w:p>
    <w:p>
      <w:pPr>
        <w:spacing w:after="0" w:line="225" w:lineRule="exact"/>
        <w:rPr>
          <w:rFonts w:ascii="Times New Roman" w:cs="Times New Roman" w:eastAsia="Times New Roman" w:hAnsi="Times New Roman"/>
          <w:sz w:val="18"/>
          <w:szCs w:val="18"/>
          <w:b w:val="1"/>
          <w:bCs w:val="1"/>
          <w:color w:val="auto"/>
        </w:rPr>
      </w:pPr>
    </w:p>
    <w:p>
      <w:pPr>
        <w:ind w:left="660" w:hanging="324"/>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Should warm-blooded animals be used in the Research, MSK will comply with the applicable portions of the Animal Welfare Act (P.L. 99-158)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follow the guidelines prescribed in the Public Health Services Policy on Humane Care and Use of Laboratory Animals.</w:t>
      </w:r>
    </w:p>
    <w:p>
      <w:pPr>
        <w:spacing w:after="0" w:line="154" w:lineRule="exact"/>
        <w:rPr>
          <w:rFonts w:ascii="Times New Roman" w:cs="Times New Roman" w:eastAsia="Times New Roman" w:hAnsi="Times New Roman"/>
          <w:sz w:val="18"/>
          <w:szCs w:val="18"/>
          <w:b w:val="1"/>
          <w:bCs w:val="1"/>
          <w:color w:val="auto"/>
        </w:rPr>
      </w:pPr>
    </w:p>
    <w:p>
      <w:pPr>
        <w:ind w:left="660" w:hanging="324"/>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MSK’s Animal Care and Use program does not conduct studies subject to the FDA Good Laboratory Practice (</w:t>
      </w:r>
      <w:r>
        <w:rPr>
          <w:rFonts w:ascii="Times New Roman" w:cs="Times New Roman" w:eastAsia="Times New Roman" w:hAnsi="Times New Roman"/>
          <w:sz w:val="18"/>
          <w:szCs w:val="18"/>
          <w:b w:val="1"/>
          <w:bCs w:val="1"/>
          <w:u w:val="single" w:color="auto"/>
          <w:color w:val="auto"/>
        </w:rPr>
        <w:t>GLP</w:t>
      </w:r>
      <w:r>
        <w:rPr>
          <w:rFonts w:ascii="Times New Roman" w:cs="Times New Roman" w:eastAsia="Times New Roman" w:hAnsi="Times New Roman"/>
          <w:sz w:val="18"/>
          <w:szCs w:val="18"/>
          <w:color w:val="auto"/>
        </w:rPr>
        <w:t>) regulations.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nonclinical studies conducted at MSK are not GLP studies. Since MSK does not incorporate GLP into its standard animal care, results obtained from animal studies at MSK cannot be described as GLP compliant and should not be so described in applications to the FDA or in other documents.</w:t>
      </w:r>
    </w:p>
    <w:p>
      <w:pPr>
        <w:spacing w:after="0" w:line="1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225" w:lineRule="exact"/>
        <w:rPr>
          <w:rFonts w:ascii="Times New Roman" w:cs="Times New Roman" w:eastAsia="Times New Roman" w:hAnsi="Times New Roman"/>
          <w:sz w:val="18"/>
          <w:szCs w:val="18"/>
          <w:b w:val="1"/>
          <w:bCs w:val="1"/>
          <w:color w:val="auto"/>
        </w:rPr>
      </w:pPr>
    </w:p>
    <w:p>
      <w:pPr>
        <w:ind w:left="660" w:hanging="32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color w:val="auto"/>
        </w:rPr>
        <w:t>. During the Term, one Party (the “</w:t>
      </w:r>
      <w:r>
        <w:rPr>
          <w:rFonts w:ascii="Times New Roman" w:cs="Times New Roman" w:eastAsia="Times New Roman" w:hAnsi="Times New Roman"/>
          <w:sz w:val="18"/>
          <w:szCs w:val="18"/>
          <w:b w:val="1"/>
          <w:bCs w:val="1"/>
          <w:u w:val="single" w:color="auto"/>
          <w:color w:val="auto"/>
        </w:rPr>
        <w:t>Disclosing Party</w:t>
      </w:r>
      <w:r>
        <w:rPr>
          <w:rFonts w:ascii="Times New Roman" w:cs="Times New Roman" w:eastAsia="Times New Roman" w:hAnsi="Times New Roman"/>
          <w:sz w:val="18"/>
          <w:szCs w:val="18"/>
          <w:color w:val="auto"/>
        </w:rPr>
        <w:t>”) may provide proprietary or confidential information necessary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 the Research to the other Party (the “</w:t>
      </w:r>
      <w:r>
        <w:rPr>
          <w:rFonts w:ascii="Times New Roman" w:cs="Times New Roman" w:eastAsia="Times New Roman" w:hAnsi="Times New Roman"/>
          <w:sz w:val="18"/>
          <w:szCs w:val="18"/>
          <w:b w:val="1"/>
          <w:bCs w:val="1"/>
          <w:u w:val="single" w:color="auto"/>
          <w:color w:val="auto"/>
        </w:rPr>
        <w:t>Receiving Party</w:t>
      </w:r>
      <w:r>
        <w:rPr>
          <w:rFonts w:ascii="Times New Roman" w:cs="Times New Roman" w:eastAsia="Times New Roman" w:hAnsi="Times New Roman"/>
          <w:sz w:val="18"/>
          <w:szCs w:val="18"/>
          <w:color w:val="auto"/>
        </w:rPr>
        <w:t>”). Accordingly, “</w:t>
      </w: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color w:val="auto"/>
        </w:rPr>
        <w:t xml:space="preserve">” is: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data and other information that is disclosed by the Disclosing Party to the Receiving Party under this Agreement during the Term and which relates to the Research, regardless of whether the information is disclosed in writing, orally, graphically, electronically, or in any other manner, </w:t>
      </w:r>
      <w:r>
        <w:rPr>
          <w:rFonts w:ascii="Times New Roman" w:cs="Times New Roman" w:eastAsia="Times New Roman" w:hAnsi="Times New Roman"/>
          <w:sz w:val="18"/>
          <w:szCs w:val="18"/>
          <w:b w:val="1"/>
          <w:bCs w:val="1"/>
          <w:u w:val="single" w:color="auto"/>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any information that is expressly marked or designated in writing as confidential and proprietary by the Disclosing Party. The Receiving Party acknowledges and agrees that the Disclosing Party reserves all rights in and to the Disclosing Party’s Confidential Information. This Agreement shall not constitute a license, assignment, or any other rights, express or implied, to the Disclosing Party’s Confidential Information, except as expressly provided in this Agreement. Confidential Information does not include, and each Party has no obligation with respect to, any information which, as evidenced by written records: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is already known to it;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is or becomes publicly known through lawful means in no violation of this Agreement by the Receiving Party;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is received from a third party, not bound by a duty of confidentiality, without restriction and without breach of this Agreement;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is independently developed by the Receiving Party without use of the Disclosing Party’s Confidential Information; </w:t>
      </w:r>
      <w:r>
        <w:rPr>
          <w:rFonts w:ascii="Times New Roman" w:cs="Times New Roman" w:eastAsia="Times New Roman" w:hAnsi="Times New Roman"/>
          <w:sz w:val="18"/>
          <w:szCs w:val="18"/>
          <w:b w:val="1"/>
          <w:bCs w:val="1"/>
          <w:u w:val="single" w:color="auto"/>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xml:space="preserve"> is approved for release by written authorization of the Disclosing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Certain information (marked as [***]) has been excluded from this exhibit because it is both (i) not material and (ii) would be competitively harmful if publicly disclosed.</w:t>
      </w:r>
    </w:p>
    <w:p>
      <w:pPr>
        <w:spacing w:after="0" w:line="158" w:lineRule="exact"/>
        <w:rPr>
          <w:sz w:val="20"/>
          <w:szCs w:val="20"/>
          <w:color w:val="auto"/>
        </w:rPr>
      </w:pPr>
    </w:p>
    <w:p>
      <w:pPr>
        <w:jc w:val="both"/>
        <w:ind w:left="660" w:hanging="32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Confidential Obligation</w:t>
      </w:r>
      <w:r>
        <w:rPr>
          <w:rFonts w:ascii="Times New Roman" w:cs="Times New Roman" w:eastAsia="Times New Roman" w:hAnsi="Times New Roman"/>
          <w:sz w:val="18"/>
          <w:szCs w:val="18"/>
          <w:color w:val="auto"/>
        </w:rPr>
        <w:t>. All Confidential Information disclosed under this Agreement will be held in confidence by the Receiving Party,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duration of the SOW under which the Confidential Information was disclosed and for five (5) years following such SOW’s termination or expiration. The Receiving Party shall maintain the confidentiality of the Disclosing Party’s Confidential Information with at least the same degree of care as it maintains the confidentiality of its own confidential information, and in any event, not less than a reasonable standard of care. Upon the Disclosing Party’s request, the Receiving Party shall promptly return to the Disclosing Party or destroy all copies of the Disclosing Party’s Confidential Information; provided, however, that the Receiving Party: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may retain a single copy of the Disclosing Party’s Confidential Information for the sole purpose of ascertaining its ongoing rights and responsibilities in respect of such information; </w:t>
      </w:r>
      <w:r>
        <w:rPr>
          <w:rFonts w:ascii="Times New Roman" w:cs="Times New Roman" w:eastAsia="Times New Roman" w:hAnsi="Times New Roman"/>
          <w:sz w:val="18"/>
          <w:szCs w:val="18"/>
          <w:b w:val="1"/>
          <w:bCs w:val="1"/>
          <w:u w:val="single" w:color="auto"/>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shall not be required to destroy any computer files stored securely by the Receiving Party or its Affiliates that are: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created during automatic system back up; </w:t>
      </w:r>
      <w:r>
        <w:rPr>
          <w:rFonts w:ascii="Times New Roman" w:cs="Times New Roman" w:eastAsia="Times New Roman" w:hAnsi="Times New Roman"/>
          <w:sz w:val="18"/>
          <w:szCs w:val="18"/>
          <w:b w:val="1"/>
          <w:bCs w:val="1"/>
          <w:u w:val="single" w:color="auto"/>
          <w:color w:val="auto"/>
        </w:rPr>
        <w:t>or</w:t>
      </w:r>
    </w:p>
    <w:p>
      <w:pPr>
        <w:spacing w:after="0" w:line="5" w:lineRule="exact"/>
        <w:rPr>
          <w:sz w:val="20"/>
          <w:szCs w:val="20"/>
          <w:color w:val="auto"/>
        </w:rPr>
      </w:pPr>
    </w:p>
    <w:p>
      <w:pPr>
        <w:ind w:left="920" w:hanging="264"/>
        <w:spacing w:after="0"/>
        <w:tabs>
          <w:tab w:leader="none" w:pos="9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retained for legal purposes by the Receiving Party or its Affiliates.</w:t>
      </w:r>
    </w:p>
    <w:p>
      <w:pPr>
        <w:spacing w:after="0" w:line="203" w:lineRule="exact"/>
        <w:rPr>
          <w:sz w:val="20"/>
          <w:szCs w:val="20"/>
          <w:color w:val="auto"/>
        </w:rPr>
      </w:pPr>
    </w:p>
    <w:p>
      <w:pPr>
        <w:jc w:val="both"/>
        <w:ind w:left="660" w:hanging="3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Covenants of Non-Use and Non-Disclosure</w:t>
      </w:r>
      <w:r>
        <w:rPr>
          <w:rFonts w:ascii="Times New Roman" w:cs="Times New Roman" w:eastAsia="Times New Roman" w:hAnsi="Times New Roman"/>
          <w:sz w:val="18"/>
          <w:szCs w:val="18"/>
          <w:color w:val="auto"/>
        </w:rPr>
        <w:t>. The Receiving Party may only use, copy and make extracts of the Disclosing Party’s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in connection with and in furtherance of the Research. The Receiving Party shall not use the Disclosing Party’s Confidential Information for any other purpose without the prior written permission of the Disclosing Party. Except as provided below, the Receiving Party shall not disclose any of the Disclosing Party’s Confidential Information to any third Party without the prior written permission of the Disclosing Party.</w:t>
      </w:r>
    </w:p>
    <w:p>
      <w:pPr>
        <w:spacing w:after="0" w:line="179" w:lineRule="exact"/>
        <w:rPr>
          <w:sz w:val="20"/>
          <w:szCs w:val="20"/>
          <w:color w:val="auto"/>
        </w:rPr>
      </w:pPr>
    </w:p>
    <w:p>
      <w:pPr>
        <w:jc w:val="both"/>
        <w:ind w:left="1060" w:hanging="404"/>
        <w:spacing w:after="0" w:line="259" w:lineRule="auto"/>
        <w:rPr>
          <w:sz w:val="20"/>
          <w:szCs w:val="20"/>
          <w:color w:val="auto"/>
        </w:rPr>
      </w:pPr>
      <w:r>
        <w:rPr>
          <w:rFonts w:ascii="Times New Roman" w:cs="Times New Roman" w:eastAsia="Times New Roman" w:hAnsi="Times New Roman"/>
          <w:sz w:val="18"/>
          <w:szCs w:val="18"/>
          <w:b w:val="1"/>
          <w:bCs w:val="1"/>
          <w:color w:val="auto"/>
        </w:rPr>
        <w:t>3.3.1.</w:t>
      </w:r>
      <w:r>
        <w:rPr>
          <w:rFonts w:ascii="Times New Roman" w:cs="Times New Roman" w:eastAsia="Times New Roman" w:hAnsi="Times New Roman"/>
          <w:sz w:val="18"/>
          <w:szCs w:val="18"/>
          <w:color w:val="auto"/>
        </w:rPr>
        <w:t>The Receiving Party may disclose the Disclosing Party’s Confidential Information to the Receiving Party’s Affiliates and the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employees, contractors, and consultants of the Receiving Party and its Affiliates who have a need to know the Confidential Information and only in connection with and in the furtherance of the Research, after advising each of the obligations under this Agreement, and who are bound by obligations of confidentiality substantially similar to those in this Agreement. The Receiving Party shall be liable to the Disclosing Party for any breach by the Receiving Party’s directors, officers, employees, contractors, consultants, and its Affiliates.</w:t>
      </w:r>
    </w:p>
    <w:p>
      <w:pPr>
        <w:spacing w:after="0" w:line="179" w:lineRule="exact"/>
        <w:rPr>
          <w:sz w:val="20"/>
          <w:szCs w:val="20"/>
          <w:color w:val="auto"/>
        </w:rPr>
      </w:pPr>
    </w:p>
    <w:p>
      <w:pPr>
        <w:jc w:val="both"/>
        <w:ind w:left="1060" w:hanging="404"/>
        <w:spacing w:after="0" w:line="256" w:lineRule="auto"/>
        <w:rPr>
          <w:sz w:val="20"/>
          <w:szCs w:val="20"/>
          <w:color w:val="auto"/>
        </w:rPr>
      </w:pPr>
      <w:r>
        <w:rPr>
          <w:rFonts w:ascii="Times New Roman" w:cs="Times New Roman" w:eastAsia="Times New Roman" w:hAnsi="Times New Roman"/>
          <w:sz w:val="18"/>
          <w:szCs w:val="18"/>
          <w:b w:val="1"/>
          <w:bCs w:val="1"/>
          <w:color w:val="auto"/>
        </w:rPr>
        <w:t>3.3.2.</w:t>
      </w:r>
      <w:r>
        <w:rPr>
          <w:rFonts w:ascii="Times New Roman" w:cs="Times New Roman" w:eastAsia="Times New Roman" w:hAnsi="Times New Roman"/>
          <w:sz w:val="18"/>
          <w:szCs w:val="18"/>
          <w:color w:val="auto"/>
        </w:rPr>
        <w:t>If the Receiving Party is required by applicable law, judicial order or governmental regulation, then the Receiving Party will be permitted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disclose (and the Receiving Party shall not be required to destroy) any of the Disclosing Party’s Confidential Information that is required to be disclosed by a governmental authority or applicable law in connection with a legal or administrative proceeding (including in connection with any regulatory approval process), provided that the Receiving Party: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notifies the Disclosing Party of any such disclosure requirement as soon as practicable;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reasonably cooperate with the Disclosing Party (at the Disclosing Party’s cost) if the Disclosing Party seeks a protective order or other remedy in respect of any such disclosure </w:t>
      </w:r>
      <w:r>
        <w:rPr>
          <w:rFonts w:ascii="Times New Roman" w:cs="Times New Roman" w:eastAsia="Times New Roman" w:hAnsi="Times New Roman"/>
          <w:sz w:val="18"/>
          <w:szCs w:val="18"/>
          <w:b w:val="1"/>
          <w:bCs w:val="1"/>
          <w:u w:val="single" w:color="auto"/>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furnishes only that portion of the Confidential Information which the Receiving Party is legally required to disclose.</w:t>
      </w:r>
    </w:p>
    <w:p>
      <w:pPr>
        <w:spacing w:after="0" w:line="183" w:lineRule="exact"/>
        <w:rPr>
          <w:sz w:val="20"/>
          <w:szCs w:val="20"/>
          <w:color w:val="auto"/>
        </w:rPr>
      </w:pPr>
    </w:p>
    <w:p>
      <w:pPr>
        <w:jc w:val="both"/>
        <w:ind w:left="660" w:hanging="3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Equitable Relief</w:t>
      </w:r>
      <w:r>
        <w:rPr>
          <w:rFonts w:ascii="Times New Roman" w:cs="Times New Roman" w:eastAsia="Times New Roman" w:hAnsi="Times New Roman"/>
          <w:sz w:val="18"/>
          <w:szCs w:val="18"/>
          <w:color w:val="auto"/>
        </w:rPr>
        <w:t>. Each Party acknowledges that disclosure or improper use of the Confidential Information might cause the other Party immediate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irreparable harm. Without limiting the following, each Party agrees that the other Party will be entitled to seek equitable relief in addition to any other remedies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Certain information (marked as [***]) has been excluded from this exhibit because it is both (i) not material and (ii) would be competitively harmful if publicly disclosed.</w:t>
      </w:r>
    </w:p>
    <w:p>
      <w:pPr>
        <w:spacing w:after="0" w:line="158" w:lineRule="exact"/>
        <w:rPr>
          <w:sz w:val="20"/>
          <w:szCs w:val="20"/>
          <w:color w:val="auto"/>
        </w:rPr>
      </w:pPr>
    </w:p>
    <w:p>
      <w:pPr>
        <w:jc w:val="both"/>
        <w:ind w:left="660" w:hanging="3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u w:val="single" w:color="auto"/>
          <w:color w:val="auto"/>
        </w:rPr>
        <w:t>Privacy</w:t>
      </w:r>
      <w:r>
        <w:rPr>
          <w:rFonts w:ascii="Times New Roman" w:cs="Times New Roman" w:eastAsia="Times New Roman" w:hAnsi="Times New Roman"/>
          <w:sz w:val="18"/>
          <w:szCs w:val="18"/>
          <w:color w:val="auto"/>
        </w:rPr>
        <w:t>. MSK will make all attempts to ensure that any information revealing a patient’s identity attached to patient samples or results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are removed (“</w:t>
      </w:r>
      <w:r>
        <w:rPr>
          <w:rFonts w:ascii="Times New Roman" w:cs="Times New Roman" w:eastAsia="Times New Roman" w:hAnsi="Times New Roman"/>
          <w:sz w:val="18"/>
          <w:szCs w:val="18"/>
          <w:b w:val="1"/>
          <w:bCs w:val="1"/>
          <w:u w:val="single" w:color="auto"/>
          <w:color w:val="auto"/>
        </w:rPr>
        <w:t>PHI</w:t>
      </w:r>
      <w:r>
        <w:rPr>
          <w:rFonts w:ascii="Times New Roman" w:cs="Times New Roman" w:eastAsia="Times New Roman" w:hAnsi="Times New Roman"/>
          <w:sz w:val="18"/>
          <w:szCs w:val="18"/>
          <w:color w:val="auto"/>
        </w:rPr>
        <w:t>”). Should Sponsor be exposed to PHI despite MSK's effort to de-identify any such information, Sponsor agrees to use best faith efforts to delete such PHI and further agrees that there shall be no time limit on the Parties' obligation to maintain the confidentiality of PHI, including information whose identifiers may be ascertained by the exercise of reasonable effort through investigation. PHI shall be protected in compliance with all applicable regulations, rules and statutes including the Health Insurance Portability and Accountability Act of 1996 and regulations, laws and guidelines related thereto. Sponsor agrees to refrain from publishing or disclosing any part of such confidential PHI for any purpose. PHI must be maintained in confidence indefinitely. Sponsor shall require that its personnel respect the confidential nature of all medical information relating to MSK patients. Sponsor shall ensure that its personnel have been informed of, and shall comply with all applicable laws, rules, and regulations governing confidentiality, disclosure, and re-disclosure requirements of federal, state, and local laws, rules and regulations, and the standards of The Joint Commission, including but not limited to those provisions concerning HIV, genetic testing, alcohol or drug abuse, and mental health.</w:t>
      </w:r>
    </w:p>
    <w:p>
      <w:pPr>
        <w:spacing w:after="0" w:line="18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RESULTS, REPORTS, &amp; PUBLICATION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660" w:hanging="324"/>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Results</w:t>
      </w:r>
      <w:r>
        <w:rPr>
          <w:rFonts w:ascii="Times New Roman" w:cs="Times New Roman" w:eastAsia="Times New Roman" w:hAnsi="Times New Roman"/>
          <w:sz w:val="18"/>
          <w:szCs w:val="18"/>
          <w:color w:val="auto"/>
        </w:rPr>
        <w:t>” means data and information generated from the performance of the Research during the term of this Agreement. Results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exclude Inventions. For each SOW, MSK will provide the Sponsor with a final report within [***] of the completion of the study and any periodic progress reports specified in the applicable </w:t>
      </w:r>
      <w:r>
        <w:rPr>
          <w:rFonts w:ascii="Times New Roman" w:cs="Times New Roman" w:eastAsia="Times New Roman" w:hAnsi="Times New Roman"/>
          <w:sz w:val="18"/>
          <w:szCs w:val="18"/>
          <w:b w:val="1"/>
          <w:bCs w:val="1"/>
          <w:u w:val="single" w:color="auto"/>
          <w:color w:val="auto"/>
        </w:rPr>
        <w:t>SOW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color w:val="auto"/>
        </w:rPr>
        <w:t xml:space="preserve">”). MSK owns all Results and Reports arising from the Research under this Agreement.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(Intellectual Property)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(Option), the Sponsor shall have the right to use the Results disclosed to Sponsor in Reports for its research use and solely to the extent such use does not jeopardize MSK’s publication or intellectual property rights.</w:t>
      </w:r>
    </w:p>
    <w:p>
      <w:pPr>
        <w:spacing w:after="0" w:line="182" w:lineRule="exact"/>
        <w:rPr>
          <w:sz w:val="20"/>
          <w:szCs w:val="20"/>
          <w:color w:val="auto"/>
        </w:rPr>
      </w:pPr>
    </w:p>
    <w:p>
      <w:pPr>
        <w:jc w:val="both"/>
        <w:ind w:left="660" w:hanging="3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Publication</w:t>
      </w:r>
      <w:r>
        <w:rPr>
          <w:rFonts w:ascii="Times New Roman" w:cs="Times New Roman" w:eastAsia="Times New Roman" w:hAnsi="Times New Roman"/>
          <w:sz w:val="18"/>
          <w:szCs w:val="18"/>
          <w:color w:val="auto"/>
        </w:rPr>
        <w:t>. MSK is free to publish the Results. MSK will submit for review a copy of the proposed publication (including abstracts,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presentation to a journal, editor, meeting, seminar or other third party) resulting from the Research to Sponsor at least [***] prior to submission for publication or presentation. If no response is received from Sponsor within those [***], it may be conclusively presumed that the publication may proceed without delay. Such delay will not, however, be imposed on the filing of any student thesis or dissertation.</w:t>
      </w:r>
    </w:p>
    <w:p>
      <w:pPr>
        <w:spacing w:after="0" w:line="176" w:lineRule="exact"/>
        <w:rPr>
          <w:sz w:val="20"/>
          <w:szCs w:val="20"/>
          <w:color w:val="auto"/>
        </w:rPr>
      </w:pPr>
    </w:p>
    <w:p>
      <w:pPr>
        <w:jc w:val="both"/>
        <w:ind w:left="1060" w:hanging="404"/>
        <w:spacing w:after="0" w:line="257" w:lineRule="auto"/>
        <w:rPr>
          <w:sz w:val="20"/>
          <w:szCs w:val="20"/>
          <w:color w:val="auto"/>
        </w:rPr>
      </w:pPr>
      <w:r>
        <w:rPr>
          <w:rFonts w:ascii="Times New Roman" w:cs="Times New Roman" w:eastAsia="Times New Roman" w:hAnsi="Times New Roman"/>
          <w:sz w:val="18"/>
          <w:szCs w:val="18"/>
          <w:b w:val="1"/>
          <w:bCs w:val="1"/>
          <w:color w:val="auto"/>
        </w:rPr>
        <w:t>4.2.1.</w:t>
      </w:r>
      <w:r>
        <w:rPr>
          <w:rFonts w:ascii="Times New Roman" w:cs="Times New Roman" w:eastAsia="Times New Roman" w:hAnsi="Times New Roman"/>
          <w:sz w:val="18"/>
          <w:szCs w:val="18"/>
          <w:color w:val="auto"/>
        </w:rPr>
        <w:t>If Sponsor determines such proposed publication contains Sponsor’s Confidential Information, it shall notify MSK within such [***] review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period and MSK shall delete such Sponsor Confidential Information before proceeding with its planned publication. Upon MSK’s request, Sponsor and MSK shall work in good faith to develop substitute language that is scientifically comparable but does not disclose Sponsor’s Confidential Information. For the purpose of this provision only, the term Confidential Information shall not include the Research data, results, materials, or description of the Research methodology necessary for a meaningful publication, which may otherwise come within the definition of Confidential Information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(Confidentiality).</w:t>
      </w:r>
    </w:p>
    <w:p>
      <w:pPr>
        <w:spacing w:after="0" w:line="182" w:lineRule="exact"/>
        <w:rPr>
          <w:sz w:val="20"/>
          <w:szCs w:val="20"/>
          <w:color w:val="auto"/>
        </w:rPr>
      </w:pPr>
    </w:p>
    <w:p>
      <w:pPr>
        <w:jc w:val="both"/>
        <w:ind w:left="1060" w:hanging="404"/>
        <w:spacing w:after="0" w:line="268" w:lineRule="auto"/>
        <w:rPr>
          <w:sz w:val="20"/>
          <w:szCs w:val="20"/>
          <w:color w:val="auto"/>
        </w:rPr>
      </w:pPr>
      <w:r>
        <w:rPr>
          <w:rFonts w:ascii="Times New Roman" w:cs="Times New Roman" w:eastAsia="Times New Roman" w:hAnsi="Times New Roman"/>
          <w:sz w:val="18"/>
          <w:szCs w:val="18"/>
          <w:b w:val="1"/>
          <w:bCs w:val="1"/>
          <w:color w:val="auto"/>
        </w:rPr>
        <w:t>4.2.2.</w:t>
      </w:r>
      <w:r>
        <w:rPr>
          <w:rFonts w:ascii="Times New Roman" w:cs="Times New Roman" w:eastAsia="Times New Roman" w:hAnsi="Times New Roman"/>
          <w:sz w:val="18"/>
          <w:szCs w:val="18"/>
          <w:color w:val="auto"/>
        </w:rPr>
        <w:t>If Sponsor determines and requests that the proposed publication or presentation contains patentable subject matter, MSK will delay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publication or presentation for a period of time not to exceed [***] to allow the filing of appropriate patent applications relating to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Certain information (marked as [***]) has been excluded from this exhibit because it is both (i) not material and (ii) would be competitively harmful if publicly disclosed.</w:t>
      </w:r>
    </w:p>
    <w:p>
      <w:pPr>
        <w:spacing w:after="0" w:line="158" w:lineRule="exact"/>
        <w:rPr>
          <w:sz w:val="20"/>
          <w:szCs w:val="20"/>
          <w:color w:val="auto"/>
        </w:rPr>
      </w:pPr>
    </w:p>
    <w:p>
      <w:pPr>
        <w:ind w:left="1060" w:hanging="404"/>
        <w:spacing w:after="0" w:line="286" w:lineRule="auto"/>
        <w:rPr>
          <w:sz w:val="20"/>
          <w:szCs w:val="20"/>
          <w:color w:val="auto"/>
        </w:rPr>
      </w:pPr>
      <w:r>
        <w:rPr>
          <w:rFonts w:ascii="Times New Roman" w:cs="Times New Roman" w:eastAsia="Times New Roman" w:hAnsi="Times New Roman"/>
          <w:sz w:val="18"/>
          <w:szCs w:val="18"/>
          <w:b w:val="1"/>
          <w:bCs w:val="1"/>
          <w:color w:val="auto"/>
        </w:rPr>
        <w:t>4.2.3.</w:t>
      </w:r>
      <w:r>
        <w:rPr>
          <w:rFonts w:ascii="Times New Roman" w:cs="Times New Roman" w:eastAsia="Times New Roman" w:hAnsi="Times New Roman"/>
          <w:sz w:val="18"/>
          <w:szCs w:val="18"/>
          <w:color w:val="auto"/>
        </w:rPr>
        <w:t>Any proposed publication disclosed to Sponsor hereunder is MSK’s Confidential Information. Sponsor shall hold such disclosure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basis and shall not disclose the information to any third party, or use the information, without the prior written consent of MSK.</w:t>
      </w:r>
    </w:p>
    <w:p>
      <w:pPr>
        <w:spacing w:after="0" w:line="155"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Copyrights</w:t>
      </w:r>
      <w:r>
        <w:rPr>
          <w:rFonts w:ascii="Times New Roman" w:cs="Times New Roman" w:eastAsia="Times New Roman" w:hAnsi="Times New Roman"/>
          <w:sz w:val="18"/>
          <w:szCs w:val="18"/>
          <w:color w:val="auto"/>
        </w:rPr>
        <w:t>. Title to any copyright or copyrightable material first produced or composed in the performance of the Research will remain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assigned to, MSK. Such copyright shall not impede Sponsor’s ability to use the Research Results under Section 4.1.</w:t>
      </w:r>
    </w:p>
    <w:p>
      <w:pPr>
        <w:spacing w:after="0" w:line="15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660" w:hanging="324"/>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 “</w:t>
      </w:r>
      <w:r>
        <w:rPr>
          <w:rFonts w:ascii="Times New Roman" w:cs="Times New Roman" w:eastAsia="Times New Roman" w:hAnsi="Times New Roman"/>
          <w:sz w:val="18"/>
          <w:szCs w:val="18"/>
          <w:b w:val="1"/>
          <w:bCs w:val="1"/>
          <w:u w:val="single" w:color="auto"/>
          <w:color w:val="auto"/>
        </w:rPr>
        <w:t>Invention</w:t>
      </w:r>
      <w:r>
        <w:rPr>
          <w:rFonts w:ascii="Times New Roman" w:cs="Times New Roman" w:eastAsia="Times New Roman" w:hAnsi="Times New Roman"/>
          <w:sz w:val="18"/>
          <w:szCs w:val="18"/>
          <w:color w:val="auto"/>
        </w:rPr>
        <w:t>” means any invention that is within the scope of the Research and is first conceived and reduced to practice during the performance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Research funded under this Agreement that is or may be patentable or otherwise protectable under Title 35 of the United States Code. Ownership of an Invention shall track inventorship, and inventorship of Inventions shall be determined according to United States patent law. Sponsor owns the entire right, title and interest in and to all Inventions solely developed by Sponsor personnel (“</w:t>
      </w:r>
      <w:r>
        <w:rPr>
          <w:rFonts w:ascii="Times New Roman" w:cs="Times New Roman" w:eastAsia="Times New Roman" w:hAnsi="Times New Roman"/>
          <w:sz w:val="18"/>
          <w:szCs w:val="18"/>
          <w:b w:val="1"/>
          <w:bCs w:val="1"/>
          <w:u w:val="single" w:color="auto"/>
          <w:color w:val="auto"/>
        </w:rPr>
        <w:t>Sponsor Invention</w:t>
      </w:r>
      <w:r>
        <w:rPr>
          <w:rFonts w:ascii="Times New Roman" w:cs="Times New Roman" w:eastAsia="Times New Roman" w:hAnsi="Times New Roman"/>
          <w:sz w:val="18"/>
          <w:szCs w:val="18"/>
          <w:color w:val="auto"/>
        </w:rPr>
        <w:t>”). An Invention that is jointly developed by MSK and Sponsor personnel will be jointly owned (“</w:t>
      </w:r>
      <w:r>
        <w:rPr>
          <w:rFonts w:ascii="Times New Roman" w:cs="Times New Roman" w:eastAsia="Times New Roman" w:hAnsi="Times New Roman"/>
          <w:sz w:val="18"/>
          <w:szCs w:val="18"/>
          <w:b w:val="1"/>
          <w:bCs w:val="1"/>
          <w:u w:val="single" w:color="auto"/>
          <w:color w:val="auto"/>
        </w:rPr>
        <w:t>Joint Invention</w:t>
      </w:r>
      <w:r>
        <w:rPr>
          <w:rFonts w:ascii="Times New Roman" w:cs="Times New Roman" w:eastAsia="Times New Roman" w:hAnsi="Times New Roman"/>
          <w:sz w:val="18"/>
          <w:szCs w:val="18"/>
          <w:color w:val="auto"/>
        </w:rPr>
        <w:t>”). MSK owns the entire right, title, and interest in and to all Inventions solely developed by MSK personnel (“</w:t>
      </w:r>
      <w:r>
        <w:rPr>
          <w:rFonts w:ascii="Times New Roman" w:cs="Times New Roman" w:eastAsia="Times New Roman" w:hAnsi="Times New Roman"/>
          <w:sz w:val="18"/>
          <w:szCs w:val="18"/>
          <w:b w:val="1"/>
          <w:bCs w:val="1"/>
          <w:u w:val="single" w:color="auto"/>
          <w:color w:val="auto"/>
        </w:rPr>
        <w:t>MSK Invention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020" w:hanging="363"/>
        <w:spacing w:after="0" w:line="286" w:lineRule="auto"/>
        <w:rPr>
          <w:sz w:val="20"/>
          <w:szCs w:val="20"/>
          <w:color w:val="auto"/>
        </w:rPr>
      </w:pPr>
      <w:r>
        <w:rPr>
          <w:rFonts w:ascii="Times New Roman" w:cs="Times New Roman" w:eastAsia="Times New Roman" w:hAnsi="Times New Roman"/>
          <w:sz w:val="18"/>
          <w:szCs w:val="18"/>
          <w:b w:val="1"/>
          <w:bCs w:val="1"/>
          <w:color w:val="auto"/>
        </w:rPr>
        <w:t>5.1.1</w:t>
      </w:r>
      <w:r>
        <w:rPr>
          <w:rFonts w:ascii="Times New Roman" w:cs="Times New Roman" w:eastAsia="Times New Roman" w:hAnsi="Times New Roman"/>
          <w:sz w:val="18"/>
          <w:szCs w:val="18"/>
          <w:b w:val="1"/>
          <w:bCs w:val="1"/>
          <w:u w:val="single" w:color="auto"/>
          <w:color w:val="auto"/>
        </w:rPr>
        <w:t>Invention Option</w:t>
      </w:r>
      <w:r>
        <w:rPr>
          <w:rFonts w:ascii="Times New Roman" w:cs="Times New Roman" w:eastAsia="Times New Roman" w:hAnsi="Times New Roman"/>
          <w:sz w:val="18"/>
          <w:szCs w:val="18"/>
          <w:color w:val="auto"/>
        </w:rPr>
        <w:t>. MSK grants Sponsor the first option to negotiate an exclusive or non-exclusive commercial license to MSK 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first option to negotiate an exclusive license to MSK’s rights in Joint Inventions.</w:t>
      </w:r>
    </w:p>
    <w:p>
      <w:pPr>
        <w:spacing w:after="0" w:line="155" w:lineRule="exact"/>
        <w:rPr>
          <w:sz w:val="20"/>
          <w:szCs w:val="20"/>
          <w:color w:val="auto"/>
        </w:rPr>
      </w:pPr>
    </w:p>
    <w:p>
      <w:pPr>
        <w:ind w:left="1020" w:hanging="363"/>
        <w:spacing w:after="0" w:line="286" w:lineRule="auto"/>
        <w:rPr>
          <w:sz w:val="20"/>
          <w:szCs w:val="20"/>
          <w:color w:val="auto"/>
        </w:rPr>
      </w:pPr>
      <w:r>
        <w:rPr>
          <w:rFonts w:ascii="Times New Roman" w:cs="Times New Roman" w:eastAsia="Times New Roman" w:hAnsi="Times New Roman"/>
          <w:sz w:val="18"/>
          <w:szCs w:val="18"/>
          <w:b w:val="1"/>
          <w:bCs w:val="1"/>
          <w:color w:val="auto"/>
        </w:rPr>
        <w:t>5.1.2</w:t>
      </w:r>
      <w:r>
        <w:rPr>
          <w:rFonts w:ascii="Times New Roman" w:cs="Times New Roman" w:eastAsia="Times New Roman" w:hAnsi="Times New Roman"/>
          <w:sz w:val="18"/>
          <w:szCs w:val="18"/>
          <w:b w:val="1"/>
          <w:bCs w:val="1"/>
          <w:u w:val="single" w:color="auto"/>
          <w:color w:val="auto"/>
        </w:rPr>
        <w:t>Internal Use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Sponsor will be entitled to a non-exclusive, non- commercial, non-transferable, royalty-free license for all Project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Inventions for the Sponsor’s internal, non-commercial research purposes only.</w:t>
      </w:r>
    </w:p>
    <w:p>
      <w:pPr>
        <w:spacing w:after="0" w:line="155" w:lineRule="exact"/>
        <w:rPr>
          <w:sz w:val="20"/>
          <w:szCs w:val="20"/>
          <w:color w:val="auto"/>
        </w:rPr>
      </w:pPr>
    </w:p>
    <w:p>
      <w:pPr>
        <w:jc w:val="both"/>
        <w:ind w:left="660" w:hanging="3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Other Intellectual Property</w:t>
      </w:r>
      <w:r>
        <w:rPr>
          <w:rFonts w:ascii="Times New Roman" w:cs="Times New Roman" w:eastAsia="Times New Roman" w:hAnsi="Times New Roman"/>
          <w:sz w:val="18"/>
          <w:szCs w:val="18"/>
          <w:color w:val="auto"/>
        </w:rPr>
        <w:t>. Nothing contained in this Agreement shall affect, either directly or by implication, estoppel, or otherwise, the pre-existing rights of either Party in intellectual property developed prior to the Effective Date of this Agreement, or intellectual property developed outside of this Agreement. All such intellectual property shall remain the property of its owner and the option granted to Sponsor in this Agreement shall not apply to such intellectual property.</w:t>
      </w:r>
    </w:p>
    <w:p>
      <w:pPr>
        <w:spacing w:after="0" w:line="176"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660" w:hanging="324"/>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color w:val="auto"/>
        </w:rPr>
        <w:t>. Under MSK policy, inventions and discoveries which result from research or other activities carried out at MSK or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 aid of its facilities or funds administered by it, are disclosed to MSK and are the property of MSK. If an Invention is disclosed to MSK and MSK believes that it may be amenable to patenting and/or licensing, the MSK Office of Technology Development, in accordance with MSK policies and practices, will promptly notify the Sponsor, thereby creating a "</w:t>
      </w: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color w:val="auto"/>
        </w:rPr>
        <w:t>". Sponsor shall hold the Disclosure on a confidential basis and shall not disclose the information to any third party, or use the information, without the prior written consent of MSK. Sponsor shall disclose to MSK any Joint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Certain information (marked as [***]) has been excluded from this exhibit because it is both (i) not material and (ii) would be competitively harmful if publicly disclosed.</w:t>
      </w:r>
    </w:p>
    <w:p>
      <w:pPr>
        <w:spacing w:after="0" w:line="158" w:lineRule="exact"/>
        <w:rPr>
          <w:sz w:val="20"/>
          <w:szCs w:val="20"/>
          <w:color w:val="auto"/>
        </w:rPr>
      </w:pPr>
    </w:p>
    <w:p>
      <w:pPr>
        <w:jc w:val="both"/>
        <w:ind w:left="660" w:hanging="3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Option Period</w:t>
      </w:r>
      <w:r>
        <w:rPr>
          <w:rFonts w:ascii="Times New Roman" w:cs="Times New Roman" w:eastAsia="Times New Roman" w:hAnsi="Times New Roman"/>
          <w:sz w:val="18"/>
          <w:szCs w:val="18"/>
          <w:color w:val="auto"/>
        </w:rPr>
        <w:t>. The options granted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 Option) begin on the date the Sponsor receives the relevant Disclosure and ends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that date (the “</w:t>
      </w:r>
      <w:r>
        <w:rPr>
          <w:rFonts w:ascii="Times New Roman" w:cs="Times New Roman" w:eastAsia="Times New Roman" w:hAnsi="Times New Roman"/>
          <w:sz w:val="18"/>
          <w:szCs w:val="18"/>
          <w:b w:val="1"/>
          <w:bCs w:val="1"/>
          <w:u w:val="single" w:color="auto"/>
          <w:color w:val="auto"/>
        </w:rPr>
        <w:t>Option Period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660" w:hanging="3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u w:val="single" w:color="auto"/>
          <w:color w:val="auto"/>
        </w:rPr>
        <w:t>Negotiation Period</w:t>
      </w:r>
      <w:r>
        <w:rPr>
          <w:rFonts w:ascii="Times New Roman" w:cs="Times New Roman" w:eastAsia="Times New Roman" w:hAnsi="Times New Roman"/>
          <w:sz w:val="18"/>
          <w:szCs w:val="18"/>
          <w:color w:val="auto"/>
        </w:rPr>
        <w:t>. If Sponsor elects to exercise the option, Sponsor will provide MSK written notice of said election (the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of the Notice by MSK, the Parties will endeavor to negotiate in good faith, an acceptable license agreement within [***] (the “</w:t>
      </w:r>
      <w:r>
        <w:rPr>
          <w:rFonts w:ascii="Times New Roman" w:cs="Times New Roman" w:eastAsia="Times New Roman" w:hAnsi="Times New Roman"/>
          <w:sz w:val="18"/>
          <w:szCs w:val="18"/>
          <w:b w:val="1"/>
          <w:bCs w:val="1"/>
          <w:u w:val="single" w:color="auto"/>
          <w:color w:val="auto"/>
        </w:rPr>
        <w:t>Negotiation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Period</w:t>
      </w:r>
      <w:r>
        <w:rPr>
          <w:rFonts w:ascii="Times New Roman" w:cs="Times New Roman" w:eastAsia="Times New Roman" w:hAnsi="Times New Roman"/>
          <w:sz w:val="18"/>
          <w:szCs w:val="18"/>
          <w:color w:val="auto"/>
        </w:rPr>
        <w:t>”). Licenses elected and negotiated by Sponsor are effective as of the date the Parties sign a separate license agreement, which will contain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indemnity, insurance, and no-warranty provisions, in addition to other customary terms and conditions that are based on standards current in the industry. If the Negotiation Period expires and a license agreement has not been negotiated, MSK shall retain all its rights in its Inventions.</w:t>
      </w:r>
    </w:p>
    <w:p>
      <w:pPr>
        <w:spacing w:after="0" w:line="179" w:lineRule="exact"/>
        <w:rPr>
          <w:sz w:val="20"/>
          <w:szCs w:val="20"/>
          <w:color w:val="auto"/>
        </w:rPr>
      </w:pPr>
    </w:p>
    <w:p>
      <w:pPr>
        <w:jc w:val="both"/>
        <w:ind w:left="340" w:right="20" w:hanging="332"/>
        <w:spacing w:after="0" w:line="268" w:lineRule="auto"/>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PATENT PROSECUTION</w:t>
      </w:r>
      <w:r>
        <w:rPr>
          <w:rFonts w:ascii="Times New Roman" w:cs="Times New Roman" w:eastAsia="Times New Roman" w:hAnsi="Times New Roman"/>
          <w:sz w:val="18"/>
          <w:szCs w:val="18"/>
          <w:color w:val="auto"/>
        </w:rPr>
        <w:t>. MSK shall control the preparation and prosecution of all patent applications and the maintenance of all patents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MSK Inventions and Joint Inventions. Sponsor shall, within [***] upon receipt of the Disclosure, determine whether to exercise its Option and request MSK to file and prosecute any patent application, domestic or foreign, on the Invention described in the Disclosure.</w:t>
      </w:r>
    </w:p>
    <w:p>
      <w:pPr>
        <w:spacing w:after="0" w:line="170" w:lineRule="exact"/>
        <w:rPr>
          <w:rFonts w:ascii="Times New Roman" w:cs="Times New Roman" w:eastAsia="Times New Roman" w:hAnsi="Times New Roman"/>
          <w:sz w:val="18"/>
          <w:szCs w:val="18"/>
          <w:b w:val="1"/>
          <w:bCs w:val="1"/>
          <w:color w:val="auto"/>
        </w:rPr>
      </w:pPr>
    </w:p>
    <w:p>
      <w:pPr>
        <w:ind w:left="660" w:hanging="324"/>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color w:val="auto"/>
        </w:rPr>
        <w:t>If Sponsor requests MSK to file and prosecute such patent applications, Sponsor shall bear all costs incurred in connection with the preparation,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filing, prosecution and maintenance of U.S. and foreign applications directed to said MSK Invention or Joint Invention, and the cost of any activities investigating patentability. MSK shall keep Sponsor advised as to all developments with regard to said application(s) and shall promptly provide to Sponsor copies of all documents received and/or filed in connection with the filing, prosecution or maintenance thereof in reasonable time, subject to statutory deadlines.</w:t>
      </w:r>
    </w:p>
    <w:p>
      <w:pPr>
        <w:spacing w:after="0" w:line="179" w:lineRule="exact"/>
        <w:rPr>
          <w:sz w:val="20"/>
          <w:szCs w:val="20"/>
          <w:color w:val="auto"/>
        </w:rPr>
      </w:pPr>
    </w:p>
    <w:p>
      <w:pPr>
        <w:jc w:val="both"/>
        <w:ind w:left="1060" w:hanging="404"/>
        <w:spacing w:after="0" w:line="286" w:lineRule="auto"/>
        <w:rPr>
          <w:sz w:val="20"/>
          <w:szCs w:val="20"/>
          <w:color w:val="auto"/>
        </w:rPr>
      </w:pPr>
      <w:r>
        <w:rPr>
          <w:rFonts w:ascii="Times New Roman" w:cs="Times New Roman" w:eastAsia="Times New Roman" w:hAnsi="Times New Roman"/>
          <w:sz w:val="18"/>
          <w:szCs w:val="18"/>
          <w:b w:val="1"/>
          <w:bCs w:val="1"/>
          <w:color w:val="auto"/>
        </w:rPr>
        <w:t>7.1.1.</w:t>
      </w:r>
      <w:r>
        <w:rPr>
          <w:rFonts w:ascii="Times New Roman" w:cs="Times New Roman" w:eastAsia="Times New Roman" w:hAnsi="Times New Roman"/>
          <w:sz w:val="18"/>
          <w:szCs w:val="18"/>
          <w:color w:val="auto"/>
        </w:rPr>
        <w:t>Sponsor may elect to discontinue its financial support of such prosecution and/or maintenance, provided Sponsor notifies MSK in writing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decision to discontinue reasonably in advance of MSK’s need to respond to any statutory deadlines.</w:t>
      </w:r>
    </w:p>
    <w:p>
      <w:pPr>
        <w:spacing w:after="0" w:line="155" w:lineRule="exact"/>
        <w:rPr>
          <w:sz w:val="20"/>
          <w:szCs w:val="20"/>
          <w:color w:val="auto"/>
        </w:rPr>
      </w:pPr>
    </w:p>
    <w:p>
      <w:pPr>
        <w:jc w:val="both"/>
        <w:ind w:left="1060" w:hanging="404"/>
        <w:spacing w:after="0" w:line="259" w:lineRule="auto"/>
        <w:rPr>
          <w:sz w:val="20"/>
          <w:szCs w:val="20"/>
          <w:color w:val="auto"/>
        </w:rPr>
      </w:pPr>
      <w:r>
        <w:rPr>
          <w:rFonts w:ascii="Times New Roman" w:cs="Times New Roman" w:eastAsia="Times New Roman" w:hAnsi="Times New Roman"/>
          <w:sz w:val="18"/>
          <w:szCs w:val="18"/>
          <w:b w:val="1"/>
          <w:bCs w:val="1"/>
          <w:color w:val="auto"/>
        </w:rPr>
        <w:t>7.1.2.</w:t>
      </w:r>
      <w:r>
        <w:rPr>
          <w:rFonts w:ascii="Times New Roman" w:cs="Times New Roman" w:eastAsia="Times New Roman" w:hAnsi="Times New Roman"/>
          <w:sz w:val="18"/>
          <w:szCs w:val="18"/>
          <w:color w:val="auto"/>
        </w:rPr>
        <w:t>If Sponsor elects to discontinue the financial support of such prosecution and/or maintenance, MSK may proceed with such preparation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prosecution at its own cost and expense and Sponsor thereby waives and gives up any right it may have under this Agreement to license the related MSK Invention or Joint Invention. With regard to a Joint Invention, should the Sponsor subsequently use, license or sublicense any Joint Invention for economic gain, Sponsor shall reimburse all fees and expenses incurred by MSK in connection with the patent or other intellectual property protection which applies to such use, license or sublicense.</w:t>
      </w:r>
    </w:p>
    <w:p>
      <w:pPr>
        <w:spacing w:after="0" w:line="17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AND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This Agreement commences on the Effective Date and continues until the earlier of:</w:t>
      </w:r>
    </w:p>
    <w:p>
      <w:pPr>
        <w:spacing w:after="0" w:line="229" w:lineRule="exact"/>
        <w:rPr>
          <w:rFonts w:ascii="Times New Roman" w:cs="Times New Roman" w:eastAsia="Times New Roman" w:hAnsi="Times New Roman"/>
          <w:sz w:val="18"/>
          <w:szCs w:val="18"/>
          <w:b w:val="1"/>
          <w:bCs w:val="1"/>
          <w:color w:val="auto"/>
        </w:rPr>
      </w:pPr>
    </w:p>
    <w:p>
      <w:pPr>
        <w:jc w:val="both"/>
        <w:ind w:left="660" w:hanging="4"/>
        <w:spacing w:after="0" w:line="266" w:lineRule="auto"/>
        <w:tabs>
          <w:tab w:leader="none" w:pos="139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all the SOWs under the Research; or (ii) five (5) years from the Effective Date (“Term”). Sponsor and MSK will have the option to extend this Agreement for a specified period of time, either with or without further compensation, by the mutual written consent of duly authorized representatives of MSK and Sponsor. The term of each SOW shall be as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Certain information (marked as [***]) has been excluded from this exhibit because it is both (i) not material and (ii) would be competitively harmful if publicly disclosed.</w:t>
      </w:r>
    </w:p>
    <w:p>
      <w:pPr>
        <w:spacing w:after="0" w:line="158" w:lineRule="exact"/>
        <w:rPr>
          <w:sz w:val="20"/>
          <w:szCs w:val="20"/>
          <w:color w:val="auto"/>
        </w:rPr>
      </w:pPr>
    </w:p>
    <w:p>
      <w:pPr>
        <w:jc w:val="both"/>
        <w:ind w:left="660" w:hanging="3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Either Party may terminate this Agreement, or any individual SOW, for any reason following [***] advance written notice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such early termination, Sponsor will reimburse MSK for all expenses incurred up to the date ot termination, including, but not limited to, all non-cancelable obligations, and shall pro-rate financial support due based upon actual work performed and expenses committed pursuant to the applicable SOWs. Termination of the Agreement shall effectuate the termination of all then-active SOWs.</w:t>
      </w:r>
    </w:p>
    <w:p>
      <w:pPr>
        <w:spacing w:after="0" w:line="176" w:lineRule="exact"/>
        <w:rPr>
          <w:sz w:val="20"/>
          <w:szCs w:val="20"/>
          <w:color w:val="auto"/>
        </w:rPr>
      </w:pPr>
    </w:p>
    <w:p>
      <w:pPr>
        <w:jc w:val="both"/>
        <w:ind w:left="660" w:hanging="3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color w:val="auto"/>
        </w:rPr>
        <w:t>. In the event of termination of this Agreement,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Reports &amp; Publication),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(Intellectual Property),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(Patent Prosecution)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(Term and Termination),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(Indemnification),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(Disclaimer and Warranties/Limitation of Liabilities),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(Use of Name) and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(Miscellaneous) will remain in effect, as well as any other provisions of this Agreement, as are necessary to effect the purposes of this Agreement.</w:t>
      </w:r>
    </w:p>
    <w:p>
      <w:pPr>
        <w:spacing w:after="0" w:line="176" w:lineRule="exact"/>
        <w:rPr>
          <w:sz w:val="20"/>
          <w:szCs w:val="20"/>
          <w:color w:val="auto"/>
        </w:rPr>
      </w:pPr>
    </w:p>
    <w:p>
      <w:pPr>
        <w:jc w:val="both"/>
        <w:ind w:left="340" w:hanging="332"/>
        <w:spacing w:after="0" w:line="257" w:lineRule="auto"/>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The Sponsor will defend, indemnify and hold MSK, the MSK Investigator and any of MSK’s employees, trustees,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and agents, harmless from any claim, suit, loss, cost, damage, liability or expense arising out of Sponsor’s (including Sponsor’s employees, Affiliates, contractors, licensees or agents) performance or actions under this Agreement, the Sponsor’s use of any information, results, or deliverables, MSK’s use of Sponsor’s resources for the purposes provided by Sponsor, and/or claims by or relating to Sponsor’s staff. Such defense will be conducted by attorneys reasonably acceptable to both Parties. Sponsor may not settle any claims admitting MSK’s fault without MSK’s express prior written approval.</w:t>
      </w:r>
    </w:p>
    <w:p>
      <w:pPr>
        <w:spacing w:after="0" w:line="182"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DISCLAIMER OF WARRANTIES/LIABILITY LIMITATION</w:t>
      </w:r>
      <w:r>
        <w:rPr>
          <w:rFonts w:ascii="Times New Roman" w:cs="Times New Roman" w:eastAsia="Times New Roman" w:hAnsi="Times New Roman"/>
          <w:sz w:val="18"/>
          <w:szCs w:val="18"/>
          <w:color w:val="auto"/>
        </w:rPr>
        <w:t>. ANY RESULTS, REPORTS, MATERIALS, 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INTELLECTUAL PROPERTY OR OTHER PROPERTY OR RIGHTS GRANTED, GRANTED ACCESS TO, OR PROVIDED BY MSK PURSUANT TO THIS AGREEMENT ARE ON AN “AS IS” BASIS. MSK MAKES NO WARRANTIES OF ANY KIND, EITHER EXPRESS OR IMPLIED, AS TO ANY MATTER INCLUDING, BUT NOT LIMITED TO, WARRANTY OF FITNESS FOR PARTICULAR PURPOSE, MERCHANTABILITY, EXCLUSIVITY OR TO FREEDOM FROM INTELLECTUAL PROPERTY INFRINGEMENT. MSK IS NOT LIABLE TO SPONSOR FOR INDIRECT, SPECIAL, PUNITIVE OR CONSEQUENTIAL DAMAGES SUCH AS LOSS OF PROFITS OR INABILITY TO USE SAID INTELLECTUAL PROPERTY OR ANY APPLICATIONS AND DERIVATIONS THEREOF. SPONSOR AGREES THAT IT WILL NOT MAKE ANY WARRANTY ON BEHALF OF MSK, EXPRESS OR IMPLIED, TO ANY PERSON.</w:t>
      </w:r>
    </w:p>
    <w:p>
      <w:pPr>
        <w:spacing w:after="0" w:line="184" w:lineRule="exact"/>
        <w:rPr>
          <w:rFonts w:ascii="Times New Roman" w:cs="Times New Roman" w:eastAsia="Times New Roman" w:hAnsi="Times New Roman"/>
          <w:sz w:val="18"/>
          <w:szCs w:val="18"/>
          <w:b w:val="1"/>
          <w:bCs w:val="1"/>
          <w:color w:val="auto"/>
        </w:rPr>
      </w:pPr>
    </w:p>
    <w:p>
      <w:pPr>
        <w:jc w:val="both"/>
        <w:ind w:left="340" w:hanging="332"/>
        <w:spacing w:after="0" w:line="268" w:lineRule="auto"/>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USE OF NAME</w:t>
      </w:r>
      <w:r>
        <w:rPr>
          <w:rFonts w:ascii="Times New Roman" w:cs="Times New Roman" w:eastAsia="Times New Roman" w:hAnsi="Times New Roman"/>
          <w:sz w:val="18"/>
          <w:szCs w:val="18"/>
          <w:color w:val="auto"/>
        </w:rPr>
        <w:t>. Neither Party will, without the prior written consent of the other Party, use in any advertising, publicity, or otherwise, the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trademark, logo, symbol, other image of the Party, or any variation thereof, or that of the Party’s employees, agents, related schools, departments, or Affiliates.</w:t>
      </w:r>
    </w:p>
    <w:p>
      <w:pPr>
        <w:spacing w:after="0" w:line="170"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Sponsor will maintain insurance in type and amount sufficient to satisfy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Certain information (marked as [***]) has been excluded from this exhibit because it is both (i) not material and (ii) would be competitively harmful if publicly disclosed.</w:t>
      </w:r>
    </w:p>
    <w:p>
      <w:pPr>
        <w:spacing w:after="0" w:line="158" w:lineRule="exact"/>
        <w:rPr>
          <w:sz w:val="20"/>
          <w:szCs w:val="20"/>
          <w:color w:val="auto"/>
        </w:rPr>
      </w:pPr>
    </w:p>
    <w:p>
      <w:pPr>
        <w:jc w:val="both"/>
        <w:ind w:left="340" w:hanging="332"/>
        <w:spacing w:after="0" w:line="268" w:lineRule="auto"/>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or communication required or permitted to be given to a Party under this Agreement will be made in writing and sent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or certified mail or by a nationally recognized overnight courier service. Notices under the preceding sentence will be deemed given on the date of receipt.</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If to MSK</w:t>
            </w:r>
          </w:p>
        </w:tc>
        <w:tc>
          <w:tcPr>
            <w:tcW w:w="346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If to Sponsor</w:t>
            </w:r>
          </w:p>
        </w:tc>
      </w:tr>
      <w:tr>
        <w:trPr>
          <w:trHeight w:val="20"/>
        </w:trPr>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8"/>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Memorial Sloan Kettering Cancer Center</w:t>
            </w:r>
          </w:p>
        </w:tc>
        <w:tc>
          <w:tcPr>
            <w:tcW w:w="358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194"/>
        </w:trPr>
        <w:tc>
          <w:tcPr>
            <w:tcW w:w="42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Attn:  Eric Cottington, Ph.D.</w:t>
            </w:r>
          </w:p>
        </w:tc>
        <w:tc>
          <w:tcPr>
            <w:tcW w:w="3580" w:type="dxa"/>
            <w:vAlign w:val="bottom"/>
            <w:gridSpan w:val="4"/>
          </w:tcPr>
          <w:p>
            <w:pPr>
              <w:ind w:left="1140"/>
              <w:spacing w:after="0" w:line="194" w:lineRule="exact"/>
              <w:rPr>
                <w:sz w:val="20"/>
                <w:szCs w:val="20"/>
                <w:color w:val="auto"/>
              </w:rPr>
            </w:pPr>
            <w:r>
              <w:rPr>
                <w:rFonts w:ascii="Times New Roman" w:cs="Times New Roman" w:eastAsia="Times New Roman" w:hAnsi="Times New Roman"/>
                <w:sz w:val="18"/>
                <w:szCs w:val="18"/>
                <w:color w:val="auto"/>
                <w:w w:val="98"/>
              </w:rPr>
              <w:t>230 Park Avenue, Suite 3350New</w:t>
            </w:r>
          </w:p>
        </w:tc>
      </w:tr>
      <w:tr>
        <w:trPr>
          <w:trHeight w:val="218"/>
        </w:trPr>
        <w:tc>
          <w:tcPr>
            <w:tcW w:w="320" w:type="dxa"/>
            <w:vAlign w:val="bottom"/>
            <w:tcBorders>
              <w:top w:val="single" w:sz="8" w:color="auto"/>
            </w:tcBorders>
          </w:tcPr>
          <w:p>
            <w:pPr>
              <w:spacing w:after="0"/>
              <w:rPr>
                <w:sz w:val="18"/>
                <w:szCs w:val="18"/>
                <w:color w:val="auto"/>
              </w:rPr>
            </w:pPr>
          </w:p>
        </w:tc>
        <w:tc>
          <w:tcPr>
            <w:tcW w:w="3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Senior Vice President,</w:t>
            </w:r>
          </w:p>
        </w:tc>
        <w:tc>
          <w:tcPr>
            <w:tcW w:w="358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York, NY 10169</w:t>
            </w:r>
          </w:p>
        </w:tc>
      </w:tr>
      <w:tr>
        <w:trPr>
          <w:trHeight w:val="216"/>
        </w:trPr>
        <w:tc>
          <w:tcPr>
            <w:tcW w:w="320" w:type="dxa"/>
            <w:vAlign w:val="bottom"/>
          </w:tcPr>
          <w:p>
            <w:pPr>
              <w:spacing w:after="0"/>
              <w:rPr>
                <w:sz w:val="18"/>
                <w:szCs w:val="18"/>
                <w:color w:val="auto"/>
              </w:rPr>
            </w:pPr>
          </w:p>
        </w:tc>
        <w:tc>
          <w:tcPr>
            <w:tcW w:w="3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Research and Technology</w:t>
            </w:r>
          </w:p>
        </w:tc>
        <w:tc>
          <w:tcPr>
            <w:tcW w:w="358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Attn:  Thomas Gad</w:t>
            </w:r>
          </w:p>
        </w:tc>
      </w:tr>
      <w:tr>
        <w:trPr>
          <w:trHeight w:val="216"/>
        </w:trPr>
        <w:tc>
          <w:tcPr>
            <w:tcW w:w="320" w:type="dxa"/>
            <w:vAlign w:val="bottom"/>
          </w:tcPr>
          <w:p>
            <w:pPr>
              <w:spacing w:after="0"/>
              <w:rPr>
                <w:sz w:val="18"/>
                <w:szCs w:val="18"/>
                <w:color w:val="auto"/>
              </w:rPr>
            </w:pPr>
          </w:p>
        </w:tc>
        <w:tc>
          <w:tcPr>
            <w:tcW w:w="3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Management</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1275 York Avenue, Box 524</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New York, NY 10065</w:t>
            </w: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91"/>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with a copy to</w:t>
            </w:r>
            <w:r>
              <w:rPr>
                <w:rFonts w:ascii="Times New Roman" w:cs="Times New Roman" w:eastAsia="Times New Roman" w:hAnsi="Times New Roman"/>
                <w:sz w:val="18"/>
                <w:szCs w:val="18"/>
                <w:color w:val="auto"/>
              </w:rPr>
              <w:t>:</w:t>
            </w:r>
          </w:p>
        </w:tc>
        <w:tc>
          <w:tcPr>
            <w:tcW w:w="358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with a copy to</w:t>
            </w:r>
            <w:r>
              <w:rPr>
                <w:rFonts w:ascii="Times New Roman" w:cs="Times New Roman" w:eastAsia="Times New Roman" w:hAnsi="Times New Roman"/>
                <w:sz w:val="18"/>
                <w:szCs w:val="18"/>
                <w:color w:val="auto"/>
              </w:rPr>
              <w:t>:</w:t>
            </w:r>
          </w:p>
        </w:tc>
      </w:tr>
      <w:tr>
        <w:trPr>
          <w:trHeight w:val="20"/>
        </w:trPr>
        <w:tc>
          <w:tcPr>
            <w:tcW w:w="1080" w:type="dxa"/>
            <w:vAlign w:val="bottom"/>
            <w:gridSpan w:val="3"/>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8"/>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Office of Technology Development</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4"/>
        </w:trPr>
        <w:tc>
          <w:tcPr>
            <w:tcW w:w="42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Attn:  Shilpi Banerjee, Esq., Ph.D.</w:t>
            </w: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8"/>
        </w:trPr>
        <w:tc>
          <w:tcPr>
            <w:tcW w:w="320" w:type="dxa"/>
            <w:vAlign w:val="bottom"/>
            <w:tcBorders>
              <w:top w:val="single" w:sz="8" w:color="auto"/>
            </w:tcBorders>
          </w:tcPr>
          <w:p>
            <w:pPr>
              <w:spacing w:after="0"/>
              <w:rPr>
                <w:sz w:val="18"/>
                <w:szCs w:val="18"/>
                <w:color w:val="auto"/>
              </w:rPr>
            </w:pPr>
          </w:p>
        </w:tc>
        <w:tc>
          <w:tcPr>
            <w:tcW w:w="3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Intellectual Property Counsel</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3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&amp; Associate General Counsel</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1275 York Avenue, Box 524</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New York, N.Y. 10065</w:t>
            </w: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Party may change its contact information immediately upon written notice to the other Party given in the manner provided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5" w:lineRule="exact"/>
        <w:rPr>
          <w:rFonts w:ascii="Times New Roman" w:cs="Times New Roman" w:eastAsia="Times New Roman" w:hAnsi="Times New Roman"/>
          <w:sz w:val="18"/>
          <w:szCs w:val="18"/>
          <w:b w:val="1"/>
          <w:bCs w:val="1"/>
          <w:color w:val="auto"/>
        </w:rPr>
      </w:pPr>
    </w:p>
    <w:p>
      <w:pPr>
        <w:ind w:left="700" w:hanging="364"/>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14.1.</w:t>
      </w:r>
      <w:r>
        <w:rPr>
          <w:rFonts w:ascii="Times New Roman" w:cs="Times New Roman" w:eastAsia="Times New Roman" w:hAnsi="Times New Roman"/>
          <w:sz w:val="18"/>
          <w:szCs w:val="18"/>
          <w:b w:val="1"/>
          <w:bCs w:val="1"/>
          <w:u w:val="single" w:color="auto"/>
          <w:color w:val="auto"/>
        </w:rPr>
        <w:t>Tax Exempt Status</w:t>
      </w:r>
      <w:r>
        <w:rPr>
          <w:rFonts w:ascii="Times New Roman" w:cs="Times New Roman" w:eastAsia="Times New Roman" w:hAnsi="Times New Roman"/>
          <w:sz w:val="18"/>
          <w:szCs w:val="18"/>
          <w:color w:val="auto"/>
        </w:rPr>
        <w:t>. MSK is a nonprofit 501(c)(3) corporation. Sponsor agrees that if this Agreement is subject to taxation by any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Sponsor will pay these taxes in full. MSK will have no liability for the payment of any taxes.</w:t>
      </w:r>
    </w:p>
    <w:p>
      <w:pPr>
        <w:spacing w:after="0" w:line="154" w:lineRule="exact"/>
        <w:rPr>
          <w:rFonts w:ascii="Times New Roman" w:cs="Times New Roman" w:eastAsia="Times New Roman" w:hAnsi="Times New Roman"/>
          <w:sz w:val="18"/>
          <w:szCs w:val="18"/>
          <w:b w:val="1"/>
          <w:bCs w:val="1"/>
          <w:color w:val="auto"/>
        </w:rPr>
      </w:pPr>
    </w:p>
    <w:p>
      <w:pPr>
        <w:ind w:left="700" w:hanging="36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14.2.</w:t>
      </w:r>
      <w:r>
        <w:rPr>
          <w:rFonts w:ascii="Times New Roman" w:cs="Times New Roman" w:eastAsia="Times New Roman" w:hAnsi="Times New Roman"/>
          <w:sz w:val="18"/>
          <w:szCs w:val="18"/>
          <w:b w:val="1"/>
          <w:bCs w:val="1"/>
          <w:u w:val="single" w:color="auto"/>
          <w:color w:val="auto"/>
        </w:rPr>
        <w:t>Governing Law and Venue</w:t>
      </w:r>
      <w:r>
        <w:rPr>
          <w:rFonts w:ascii="Times New Roman" w:cs="Times New Roman" w:eastAsia="Times New Roman" w:hAnsi="Times New Roman"/>
          <w:sz w:val="18"/>
          <w:szCs w:val="18"/>
          <w:color w:val="auto"/>
        </w:rPr>
        <w:t>. The Parties expressly agree that this Agreement and the enforcement of the rights and obligations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New York, without regard to its provisions concerning the applicability of the laws of other jurisdictions. Any and all claims arising out of, relating to or in connection with this Agreement, or the relationship between the Parties hereto, shall be subject to the exclusive jurisdiction of and venue in the federal and state courts within New York and each Party hereby consents to the exclusive jurisdiction and venue of these courts, without regard to any conflicts of law principles. Each Party agrees that all claims and matters may be heard and determined in any such court and each Party waives any right to object to such action on venue, forum non conveniens, or similar grounds.</w:t>
      </w:r>
    </w:p>
    <w:p>
      <w:pPr>
        <w:spacing w:after="0" w:line="18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14.3.</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captions or headings in this Agreement do not form part of this Agreement, but are included solely for convenience.</w:t>
      </w:r>
    </w:p>
    <w:p>
      <w:pPr>
        <w:spacing w:after="0" w:line="225" w:lineRule="exact"/>
        <w:rPr>
          <w:rFonts w:ascii="Times New Roman" w:cs="Times New Roman" w:eastAsia="Times New Roman" w:hAnsi="Times New Roman"/>
          <w:sz w:val="18"/>
          <w:szCs w:val="18"/>
          <w:b w:val="1"/>
          <w:bCs w:val="1"/>
          <w:color w:val="auto"/>
        </w:rPr>
      </w:pPr>
    </w:p>
    <w:p>
      <w:pPr>
        <w:ind w:left="700" w:hanging="364"/>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14.4.</w:t>
      </w:r>
      <w:r>
        <w:rPr>
          <w:rFonts w:ascii="Times New Roman" w:cs="Times New Roman" w:eastAsia="Times New Roman" w:hAnsi="Times New Roman"/>
          <w:sz w:val="18"/>
          <w:szCs w:val="18"/>
          <w:b w:val="1"/>
          <w:bCs w:val="1"/>
          <w:u w:val="single" w:color="auto"/>
          <w:color w:val="auto"/>
        </w:rPr>
        <w:t>Affiliates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Affiliates</w:t>
      </w:r>
      <w:r>
        <w:rPr>
          <w:rFonts w:ascii="Times New Roman" w:cs="Times New Roman" w:eastAsia="Times New Roman" w:hAnsi="Times New Roman"/>
          <w:sz w:val="18"/>
          <w:szCs w:val="18"/>
          <w:color w:val="auto"/>
        </w:rPr>
        <w:t>” as used in this Agreement, means any person, firm, corporation or other entity controlling, controlled by, or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control with a Party hereto. The term "control" wherever used throughout this Agreement shall mean ownership, directly or indirectly, of more than fifty percent (50%) of the equity capital or the ability to effect the election of a majority of the directors. With regard to MSK, “Affiliates” shall include: Memorial Sloan Kettering Cancer Center, Sloan Kettering Institute for Cancer Research, and Memorial Hospital for Cancer and Allied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Certain information (marked as [***]) has been excluded from this exhibit because it is both (i) not material and (ii) would be competitively harmful if publicly disclosed.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14.5.</w:t>
      </w:r>
      <w:r>
        <w:rPr>
          <w:rFonts w:ascii="Times New Roman" w:cs="Times New Roman" w:eastAsia="Times New Roman" w:hAnsi="Times New Roman"/>
          <w:sz w:val="18"/>
          <w:szCs w:val="18"/>
          <w:b w:val="1"/>
          <w:bCs w:val="1"/>
          <w:u w:val="single" w:color="auto"/>
          <w:color w:val="auto"/>
        </w:rPr>
        <w:t>Waiver, Amendment</w:t>
      </w:r>
      <w:r>
        <w:rPr>
          <w:rFonts w:ascii="Times New Roman" w:cs="Times New Roman" w:eastAsia="Times New Roman" w:hAnsi="Times New Roman"/>
          <w:sz w:val="18"/>
          <w:szCs w:val="18"/>
          <w:color w:val="auto"/>
        </w:rPr>
        <w:t>. No waiver, amendment or modification of this Agreement will be effective unless in writing and signed by both Parties.</w:t>
      </w:r>
    </w:p>
    <w:p>
      <w:pPr>
        <w:spacing w:after="0" w:line="225" w:lineRule="exact"/>
        <w:rPr>
          <w:sz w:val="20"/>
          <w:szCs w:val="20"/>
          <w:color w:val="auto"/>
        </w:rPr>
      </w:pPr>
    </w:p>
    <w:p>
      <w:pPr>
        <w:jc w:val="both"/>
        <w:ind w:left="700" w:hanging="363"/>
        <w:spacing w:after="0" w:line="257" w:lineRule="auto"/>
        <w:rPr>
          <w:sz w:val="20"/>
          <w:szCs w:val="20"/>
          <w:color w:val="auto"/>
        </w:rPr>
      </w:pPr>
      <w:r>
        <w:rPr>
          <w:rFonts w:ascii="Times New Roman" w:cs="Times New Roman" w:eastAsia="Times New Roman" w:hAnsi="Times New Roman"/>
          <w:sz w:val="18"/>
          <w:szCs w:val="18"/>
          <w:b w:val="1"/>
          <w:bCs w:val="1"/>
          <w:color w:val="auto"/>
        </w:rPr>
        <w:t>14.6.</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Neither Party may assign this Agreement or any of its obligations hereunder without the prior written consent of the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however, Sponsor may assign this Agreement without MSK’s consent in connection with the transfer or sale of all or substantially all of the business of Sponsor to which this Agreement relates, whether by merger, sale of stock, sale of assets or otherwise. In the event of such assignment, Sponsor shall promptly provide written notice thereof. No assignment shall relieve either Party of the performance of any accrued obligation that such Party may then have under this Agreement. This Agreement will be binding on and inure to the benefit of any successors or permitted assigns of either Party.</w:t>
      </w:r>
    </w:p>
    <w:p>
      <w:pPr>
        <w:spacing w:after="0" w:line="182" w:lineRule="exact"/>
        <w:rPr>
          <w:sz w:val="20"/>
          <w:szCs w:val="20"/>
          <w:color w:val="auto"/>
        </w:rPr>
      </w:pPr>
    </w:p>
    <w:p>
      <w:pPr>
        <w:jc w:val="both"/>
        <w:ind w:left="700" w:hanging="363"/>
        <w:spacing w:after="0" w:line="255" w:lineRule="auto"/>
        <w:rPr>
          <w:sz w:val="20"/>
          <w:szCs w:val="20"/>
          <w:color w:val="auto"/>
        </w:rPr>
      </w:pPr>
      <w:r>
        <w:rPr>
          <w:rFonts w:ascii="Times New Roman" w:cs="Times New Roman" w:eastAsia="Times New Roman" w:hAnsi="Times New Roman"/>
          <w:sz w:val="18"/>
          <w:szCs w:val="18"/>
          <w:b w:val="1"/>
          <w:bCs w:val="1"/>
          <w:color w:val="auto"/>
        </w:rPr>
        <w:t>14.7.</w:t>
      </w:r>
      <w:r>
        <w:rPr>
          <w:rFonts w:ascii="Times New Roman" w:cs="Times New Roman" w:eastAsia="Times New Roman" w:hAnsi="Times New Roman"/>
          <w:sz w:val="18"/>
          <w:szCs w:val="18"/>
          <w:b w:val="1"/>
          <w:bCs w:val="1"/>
          <w:u w:val="single" w:color="auto"/>
          <w:color w:val="auto"/>
        </w:rPr>
        <w:t>Risk; Severability</w:t>
      </w:r>
      <w:r>
        <w:rPr>
          <w:rFonts w:ascii="Times New Roman" w:cs="Times New Roman" w:eastAsia="Times New Roman" w:hAnsi="Times New Roman"/>
          <w:sz w:val="18"/>
          <w:szCs w:val="18"/>
          <w:color w:val="auto"/>
        </w:rPr>
        <w:t>. In the event that the performance of any covenant, condition or provision of this Agreement should jeopardize MSK’s status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regard to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licensure,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participation in Medicare or Medicaid programs,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full accreditation by The Joint Commission; </w:t>
      </w:r>
      <w:r>
        <w:rPr>
          <w:rFonts w:ascii="Times New Roman" w:cs="Times New Roman" w:eastAsia="Times New Roman" w:hAnsi="Times New Roman"/>
          <w:sz w:val="18"/>
          <w:szCs w:val="18"/>
          <w:b w:val="1"/>
          <w:bCs w:val="1"/>
          <w:u w:val="single" w:color="auto"/>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tax exempt status or the tax exempt status of any financing, this Agreement shall be renegotiated so as to eliminate the violation or non-complying aspects hereof, but without altering all other material rights and obligations of the Parties hereunder that reasonably can be given effect. If the Parties cannot promptly agree on the renegotiated provisions, either Party may terminate upon [***] written notice to the other Party. If any term or condition of this Agreement is contrary to applicable law, such term or condition will not apply and will not invalidate any other part of this Agreement. However, if its deletion materially and adversely changes the position of either of the Parties, the affected Party may terminate this Agreement by giving [***] written notice.</w:t>
      </w:r>
    </w:p>
    <w:p>
      <w:pPr>
        <w:spacing w:after="0" w:line="185" w:lineRule="exact"/>
        <w:rPr>
          <w:sz w:val="20"/>
          <w:szCs w:val="20"/>
          <w:color w:val="auto"/>
        </w:rPr>
      </w:pPr>
    </w:p>
    <w:p>
      <w:pPr>
        <w:jc w:val="both"/>
        <w:ind w:left="700" w:hanging="363"/>
        <w:spacing w:after="0" w:line="268" w:lineRule="auto"/>
        <w:rPr>
          <w:sz w:val="20"/>
          <w:szCs w:val="20"/>
          <w:color w:val="auto"/>
        </w:rPr>
      </w:pPr>
      <w:r>
        <w:rPr>
          <w:rFonts w:ascii="Times New Roman" w:cs="Times New Roman" w:eastAsia="Times New Roman" w:hAnsi="Times New Roman"/>
          <w:sz w:val="18"/>
          <w:szCs w:val="18"/>
          <w:b w:val="1"/>
          <w:bCs w:val="1"/>
          <w:color w:val="auto"/>
        </w:rPr>
        <w:t>14.8.</w:t>
      </w:r>
      <w:r>
        <w:rPr>
          <w:rFonts w:ascii="Times New Roman" w:cs="Times New Roman" w:eastAsia="Times New Roman" w:hAnsi="Times New Roman"/>
          <w:sz w:val="18"/>
          <w:szCs w:val="18"/>
          <w:b w:val="1"/>
          <w:bCs w:val="1"/>
          <w:u w:val="single" w:color="auto"/>
          <w:color w:val="auto"/>
        </w:rPr>
        <w:t>No Agency</w:t>
      </w:r>
      <w:r>
        <w:rPr>
          <w:rFonts w:ascii="Times New Roman" w:cs="Times New Roman" w:eastAsia="Times New Roman" w:hAnsi="Times New Roman"/>
          <w:sz w:val="18"/>
          <w:szCs w:val="18"/>
          <w:color w:val="auto"/>
        </w:rPr>
        <w:t>. Neither Party is agent, servant, employee, legal representative, partner or joint venturer of the other. Nothing herein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construed as creating a joint venture or partnership between the Parties and neither Party has the power or authority to bind or commit the other.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14.9.</w:t>
      </w:r>
      <w:r>
        <w:rPr>
          <w:rFonts w:ascii="Times New Roman" w:cs="Times New Roman" w:eastAsia="Times New Roman" w:hAnsi="Times New Roman"/>
          <w:sz w:val="18"/>
          <w:szCs w:val="18"/>
          <w:b w:val="1"/>
          <w:bCs w:val="1"/>
          <w:u w:val="single" w:color="auto"/>
          <w:color w:val="auto"/>
        </w:rPr>
        <w:t>No Third Party Beneficiaries</w:t>
      </w:r>
      <w:r>
        <w:rPr>
          <w:rFonts w:ascii="Times New Roman" w:cs="Times New Roman" w:eastAsia="Times New Roman" w:hAnsi="Times New Roman"/>
          <w:sz w:val="18"/>
          <w:szCs w:val="18"/>
          <w:color w:val="auto"/>
        </w:rPr>
        <w:t>. This Agreement does not create any rights, or rights of enforcement, in third parties.</w:t>
      </w:r>
    </w:p>
    <w:p>
      <w:pPr>
        <w:spacing w:after="0" w:line="225" w:lineRule="exact"/>
        <w:rPr>
          <w:sz w:val="20"/>
          <w:szCs w:val="20"/>
          <w:color w:val="auto"/>
        </w:rPr>
      </w:pPr>
    </w:p>
    <w:p>
      <w:pPr>
        <w:jc w:val="both"/>
        <w:ind w:left="800" w:hanging="458"/>
        <w:spacing w:after="0" w:line="256" w:lineRule="auto"/>
        <w:rPr>
          <w:sz w:val="20"/>
          <w:szCs w:val="20"/>
          <w:color w:val="auto"/>
        </w:rPr>
      </w:pPr>
      <w:r>
        <w:rPr>
          <w:rFonts w:ascii="Times New Roman" w:cs="Times New Roman" w:eastAsia="Times New Roman" w:hAnsi="Times New Roman"/>
          <w:sz w:val="18"/>
          <w:szCs w:val="18"/>
          <w:b w:val="1"/>
          <w:bCs w:val="1"/>
          <w:color w:val="auto"/>
        </w:rPr>
        <w:t>14.10.</w:t>
      </w:r>
      <w:r>
        <w:rPr>
          <w:rFonts w:ascii="Times New Roman" w:cs="Times New Roman" w:eastAsia="Times New Roman" w:hAnsi="Times New Roman"/>
          <w:sz w:val="18"/>
          <w:szCs w:val="18"/>
          <w:b w:val="1"/>
          <w:bCs w:val="1"/>
          <w:u w:val="single" w:color="auto"/>
          <w:color w:val="auto"/>
        </w:rPr>
        <w:t>Independent Developments</w:t>
      </w:r>
      <w:r>
        <w:rPr>
          <w:rFonts w:ascii="Times New Roman" w:cs="Times New Roman" w:eastAsia="Times New Roman" w:hAnsi="Times New Roman"/>
          <w:sz w:val="18"/>
          <w:szCs w:val="18"/>
          <w:color w:val="auto"/>
        </w:rPr>
        <w:t>. Nothing contained in this Agreement will prevent either Sponsor or MSK from entering into research projects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third parties which are similar to the Research herein, or from independently developing (either through third parties or through the use of its own personnel), or from acquiring from third parties, technologies or products which are similar to and competitive with Inventions resulting from the Research. Further, nothing herein will be construed to grant either Party any rights in any such independently developed technologies or products so developed or acquired as described in this section or any rights to the revenues or any portion thereof derived by the other from the use, sale, lease, license or other disposal of any such technologies or products. Furthermore, nothing herein will preclude either Party from transferring any such technologies or products to others including to users of the Inventions resulting from the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Certain information (marked as [***]) has been excluded from this exhibit because it is both (i) not material and (ii) would be competitively harmful if publicly disclosed.</w:t>
      </w:r>
    </w:p>
    <w:p>
      <w:pPr>
        <w:spacing w:after="0" w:line="158" w:lineRule="exact"/>
        <w:rPr>
          <w:sz w:val="20"/>
          <w:szCs w:val="20"/>
          <w:color w:val="auto"/>
        </w:rPr>
      </w:pPr>
    </w:p>
    <w:p>
      <w:pPr>
        <w:jc w:val="both"/>
        <w:ind w:left="780" w:hanging="444"/>
        <w:spacing w:after="0" w:line="252" w:lineRule="auto"/>
        <w:rPr>
          <w:sz w:val="20"/>
          <w:szCs w:val="20"/>
          <w:color w:val="auto"/>
        </w:rPr>
      </w:pPr>
      <w:r>
        <w:rPr>
          <w:rFonts w:ascii="Times New Roman" w:cs="Times New Roman" w:eastAsia="Times New Roman" w:hAnsi="Times New Roman"/>
          <w:sz w:val="18"/>
          <w:szCs w:val="18"/>
          <w:b w:val="1"/>
          <w:bCs w:val="1"/>
          <w:color w:val="auto"/>
        </w:rPr>
        <w:t>14.11.</w:t>
      </w:r>
      <w:r>
        <w:rPr>
          <w:rFonts w:ascii="Times New Roman" w:cs="Times New Roman" w:eastAsia="Times New Roman" w:hAnsi="Times New Roman"/>
          <w:sz w:val="18"/>
          <w:szCs w:val="18"/>
          <w:b w:val="1"/>
          <w:bCs w:val="1"/>
          <w:u w:val="single" w:color="auto"/>
          <w:color w:val="auto"/>
        </w:rPr>
        <w:t>Export Controls</w:t>
      </w:r>
      <w:r>
        <w:rPr>
          <w:rFonts w:ascii="Times New Roman" w:cs="Times New Roman" w:eastAsia="Times New Roman" w:hAnsi="Times New Roman"/>
          <w:sz w:val="18"/>
          <w:szCs w:val="18"/>
          <w:color w:val="auto"/>
        </w:rPr>
        <w:t>. Each Party acknowledges that any information or materials provided by the other under this Agreement may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export laws and regulations, including the International Traffic in Arms (</w:t>
      </w:r>
      <w:r>
        <w:rPr>
          <w:rFonts w:ascii="Times New Roman" w:cs="Times New Roman" w:eastAsia="Times New Roman" w:hAnsi="Times New Roman"/>
          <w:sz w:val="18"/>
          <w:szCs w:val="18"/>
          <w:b w:val="1"/>
          <w:bCs w:val="1"/>
          <w:u w:val="single" w:color="auto"/>
          <w:color w:val="auto"/>
        </w:rPr>
        <w:t>ITAR</w:t>
      </w:r>
      <w:r>
        <w:rPr>
          <w:rFonts w:ascii="Times New Roman" w:cs="Times New Roman" w:eastAsia="Times New Roman" w:hAnsi="Times New Roman"/>
          <w:sz w:val="18"/>
          <w:szCs w:val="18"/>
          <w:color w:val="auto"/>
        </w:rPr>
        <w:t>) Regulations (22 CFR Chapter I, Subchapter M, Parts 120-130), Export Administration Regulations (</w:t>
      </w:r>
      <w:r>
        <w:rPr>
          <w:rFonts w:ascii="Times New Roman" w:cs="Times New Roman" w:eastAsia="Times New Roman" w:hAnsi="Times New Roman"/>
          <w:sz w:val="18"/>
          <w:szCs w:val="18"/>
          <w:b w:val="1"/>
          <w:bCs w:val="1"/>
          <w:u w:val="single" w:color="auto"/>
          <w:color w:val="auto"/>
        </w:rPr>
        <w:t>EAR</w:t>
      </w:r>
      <w:r>
        <w:rPr>
          <w:rFonts w:ascii="Times New Roman" w:cs="Times New Roman" w:eastAsia="Times New Roman" w:hAnsi="Times New Roman"/>
          <w:sz w:val="18"/>
          <w:szCs w:val="18"/>
          <w:color w:val="auto"/>
        </w:rPr>
        <w:t>) (15 CFR Chapter VII, Subchapter C, Parts 730-774), Office of Foreign Assets Control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Regulations (31 CFR, Subtitle B, Chapter V), and Assistance to Foreign Atomic Energy Activities (10 CFR Part 810); each Party agrees to comply with all such laws. Because MSK is an academic institution and has many faculty, staff, students, and visitors who are foreign persons, MSK intends to conduct the Research as fundamental research under the export regulations, such that the results generated by MSK qualify as "public domain" under ITAR Parts 120.10 and 120.11 or "publicly available” under EAR Parts 734.3(b)(3) and 734.8(a,b). Sponsor will not knowingly disclose, and will use commercially reasonable efforts to prevent disclosure to MSK of any information subject to export controls under the ITAR’s United States Munitions List (USML, 22 CFR Part 121), the EAR’s Commerce Control List (CCL, 15 CFR Part 774 and Supplements), or 10 CFR Part 810 Restricted Data or Sensitive Nuclear Technology. If for purposes of the Research, Sponsor intends to disclose export-controlled information to MSK, Sponsor will not disclose such information to MSK unless and until a plan for transfer, use, dissemination and control of the information has been approved by MSK. If Sponsor learns of an export control classification by the U.S. or any other government during the course of the Research, Sponsor shall inform MSK of such promptly. In the event Sponsor inadvertently</w:t>
      </w:r>
    </w:p>
    <w:p>
      <w:pPr>
        <w:spacing w:after="0" w:line="5" w:lineRule="exact"/>
        <w:rPr>
          <w:sz w:val="20"/>
          <w:szCs w:val="20"/>
          <w:color w:val="auto"/>
        </w:rPr>
      </w:pPr>
    </w:p>
    <w:p>
      <w:pPr>
        <w:jc w:val="both"/>
        <w:ind w:left="780" w:hanging="3"/>
        <w:spacing w:after="0" w:line="252" w:lineRule="auto"/>
        <w:tabs>
          <w:tab w:leader="none" w:pos="99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discloses export controlled information </w:t>
      </w:r>
      <w:r>
        <w:rPr>
          <w:rFonts w:ascii="Times New Roman" w:cs="Times New Roman" w:eastAsia="Times New Roman" w:hAnsi="Times New Roman"/>
          <w:sz w:val="18"/>
          <w:szCs w:val="18"/>
          <w:b w:val="1"/>
          <w:bCs w:val="1"/>
          <w:u w:val="single" w:color="auto"/>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breaches this </w:t>
      </w:r>
      <w:r>
        <w:rPr>
          <w:rFonts w:ascii="Times New Roman" w:cs="Times New Roman" w:eastAsia="Times New Roman" w:hAnsi="Times New Roman"/>
          <w:sz w:val="18"/>
          <w:szCs w:val="18"/>
          <w:b w:val="1"/>
          <w:bCs w:val="1"/>
          <w:u w:val="single" w:color="auto"/>
          <w:color w:val="auto"/>
        </w:rPr>
        <w:t>Section 14.11</w:t>
      </w:r>
      <w:r>
        <w:rPr>
          <w:rFonts w:ascii="Times New Roman" w:cs="Times New Roman" w:eastAsia="Times New Roman" w:hAnsi="Times New Roman"/>
          <w:sz w:val="18"/>
          <w:szCs w:val="18"/>
          <w:color w:val="auto"/>
        </w:rPr>
        <w:t>, deadlines contemplated by the Research will be adjusted based on the time it takes to address the disclosure. The Sponsor represents and agrees that it shall not export from the U.S. directly or indirectly, or transfer to a non-U.S. Person located in the U.S., any technical information (or the direct product thereof) furnished to the Sponsor either directly or indirectly by MSK without first complying with all requirements of all relevant U.S. export regulations, including any government license requirements, if applicable. Sponsor agrees to indemnify, defend and hold harmless MSK, its officers, agents and employees from all liability involving the violation of such export regulations, either directly or indirectly by the Sponsor. Sponsor acknowledges it may be subject to criminal liability under U.S. laws for the Sponsor’s failure to obtain any required export licenses.</w:t>
      </w:r>
    </w:p>
    <w:p>
      <w:pPr>
        <w:spacing w:after="0" w:line="184" w:lineRule="exact"/>
        <w:rPr>
          <w:sz w:val="20"/>
          <w:szCs w:val="20"/>
          <w:color w:val="auto"/>
        </w:rPr>
      </w:pPr>
    </w:p>
    <w:p>
      <w:pPr>
        <w:jc w:val="both"/>
        <w:ind w:left="800" w:hanging="458"/>
        <w:spacing w:after="0" w:line="262" w:lineRule="auto"/>
        <w:rPr>
          <w:sz w:val="20"/>
          <w:szCs w:val="20"/>
          <w:color w:val="auto"/>
        </w:rPr>
      </w:pPr>
      <w:r>
        <w:rPr>
          <w:rFonts w:ascii="Times New Roman" w:cs="Times New Roman" w:eastAsia="Times New Roman" w:hAnsi="Times New Roman"/>
          <w:sz w:val="18"/>
          <w:szCs w:val="18"/>
          <w:b w:val="1"/>
          <w:bCs w:val="1"/>
          <w:color w:val="auto"/>
        </w:rPr>
        <w:t>14.12.</w:t>
      </w: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color w:val="auto"/>
        </w:rPr>
        <w:t>. Each of the Parties will be excused from performance of this Agreement only to the extent that performance is prevented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beyond the reasonable control of the Party affected. The Parties will, however, use their best efforts to avoid or cure such conditions. The Party claiming such conditions as an excuse for delaying performance will give prompt written notice of the conditions, and its intent to delay performance, to the other Party and will resume its performance as soon as performance is possible.</w:t>
      </w:r>
    </w:p>
    <w:p>
      <w:pPr>
        <w:spacing w:after="0" w:line="176" w:lineRule="exact"/>
        <w:rPr>
          <w:sz w:val="20"/>
          <w:szCs w:val="20"/>
          <w:color w:val="auto"/>
        </w:rPr>
      </w:pPr>
    </w:p>
    <w:p>
      <w:pPr>
        <w:jc w:val="both"/>
        <w:ind w:left="800" w:hanging="458"/>
        <w:spacing w:after="0" w:line="286" w:lineRule="auto"/>
        <w:rPr>
          <w:sz w:val="20"/>
          <w:szCs w:val="20"/>
          <w:color w:val="auto"/>
        </w:rPr>
      </w:pPr>
      <w:r>
        <w:rPr>
          <w:rFonts w:ascii="Times New Roman" w:cs="Times New Roman" w:eastAsia="Times New Roman" w:hAnsi="Times New Roman"/>
          <w:sz w:val="18"/>
          <w:szCs w:val="18"/>
          <w:b w:val="1"/>
          <w:bCs w:val="1"/>
          <w:color w:val="auto"/>
        </w:rPr>
        <w:t>14.13.</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embodies the entire agreement of the Parties and supersedes all prior agreements between the Parties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subject matter.</w:t>
      </w:r>
    </w:p>
    <w:p>
      <w:pPr>
        <w:spacing w:after="0" w:line="155" w:lineRule="exact"/>
        <w:rPr>
          <w:sz w:val="20"/>
          <w:szCs w:val="20"/>
          <w:color w:val="auto"/>
        </w:rPr>
      </w:pPr>
    </w:p>
    <w:p>
      <w:pPr>
        <w:jc w:val="both"/>
        <w:ind w:left="800" w:hanging="458"/>
        <w:spacing w:after="0" w:line="259" w:lineRule="auto"/>
        <w:rPr>
          <w:sz w:val="20"/>
          <w:szCs w:val="20"/>
          <w:color w:val="auto"/>
        </w:rPr>
      </w:pPr>
      <w:r>
        <w:rPr>
          <w:rFonts w:ascii="Times New Roman" w:cs="Times New Roman" w:eastAsia="Times New Roman" w:hAnsi="Times New Roman"/>
          <w:sz w:val="18"/>
          <w:szCs w:val="18"/>
          <w:b w:val="1"/>
          <w:bCs w:val="1"/>
          <w:color w:val="auto"/>
        </w:rPr>
        <w:t>14.14.</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by one or more counterparts by the Parties by signature of a person having authority to bind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Party, each of which when executed and delivered by facsimile, electronic transmission or by mail delivery, will be an original and all of which will constitute but one and the same Agreement. The Parties agree to the use of electronic signatures, and agree to being subject to the provisions of the U.S. E-SIGN Act (i.e., the Electronic Signatures in Global and National Commerce Act (enacted June 30, 2000, and codified at 15 U.S.C. § 7001 et seq)).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Certain information (marked as [***]) has been excluded from this exhibit because it is both (i) not material and (ii) would be competitively harmful if publicly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authorized representatives of the Parties have executed this Agreement, effective as of the date of the last signature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8"/>
              </w:rPr>
              <w:t>SPONSOR</w:t>
            </w:r>
          </w:p>
        </w:tc>
        <w:tc>
          <w:tcPr>
            <w:tcW w:w="1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MEMORIAL SLOAN KETTERING</w:t>
            </w:r>
          </w:p>
        </w:tc>
        <w:tc>
          <w:tcPr>
            <w:tcW w:w="20" w:type="dxa"/>
            <w:vAlign w:val="bottom"/>
          </w:tcPr>
          <w:p>
            <w:pPr>
              <w:spacing w:after="0"/>
              <w:rPr>
                <w:sz w:val="18"/>
                <w:szCs w:val="18"/>
                <w:color w:val="auto"/>
              </w:rPr>
            </w:pPr>
          </w:p>
        </w:tc>
      </w:tr>
      <w:tr>
        <w:trPr>
          <w:trHeight w:val="238"/>
        </w:trPr>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0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CANCER CENTER</w:t>
            </w:r>
          </w:p>
        </w:tc>
        <w:tc>
          <w:tcPr>
            <w:tcW w:w="20" w:type="dxa"/>
            <w:vAlign w:val="bottom"/>
          </w:tcPr>
          <w:p>
            <w:pPr>
              <w:spacing w:after="0"/>
              <w:rPr>
                <w:sz w:val="20"/>
                <w:szCs w:val="20"/>
                <w:color w:val="auto"/>
              </w:rPr>
            </w:pPr>
          </w:p>
        </w:tc>
      </w:tr>
      <w:tr>
        <w:trPr>
          <w:trHeight w:val="432"/>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Gad</w:t>
            </w:r>
          </w:p>
        </w:tc>
        <w:tc>
          <w:tcPr>
            <w:tcW w:w="1980" w:type="dxa"/>
            <w:vAlign w:val="bottom"/>
            <w:tcBorders>
              <w:bottom w:val="single" w:sz="8" w:color="auto"/>
            </w:tcBorders>
          </w:tcPr>
          <w:p>
            <w:pPr>
              <w:spacing w:after="0"/>
              <w:rPr>
                <w:sz w:val="24"/>
                <w:szCs w:val="24"/>
                <w:color w:val="auto"/>
              </w:rPr>
            </w:pP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Eric Cottingham</w:t>
            </w:r>
          </w:p>
        </w:tc>
        <w:tc>
          <w:tcPr>
            <w:tcW w:w="20" w:type="dxa"/>
            <w:vAlign w:val="bottom"/>
          </w:tcPr>
          <w:p>
            <w:pPr>
              <w:spacing w:after="0"/>
              <w:rPr>
                <w:sz w:val="24"/>
                <w:szCs w:val="24"/>
                <w:color w:val="auto"/>
              </w:rPr>
            </w:pPr>
          </w:p>
        </w:tc>
      </w:tr>
      <w:tr>
        <w:trPr>
          <w:trHeight w:val="209"/>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Name:</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Thomas Gad</w:t>
            </w:r>
          </w:p>
        </w:tc>
        <w:tc>
          <w:tcPr>
            <w:tcW w:w="1980" w:type="dxa"/>
            <w:vAlign w:val="bottom"/>
            <w:tcBorders>
              <w:bottom w:val="single" w:sz="8" w:color="auto"/>
            </w:tcBorders>
          </w:tcPr>
          <w:p>
            <w:pPr>
              <w:spacing w:after="0"/>
              <w:rPr>
                <w:sz w:val="18"/>
                <w:szCs w:val="18"/>
                <w:color w:val="auto"/>
              </w:rPr>
            </w:pP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Name:</w:t>
            </w: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Eric Cottington, Ph.D.</w:t>
            </w:r>
          </w:p>
        </w:tc>
        <w:tc>
          <w:tcPr>
            <w:tcW w:w="20" w:type="dxa"/>
            <w:vAlign w:val="bottom"/>
          </w:tcPr>
          <w:p>
            <w:pPr>
              <w:spacing w:after="0"/>
              <w:rPr>
                <w:sz w:val="18"/>
                <w:szCs w:val="18"/>
                <w:color w:val="auto"/>
              </w:rPr>
            </w:pPr>
          </w:p>
        </w:tc>
      </w:tr>
      <w:tr>
        <w:trPr>
          <w:trHeight w:val="191"/>
        </w:trPr>
        <w:tc>
          <w:tcPr>
            <w:tcW w:w="12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Title:</w:t>
            </w:r>
          </w:p>
        </w:tc>
        <w:tc>
          <w:tcPr>
            <w:tcW w:w="49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Senior Vice President</w:t>
            </w:r>
          </w:p>
        </w:tc>
        <w:tc>
          <w:tcPr>
            <w:tcW w:w="20" w:type="dxa"/>
            <w:vAlign w:val="bottom"/>
          </w:tcPr>
          <w:p>
            <w:pPr>
              <w:spacing w:after="0"/>
              <w:rPr>
                <w:sz w:val="16"/>
                <w:szCs w:val="16"/>
                <w:color w:val="auto"/>
              </w:rPr>
            </w:pPr>
          </w:p>
        </w:tc>
      </w:tr>
      <w:tr>
        <w:trPr>
          <w:trHeight w:val="234"/>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Chairman, President</w:t>
            </w:r>
          </w:p>
        </w:tc>
        <w:tc>
          <w:tcPr>
            <w:tcW w:w="1980" w:type="dxa"/>
            <w:vAlign w:val="bottom"/>
            <w:tcBorders>
              <w:bottom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Research &amp; Technology Management</w:t>
            </w:r>
          </w:p>
        </w:tc>
        <w:tc>
          <w:tcPr>
            <w:tcW w:w="20" w:type="dxa"/>
            <w:vAlign w:val="bottom"/>
          </w:tcPr>
          <w:p>
            <w:pPr>
              <w:spacing w:after="0"/>
              <w:rPr>
                <w:sz w:val="20"/>
                <w:szCs w:val="20"/>
                <w:color w:val="auto"/>
              </w:rPr>
            </w:pPr>
          </w:p>
        </w:tc>
      </w:tr>
      <w:tr>
        <w:trPr>
          <w:trHeight w:val="209"/>
        </w:trPr>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Date: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Oct 7, 2020</w:t>
            </w:r>
          </w:p>
        </w:tc>
        <w:tc>
          <w:tcPr>
            <w:tcW w:w="1980" w:type="dxa"/>
            <w:vAlign w:val="bottom"/>
          </w:tcPr>
          <w:p>
            <w:pPr>
              <w:spacing w:after="0"/>
              <w:rPr>
                <w:sz w:val="18"/>
                <w:szCs w:val="18"/>
                <w:color w:val="auto"/>
              </w:rPr>
            </w:pP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w:t>
            </w: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 29, 2020</w:t>
            </w:r>
          </w:p>
        </w:tc>
        <w:tc>
          <w:tcPr>
            <w:tcW w:w="20" w:type="dxa"/>
            <w:vAlign w:val="bottom"/>
          </w:tcPr>
          <w:p>
            <w:pPr>
              <w:spacing w:after="0"/>
              <w:rPr>
                <w:sz w:val="18"/>
                <w:szCs w:val="18"/>
                <w:color w:val="auto"/>
              </w:rPr>
            </w:pPr>
          </w:p>
        </w:tc>
      </w:tr>
      <w:tr>
        <w:trPr>
          <w:trHeight w:val="668"/>
        </w:trPr>
        <w:tc>
          <w:tcPr>
            <w:tcW w:w="1200" w:type="dxa"/>
            <w:vAlign w:val="bottom"/>
            <w:tcBorders>
              <w:bottom w:val="single" w:sz="8" w:color="auto"/>
            </w:tcBorders>
          </w:tcPr>
          <w:p>
            <w:pPr>
              <w:spacing w:after="0"/>
              <w:rPr>
                <w:sz w:val="24"/>
                <w:szCs w:val="24"/>
                <w:color w:val="auto"/>
              </w:rPr>
            </w:pPr>
          </w:p>
        </w:tc>
        <w:tc>
          <w:tcPr>
            <w:tcW w:w="1980" w:type="dxa"/>
            <w:vAlign w:val="bottom"/>
            <w:tcBorders>
              <w:top w:val="single" w:sz="8" w:color="auto"/>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160" w:type="dxa"/>
            <w:vAlign w:val="bottom"/>
            <w:tcBorders>
              <w:top w:val="single" w:sz="8" w:color="auto"/>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Certain information (marked as [***]) has been excluded from this exhibit because it is both (i) not material and (ii) would be competitively harmful if publicly disclosed.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t>Certain information (marked as [***]) has been excluded from this exhibit because it is both (i) not material and (ii) would be competitively harmful if publicly disclosed.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Certain information (marked as [***]) has been excluded from this exhibit because it is both (i) not material and (ii) would be competitively harmful if publicly disclosed.</w:t>
      </w:r>
    </w:p>
    <w:p>
      <w:pPr>
        <w:spacing w:after="0" w:line="162"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Appendix 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t>Certain information (marked as [***]) has been excluded from this exhibit because it is both (i) not material and (ii) would be competitively harmful if publicly disclosed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line="282" w:lineRule="auto"/>
        <w:rPr>
          <w:sz w:val="20"/>
          <w:szCs w:val="20"/>
          <w:color w:val="auto"/>
        </w:rPr>
      </w:pPr>
      <w:r>
        <w:rPr>
          <w:rFonts w:ascii="Times New Roman" w:cs="Times New Roman" w:eastAsia="Times New Roman" w:hAnsi="Times New Roman"/>
          <w:sz w:val="18"/>
          <w:szCs w:val="18"/>
          <w:color w:val="auto"/>
        </w:rPr>
        <w:t>Certain information (marked as [***]) has been excluded from this exhibit because it is both (i) not material and (ii) would be competitively harmful if publicly disclosed</w:t>
      </w:r>
    </w:p>
    <w:p>
      <w:pPr>
        <w:spacing w:after="0" w:line="162"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Appendix 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Certain information (marked as [***]) has been excluded from this exhibit because it is both (i) not material and (ii) would be competitively harmful if publicly disclosed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Appendix B</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lowerLetter"/>
      <w:start w:val="25"/>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6"/>
    </w:lvl>
  </w:abstractNum>
  <w:abstractNum w:abstractNumId="8">
    <w:nsid w:val="1190CDE7"/>
    <w:multiLevelType w:val="hybridMultilevel"/>
    <w:lvl w:ilvl="0">
      <w:lvlJc w:val="left"/>
      <w:lvlText w:val="%1."/>
      <w:numFmt w:val="decimal"/>
      <w:start w:val="7"/>
    </w:lvl>
  </w:abstractNum>
  <w:abstractNum w:abstractNumId="9">
    <w:nsid w:val="66EF438D"/>
    <w:multiLevelType w:val="hybridMultilevel"/>
    <w:lvl w:ilvl="0">
      <w:lvlJc w:val="left"/>
      <w:lvlText w:val="%1."/>
      <w:numFmt w:val="decimal"/>
      <w:start w:val="8"/>
    </w:lvl>
    <w:lvl w:ilvl="1">
      <w:lvlJc w:val="left"/>
      <w:lvlText w:val="(%2)"/>
      <w:numFmt w:val="lowerRoman"/>
      <w:start w:val="1"/>
    </w:lvl>
  </w:abstractNum>
  <w:abstractNum w:abstractNumId="10">
    <w:nsid w:val="140E0F76"/>
    <w:multiLevelType w:val="hybridMultilevel"/>
    <w:lvl w:ilvl="0">
      <w:lvlJc w:val="left"/>
      <w:lvlText w:val="%1."/>
      <w:numFmt w:val="decimal"/>
      <w:start w:val="9"/>
    </w:lvl>
  </w:abstractNum>
  <w:abstractNum w:abstractNumId="11">
    <w:nsid w:val="3352255A"/>
    <w:multiLevelType w:val="hybridMultilevel"/>
    <w:lvl w:ilvl="0">
      <w:lvlJc w:val="left"/>
      <w:lvlText w:val="%1."/>
      <w:numFmt w:val="decimal"/>
      <w:start w:val="13"/>
    </w:lvl>
  </w:abstractNum>
  <w:abstractNum w:abstractNumId="12">
    <w:nsid w:val="109CF92E"/>
    <w:multiLevelType w:val="hybridMultilevel"/>
    <w:lvl w:ilvl="0">
      <w:lvlJc w:val="left"/>
      <w:lvlText w:val="%1."/>
      <w:numFmt w:val="decimal"/>
      <w:start w:val="14"/>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2020-10-08T15:33:11Z</dcterms:created>
  <dcterms:modified xsi:type="dcterms:W3CDTF">2020-10-08T15:33:11Z</dcterms:modified>
</cp:coreProperties>
</file>