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181"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ind w:left="1140"/>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6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Y-MABS THERAPEUTICS,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230 PARK AVENUE, SUITE 3350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NEW YORK, NY 10169</w:t>
      </w:r>
    </w:p>
    <w:p>
      <w:pPr>
        <w:spacing w:after="0" w:line="13" w:lineRule="exact"/>
        <w:rPr>
          <w:sz w:val="20"/>
          <w:szCs w:val="20"/>
          <w:color w:val="auto"/>
        </w:rPr>
      </w:pPr>
    </w:p>
    <w:p>
      <w:pPr>
        <w:jc w:val="both"/>
        <w:ind w:left="5240" w:right="5200" w:hanging="27"/>
        <w:spacing w:after="0" w:line="582" w:lineRule="auto"/>
        <w:tabs>
          <w:tab w:leader="none" w:pos="561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885-8505 April 30, 2019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 am pleased to invite you to attend the 2019 Annual Meeting of Stockholders (the "Annual Meeting") of Y-mAbs Therapeutics, Inc. (the "Company"), which will be held at</w:t>
      </w:r>
    </w:p>
    <w:p>
      <w:pPr>
        <w:spacing w:after="0" w:line="44" w:lineRule="exact"/>
        <w:rPr>
          <w:sz w:val="20"/>
          <w:szCs w:val="20"/>
          <w:color w:val="auto"/>
        </w:rPr>
      </w:pPr>
    </w:p>
    <w:p>
      <w:pPr>
        <w:ind w:right="760"/>
        <w:spacing w:after="0" w:line="274" w:lineRule="auto"/>
        <w:rPr>
          <w:sz w:val="20"/>
          <w:szCs w:val="20"/>
          <w:color w:val="auto"/>
        </w:rPr>
      </w:pPr>
      <w:r>
        <w:rPr>
          <w:rFonts w:ascii="Arial" w:cs="Arial" w:eastAsia="Arial" w:hAnsi="Arial"/>
          <w:sz w:val="16"/>
          <w:szCs w:val="16"/>
          <w:color w:val="auto"/>
        </w:rPr>
        <w:t>230 Park Avenue, 5th Floor, New York, New York 10169, on June 6, 2019 at 10:00 a.m. Eastern Time. Doors open at 9:00 a.m. Eastern Time. At the Annual Meeting, stockholders will consider and vote on the following matters:</w:t>
      </w:r>
    </w:p>
    <w:p>
      <w:pPr>
        <w:spacing w:after="0" w:line="177" w:lineRule="exact"/>
        <w:rPr>
          <w:sz w:val="20"/>
          <w:szCs w:val="20"/>
          <w:color w:val="auto"/>
        </w:rPr>
      </w:pPr>
    </w:p>
    <w:p>
      <w:pPr>
        <w:ind w:left="980" w:right="20" w:hanging="488"/>
        <w:spacing w:after="0" w:line="26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election of two (2) Class I directors, Dr. Gérard Ber and David N. Gill, nominated by our Board of Directors, each to serve for a three-year term to expire at the 2022 annual meeting of stockholders and one (1) Class II director, Ashutosh Tyagi, M.D., nominated by our Board of Directors, to serve for a one-year term to expire at the 2020 annual meeting of stockholders, each such nominee to hold office until his successor has been duly elected and qualified or until his earlier death, resignation or removal;</w:t>
      </w:r>
    </w:p>
    <w:p>
      <w:pPr>
        <w:spacing w:after="0" w:line="195" w:lineRule="exact"/>
        <w:rPr>
          <w:rFonts w:ascii="Arial" w:cs="Arial" w:eastAsia="Arial" w:hAnsi="Arial"/>
          <w:sz w:val="16"/>
          <w:szCs w:val="16"/>
          <w:color w:val="auto"/>
        </w:rPr>
      </w:pPr>
    </w:p>
    <w:p>
      <w:pPr>
        <w:ind w:left="980" w:right="60" w:hanging="488"/>
        <w:spacing w:after="0" w:line="284"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independent registered public accounting firm for the fiscal year ending December 31, 2019; and</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transaction of any other business that may properly come before the Annual Meeting or any adjournment or postponement thereof.</w:t>
      </w:r>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Stockholders of record at the close of business on April 10, 2019 will be entitled to notice of, and to vote, at the Annual Meeting or any adjournment or postponement thereof. This Notice, the accompanying proxy statement and a form of proxy card are being mailed beginning on or about April 30, 2019, to all stockholders entitled to vote at the Annual Meeting.</w:t>
      </w:r>
    </w:p>
    <w:p>
      <w:pPr>
        <w:spacing w:after="0" w:line="168" w:lineRule="exact"/>
        <w:rPr>
          <w:sz w:val="20"/>
          <w:szCs w:val="20"/>
          <w:color w:val="auto"/>
        </w:rPr>
      </w:pPr>
    </w:p>
    <w:p>
      <w:pPr>
        <w:ind w:right="40" w:firstLine="318"/>
        <w:spacing w:after="0" w:line="270" w:lineRule="auto"/>
        <w:rPr>
          <w:sz w:val="20"/>
          <w:szCs w:val="20"/>
          <w:color w:val="auto"/>
        </w:rPr>
      </w:pPr>
      <w:r>
        <w:rPr>
          <w:rFonts w:ascii="Arial" w:cs="Arial" w:eastAsia="Arial" w:hAnsi="Arial"/>
          <w:sz w:val="16"/>
          <w:szCs w:val="16"/>
          <w:color w:val="auto"/>
        </w:rPr>
        <w:t>We encourage all stockholders to attend the Annual Meeting in person. However, whether or not you plan to attend the Annual Meeting in person, we encourage you to read this proxy statement and submit your proxy or voting instructions as soon as possible. Please review the instructions on each of your voting options described in the proxy statement.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Thank you for your ongoing support and continued interest in the Company.</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3749675</wp:posOffset>
            </wp:positionH>
            <wp:positionV relativeFrom="paragraph">
              <wp:posOffset>295910</wp:posOffset>
            </wp:positionV>
            <wp:extent cx="1620520" cy="516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0520" cy="51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Thomas Gad</w:t>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Founder, Chairman, President</w:t>
      </w:r>
    </w:p>
    <w:p>
      <w:pPr>
        <w:spacing w:after="0" w:line="13" w:lineRule="exact"/>
        <w:rPr>
          <w:sz w:val="20"/>
          <w:szCs w:val="20"/>
          <w:color w:val="auto"/>
        </w:rPr>
      </w:pPr>
    </w:p>
    <w:p>
      <w:pPr>
        <w:ind w:left="5900"/>
        <w:spacing w:after="0"/>
        <w:rPr>
          <w:sz w:val="20"/>
          <w:szCs w:val="20"/>
          <w:color w:val="auto"/>
        </w:rPr>
      </w:pPr>
      <w:r>
        <w:rPr>
          <w:rFonts w:ascii="Arial" w:cs="Arial" w:eastAsia="Arial" w:hAnsi="Arial"/>
          <w:sz w:val="16"/>
          <w:szCs w:val="16"/>
          <w:i w:val="1"/>
          <w:iCs w:val="1"/>
          <w:color w:val="auto"/>
        </w:rPr>
        <w:t>and Head of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72631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gridSpan w:val="13"/>
          </w:tcPr>
          <w:p>
            <w:pPr>
              <w:ind w:left="80"/>
              <w:spacing w:after="0"/>
              <w:rPr>
                <w:sz w:val="20"/>
                <w:szCs w:val="20"/>
                <w:color w:val="auto"/>
              </w:rPr>
            </w:pPr>
            <w:r>
              <w:rPr>
                <w:rFonts w:ascii="Arial" w:cs="Arial" w:eastAsia="Arial" w:hAnsi="Arial"/>
                <w:sz w:val="16"/>
                <w:szCs w:val="16"/>
                <w:b w:val="1"/>
                <w:bCs w:val="1"/>
                <w:color w:val="auto"/>
              </w:rPr>
              <w:t>TABLE OF CONTENTS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56"/>
        </w:trPr>
        <w:tc>
          <w:tcPr>
            <w:tcW w:w="4700" w:type="dxa"/>
            <w:vAlign w:val="bottom"/>
            <w:gridSpan w:val="23"/>
          </w:tcPr>
          <w:p>
            <w:pPr>
              <w:spacing w:after="0"/>
              <w:rPr>
                <w:rFonts w:ascii="Arial" w:cs="Arial" w:eastAsia="Arial" w:hAnsi="Arial"/>
                <w:sz w:val="16"/>
                <w:szCs w:val="16"/>
                <w:b w:val="1"/>
                <w:bCs w:val="1"/>
                <w:color w:val="0000EE"/>
              </w:rPr>
            </w:pPr>
            <w:hyperlink w:anchor="page6">
              <w:r>
                <w:rPr>
                  <w:rFonts w:ascii="Arial" w:cs="Arial" w:eastAsia="Arial" w:hAnsi="Arial"/>
                  <w:sz w:val="16"/>
                  <w:szCs w:val="16"/>
                  <w:b w:val="1"/>
                  <w:bCs w:val="1"/>
                  <w:color w:val="0000EE"/>
                </w:rPr>
                <w:t>QUESTIONS AND ANSWERS ABOUT THE ANNUAL MEETING</w:t>
              </w:r>
            </w:hyperlink>
          </w:p>
        </w:tc>
        <w:tc>
          <w:tcPr>
            <w:tcW w:w="4140" w:type="dxa"/>
            <w:vAlign w:val="bottom"/>
            <w:gridSpan w:val="6"/>
          </w:tcPr>
          <w:p>
            <w:pPr>
              <w:spacing w:after="0"/>
              <w:rPr>
                <w:sz w:val="24"/>
                <w:szCs w:val="24"/>
                <w:color w:val="auto"/>
              </w:rPr>
            </w:pPr>
          </w:p>
        </w:tc>
        <w:tc>
          <w:tcPr>
            <w:tcW w:w="160" w:type="dxa"/>
            <w:vAlign w:val="bottom"/>
            <w:gridSpan w:val="2"/>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2</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4480" w:type="dxa"/>
            <w:vAlign w:val="bottom"/>
            <w:gridSpan w:val="21"/>
          </w:tcPr>
          <w:p>
            <w:pPr>
              <w:spacing w:after="0" w:line="178" w:lineRule="exact"/>
              <w:rPr>
                <w:rFonts w:ascii="Arial" w:cs="Arial" w:eastAsia="Arial" w:hAnsi="Arial"/>
                <w:sz w:val="16"/>
                <w:szCs w:val="16"/>
                <w:b w:val="1"/>
                <w:bCs w:val="1"/>
                <w:color w:val="0000EE"/>
                <w:w w:val="99"/>
              </w:rPr>
            </w:pPr>
            <w:hyperlink w:anchor="page13">
              <w:r>
                <w:rPr>
                  <w:rFonts w:ascii="Arial" w:cs="Arial" w:eastAsia="Arial" w:hAnsi="Arial"/>
                  <w:sz w:val="16"/>
                  <w:szCs w:val="16"/>
                  <w:b w:val="1"/>
                  <w:bCs w:val="1"/>
                  <w:color w:val="0000EE"/>
                  <w:w w:val="99"/>
                </w:rPr>
                <w:t>BOARD OF DIRECTORS AND CORPORATE GOVERNANCE</w:t>
              </w:r>
            </w:hyperlink>
          </w:p>
        </w:tc>
        <w:tc>
          <w:tcPr>
            <w:tcW w:w="220" w:type="dxa"/>
            <w:vAlign w:val="bottom"/>
            <w:gridSpan w:val="2"/>
          </w:tcPr>
          <w:p>
            <w:pPr>
              <w:spacing w:after="0"/>
              <w:rPr>
                <w:sz w:val="15"/>
                <w:szCs w:val="15"/>
                <w:color w:val="auto"/>
              </w:rPr>
            </w:pPr>
          </w:p>
        </w:tc>
        <w:tc>
          <w:tcPr>
            <w:tcW w:w="4140" w:type="dxa"/>
            <w:vAlign w:val="bottom"/>
            <w:gridSpan w:val="6"/>
          </w:tcPr>
          <w:p>
            <w:pPr>
              <w:spacing w:after="0"/>
              <w:rPr>
                <w:sz w:val="15"/>
                <w:szCs w:val="15"/>
                <w:color w:val="auto"/>
              </w:rPr>
            </w:pPr>
          </w:p>
        </w:tc>
        <w:tc>
          <w:tcPr>
            <w:tcW w:w="160" w:type="dxa"/>
            <w:vAlign w:val="bottom"/>
            <w:gridSpan w:val="2"/>
          </w:tcPr>
          <w:p>
            <w:pPr>
              <w:jc w:val="right"/>
              <w:spacing w:after="0" w:line="178" w:lineRule="exact"/>
              <w:rPr>
                <w:rFonts w:ascii="Arial" w:cs="Arial" w:eastAsia="Arial" w:hAnsi="Arial"/>
                <w:sz w:val="16"/>
                <w:szCs w:val="16"/>
                <w:color w:val="0000EE"/>
              </w:rPr>
            </w:pPr>
            <w:hyperlink w:anchor="page13">
              <w:r>
                <w:rPr>
                  <w:rFonts w:ascii="Arial" w:cs="Arial" w:eastAsia="Arial" w:hAnsi="Arial"/>
                  <w:sz w:val="16"/>
                  <w:szCs w:val="16"/>
                  <w:color w:val="0000EE"/>
                </w:rPr>
                <w:t>9</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4320" w:type="dxa"/>
            <w:vAlign w:val="bottom"/>
            <w:gridSpan w:val="20"/>
          </w:tcPr>
          <w:p>
            <w:pPr>
              <w:spacing w:after="0" w:line="178" w:lineRule="exact"/>
              <w:rPr>
                <w:rFonts w:ascii="Arial" w:cs="Arial" w:eastAsia="Arial" w:hAnsi="Arial"/>
                <w:sz w:val="16"/>
                <w:szCs w:val="16"/>
                <w:b w:val="1"/>
                <w:bCs w:val="1"/>
                <w:color w:val="0000EE"/>
              </w:rPr>
            </w:pPr>
            <w:hyperlink w:anchor="page13">
              <w:r>
                <w:rPr>
                  <w:rFonts w:ascii="Arial" w:cs="Arial" w:eastAsia="Arial" w:hAnsi="Arial"/>
                  <w:sz w:val="16"/>
                  <w:szCs w:val="16"/>
                  <w:b w:val="1"/>
                  <w:bCs w:val="1"/>
                  <w:color w:val="0000EE"/>
                </w:rPr>
                <w:t>Election of Directors</w:t>
              </w:r>
            </w:hyperlink>
          </w:p>
        </w:tc>
        <w:tc>
          <w:tcPr>
            <w:tcW w:w="4360" w:type="dxa"/>
            <w:vAlign w:val="bottom"/>
            <w:gridSpan w:val="8"/>
          </w:tcPr>
          <w:p>
            <w:pPr>
              <w:spacing w:after="0"/>
              <w:rPr>
                <w:sz w:val="15"/>
                <w:szCs w:val="15"/>
                <w:color w:val="auto"/>
              </w:rPr>
            </w:pPr>
          </w:p>
        </w:tc>
        <w:tc>
          <w:tcPr>
            <w:tcW w:w="160" w:type="dxa"/>
            <w:vAlign w:val="bottom"/>
            <w:gridSpan w:val="2"/>
          </w:tcPr>
          <w:p>
            <w:pPr>
              <w:jc w:val="right"/>
              <w:spacing w:after="0" w:line="178" w:lineRule="exact"/>
              <w:rPr>
                <w:rFonts w:ascii="Arial" w:cs="Arial" w:eastAsia="Arial" w:hAnsi="Arial"/>
                <w:sz w:val="16"/>
                <w:szCs w:val="16"/>
                <w:color w:val="0000EE"/>
              </w:rPr>
            </w:pPr>
            <w:hyperlink w:anchor="page13">
              <w:r>
                <w:rPr>
                  <w:rFonts w:ascii="Arial" w:cs="Arial" w:eastAsia="Arial" w:hAnsi="Arial"/>
                  <w:sz w:val="16"/>
                  <w:szCs w:val="16"/>
                  <w:color w:val="0000EE"/>
                </w:rPr>
                <w:t>9</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2180" w:type="dxa"/>
            <w:vAlign w:val="bottom"/>
            <w:tcBorders>
              <w:bottom w:val="single" w:sz="8" w:color="0000EE"/>
            </w:tcBorders>
            <w:gridSpan w:val="9"/>
          </w:tcPr>
          <w:p>
            <w:pPr>
              <w:spacing w:after="0" w:line="178" w:lineRule="exact"/>
              <w:rPr>
                <w:rFonts w:ascii="Arial" w:cs="Arial" w:eastAsia="Arial" w:hAnsi="Arial"/>
                <w:sz w:val="16"/>
                <w:szCs w:val="16"/>
                <w:b w:val="1"/>
                <w:bCs w:val="1"/>
                <w:color w:val="0000EE"/>
                <w:w w:val="92"/>
              </w:rPr>
            </w:pPr>
            <w:hyperlink w:anchor="page17">
              <w:r>
                <w:rPr>
                  <w:rFonts w:ascii="Arial" w:cs="Arial" w:eastAsia="Arial" w:hAnsi="Arial"/>
                  <w:sz w:val="16"/>
                  <w:szCs w:val="16"/>
                  <w:b w:val="1"/>
                  <w:bCs w:val="1"/>
                  <w:color w:val="0000EE"/>
                  <w:w w:val="92"/>
                </w:rPr>
                <w:t>Corporate Governance Matters</w:t>
              </w:r>
            </w:hyperlink>
          </w:p>
        </w:tc>
        <w:tc>
          <w:tcPr>
            <w:tcW w:w="6500" w:type="dxa"/>
            <w:vAlign w:val="bottom"/>
            <w:gridSpan w:val="19"/>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7">
              <w:r>
                <w:rPr>
                  <w:rFonts w:ascii="Arial" w:cs="Arial" w:eastAsia="Arial" w:hAnsi="Arial"/>
                  <w:sz w:val="16"/>
                  <w:szCs w:val="16"/>
                  <w:color w:val="0000EE"/>
                  <w:w w:val="78"/>
                </w:rPr>
                <w:t>13</w:t>
              </w:r>
            </w:hyperlink>
          </w:p>
        </w:tc>
      </w:tr>
      <w:tr>
        <w:trPr>
          <w:trHeight w:val="177"/>
        </w:trPr>
        <w:tc>
          <w:tcPr>
            <w:tcW w:w="160" w:type="dxa"/>
            <w:vAlign w:val="bottom"/>
          </w:tcPr>
          <w:p>
            <w:pPr>
              <w:spacing w:after="0"/>
              <w:rPr>
                <w:sz w:val="15"/>
                <w:szCs w:val="15"/>
                <w:color w:val="auto"/>
              </w:rPr>
            </w:pPr>
          </w:p>
        </w:tc>
        <w:tc>
          <w:tcPr>
            <w:tcW w:w="4220" w:type="dxa"/>
            <w:vAlign w:val="bottom"/>
            <w:tcBorders>
              <w:bottom w:val="single" w:sz="8" w:color="0000EE"/>
            </w:tcBorders>
            <w:gridSpan w:val="19"/>
          </w:tcPr>
          <w:p>
            <w:pPr>
              <w:spacing w:after="0" w:line="178" w:lineRule="exact"/>
              <w:rPr>
                <w:rFonts w:ascii="Arial" w:cs="Arial" w:eastAsia="Arial" w:hAnsi="Arial"/>
                <w:sz w:val="16"/>
                <w:szCs w:val="16"/>
                <w:b w:val="1"/>
                <w:bCs w:val="1"/>
                <w:color w:val="0000EE"/>
                <w:w w:val="91"/>
              </w:rPr>
            </w:pPr>
            <w:hyperlink w:anchor="page19">
              <w:r>
                <w:rPr>
                  <w:rFonts w:ascii="Arial" w:cs="Arial" w:eastAsia="Arial" w:hAnsi="Arial"/>
                  <w:sz w:val="16"/>
                  <w:szCs w:val="16"/>
                  <w:b w:val="1"/>
                  <w:bCs w:val="1"/>
                  <w:color w:val="0000EE"/>
                  <w:w w:val="91"/>
                </w:rPr>
                <w:t>Information Regarding Committees of the Board of Directors</w:t>
              </w:r>
            </w:hyperlink>
          </w:p>
        </w:tc>
        <w:tc>
          <w:tcPr>
            <w:tcW w:w="4460" w:type="dxa"/>
            <w:vAlign w:val="bottom"/>
            <w:gridSpan w:val="9"/>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9">
              <w:r>
                <w:rPr>
                  <w:rFonts w:ascii="Arial" w:cs="Arial" w:eastAsia="Arial" w:hAnsi="Arial"/>
                  <w:sz w:val="16"/>
                  <w:szCs w:val="16"/>
                  <w:color w:val="0000EE"/>
                  <w:w w:val="78"/>
                </w:rPr>
                <w:t>15</w:t>
              </w:r>
            </w:hyperlink>
          </w:p>
        </w:tc>
      </w:tr>
      <w:tr>
        <w:trPr>
          <w:trHeight w:val="177"/>
        </w:trPr>
        <w:tc>
          <w:tcPr>
            <w:tcW w:w="8840" w:type="dxa"/>
            <w:vAlign w:val="bottom"/>
            <w:gridSpan w:val="29"/>
          </w:tcPr>
          <w:p>
            <w:pPr>
              <w:spacing w:after="0" w:line="178" w:lineRule="exact"/>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EXECUTIVE OFFICER AND DIRECTOR COMPENSATION</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25">
              <w:r>
                <w:rPr>
                  <w:rFonts w:ascii="Arial" w:cs="Arial" w:eastAsia="Arial" w:hAnsi="Arial"/>
                  <w:sz w:val="16"/>
                  <w:szCs w:val="16"/>
                  <w:color w:val="0000EE"/>
                  <w:w w:val="78"/>
                </w:rPr>
                <w:t>21</w:t>
              </w:r>
            </w:hyperlink>
          </w:p>
        </w:tc>
      </w:tr>
      <w:tr>
        <w:trPr>
          <w:trHeight w:val="177"/>
        </w:trPr>
        <w:tc>
          <w:tcPr>
            <w:tcW w:w="160" w:type="dxa"/>
            <w:vAlign w:val="bottom"/>
            <w:tcBorders>
              <w:top w:val="single" w:sz="8" w:color="0000EE"/>
            </w:tcBorders>
          </w:tcPr>
          <w:p>
            <w:pPr>
              <w:spacing w:after="0"/>
              <w:rPr>
                <w:sz w:val="15"/>
                <w:szCs w:val="15"/>
                <w:color w:val="auto"/>
              </w:rPr>
            </w:pPr>
          </w:p>
        </w:tc>
        <w:tc>
          <w:tcPr>
            <w:tcW w:w="4200" w:type="dxa"/>
            <w:vAlign w:val="bottom"/>
            <w:tcBorders>
              <w:top w:val="single" w:sz="8" w:color="0000EE"/>
            </w:tcBorders>
            <w:gridSpan w:val="18"/>
          </w:tcPr>
          <w:p>
            <w:pPr>
              <w:spacing w:after="0" w:line="178" w:lineRule="exact"/>
              <w:rPr>
                <w:rFonts w:ascii="Arial" w:cs="Arial" w:eastAsia="Arial" w:hAnsi="Arial"/>
                <w:sz w:val="16"/>
                <w:szCs w:val="16"/>
                <w:b w:val="1"/>
                <w:bCs w:val="1"/>
                <w:color w:val="0000EE"/>
              </w:rPr>
            </w:pPr>
            <w:hyperlink w:anchor="page25">
              <w:r>
                <w:rPr>
                  <w:rFonts w:ascii="Arial" w:cs="Arial" w:eastAsia="Arial" w:hAnsi="Arial"/>
                  <w:sz w:val="16"/>
                  <w:szCs w:val="16"/>
                  <w:b w:val="1"/>
                  <w:bCs w:val="1"/>
                  <w:color w:val="0000EE"/>
                </w:rPr>
                <w:t>Executive Officers</w:t>
              </w:r>
            </w:hyperlink>
          </w:p>
        </w:tc>
        <w:tc>
          <w:tcPr>
            <w:tcW w:w="4480" w:type="dxa"/>
            <w:vAlign w:val="bottom"/>
            <w:gridSpan w:val="10"/>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25">
              <w:r>
                <w:rPr>
                  <w:rFonts w:ascii="Arial" w:cs="Arial" w:eastAsia="Arial" w:hAnsi="Arial"/>
                  <w:sz w:val="16"/>
                  <w:szCs w:val="16"/>
                  <w:color w:val="0000EE"/>
                  <w:w w:val="78"/>
                </w:rPr>
                <w:t>21</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8680" w:type="dxa"/>
            <w:vAlign w:val="bottom"/>
            <w:gridSpan w:val="28"/>
          </w:tcPr>
          <w:p>
            <w:pPr>
              <w:spacing w:after="0" w:line="178" w:lineRule="exact"/>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Executive Compensation</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26">
              <w:r>
                <w:rPr>
                  <w:rFonts w:ascii="Arial" w:cs="Arial" w:eastAsia="Arial" w:hAnsi="Arial"/>
                  <w:sz w:val="16"/>
                  <w:szCs w:val="16"/>
                  <w:color w:val="0000EE"/>
                  <w:w w:val="78"/>
                </w:rPr>
                <w:t>22</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2140" w:type="dxa"/>
            <w:vAlign w:val="bottom"/>
            <w:tcBorders>
              <w:bottom w:val="single" w:sz="8" w:color="0000EE"/>
            </w:tcBorders>
            <w:gridSpan w:val="8"/>
          </w:tcPr>
          <w:p>
            <w:pPr>
              <w:spacing w:after="0" w:line="178" w:lineRule="exact"/>
              <w:rPr>
                <w:rFonts w:ascii="Arial" w:cs="Arial" w:eastAsia="Arial" w:hAnsi="Arial"/>
                <w:sz w:val="16"/>
                <w:szCs w:val="16"/>
                <w:b w:val="1"/>
                <w:bCs w:val="1"/>
                <w:color w:val="0000EE"/>
                <w:w w:val="90"/>
              </w:rPr>
            </w:pPr>
            <w:hyperlink w:anchor="page27">
              <w:r>
                <w:rPr>
                  <w:rFonts w:ascii="Arial" w:cs="Arial" w:eastAsia="Arial" w:hAnsi="Arial"/>
                  <w:sz w:val="16"/>
                  <w:szCs w:val="16"/>
                  <w:b w:val="1"/>
                  <w:bCs w:val="1"/>
                  <w:color w:val="0000EE"/>
                  <w:w w:val="90"/>
                </w:rPr>
                <w:t>Summary Compensation Table</w:t>
              </w:r>
            </w:hyperlink>
          </w:p>
        </w:tc>
        <w:tc>
          <w:tcPr>
            <w:tcW w:w="6540" w:type="dxa"/>
            <w:vAlign w:val="bottom"/>
            <w:gridSpan w:val="20"/>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7">
              <w:r>
                <w:rPr>
                  <w:rFonts w:ascii="Arial" w:cs="Arial" w:eastAsia="Arial" w:hAnsi="Arial"/>
                  <w:sz w:val="16"/>
                  <w:szCs w:val="16"/>
                  <w:color w:val="0000EE"/>
                  <w:w w:val="78"/>
                </w:rPr>
                <w:t>23</w:t>
              </w:r>
            </w:hyperlink>
          </w:p>
        </w:tc>
      </w:tr>
      <w:tr>
        <w:trPr>
          <w:trHeight w:val="177"/>
        </w:trPr>
        <w:tc>
          <w:tcPr>
            <w:tcW w:w="160" w:type="dxa"/>
            <w:vAlign w:val="bottom"/>
          </w:tcPr>
          <w:p>
            <w:pPr>
              <w:spacing w:after="0"/>
              <w:rPr>
                <w:sz w:val="15"/>
                <w:szCs w:val="15"/>
                <w:color w:val="auto"/>
              </w:rPr>
            </w:pPr>
          </w:p>
        </w:tc>
        <w:tc>
          <w:tcPr>
            <w:tcW w:w="8680" w:type="dxa"/>
            <w:vAlign w:val="bottom"/>
            <w:gridSpan w:val="28"/>
          </w:tcPr>
          <w:p>
            <w:pPr>
              <w:spacing w:after="0" w:line="178" w:lineRule="exact"/>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Narrative Disclosure to Summary Compensation Table</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27">
              <w:r>
                <w:rPr>
                  <w:rFonts w:ascii="Arial" w:cs="Arial" w:eastAsia="Arial" w:hAnsi="Arial"/>
                  <w:sz w:val="16"/>
                  <w:szCs w:val="16"/>
                  <w:color w:val="0000EE"/>
                  <w:w w:val="78"/>
                </w:rPr>
                <w:t>23</w:t>
              </w:r>
            </w:hyperlink>
          </w:p>
        </w:tc>
      </w:tr>
      <w:tr>
        <w:trPr>
          <w:trHeight w:val="177"/>
        </w:trPr>
        <w:tc>
          <w:tcPr>
            <w:tcW w:w="160" w:type="dxa"/>
            <w:vAlign w:val="bottom"/>
          </w:tcPr>
          <w:p>
            <w:pPr>
              <w:spacing w:after="0"/>
              <w:rPr>
                <w:sz w:val="15"/>
                <w:szCs w:val="15"/>
                <w:color w:val="auto"/>
              </w:rPr>
            </w:pPr>
          </w:p>
        </w:tc>
        <w:tc>
          <w:tcPr>
            <w:tcW w:w="3160" w:type="dxa"/>
            <w:vAlign w:val="bottom"/>
            <w:tcBorders>
              <w:top w:val="single" w:sz="8" w:color="0000EE"/>
              <w:bottom w:val="single" w:sz="8" w:color="0000EE"/>
            </w:tcBorders>
            <w:gridSpan w:val="14"/>
          </w:tcPr>
          <w:p>
            <w:pPr>
              <w:spacing w:after="0" w:line="178" w:lineRule="exact"/>
              <w:rPr>
                <w:rFonts w:ascii="Arial" w:cs="Arial" w:eastAsia="Arial" w:hAnsi="Arial"/>
                <w:sz w:val="16"/>
                <w:szCs w:val="16"/>
                <w:b w:val="1"/>
                <w:bCs w:val="1"/>
                <w:color w:val="0000EE"/>
                <w:w w:val="91"/>
              </w:rPr>
            </w:pPr>
            <w:hyperlink w:anchor="page30">
              <w:r>
                <w:rPr>
                  <w:rFonts w:ascii="Arial" w:cs="Arial" w:eastAsia="Arial" w:hAnsi="Arial"/>
                  <w:sz w:val="16"/>
                  <w:szCs w:val="16"/>
                  <w:b w:val="1"/>
                  <w:bCs w:val="1"/>
                  <w:color w:val="0000EE"/>
                  <w:w w:val="91"/>
                </w:rPr>
                <w:t>Outstanding Equity Awards at Year End 2018</w:t>
              </w:r>
            </w:hyperlink>
          </w:p>
        </w:tc>
        <w:tc>
          <w:tcPr>
            <w:tcW w:w="600" w:type="dxa"/>
            <w:vAlign w:val="bottom"/>
            <w:tcBorders>
              <w:top w:val="single" w:sz="8" w:color="0000EE"/>
            </w:tcBorders>
            <w:gridSpan w:val="3"/>
          </w:tcPr>
          <w:p>
            <w:pPr>
              <w:spacing w:after="0"/>
              <w:rPr>
                <w:sz w:val="15"/>
                <w:szCs w:val="15"/>
                <w:color w:val="auto"/>
              </w:rPr>
            </w:pPr>
          </w:p>
        </w:tc>
        <w:tc>
          <w:tcPr>
            <w:tcW w:w="4920" w:type="dxa"/>
            <w:vAlign w:val="bottom"/>
            <w:gridSpan w:val="11"/>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0">
              <w:r>
                <w:rPr>
                  <w:rFonts w:ascii="Arial" w:cs="Arial" w:eastAsia="Arial" w:hAnsi="Arial"/>
                  <w:sz w:val="16"/>
                  <w:szCs w:val="16"/>
                  <w:color w:val="0000EE"/>
                  <w:w w:val="78"/>
                </w:rPr>
                <w:t>26</w:t>
              </w:r>
            </w:hyperlink>
          </w:p>
        </w:tc>
      </w:tr>
      <w:tr>
        <w:trPr>
          <w:trHeight w:val="177"/>
        </w:trPr>
        <w:tc>
          <w:tcPr>
            <w:tcW w:w="160" w:type="dxa"/>
            <w:vAlign w:val="bottom"/>
          </w:tcPr>
          <w:p>
            <w:pPr>
              <w:spacing w:after="0"/>
              <w:rPr>
                <w:sz w:val="15"/>
                <w:szCs w:val="15"/>
                <w:color w:val="auto"/>
              </w:rPr>
            </w:pPr>
          </w:p>
        </w:tc>
        <w:tc>
          <w:tcPr>
            <w:tcW w:w="8680" w:type="dxa"/>
            <w:vAlign w:val="bottom"/>
            <w:gridSpan w:val="28"/>
          </w:tcPr>
          <w:p>
            <w:pPr>
              <w:spacing w:after="0" w:line="178" w:lineRule="exact"/>
              <w:rPr>
                <w:rFonts w:ascii="Arial" w:cs="Arial" w:eastAsia="Arial" w:hAnsi="Arial"/>
                <w:sz w:val="16"/>
                <w:szCs w:val="16"/>
                <w:b w:val="1"/>
                <w:bCs w:val="1"/>
                <w:color w:val="0000EE"/>
              </w:rPr>
            </w:pPr>
            <w:hyperlink w:anchor="page30">
              <w:r>
                <w:rPr>
                  <w:rFonts w:ascii="Arial" w:cs="Arial" w:eastAsia="Arial" w:hAnsi="Arial"/>
                  <w:sz w:val="16"/>
                  <w:szCs w:val="16"/>
                  <w:b w:val="1"/>
                  <w:bCs w:val="1"/>
                  <w:color w:val="0000EE"/>
                </w:rPr>
                <w:t>Employment Agreements</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30">
              <w:r>
                <w:rPr>
                  <w:rFonts w:ascii="Arial" w:cs="Arial" w:eastAsia="Arial" w:hAnsi="Arial"/>
                  <w:sz w:val="16"/>
                  <w:szCs w:val="16"/>
                  <w:color w:val="0000EE"/>
                  <w:w w:val="78"/>
                </w:rPr>
                <w:t>26</w:t>
              </w:r>
            </w:hyperlink>
          </w:p>
        </w:tc>
      </w:tr>
      <w:tr>
        <w:trPr>
          <w:trHeight w:val="177"/>
        </w:trPr>
        <w:tc>
          <w:tcPr>
            <w:tcW w:w="160" w:type="dxa"/>
            <w:vAlign w:val="bottom"/>
          </w:tcPr>
          <w:p>
            <w:pPr>
              <w:spacing w:after="0"/>
              <w:rPr>
                <w:sz w:val="15"/>
                <w:szCs w:val="15"/>
                <w:color w:val="auto"/>
              </w:rPr>
            </w:pPr>
          </w:p>
        </w:tc>
        <w:tc>
          <w:tcPr>
            <w:tcW w:w="1740" w:type="dxa"/>
            <w:vAlign w:val="bottom"/>
            <w:tcBorders>
              <w:top w:val="single" w:sz="8" w:color="0000EE"/>
            </w:tcBorders>
            <w:gridSpan w:val="5"/>
          </w:tcPr>
          <w:p>
            <w:pPr>
              <w:spacing w:after="0" w:line="178" w:lineRule="exact"/>
              <w:rPr>
                <w:rFonts w:ascii="Arial" w:cs="Arial" w:eastAsia="Arial" w:hAnsi="Arial"/>
                <w:sz w:val="16"/>
                <w:szCs w:val="16"/>
                <w:b w:val="1"/>
                <w:bCs w:val="1"/>
                <w:color w:val="0000EE"/>
              </w:rPr>
            </w:pPr>
            <w:hyperlink w:anchor="page32">
              <w:r>
                <w:rPr>
                  <w:rFonts w:ascii="Arial" w:cs="Arial" w:eastAsia="Arial" w:hAnsi="Arial"/>
                  <w:sz w:val="16"/>
                  <w:szCs w:val="16"/>
                  <w:b w:val="1"/>
                  <w:bCs w:val="1"/>
                  <w:color w:val="0000EE"/>
                </w:rPr>
                <w:t>Other Benefit Plans</w:t>
              </w:r>
            </w:hyperlink>
          </w:p>
        </w:tc>
        <w:tc>
          <w:tcPr>
            <w:tcW w:w="6940" w:type="dxa"/>
            <w:vAlign w:val="bottom"/>
            <w:gridSpan w:val="23"/>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32">
              <w:r>
                <w:rPr>
                  <w:rFonts w:ascii="Arial" w:cs="Arial" w:eastAsia="Arial" w:hAnsi="Arial"/>
                  <w:sz w:val="16"/>
                  <w:szCs w:val="16"/>
                  <w:color w:val="0000EE"/>
                  <w:w w:val="78"/>
                </w:rPr>
                <w:t>28</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3080" w:type="dxa"/>
            <w:vAlign w:val="bottom"/>
            <w:tcBorders>
              <w:bottom w:val="single" w:sz="8" w:color="0000EE"/>
            </w:tcBorders>
            <w:gridSpan w:val="13"/>
          </w:tcPr>
          <w:p>
            <w:pPr>
              <w:spacing w:after="0" w:line="178" w:lineRule="exact"/>
              <w:rPr>
                <w:rFonts w:ascii="Arial" w:cs="Arial" w:eastAsia="Arial" w:hAnsi="Arial"/>
                <w:sz w:val="16"/>
                <w:szCs w:val="16"/>
                <w:b w:val="1"/>
                <w:bCs w:val="1"/>
                <w:color w:val="0000EE"/>
                <w:w w:val="92"/>
              </w:rPr>
            </w:pPr>
            <w:hyperlink w:anchor="page33">
              <w:r>
                <w:rPr>
                  <w:rFonts w:ascii="Arial" w:cs="Arial" w:eastAsia="Arial" w:hAnsi="Arial"/>
                  <w:sz w:val="16"/>
                  <w:szCs w:val="16"/>
                  <w:b w:val="1"/>
                  <w:bCs w:val="1"/>
                  <w:color w:val="0000EE"/>
                  <w:w w:val="92"/>
                </w:rPr>
                <w:t>Limitations on Liability and Indemnification</w:t>
              </w:r>
            </w:hyperlink>
          </w:p>
        </w:tc>
        <w:tc>
          <w:tcPr>
            <w:tcW w:w="5600" w:type="dxa"/>
            <w:vAlign w:val="bottom"/>
            <w:gridSpan w:val="15"/>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3">
              <w:r>
                <w:rPr>
                  <w:rFonts w:ascii="Arial" w:cs="Arial" w:eastAsia="Arial" w:hAnsi="Arial"/>
                  <w:sz w:val="16"/>
                  <w:szCs w:val="16"/>
                  <w:color w:val="0000EE"/>
                  <w:w w:val="78"/>
                </w:rPr>
                <w:t>29</w:t>
              </w:r>
            </w:hyperlink>
          </w:p>
        </w:tc>
      </w:tr>
      <w:tr>
        <w:trPr>
          <w:trHeight w:val="177"/>
        </w:trPr>
        <w:tc>
          <w:tcPr>
            <w:tcW w:w="160" w:type="dxa"/>
            <w:vAlign w:val="bottom"/>
          </w:tcPr>
          <w:p>
            <w:pPr>
              <w:spacing w:after="0"/>
              <w:rPr>
                <w:sz w:val="15"/>
                <w:szCs w:val="15"/>
                <w:color w:val="auto"/>
              </w:rPr>
            </w:pPr>
          </w:p>
        </w:tc>
        <w:tc>
          <w:tcPr>
            <w:tcW w:w="1620" w:type="dxa"/>
            <w:vAlign w:val="bottom"/>
            <w:tcBorders>
              <w:bottom w:val="single" w:sz="8" w:color="0000EE"/>
            </w:tcBorders>
            <w:gridSpan w:val="3"/>
          </w:tcPr>
          <w:p>
            <w:pPr>
              <w:spacing w:after="0" w:line="178" w:lineRule="exact"/>
              <w:rPr>
                <w:rFonts w:ascii="Arial" w:cs="Arial" w:eastAsia="Arial" w:hAnsi="Arial"/>
                <w:sz w:val="16"/>
                <w:szCs w:val="16"/>
                <w:b w:val="1"/>
                <w:bCs w:val="1"/>
                <w:color w:val="0000EE"/>
                <w:w w:val="90"/>
              </w:rPr>
            </w:pPr>
            <w:hyperlink w:anchor="page34">
              <w:r>
                <w:rPr>
                  <w:rFonts w:ascii="Arial" w:cs="Arial" w:eastAsia="Arial" w:hAnsi="Arial"/>
                  <w:sz w:val="16"/>
                  <w:szCs w:val="16"/>
                  <w:b w:val="1"/>
                  <w:bCs w:val="1"/>
                  <w:color w:val="0000EE"/>
                  <w:w w:val="90"/>
                </w:rPr>
                <w:t>Director Compensation</w:t>
              </w:r>
            </w:hyperlink>
          </w:p>
        </w:tc>
        <w:tc>
          <w:tcPr>
            <w:tcW w:w="7060" w:type="dxa"/>
            <w:vAlign w:val="bottom"/>
            <w:gridSpan w:val="25"/>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4">
              <w:r>
                <w:rPr>
                  <w:rFonts w:ascii="Arial" w:cs="Arial" w:eastAsia="Arial" w:hAnsi="Arial"/>
                  <w:sz w:val="16"/>
                  <w:szCs w:val="16"/>
                  <w:color w:val="0000EE"/>
                  <w:w w:val="78"/>
                </w:rPr>
                <w:t>30</w:t>
              </w:r>
            </w:hyperlink>
          </w:p>
        </w:tc>
      </w:tr>
      <w:tr>
        <w:trPr>
          <w:trHeight w:val="177"/>
        </w:trPr>
        <w:tc>
          <w:tcPr>
            <w:tcW w:w="8840" w:type="dxa"/>
            <w:vAlign w:val="bottom"/>
            <w:gridSpan w:val="29"/>
          </w:tcPr>
          <w:p>
            <w:pPr>
              <w:spacing w:after="0" w:line="178" w:lineRule="exact"/>
              <w:rPr>
                <w:rFonts w:ascii="Arial" w:cs="Arial" w:eastAsia="Arial" w:hAnsi="Arial"/>
                <w:sz w:val="16"/>
                <w:szCs w:val="16"/>
                <w:b w:val="1"/>
                <w:bCs w:val="1"/>
                <w:color w:val="0000EE"/>
              </w:rPr>
            </w:pPr>
            <w:hyperlink w:anchor="page35">
              <w:r>
                <w:rPr>
                  <w:rFonts w:ascii="Arial" w:cs="Arial" w:eastAsia="Arial" w:hAnsi="Arial"/>
                  <w:sz w:val="16"/>
                  <w:szCs w:val="16"/>
                  <w:b w:val="1"/>
                  <w:bCs w:val="1"/>
                  <w:color w:val="0000EE"/>
                </w:rPr>
                <w:t>SECURITIES AUTHORIZED FOR ISSUANCE UNDER EQUITY COMPENSATION PLANS</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35">
              <w:r>
                <w:rPr>
                  <w:rFonts w:ascii="Arial" w:cs="Arial" w:eastAsia="Arial" w:hAnsi="Arial"/>
                  <w:sz w:val="16"/>
                  <w:szCs w:val="16"/>
                  <w:color w:val="0000EE"/>
                  <w:w w:val="78"/>
                </w:rPr>
                <w:t>31</w:t>
              </w:r>
            </w:hyperlink>
          </w:p>
        </w:tc>
      </w:tr>
      <w:tr>
        <w:trPr>
          <w:trHeight w:val="177"/>
        </w:trPr>
        <w:tc>
          <w:tcPr>
            <w:tcW w:w="160" w:type="dxa"/>
            <w:vAlign w:val="bottom"/>
            <w:tcBorders>
              <w:top w:val="single" w:sz="8" w:color="0000EE"/>
            </w:tcBorders>
          </w:tcPr>
          <w:p>
            <w:pPr>
              <w:spacing w:after="0"/>
              <w:rPr>
                <w:sz w:val="15"/>
                <w:szCs w:val="15"/>
                <w:color w:val="auto"/>
              </w:rPr>
            </w:pPr>
          </w:p>
        </w:tc>
        <w:tc>
          <w:tcPr>
            <w:tcW w:w="2740" w:type="dxa"/>
            <w:vAlign w:val="bottom"/>
            <w:tcBorders>
              <w:top w:val="single" w:sz="8" w:color="0000EE"/>
              <w:bottom w:val="single" w:sz="8" w:color="0000EE"/>
            </w:tcBorders>
            <w:gridSpan w:val="10"/>
          </w:tcPr>
          <w:p>
            <w:pPr>
              <w:spacing w:after="0" w:line="178" w:lineRule="exact"/>
              <w:rPr>
                <w:rFonts w:ascii="Arial" w:cs="Arial" w:eastAsia="Arial" w:hAnsi="Arial"/>
                <w:sz w:val="16"/>
                <w:szCs w:val="16"/>
                <w:b w:val="1"/>
                <w:bCs w:val="1"/>
                <w:color w:val="0000EE"/>
                <w:w w:val="92"/>
              </w:rPr>
            </w:pPr>
            <w:hyperlink w:anchor="page35">
              <w:r>
                <w:rPr>
                  <w:rFonts w:ascii="Arial" w:cs="Arial" w:eastAsia="Arial" w:hAnsi="Arial"/>
                  <w:sz w:val="16"/>
                  <w:szCs w:val="16"/>
                  <w:b w:val="1"/>
                  <w:bCs w:val="1"/>
                  <w:color w:val="0000EE"/>
                  <w:w w:val="92"/>
                </w:rPr>
                <w:t>Equity Compensation Plan Information</w:t>
              </w:r>
            </w:hyperlink>
          </w:p>
        </w:tc>
        <w:tc>
          <w:tcPr>
            <w:tcW w:w="3640" w:type="dxa"/>
            <w:vAlign w:val="bottom"/>
            <w:tcBorders>
              <w:top w:val="single" w:sz="8" w:color="0000EE"/>
            </w:tcBorders>
            <w:gridSpan w:val="16"/>
          </w:tcPr>
          <w:p>
            <w:pPr>
              <w:spacing w:after="0"/>
              <w:rPr>
                <w:sz w:val="15"/>
                <w:szCs w:val="15"/>
                <w:color w:val="auto"/>
              </w:rPr>
            </w:pPr>
          </w:p>
        </w:tc>
        <w:tc>
          <w:tcPr>
            <w:tcW w:w="2300" w:type="dxa"/>
            <w:vAlign w:val="bottom"/>
            <w:gridSpan w:val="2"/>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5">
              <w:r>
                <w:rPr>
                  <w:rFonts w:ascii="Arial" w:cs="Arial" w:eastAsia="Arial" w:hAnsi="Arial"/>
                  <w:sz w:val="16"/>
                  <w:szCs w:val="16"/>
                  <w:color w:val="0000EE"/>
                  <w:w w:val="78"/>
                </w:rPr>
                <w:t>31</w:t>
              </w:r>
            </w:hyperlink>
          </w:p>
        </w:tc>
      </w:tr>
      <w:tr>
        <w:trPr>
          <w:trHeight w:val="177"/>
        </w:trPr>
        <w:tc>
          <w:tcPr>
            <w:tcW w:w="2300" w:type="dxa"/>
            <w:vAlign w:val="bottom"/>
            <w:tcBorders>
              <w:bottom w:val="single" w:sz="8" w:color="0000EE"/>
            </w:tcBorders>
            <w:gridSpan w:val="9"/>
          </w:tcPr>
          <w:p>
            <w:pPr>
              <w:spacing w:after="0" w:line="178" w:lineRule="exact"/>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AUDIT COMMITTEE REPORT</w:t>
              </w:r>
            </w:hyperlink>
          </w:p>
        </w:tc>
        <w:tc>
          <w:tcPr>
            <w:tcW w:w="6540" w:type="dxa"/>
            <w:vAlign w:val="bottom"/>
            <w:gridSpan w:val="20"/>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7">
              <w:r>
                <w:rPr>
                  <w:rFonts w:ascii="Arial" w:cs="Arial" w:eastAsia="Arial" w:hAnsi="Arial"/>
                  <w:sz w:val="16"/>
                  <w:szCs w:val="16"/>
                  <w:color w:val="0000EE"/>
                  <w:w w:val="78"/>
                </w:rPr>
                <w:t>33</w:t>
              </w:r>
            </w:hyperlink>
          </w:p>
        </w:tc>
      </w:tr>
      <w:tr>
        <w:trPr>
          <w:trHeight w:val="177"/>
        </w:trPr>
        <w:tc>
          <w:tcPr>
            <w:tcW w:w="8840" w:type="dxa"/>
            <w:vAlign w:val="bottom"/>
            <w:gridSpan w:val="29"/>
          </w:tcPr>
          <w:p>
            <w:pPr>
              <w:spacing w:after="0" w:line="178" w:lineRule="exact"/>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PROPOSALS TO BE VOTED UPON AT THE ANNUAL MEETING</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38">
              <w:r>
                <w:rPr>
                  <w:rFonts w:ascii="Arial" w:cs="Arial" w:eastAsia="Arial" w:hAnsi="Arial"/>
                  <w:sz w:val="16"/>
                  <w:szCs w:val="16"/>
                  <w:color w:val="0000EE"/>
                  <w:w w:val="78"/>
                </w:rPr>
                <w:t>34</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8680" w:type="dxa"/>
            <w:vAlign w:val="bottom"/>
            <w:gridSpan w:val="28"/>
          </w:tcPr>
          <w:p>
            <w:pPr>
              <w:spacing w:after="0" w:line="178" w:lineRule="exact"/>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Proposal 1: Election of Two (2) Class I Directors and One (1) Class II Director</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38">
              <w:r>
                <w:rPr>
                  <w:rFonts w:ascii="Arial" w:cs="Arial" w:eastAsia="Arial" w:hAnsi="Arial"/>
                  <w:sz w:val="16"/>
                  <w:szCs w:val="16"/>
                  <w:color w:val="0000EE"/>
                  <w:w w:val="78"/>
                </w:rPr>
                <w:t>34</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6540" w:type="dxa"/>
            <w:vAlign w:val="bottom"/>
            <w:tcBorders>
              <w:bottom w:val="single" w:sz="8" w:color="0000EE"/>
            </w:tcBorders>
            <w:gridSpan w:val="27"/>
          </w:tcPr>
          <w:p>
            <w:pPr>
              <w:spacing w:after="0" w:line="178" w:lineRule="exact"/>
              <w:rPr>
                <w:rFonts w:ascii="Arial" w:cs="Arial" w:eastAsia="Arial" w:hAnsi="Arial"/>
                <w:sz w:val="16"/>
                <w:szCs w:val="16"/>
                <w:b w:val="1"/>
                <w:bCs w:val="1"/>
                <w:color w:val="0000EE"/>
                <w:w w:val="90"/>
              </w:rPr>
            </w:pPr>
            <w:hyperlink w:anchor="page39">
              <w:r>
                <w:rPr>
                  <w:rFonts w:ascii="Arial" w:cs="Arial" w:eastAsia="Arial" w:hAnsi="Arial"/>
                  <w:sz w:val="16"/>
                  <w:szCs w:val="16"/>
                  <w:b w:val="1"/>
                  <w:bCs w:val="1"/>
                  <w:color w:val="0000EE"/>
                  <w:w w:val="90"/>
                </w:rPr>
                <w:t>Proposal 2: Ratification of the Appointment of Independent Registered Public Accounting Firm</w:t>
              </w:r>
            </w:hyperlink>
          </w:p>
        </w:tc>
        <w:tc>
          <w:tcPr>
            <w:tcW w:w="2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9">
              <w:r>
                <w:rPr>
                  <w:rFonts w:ascii="Arial" w:cs="Arial" w:eastAsia="Arial" w:hAnsi="Arial"/>
                  <w:sz w:val="16"/>
                  <w:szCs w:val="16"/>
                  <w:color w:val="0000EE"/>
                  <w:w w:val="78"/>
                </w:rPr>
                <w:t>35</w:t>
              </w:r>
            </w:hyperlink>
          </w:p>
        </w:tc>
      </w:tr>
      <w:tr>
        <w:trPr>
          <w:trHeight w:val="177"/>
        </w:trPr>
        <w:tc>
          <w:tcPr>
            <w:tcW w:w="3000" w:type="dxa"/>
            <w:vAlign w:val="bottom"/>
            <w:tcBorders>
              <w:bottom w:val="single" w:sz="8" w:color="0000EE"/>
            </w:tcBorders>
            <w:gridSpan w:val="12"/>
          </w:tcPr>
          <w:p>
            <w:pPr>
              <w:spacing w:after="0" w:line="178" w:lineRule="exact"/>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STOCK OWNERSHIP AND REPORTING</w:t>
              </w:r>
            </w:hyperlink>
          </w:p>
        </w:tc>
        <w:tc>
          <w:tcPr>
            <w:tcW w:w="5840" w:type="dxa"/>
            <w:vAlign w:val="bottom"/>
            <w:gridSpan w:val="17"/>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41">
              <w:r>
                <w:rPr>
                  <w:rFonts w:ascii="Arial" w:cs="Arial" w:eastAsia="Arial" w:hAnsi="Arial"/>
                  <w:sz w:val="16"/>
                  <w:szCs w:val="16"/>
                  <w:color w:val="0000EE"/>
                  <w:w w:val="78"/>
                </w:rPr>
                <w:t>37</w:t>
              </w:r>
            </w:hyperlink>
          </w:p>
        </w:tc>
      </w:tr>
      <w:tr>
        <w:trPr>
          <w:trHeight w:val="177"/>
        </w:trPr>
        <w:tc>
          <w:tcPr>
            <w:tcW w:w="160" w:type="dxa"/>
            <w:vAlign w:val="bottom"/>
          </w:tcPr>
          <w:p>
            <w:pPr>
              <w:spacing w:after="0"/>
              <w:rPr>
                <w:sz w:val="15"/>
                <w:szCs w:val="15"/>
                <w:color w:val="auto"/>
              </w:rPr>
            </w:pPr>
          </w:p>
        </w:tc>
        <w:tc>
          <w:tcPr>
            <w:tcW w:w="8680" w:type="dxa"/>
            <w:vAlign w:val="bottom"/>
            <w:gridSpan w:val="28"/>
          </w:tcPr>
          <w:p>
            <w:pPr>
              <w:spacing w:after="0" w:line="178" w:lineRule="exact"/>
              <w:rPr>
                <w:rFonts w:ascii="Arial" w:cs="Arial" w:eastAsia="Arial" w:hAnsi="Arial"/>
                <w:sz w:val="16"/>
                <w:szCs w:val="16"/>
                <w:b w:val="1"/>
                <w:bCs w:val="1"/>
                <w:color w:val="0000EE"/>
              </w:rPr>
            </w:pPr>
            <w:hyperlink w:anchor="page41">
              <w:r>
                <w:rPr>
                  <w:rFonts w:ascii="Arial" w:cs="Arial" w:eastAsia="Arial" w:hAnsi="Arial"/>
                  <w:sz w:val="16"/>
                  <w:szCs w:val="16"/>
                  <w:b w:val="1"/>
                  <w:bCs w:val="1"/>
                  <w:color w:val="0000EE"/>
                </w:rPr>
                <w:t>Security Ownership of Certain Beneficial Owners and Management</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41">
              <w:r>
                <w:rPr>
                  <w:rFonts w:ascii="Arial" w:cs="Arial" w:eastAsia="Arial" w:hAnsi="Arial"/>
                  <w:sz w:val="16"/>
                  <w:szCs w:val="16"/>
                  <w:color w:val="0000EE"/>
                  <w:w w:val="78"/>
                </w:rPr>
                <w:t>37</w:t>
              </w:r>
            </w:hyperlink>
          </w:p>
        </w:tc>
      </w:tr>
      <w:tr>
        <w:trPr>
          <w:trHeight w:val="177"/>
        </w:trPr>
        <w:tc>
          <w:tcPr>
            <w:tcW w:w="160" w:type="dxa"/>
            <w:vAlign w:val="bottom"/>
          </w:tcPr>
          <w:p>
            <w:pPr>
              <w:spacing w:after="0"/>
              <w:rPr>
                <w:sz w:val="15"/>
                <w:szCs w:val="15"/>
                <w:color w:val="auto"/>
              </w:rPr>
            </w:pPr>
          </w:p>
        </w:tc>
        <w:tc>
          <w:tcPr>
            <w:tcW w:w="4640" w:type="dxa"/>
            <w:vAlign w:val="bottom"/>
            <w:tcBorders>
              <w:top w:val="single" w:sz="8" w:color="0000EE"/>
            </w:tcBorders>
            <w:gridSpan w:val="24"/>
          </w:tcPr>
          <w:p>
            <w:pPr>
              <w:spacing w:after="0" w:line="178" w:lineRule="exact"/>
              <w:rPr>
                <w:rFonts w:ascii="Arial" w:cs="Arial" w:eastAsia="Arial" w:hAnsi="Arial"/>
                <w:sz w:val="16"/>
                <w:szCs w:val="16"/>
                <w:b w:val="1"/>
                <w:bCs w:val="1"/>
                <w:color w:val="0000EE"/>
              </w:rPr>
            </w:pPr>
            <w:hyperlink w:anchor="page43">
              <w:r>
                <w:rPr>
                  <w:rFonts w:ascii="Arial" w:cs="Arial" w:eastAsia="Arial" w:hAnsi="Arial"/>
                  <w:sz w:val="16"/>
                  <w:szCs w:val="16"/>
                  <w:b w:val="1"/>
                  <w:bCs w:val="1"/>
                  <w:color w:val="0000EE"/>
                </w:rPr>
                <w:t>16(a) Beneficial Ownership Reporting Compliance</w:t>
              </w:r>
            </w:hyperlink>
          </w:p>
        </w:tc>
        <w:tc>
          <w:tcPr>
            <w:tcW w:w="4040" w:type="dxa"/>
            <w:vAlign w:val="bottom"/>
            <w:gridSpan w:val="4"/>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43">
              <w:r>
                <w:rPr>
                  <w:rFonts w:ascii="Arial" w:cs="Arial" w:eastAsia="Arial" w:hAnsi="Arial"/>
                  <w:sz w:val="16"/>
                  <w:szCs w:val="16"/>
                  <w:color w:val="0000EE"/>
                  <w:w w:val="78"/>
                </w:rPr>
                <w:t>39</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4300" w:type="dxa"/>
            <w:vAlign w:val="bottom"/>
            <w:gridSpan w:val="7"/>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8840" w:type="dxa"/>
            <w:vAlign w:val="bottom"/>
            <w:gridSpan w:val="29"/>
          </w:tcPr>
          <w:p>
            <w:pPr>
              <w:spacing w:after="0" w:line="178" w:lineRule="exact"/>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STOCKHOLDER PROPOSALS FOR 2020 ANNUAL MEETING</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44">
              <w:r>
                <w:rPr>
                  <w:rFonts w:ascii="Arial" w:cs="Arial" w:eastAsia="Arial" w:hAnsi="Arial"/>
                  <w:sz w:val="16"/>
                  <w:szCs w:val="16"/>
                  <w:color w:val="0000EE"/>
                  <w:w w:val="78"/>
                </w:rPr>
                <w:t>40</w:t>
              </w:r>
            </w:hyperlink>
          </w:p>
        </w:tc>
      </w:tr>
      <w:tr>
        <w:trPr>
          <w:trHeight w:val="177"/>
        </w:trPr>
        <w:tc>
          <w:tcPr>
            <w:tcW w:w="160" w:type="dxa"/>
            <w:vAlign w:val="bottom"/>
            <w:tcBorders>
              <w:top w:val="single" w:sz="8" w:color="0000EE"/>
            </w:tcBorders>
          </w:tcPr>
          <w:p>
            <w:pPr>
              <w:spacing w:after="0"/>
              <w:rPr>
                <w:sz w:val="15"/>
                <w:szCs w:val="15"/>
                <w:color w:val="auto"/>
              </w:rPr>
            </w:pPr>
          </w:p>
        </w:tc>
        <w:tc>
          <w:tcPr>
            <w:tcW w:w="3580" w:type="dxa"/>
            <w:vAlign w:val="bottom"/>
            <w:tcBorders>
              <w:top w:val="single" w:sz="8" w:color="0000EE"/>
              <w:bottom w:val="single" w:sz="8" w:color="0000EE"/>
            </w:tcBorders>
            <w:gridSpan w:val="16"/>
          </w:tcPr>
          <w:p>
            <w:pPr>
              <w:spacing w:after="0" w:line="178" w:lineRule="exact"/>
              <w:rPr>
                <w:rFonts w:ascii="Arial" w:cs="Arial" w:eastAsia="Arial" w:hAnsi="Arial"/>
                <w:sz w:val="16"/>
                <w:szCs w:val="16"/>
                <w:b w:val="1"/>
                <w:bCs w:val="1"/>
                <w:color w:val="0000EE"/>
                <w:w w:val="90"/>
              </w:rPr>
            </w:pPr>
            <w:hyperlink w:anchor="page44">
              <w:r>
                <w:rPr>
                  <w:rFonts w:ascii="Arial" w:cs="Arial" w:eastAsia="Arial" w:hAnsi="Arial"/>
                  <w:sz w:val="16"/>
                  <w:szCs w:val="16"/>
                  <w:b w:val="1"/>
                  <w:bCs w:val="1"/>
                  <w:color w:val="0000EE"/>
                  <w:w w:val="90"/>
                </w:rPr>
                <w:t>Stockholder Proposals for our 2020 Annual Meeting</w:t>
              </w:r>
            </w:hyperlink>
          </w:p>
        </w:tc>
        <w:tc>
          <w:tcPr>
            <w:tcW w:w="800" w:type="dxa"/>
            <w:vAlign w:val="bottom"/>
            <w:tcBorders>
              <w:top w:val="single" w:sz="8" w:color="0000EE"/>
            </w:tcBorders>
            <w:gridSpan w:val="5"/>
          </w:tcPr>
          <w:p>
            <w:pPr>
              <w:spacing w:after="0"/>
              <w:rPr>
                <w:sz w:val="15"/>
                <w:szCs w:val="15"/>
                <w:color w:val="auto"/>
              </w:rPr>
            </w:pPr>
          </w:p>
        </w:tc>
        <w:tc>
          <w:tcPr>
            <w:tcW w:w="4300" w:type="dxa"/>
            <w:vAlign w:val="bottom"/>
            <w:gridSpan w:val="7"/>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44">
              <w:r>
                <w:rPr>
                  <w:rFonts w:ascii="Arial" w:cs="Arial" w:eastAsia="Arial" w:hAnsi="Arial"/>
                  <w:sz w:val="16"/>
                  <w:szCs w:val="16"/>
                  <w:color w:val="0000EE"/>
                  <w:w w:val="78"/>
                </w:rPr>
                <w:t>40</w:t>
              </w:r>
            </w:hyperlink>
          </w:p>
        </w:tc>
      </w:tr>
      <w:tr>
        <w:trPr>
          <w:trHeight w:val="177"/>
        </w:trPr>
        <w:tc>
          <w:tcPr>
            <w:tcW w:w="8840" w:type="dxa"/>
            <w:vAlign w:val="bottom"/>
            <w:gridSpan w:val="29"/>
          </w:tcPr>
          <w:p>
            <w:pPr>
              <w:spacing w:after="0" w:line="178" w:lineRule="exact"/>
              <w:rPr>
                <w:rFonts w:ascii="Arial" w:cs="Arial" w:eastAsia="Arial" w:hAnsi="Arial"/>
                <w:sz w:val="16"/>
                <w:szCs w:val="16"/>
                <w:b w:val="1"/>
                <w:bCs w:val="1"/>
                <w:color w:val="0000EE"/>
              </w:rPr>
            </w:pPr>
            <w:hyperlink w:anchor="page44">
              <w:r>
                <w:rPr>
                  <w:rFonts w:ascii="Arial" w:cs="Arial" w:eastAsia="Arial" w:hAnsi="Arial"/>
                  <w:sz w:val="16"/>
                  <w:szCs w:val="16"/>
                  <w:b w:val="1"/>
                  <w:bCs w:val="1"/>
                  <w:color w:val="0000EE"/>
                </w:rPr>
                <w:t>OTHER MATTERS</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44">
              <w:r>
                <w:rPr>
                  <w:rFonts w:ascii="Arial" w:cs="Arial" w:eastAsia="Arial" w:hAnsi="Arial"/>
                  <w:sz w:val="16"/>
                  <w:szCs w:val="16"/>
                  <w:color w:val="0000EE"/>
                  <w:w w:val="78"/>
                </w:rPr>
                <w:t>40</w:t>
              </w:r>
            </w:hyperlink>
          </w:p>
        </w:tc>
      </w:tr>
      <w:tr>
        <w:trPr>
          <w:trHeight w:val="20"/>
        </w:trPr>
        <w:tc>
          <w:tcPr>
            <w:tcW w:w="1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77"/>
        </w:trPr>
        <w:tc>
          <w:tcPr>
            <w:tcW w:w="160" w:type="dxa"/>
            <w:vAlign w:val="bottom"/>
          </w:tcPr>
          <w:p>
            <w:pPr>
              <w:spacing w:after="0"/>
              <w:rPr>
                <w:sz w:val="15"/>
                <w:szCs w:val="15"/>
                <w:color w:val="auto"/>
              </w:rPr>
            </w:pPr>
          </w:p>
        </w:tc>
        <w:tc>
          <w:tcPr>
            <w:tcW w:w="2980" w:type="dxa"/>
            <w:vAlign w:val="bottom"/>
            <w:tcBorders>
              <w:bottom w:val="single" w:sz="8" w:color="0000EE"/>
            </w:tcBorders>
            <w:gridSpan w:val="12"/>
          </w:tcPr>
          <w:p>
            <w:pPr>
              <w:spacing w:after="0" w:line="178" w:lineRule="exact"/>
              <w:rPr>
                <w:rFonts w:ascii="Arial" w:cs="Arial" w:eastAsia="Arial" w:hAnsi="Arial"/>
                <w:sz w:val="16"/>
                <w:szCs w:val="16"/>
                <w:b w:val="1"/>
                <w:bCs w:val="1"/>
                <w:color w:val="0000EE"/>
                <w:w w:val="91"/>
              </w:rPr>
            </w:pPr>
            <w:hyperlink w:anchor="page45">
              <w:r>
                <w:rPr>
                  <w:rFonts w:ascii="Arial" w:cs="Arial" w:eastAsia="Arial" w:hAnsi="Arial"/>
                  <w:sz w:val="16"/>
                  <w:szCs w:val="16"/>
                  <w:b w:val="1"/>
                  <w:bCs w:val="1"/>
                  <w:color w:val="0000EE"/>
                  <w:w w:val="91"/>
                </w:rPr>
                <w:t>Householding of Annual Meeting Materials</w:t>
              </w:r>
            </w:hyperlink>
          </w:p>
        </w:tc>
        <w:tc>
          <w:tcPr>
            <w:tcW w:w="5700" w:type="dxa"/>
            <w:vAlign w:val="bottom"/>
            <w:gridSpan w:val="16"/>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45">
              <w:r>
                <w:rPr>
                  <w:rFonts w:ascii="Arial" w:cs="Arial" w:eastAsia="Arial" w:hAnsi="Arial"/>
                  <w:sz w:val="16"/>
                  <w:szCs w:val="16"/>
                  <w:color w:val="0000EE"/>
                  <w:w w:val="78"/>
                </w:rPr>
                <w:t>41</w:t>
              </w:r>
            </w:hyperlink>
          </w:p>
        </w:tc>
      </w:tr>
      <w:tr>
        <w:trPr>
          <w:trHeight w:val="177"/>
        </w:trPr>
        <w:tc>
          <w:tcPr>
            <w:tcW w:w="8840" w:type="dxa"/>
            <w:vAlign w:val="bottom"/>
            <w:gridSpan w:val="29"/>
          </w:tcPr>
          <w:p>
            <w:pPr>
              <w:spacing w:after="0" w:line="178" w:lineRule="exact"/>
              <w:rPr>
                <w:rFonts w:ascii="Arial" w:cs="Arial" w:eastAsia="Arial" w:hAnsi="Arial"/>
                <w:sz w:val="16"/>
                <w:szCs w:val="16"/>
                <w:b w:val="1"/>
                <w:bCs w:val="1"/>
                <w:color w:val="0000EE"/>
              </w:rPr>
            </w:pPr>
            <w:hyperlink w:anchor="page45">
              <w:r>
                <w:rPr>
                  <w:rFonts w:ascii="Arial" w:cs="Arial" w:eastAsia="Arial" w:hAnsi="Arial"/>
                  <w:sz w:val="16"/>
                  <w:szCs w:val="16"/>
                  <w:b w:val="1"/>
                  <w:bCs w:val="1"/>
                  <w:color w:val="0000EE"/>
                </w:rPr>
                <w:t>ADDITIONAL INFORMATION</w:t>
              </w:r>
            </w:hyperlink>
          </w:p>
        </w:tc>
        <w:tc>
          <w:tcPr>
            <w:tcW w:w="160" w:type="dxa"/>
            <w:vAlign w:val="bottom"/>
            <w:gridSpan w:val="2"/>
          </w:tcPr>
          <w:p>
            <w:pPr>
              <w:jc w:val="right"/>
              <w:spacing w:after="0" w:line="178" w:lineRule="exact"/>
              <w:rPr>
                <w:rFonts w:ascii="Arial" w:cs="Arial" w:eastAsia="Arial" w:hAnsi="Arial"/>
                <w:sz w:val="16"/>
                <w:szCs w:val="16"/>
                <w:color w:val="0000EE"/>
                <w:w w:val="78"/>
              </w:rPr>
            </w:pPr>
            <w:hyperlink w:anchor="page45">
              <w:r>
                <w:rPr>
                  <w:rFonts w:ascii="Arial" w:cs="Arial" w:eastAsia="Arial" w:hAnsi="Arial"/>
                  <w:sz w:val="16"/>
                  <w:szCs w:val="16"/>
                  <w:color w:val="0000EE"/>
                  <w:w w:val="78"/>
                </w:rPr>
                <w:t>41</w:t>
              </w:r>
            </w:hyperlink>
          </w:p>
        </w:tc>
      </w:tr>
      <w:tr>
        <w:trPr>
          <w:trHeight w:val="177"/>
        </w:trPr>
        <w:tc>
          <w:tcPr>
            <w:tcW w:w="160" w:type="dxa"/>
            <w:vAlign w:val="bottom"/>
            <w:tcBorders>
              <w:top w:val="single" w:sz="8" w:color="0000EE"/>
            </w:tcBorders>
          </w:tcPr>
          <w:p>
            <w:pPr>
              <w:spacing w:after="0"/>
              <w:rPr>
                <w:sz w:val="15"/>
                <w:szCs w:val="15"/>
                <w:color w:val="auto"/>
              </w:rPr>
            </w:pPr>
          </w:p>
        </w:tc>
        <w:tc>
          <w:tcPr>
            <w:tcW w:w="2100" w:type="dxa"/>
            <w:vAlign w:val="bottom"/>
            <w:tcBorders>
              <w:top w:val="single" w:sz="8" w:color="0000EE"/>
            </w:tcBorders>
            <w:gridSpan w:val="7"/>
          </w:tcPr>
          <w:p>
            <w:pPr>
              <w:spacing w:after="0" w:line="178" w:lineRule="exact"/>
              <w:rPr>
                <w:rFonts w:ascii="Arial" w:cs="Arial" w:eastAsia="Arial" w:hAnsi="Arial"/>
                <w:sz w:val="16"/>
                <w:szCs w:val="16"/>
                <w:b w:val="1"/>
                <w:bCs w:val="1"/>
                <w:color w:val="0000EE"/>
                <w:w w:val="95"/>
              </w:rPr>
            </w:pPr>
            <w:hyperlink w:anchor="page45">
              <w:r>
                <w:rPr>
                  <w:rFonts w:ascii="Arial" w:cs="Arial" w:eastAsia="Arial" w:hAnsi="Arial"/>
                  <w:sz w:val="16"/>
                  <w:szCs w:val="16"/>
                  <w:b w:val="1"/>
                  <w:bCs w:val="1"/>
                  <w:color w:val="0000EE"/>
                  <w:w w:val="95"/>
                </w:rPr>
                <w:t>Annual Report on Form 10-K</w:t>
              </w:r>
            </w:hyperlink>
          </w:p>
        </w:tc>
        <w:tc>
          <w:tcPr>
            <w:tcW w:w="6580" w:type="dxa"/>
            <w:vAlign w:val="bottom"/>
            <w:gridSpan w:val="21"/>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45">
              <w:r>
                <w:rPr>
                  <w:rFonts w:ascii="Arial" w:cs="Arial" w:eastAsia="Arial" w:hAnsi="Arial"/>
                  <w:sz w:val="16"/>
                  <w:szCs w:val="16"/>
                  <w:color w:val="0000EE"/>
                  <w:w w:val="78"/>
                </w:rPr>
                <w:t>41</w:t>
              </w:r>
            </w:hyperlink>
          </w:p>
        </w:tc>
      </w:tr>
      <w:tr>
        <w:trPr>
          <w:trHeight w:val="20"/>
        </w:trPr>
        <w:tc>
          <w:tcPr>
            <w:tcW w:w="16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13"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Y-MABS THERAPEUTICS, INC.</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230 Park Avenue, Suite 3350</w:t>
      </w:r>
    </w:p>
    <w:p>
      <w:pPr>
        <w:spacing w:after="0" w:line="8"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New York, New York 10169</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NOTICE OF ANNUAL MEETING OF STOCKHOLDERS</w:t>
      </w:r>
    </w:p>
    <w:p>
      <w:pPr>
        <w:sectPr>
          <w:pgSz w:w="11900" w:h="16838" w:orient="portrait"/>
          <w:cols w:equalWidth="0" w:num="1">
            <w:col w:w="11320"/>
          </w:cols>
          <w:pgMar w:left="240" w:top="131" w:right="339" w:bottom="1440" w:gutter="0" w:footer="0" w:header="0"/>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Time and Date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June 6, 2019 at 10:00 a.m. Eastern Time</w:t>
      </w:r>
    </w:p>
    <w:p>
      <w:pPr>
        <w:spacing w:after="0" w:line="200" w:lineRule="exact"/>
        <w:rPr>
          <w:sz w:val="20"/>
          <w:szCs w:val="20"/>
          <w:color w:val="auto"/>
        </w:rPr>
      </w:pPr>
    </w:p>
    <w:p>
      <w:pPr>
        <w:sectPr>
          <w:pgSz w:w="11900" w:h="16838" w:orient="portrait"/>
          <w:cols w:equalWidth="0" w:num="2">
            <w:col w:w="2160" w:space="540"/>
            <w:col w:w="8620"/>
          </w:cols>
          <w:pgMar w:left="240" w:top="131" w:right="339" w:bottom="1440" w:gutter="0" w:footer="0" w:header="0"/>
          <w:type w:val="continuous"/>
        </w:sectPr>
      </w:pPr>
    </w:p>
    <w:p>
      <w:pPr>
        <w:spacing w:after="0" w:line="54" w:lineRule="exact"/>
        <w:rPr>
          <w:sz w:val="20"/>
          <w:szCs w:val="20"/>
          <w:color w:val="auto"/>
        </w:rPr>
      </w:pPr>
    </w:p>
    <w:p>
      <w:pPr>
        <w:jc w:val="center"/>
        <w:ind w:left="680"/>
        <w:spacing w:after="0"/>
        <w:rPr>
          <w:sz w:val="20"/>
          <w:szCs w:val="20"/>
          <w:color w:val="auto"/>
        </w:rPr>
      </w:pPr>
      <w:r>
        <w:rPr>
          <w:rFonts w:ascii="Arial" w:cs="Arial" w:eastAsia="Arial" w:hAnsi="Arial"/>
          <w:sz w:val="14"/>
          <w:szCs w:val="14"/>
          <w:b w:val="1"/>
          <w:bCs w:val="1"/>
          <w:color w:val="auto"/>
        </w:rPr>
        <w:t>Place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Y-mAbs Therapeutics, Inc., 230 Park Avenue, 5th Floor, New York, New York 10169</w:t>
      </w:r>
    </w:p>
    <w:p>
      <w:pPr>
        <w:spacing w:after="0" w:line="200" w:lineRule="exact"/>
        <w:rPr>
          <w:sz w:val="20"/>
          <w:szCs w:val="20"/>
          <w:color w:val="auto"/>
        </w:rPr>
      </w:pPr>
    </w:p>
    <w:p>
      <w:pPr>
        <w:sectPr>
          <w:pgSz w:w="11900" w:h="16838" w:orient="portrait"/>
          <w:cols w:equalWidth="0" w:num="2">
            <w:col w:w="1980" w:space="720"/>
            <w:col w:w="8620"/>
          </w:cols>
          <w:pgMar w:left="240" w:top="131" w:right="339" w:bottom="1440" w:gutter="0" w:footer="0" w:header="0"/>
          <w:type w:val="continuous"/>
        </w:sectPr>
      </w:pPr>
    </w:p>
    <w:p>
      <w:pPr>
        <w:spacing w:after="0" w:line="17"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Items of Business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140" w:hanging="159"/>
        <w:spacing w:after="0" w:line="264" w:lineRule="auto"/>
        <w:rPr>
          <w:sz w:val="20"/>
          <w:szCs w:val="20"/>
          <w:color w:val="auto"/>
        </w:rPr>
      </w:pPr>
      <w:r>
        <w:rPr>
          <w:rFonts w:ascii="Arial" w:cs="Arial" w:eastAsia="Arial" w:hAnsi="Arial"/>
          <w:sz w:val="16"/>
          <w:szCs w:val="16"/>
          <w:color w:val="auto"/>
        </w:rPr>
        <w:t>•</w:t>
      </w:r>
      <w:r>
        <w:rPr>
          <w:sz w:val="20"/>
          <w:szCs w:val="20"/>
          <w:color w:val="auto"/>
        </w:rPr>
        <w:t xml:space="preserve"> </w:t>
      </w:r>
      <w:r>
        <w:rPr>
          <w:rFonts w:ascii="Arial" w:cs="Arial" w:eastAsia="Arial" w:hAnsi="Arial"/>
          <w:sz w:val="16"/>
          <w:szCs w:val="16"/>
          <w:color w:val="auto"/>
        </w:rPr>
        <w:t>To elect two (2) Class I directors, Dr. Gérard Ber and David N. Gill, nominated by our Board of Directors, each to serve for a three-year term to expire at the 2022 annual meeting of stockholders and one (1) Class II director, Ashutosh Tyagi, M.D., nominated by our Board of Directors, to serve for a one-year term to expire at the 2020 annual meeting of stockholders, each such nominee to hold office until his successor has been duly elected and qualified or until his earlier death, resignation or removal.</w:t>
      </w:r>
    </w:p>
    <w:p>
      <w:pPr>
        <w:spacing w:after="0" w:line="160" w:lineRule="exact"/>
        <w:rPr>
          <w:sz w:val="20"/>
          <w:szCs w:val="20"/>
          <w:color w:val="auto"/>
        </w:rPr>
      </w:pPr>
    </w:p>
    <w:p>
      <w:pPr>
        <w:sectPr>
          <w:pgSz w:w="11900" w:h="16838" w:orient="portrait"/>
          <w:cols w:equalWidth="0" w:num="2">
            <w:col w:w="2320" w:space="540"/>
            <w:col w:w="8460"/>
          </w:cols>
          <w:pgMar w:left="240" w:top="131" w:right="339" w:bottom="1440" w:gutter="0" w:footer="0" w:header="0"/>
          <w:type w:val="continuous"/>
        </w:sectPr>
      </w:pPr>
    </w:p>
    <w:p>
      <w:pPr>
        <w:ind w:left="2860" w:right="1280" w:hanging="159"/>
        <w:spacing w:after="0" w:line="284" w:lineRule="auto"/>
        <w:tabs>
          <w:tab w:leader="none" w:pos="2840" w:val="left"/>
        </w:tabs>
        <w:rPr>
          <w:sz w:val="20"/>
          <w:szCs w:val="20"/>
          <w:color w:val="auto"/>
        </w:rPr>
      </w:pPr>
      <w:r>
        <w:rPr>
          <w:rFonts w:ascii="Arial" w:cs="Arial" w:eastAsia="Arial" w:hAnsi="Arial"/>
          <w:sz w:val="16"/>
          <w:szCs w:val="16"/>
          <w:color w:val="auto"/>
        </w:rPr>
        <w:t>•</w:t>
        <w:tab/>
        <w:t>To ratify the selection of PricewaterhouseCoopers LLP as our independent registered public accounting firm for fiscal year ended December 31, 2019.</w:t>
      </w:r>
    </w:p>
    <w:p>
      <w:pPr>
        <w:spacing w:after="0" w:line="144" w:lineRule="exact"/>
        <w:rPr>
          <w:sz w:val="20"/>
          <w:szCs w:val="20"/>
          <w:color w:val="auto"/>
        </w:rPr>
      </w:pPr>
    </w:p>
    <w:p>
      <w:pPr>
        <w:ind w:left="2860" w:right="1060" w:hanging="159"/>
        <w:spacing w:after="0" w:line="284" w:lineRule="auto"/>
        <w:tabs>
          <w:tab w:leader="none" w:pos="2840" w:val="left"/>
        </w:tabs>
        <w:rPr>
          <w:sz w:val="20"/>
          <w:szCs w:val="20"/>
          <w:color w:val="auto"/>
        </w:rPr>
      </w:pPr>
      <w:r>
        <w:rPr>
          <w:rFonts w:ascii="Arial" w:cs="Arial" w:eastAsia="Arial" w:hAnsi="Arial"/>
          <w:sz w:val="16"/>
          <w:szCs w:val="16"/>
          <w:color w:val="auto"/>
        </w:rPr>
        <w:t>•</w:t>
        <w:tab/>
        <w:t>To transact other business that may properly come before the Annual Meeting or any adjournment or postponement thereof.</w:t>
      </w:r>
    </w:p>
    <w:p>
      <w:pPr>
        <w:sectPr>
          <w:pgSz w:w="11900" w:h="16838" w:orient="portrait"/>
          <w:cols w:equalWidth="0" w:num="1">
            <w:col w:w="11320"/>
          </w:cols>
          <w:pgMar w:left="240" w:top="131" w:right="339" w:bottom="1440" w:gutter="0" w:footer="0" w:header="0"/>
          <w:type w:val="continuous"/>
        </w:sectPr>
      </w:pPr>
    </w:p>
    <w:p>
      <w:pPr>
        <w:spacing w:after="0" w:line="177"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Record Date</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460"/>
        <w:spacing w:after="0" w:line="284" w:lineRule="auto"/>
        <w:rPr>
          <w:sz w:val="20"/>
          <w:szCs w:val="20"/>
          <w:color w:val="auto"/>
        </w:rPr>
      </w:pPr>
      <w:r>
        <w:rPr>
          <w:rFonts w:ascii="Arial" w:cs="Arial" w:eastAsia="Arial" w:hAnsi="Arial"/>
          <w:sz w:val="16"/>
          <w:szCs w:val="16"/>
          <w:color w:val="auto"/>
        </w:rPr>
        <w:t>April 10, 2019 (the "Record Date"). Only stockholders of record at the close of business on the Record Date are entitled to receive notice of, and to vote at, the Annual Meeting.</w:t>
      </w:r>
    </w:p>
    <w:p>
      <w:pPr>
        <w:spacing w:after="0" w:line="152" w:lineRule="exact"/>
        <w:rPr>
          <w:sz w:val="20"/>
          <w:szCs w:val="20"/>
          <w:color w:val="auto"/>
        </w:rPr>
      </w:pPr>
    </w:p>
    <w:p>
      <w:pPr>
        <w:sectPr>
          <w:pgSz w:w="11900" w:h="16838" w:orient="portrait"/>
          <w:cols w:equalWidth="0" w:num="2">
            <w:col w:w="2000" w:space="700"/>
            <w:col w:w="8620"/>
          </w:cols>
          <w:pgMar w:left="240" w:top="131" w:right="339" w:bottom="1440" w:gutter="0" w:footer="0" w:header="0"/>
          <w:type w:val="continuous"/>
        </w:sectPr>
      </w:pPr>
    </w:p>
    <w:p>
      <w:pPr>
        <w:ind w:firstLine="321"/>
        <w:spacing w:after="0" w:line="273" w:lineRule="auto"/>
        <w:rPr>
          <w:sz w:val="20"/>
          <w:szCs w:val="20"/>
          <w:color w:val="auto"/>
        </w:rPr>
      </w:pPr>
      <w:r>
        <w:rPr>
          <w:rFonts w:ascii="Arial" w:cs="Arial" w:eastAsia="Arial" w:hAnsi="Arial"/>
          <w:sz w:val="16"/>
          <w:szCs w:val="16"/>
          <w:b w:val="1"/>
          <w:bCs w:val="1"/>
          <w:color w:val="auto"/>
        </w:rPr>
        <w:t>YOUR VOTE IS IMPORTANT. Whether or not you plan to attend the Annual Meeting, we urge you to submit your vote via the Internet, telephone or mail as soon as possible to ensure your shares are represented. For additional instructions for each of these voting options, please refer to the proxy card. Returning the proxy card does not deprive you of your right to attend the Annual Meeting and to vote your shares at the Annual Meeting.</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of Stockholders to be Held on June 6, 2019: </w:t>
      </w:r>
      <w:r>
        <w:rPr>
          <w:rFonts w:ascii="Arial" w:cs="Arial" w:eastAsia="Arial" w:hAnsi="Arial"/>
          <w:sz w:val="14"/>
          <w:szCs w:val="14"/>
          <w:color w:val="auto"/>
        </w:rPr>
        <w:t>This proxy statement and our</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Annual Report on Form 10-K for the fiscal year ended December 31, 2018, as filed with the Securities and Exchange Commission the ("SEC"), except for exhibits (the "Annual</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Report"), are available for viewing, printing and downloading at </w:t>
      </w:r>
      <w:r>
        <w:rPr>
          <w:rFonts w:ascii="Arial" w:cs="Arial" w:eastAsia="Arial" w:hAnsi="Arial"/>
          <w:sz w:val="16"/>
          <w:szCs w:val="16"/>
          <w:i w:val="1"/>
          <w:iCs w:val="1"/>
          <w:color w:val="auto"/>
        </w:rPr>
        <w:t>www.astproxyportal.com/ast/22412.</w:t>
      </w:r>
    </w:p>
    <w:p>
      <w:pPr>
        <w:spacing w:after="0" w:line="199" w:lineRule="exact"/>
        <w:rPr>
          <w:sz w:val="20"/>
          <w:szCs w:val="20"/>
          <w:color w:val="auto"/>
        </w:rPr>
      </w:pPr>
    </w:p>
    <w:p>
      <w:pPr>
        <w:jc w:val="both"/>
        <w:ind w:right="120" w:firstLine="321"/>
        <w:spacing w:after="0" w:line="273" w:lineRule="auto"/>
        <w:rPr>
          <w:sz w:val="20"/>
          <w:szCs w:val="20"/>
          <w:color w:val="auto"/>
        </w:rPr>
      </w:pPr>
      <w:r>
        <w:rPr>
          <w:rFonts w:ascii="Arial" w:cs="Arial" w:eastAsia="Arial" w:hAnsi="Arial"/>
          <w:sz w:val="16"/>
          <w:szCs w:val="16"/>
          <w:b w:val="1"/>
          <w:bCs w:val="1"/>
          <w:color w:val="auto"/>
        </w:rPr>
        <w:t xml:space="preserve">A copy of our Annual Report will be furnished without charge to any stockholder upon written or oral request to Y-mAbs Therapeutics, Inc., 230 Park Avenue, Suite 3350, New York, New York 10169, Attention: Investor Relations. This proxy statement and our Annual Report on Form 10-K for the fiscal year December 31, 2018 as filed with the SEC, with exhibits, are also available on the SEC's website at </w:t>
      </w:r>
      <w:r>
        <w:rPr>
          <w:rFonts w:ascii="Arial" w:cs="Arial" w:eastAsia="Arial" w:hAnsi="Arial"/>
          <w:sz w:val="16"/>
          <w:szCs w:val="16"/>
          <w:b w:val="1"/>
          <w:bCs w:val="1"/>
          <w:i w:val="1"/>
          <w:iCs w:val="1"/>
          <w:color w:val="auto"/>
        </w:rPr>
        <w:t>www.sec.gov.</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are making this proxy statement, the related proxy card and our Annual Report available to stockholders for the first time on or about April 30, 2019.</w:t>
      </w:r>
    </w:p>
    <w:p>
      <w:pPr>
        <w:spacing w:after="0" w:line="211" w:lineRule="exact"/>
        <w:rPr>
          <w:sz w:val="20"/>
          <w:szCs w:val="20"/>
          <w:color w:val="auto"/>
        </w:rPr>
      </w:pPr>
    </w:p>
    <w:p>
      <w:pPr>
        <w:ind w:right="200" w:firstLine="318"/>
        <w:spacing w:after="0" w:line="284" w:lineRule="auto"/>
        <w:rPr>
          <w:sz w:val="20"/>
          <w:szCs w:val="20"/>
          <w:color w:val="auto"/>
        </w:rPr>
      </w:pPr>
      <w:r>
        <w:rPr>
          <w:rFonts w:ascii="Arial" w:cs="Arial" w:eastAsia="Arial" w:hAnsi="Arial"/>
          <w:sz w:val="16"/>
          <w:szCs w:val="16"/>
          <w:color w:val="auto"/>
        </w:rPr>
        <w:t>We have fully set forth the proposals in the accompanying proxy statement, which you are urged to read thoroughly. For the reasons set forth in the proxy statement, our Board of Directors recommends a vote "</w:t>
      </w:r>
      <w:r>
        <w:rPr>
          <w:rFonts w:ascii="Arial" w:cs="Arial" w:eastAsia="Arial" w:hAnsi="Arial"/>
          <w:sz w:val="16"/>
          <w:szCs w:val="16"/>
          <w:b w:val="1"/>
          <w:bCs w:val="1"/>
          <w:color w:val="auto"/>
        </w:rPr>
        <w:t>FOR</w:t>
      </w:r>
      <w:r>
        <w:rPr>
          <w:rFonts w:ascii="Arial" w:cs="Arial" w:eastAsia="Arial" w:hAnsi="Arial"/>
          <w:sz w:val="16"/>
          <w:szCs w:val="16"/>
          <w:color w:val="auto"/>
        </w:rPr>
        <w:t>" each of the nominees named in Proposal 1 and "</w:t>
      </w:r>
      <w:r>
        <w:rPr>
          <w:rFonts w:ascii="Arial" w:cs="Arial" w:eastAsia="Arial" w:hAnsi="Arial"/>
          <w:sz w:val="16"/>
          <w:szCs w:val="16"/>
          <w:b w:val="1"/>
          <w:bCs w:val="1"/>
          <w:color w:val="auto"/>
        </w:rPr>
        <w:t>FOR</w:t>
      </w:r>
      <w:r>
        <w:rPr>
          <w:rFonts w:ascii="Arial" w:cs="Arial" w:eastAsia="Arial" w:hAnsi="Arial"/>
          <w:sz w:val="16"/>
          <w:szCs w:val="16"/>
          <w:color w:val="auto"/>
        </w:rPr>
        <w:t>" Proposal 2.</w:t>
      </w:r>
    </w:p>
    <w:p>
      <w:pPr>
        <w:spacing w:after="0" w:line="15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295910</wp:posOffset>
            </wp:positionV>
            <wp:extent cx="1620520" cy="516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20520" cy="51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Thomas Gad</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Founder, Chairman, President and</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i w:val="1"/>
          <w:iCs w:val="1"/>
          <w:color w:val="auto"/>
        </w:rPr>
        <w:t>Head of Business Development</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New York, New York</w:t>
      </w: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Y-MABS THERAPEUTICS, INC.</w:t>
      </w:r>
    </w:p>
    <w:p>
      <w:pPr>
        <w:spacing w:after="0" w:line="3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230 PARK AVENUE, SUITE 3350</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NEW YORK, NY 10169</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(646) 885-8505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FOR ANNUAL MEETING OF STOCKHOLDERS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TO BE HELD JUNE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134620</wp:posOffset>
            </wp:positionV>
            <wp:extent cx="19024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VOTING AND PROXY</w:t>
      </w:r>
    </w:p>
    <w:p>
      <w:pPr>
        <w:spacing w:after="0" w:line="215" w:lineRule="exact"/>
        <w:rPr>
          <w:sz w:val="20"/>
          <w:szCs w:val="20"/>
          <w:color w:val="auto"/>
        </w:rPr>
      </w:pPr>
    </w:p>
    <w:p>
      <w:pPr>
        <w:ind w:right="440" w:firstLine="318"/>
        <w:spacing w:after="0" w:line="270" w:lineRule="auto"/>
        <w:rPr>
          <w:sz w:val="20"/>
          <w:szCs w:val="20"/>
          <w:color w:val="auto"/>
        </w:rPr>
      </w:pPr>
      <w:r>
        <w:rPr>
          <w:rFonts w:ascii="Arial" w:cs="Arial" w:eastAsia="Arial" w:hAnsi="Arial"/>
          <w:sz w:val="16"/>
          <w:szCs w:val="16"/>
          <w:color w:val="auto"/>
        </w:rPr>
        <w:t>We are furnishing this proxy statement in connection with the solicitation by our Board of Directors of proxies to be used at the Annual Meeting of Stockholders (the "Annual Meeting") to be held on Thursday, June 6, 2019, at 10:00 a.m. Eastern Time, 230 Park Avenue, 5th Floor, New York, NY 10169, and at any meeting following adjournment thereof.</w:t>
      </w:r>
    </w:p>
    <w:p>
      <w:pPr>
        <w:spacing w:after="0" w:line="168" w:lineRule="exact"/>
        <w:rPr>
          <w:sz w:val="20"/>
          <w:szCs w:val="20"/>
          <w:color w:val="auto"/>
        </w:rPr>
      </w:pPr>
    </w:p>
    <w:p>
      <w:pPr>
        <w:ind w:firstLine="312"/>
        <w:spacing w:after="0" w:line="270" w:lineRule="auto"/>
        <w:rPr>
          <w:sz w:val="20"/>
          <w:szCs w:val="20"/>
          <w:color w:val="auto"/>
        </w:rPr>
      </w:pPr>
      <w:r>
        <w:rPr>
          <w:rFonts w:ascii="Arial" w:cs="Arial" w:eastAsia="Arial" w:hAnsi="Arial"/>
          <w:sz w:val="16"/>
          <w:szCs w:val="16"/>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Annual Meeting of Stockholders. You may revoke your proxy at any time before it is exercised at the Annual Meeting by giving our Secretary written notice to that effect.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mailing the Notice of Annual Meeting of Stockholders, this proxy statement and the accompanying proxy card to stockholders on or about April 30, 2019.</w:t>
      </w:r>
    </w:p>
    <w:p>
      <w:pPr>
        <w:spacing w:after="0" w:line="218" w:lineRule="exact"/>
        <w:rPr>
          <w:sz w:val="20"/>
          <w:szCs w:val="20"/>
          <w:color w:val="auto"/>
        </w:rPr>
      </w:pPr>
    </w:p>
    <w:p>
      <w:pPr>
        <w:ind w:right="20" w:firstLine="321"/>
        <w:spacing w:after="0" w:line="268" w:lineRule="auto"/>
        <w:rPr>
          <w:sz w:val="20"/>
          <w:szCs w:val="20"/>
          <w:color w:val="auto"/>
        </w:rPr>
      </w:pPr>
      <w:r>
        <w:rPr>
          <w:rFonts w:ascii="Arial" w:cs="Arial" w:eastAsia="Arial" w:hAnsi="Arial"/>
          <w:sz w:val="16"/>
          <w:szCs w:val="16"/>
          <w:b w:val="1"/>
          <w:bCs w:val="1"/>
          <w:color w:val="auto"/>
        </w:rPr>
        <w:t xml:space="preserve">A copy of our Annual Report on Form 10-K for the fiscal year ended December 31, 2018, as filed with the SEC, except for exhibits (the "Annual Report"), will be furnished without charge to any stockholder upon written request to Y-mAbs Therapeutics, Inc., 230 Park Avenue, Suite 3350, New York, New York 10169, Attention: Investor Relations. This proxy statement and our Annual Report on Form 10-K for the fiscal year ended December 31, 2018 as filed with the SEC, with exhibits, are also available on the SEC's website at </w:t>
      </w:r>
      <w:r>
        <w:rPr>
          <w:rFonts w:ascii="Arial" w:cs="Arial" w:eastAsia="Arial" w:hAnsi="Arial"/>
          <w:sz w:val="16"/>
          <w:szCs w:val="16"/>
          <w:b w:val="1"/>
          <w:bCs w:val="1"/>
          <w:i w:val="1"/>
          <w:iCs w:val="1"/>
          <w:color w:val="auto"/>
        </w:rPr>
        <w:t>www.sec.gov</w:t>
      </w:r>
      <w:r>
        <w:rPr>
          <w:rFonts w:ascii="Arial" w:cs="Arial" w:eastAsia="Arial" w:hAnsi="Arial"/>
          <w:sz w:val="16"/>
          <w:szCs w:val="16"/>
          <w:b w:val="1"/>
          <w:bCs w:val="1"/>
          <w:color w:val="auto"/>
        </w:rPr>
        <w:t>.</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Important Notice Regarding the Availability of Proxy Materials for</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Annual Meeting of Stockholders to be Held on June 6, 2019:</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This proxy statement and our 2018 Annual Report to Stockholders are</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 xml:space="preserve">available for viewing, printing and downloading at </w:t>
      </w:r>
      <w:r>
        <w:rPr>
          <w:rFonts w:ascii="Arial" w:cs="Arial" w:eastAsia="Arial" w:hAnsi="Arial"/>
          <w:sz w:val="16"/>
          <w:szCs w:val="16"/>
          <w:b w:val="1"/>
          <w:bCs w:val="1"/>
          <w:i w:val="1"/>
          <w:iCs w:val="1"/>
          <w:color w:val="auto"/>
        </w:rPr>
        <w:t>www.astproxyportal.com/ast/22412.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6313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QUESTIONS AND ANSWERS ABOUT THE ANNUAL MEETING</w:t>
      </w:r>
    </w:p>
    <w:p>
      <w:pPr>
        <w:spacing w:after="0" w:line="215" w:lineRule="exact"/>
        <w:rPr>
          <w:sz w:val="20"/>
          <w:szCs w:val="20"/>
          <w:color w:val="auto"/>
        </w:rPr>
      </w:pPr>
    </w:p>
    <w:p>
      <w:pPr>
        <w:ind w:right="560" w:firstLine="318"/>
        <w:spacing w:after="0" w:line="284" w:lineRule="auto"/>
        <w:rPr>
          <w:sz w:val="20"/>
          <w:szCs w:val="20"/>
          <w:color w:val="auto"/>
        </w:rPr>
      </w:pPr>
      <w:r>
        <w:rPr>
          <w:rFonts w:ascii="Arial" w:cs="Arial" w:eastAsia="Arial" w:hAnsi="Arial"/>
          <w:sz w:val="16"/>
          <w:szCs w:val="16"/>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am I receiving these materials?</w:t>
      </w:r>
    </w:p>
    <w:p>
      <w:pPr>
        <w:spacing w:after="0" w:line="215" w:lineRule="exact"/>
        <w:rPr>
          <w:sz w:val="20"/>
          <w:szCs w:val="20"/>
          <w:color w:val="auto"/>
        </w:rPr>
      </w:pPr>
    </w:p>
    <w:p>
      <w:pPr>
        <w:ind w:firstLine="321"/>
        <w:spacing w:after="0" w:line="359" w:lineRule="auto"/>
        <w:rPr>
          <w:sz w:val="20"/>
          <w:szCs w:val="20"/>
          <w:color w:val="auto"/>
        </w:rPr>
      </w:pPr>
      <w:r>
        <w:rPr>
          <w:rFonts w:ascii="Arial" w:cs="Arial" w:eastAsia="Arial" w:hAnsi="Arial"/>
          <w:sz w:val="14"/>
          <w:szCs w:val="14"/>
          <w:color w:val="auto"/>
        </w:rPr>
        <w:t>Our Board of Directors is providing these proxy materials to you in connection with our Board of Directors' solicitation of proxies for use at the Company's Annual Meeting, which will take place on June 6, 2019. Stockholders are invited to attend the Annual Meeting and are requested to vote on the proposals described in this Proxy Statement.</w:t>
      </w:r>
    </w:p>
    <w:p>
      <w:pPr>
        <w:spacing w:after="0" w:line="110" w:lineRule="exact"/>
        <w:rPr>
          <w:sz w:val="20"/>
          <w:szCs w:val="20"/>
          <w:color w:val="auto"/>
        </w:rPr>
      </w:pPr>
    </w:p>
    <w:p>
      <w:pPr>
        <w:ind w:right="340" w:firstLine="312"/>
        <w:spacing w:after="0" w:line="284" w:lineRule="auto"/>
        <w:rPr>
          <w:sz w:val="20"/>
          <w:szCs w:val="20"/>
          <w:color w:val="auto"/>
        </w:rPr>
      </w:pPr>
      <w:r>
        <w:rPr>
          <w:rFonts w:ascii="Arial" w:cs="Arial" w:eastAsia="Arial" w:hAnsi="Arial"/>
          <w:sz w:val="16"/>
          <w:szCs w:val="16"/>
          <w:color w:val="auto"/>
        </w:rPr>
        <w:t xml:space="preserve">All stockholders will have the ability to access the proxy materials via the Internet, including this proxy statement and our Annual Report. This proxy statement and our Annual Report are available at </w:t>
      </w:r>
      <w:r>
        <w:rPr>
          <w:rFonts w:ascii="Arial" w:cs="Arial" w:eastAsia="Arial" w:hAnsi="Arial"/>
          <w:sz w:val="16"/>
          <w:szCs w:val="16"/>
          <w:i w:val="1"/>
          <w:iCs w:val="1"/>
          <w:color w:val="auto"/>
        </w:rPr>
        <w:t>www.astproxyportal.com/ast/22412</w:t>
      </w:r>
      <w:r>
        <w:rPr>
          <w:rFonts w:ascii="Arial" w:cs="Arial" w:eastAsia="Arial" w:hAnsi="Arial"/>
          <w:sz w:val="16"/>
          <w:szCs w:val="16"/>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proposals will be voted on at the Annual Meeting?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are two (2) proposals scheduled to be voted on at the Annual Meeting:</w:t>
      </w:r>
    </w:p>
    <w:p>
      <w:pPr>
        <w:spacing w:after="0" w:line="223" w:lineRule="exact"/>
        <w:rPr>
          <w:sz w:val="20"/>
          <w:szCs w:val="20"/>
          <w:color w:val="auto"/>
        </w:rPr>
      </w:pPr>
    </w:p>
    <w:p>
      <w:pPr>
        <w:ind w:left="980" w:right="20" w:hanging="488"/>
        <w:spacing w:after="0" w:line="266"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election of two (2) Class I directors, Dr. Gérard Ber and David N. Gill, nominated by our Board of Directors, each to serve for a three-year term to expire at the 2022 annual meeting of stockholders and one (1) Class II director, Ashutosh Tyagi, M.D., nominated by our Board of Directors, to serve for a one-year term to expire at the 2020 annual meeting of stockholders, each such nominee to hold office until his successor has been duly elected and qualified or until his earlier death, resignation or removal; and</w:t>
      </w:r>
    </w:p>
    <w:p>
      <w:pPr>
        <w:spacing w:after="0" w:line="195" w:lineRule="exact"/>
        <w:rPr>
          <w:rFonts w:ascii="Arial" w:cs="Arial" w:eastAsia="Arial" w:hAnsi="Arial"/>
          <w:sz w:val="16"/>
          <w:szCs w:val="16"/>
          <w:color w:val="auto"/>
        </w:rPr>
      </w:pPr>
    </w:p>
    <w:p>
      <w:pPr>
        <w:ind w:left="980" w:right="80" w:hanging="488"/>
        <w:spacing w:after="0" w:line="284"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independent registered public accounting firm for our fiscal year ending December 31, 2019.</w:t>
      </w:r>
    </w:p>
    <w:p>
      <w:pPr>
        <w:spacing w:after="0" w:line="156" w:lineRule="exact"/>
        <w:rPr>
          <w:sz w:val="20"/>
          <w:szCs w:val="20"/>
          <w:color w:val="auto"/>
        </w:rPr>
      </w:pPr>
    </w:p>
    <w:p>
      <w:pPr>
        <w:ind w:right="100" w:firstLine="312"/>
        <w:spacing w:after="0" w:line="284" w:lineRule="auto"/>
        <w:rPr>
          <w:sz w:val="20"/>
          <w:szCs w:val="20"/>
          <w:color w:val="auto"/>
        </w:rPr>
      </w:pPr>
      <w:r>
        <w:rPr>
          <w:rFonts w:ascii="Arial" w:cs="Arial" w:eastAsia="Arial" w:hAnsi="Arial"/>
          <w:sz w:val="16"/>
          <w:szCs w:val="16"/>
          <w:color w:val="auto"/>
        </w:rPr>
        <w:t>At the time this proxy statement was mailed, our management and Board of Directors were not aware of any other matters to be presented at the Annual Meeting other than those set forth in this proxy statement and in the notice accompanying this proxy statement.</w:t>
      </w:r>
    </w:p>
    <w:p>
      <w:pPr>
        <w:spacing w:after="0" w:line="152" w:lineRule="exact"/>
        <w:rPr>
          <w:sz w:val="20"/>
          <w:szCs w:val="20"/>
          <w:color w:val="auto"/>
        </w:rPr>
      </w:pPr>
    </w:p>
    <w:p>
      <w:pPr>
        <w:jc w:val="center"/>
        <w:ind w:right="7480"/>
        <w:spacing w:after="0"/>
        <w:rPr>
          <w:sz w:val="20"/>
          <w:szCs w:val="20"/>
          <w:color w:val="auto"/>
        </w:rPr>
      </w:pPr>
      <w:r>
        <w:rPr>
          <w:rFonts w:ascii="Arial" w:cs="Arial" w:eastAsia="Arial" w:hAnsi="Arial"/>
          <w:sz w:val="14"/>
          <w:szCs w:val="14"/>
          <w:b w:val="1"/>
          <w:bCs w:val="1"/>
          <w:color w:val="auto"/>
        </w:rPr>
        <w:t>How does our Board of Directors recommend that I vote?</w:t>
      </w:r>
    </w:p>
    <w:p>
      <w:pPr>
        <w:spacing w:after="0" w:line="2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Board of Directors recommends that you vote:</w:t>
      </w:r>
    </w:p>
    <w:p>
      <w:pPr>
        <w:spacing w:after="0" w:line="219" w:lineRule="exact"/>
        <w:rPr>
          <w:sz w:val="20"/>
          <w:szCs w:val="20"/>
          <w:color w:val="auto"/>
        </w:rPr>
      </w:pPr>
    </w:p>
    <w:p>
      <w:pPr>
        <w:ind w:left="980" w:right="160" w:hanging="488"/>
        <w:spacing w:after="0" w:line="268"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two (2) directors nominated by our Board of Directors and named in this proxy statement as Class I directors to serve for a three-year</w:t>
      </w:r>
      <w:r>
        <w:rPr>
          <w:rFonts w:ascii="Arial" w:cs="Arial" w:eastAsia="Arial" w:hAnsi="Arial"/>
          <w:sz w:val="16"/>
          <w:szCs w:val="16"/>
          <w:b w:val="1"/>
          <w:bCs w:val="1"/>
          <w:color w:val="auto"/>
        </w:rPr>
        <w:t xml:space="preserve"> </w:t>
      </w:r>
      <w:r>
        <w:rPr>
          <w:rFonts w:ascii="Arial" w:cs="Arial" w:eastAsia="Arial" w:hAnsi="Arial"/>
          <w:sz w:val="16"/>
          <w:szCs w:val="16"/>
          <w:color w:val="auto"/>
        </w:rPr>
        <w:t>term to expire at the 2022 annual meeting of stockholders, and the one (1) director nominated by our Board of Directors and named in this proxy statement as a Class II director to serve for a one-year term to expire at the 2020 annual meeting of stockholders, each such nominee to hold office until his successor has been duly elected and qualified or until his earlier death, resignation or removal; and</w:t>
      </w:r>
    </w:p>
    <w:p>
      <w:pPr>
        <w:spacing w:after="0" w:line="176" w:lineRule="exact"/>
        <w:rPr>
          <w:rFonts w:ascii="Arial" w:cs="Arial" w:eastAsia="Arial" w:hAnsi="Arial"/>
          <w:sz w:val="16"/>
          <w:szCs w:val="16"/>
          <w:color w:val="auto"/>
        </w:rPr>
      </w:pPr>
    </w:p>
    <w:p>
      <w:pPr>
        <w:ind w:left="980" w:right="640" w:hanging="488"/>
        <w:spacing w:after="0" w:line="289"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independent registered public accounting firm for our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is the record date for the Annual Meeting?</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record date for determination of stockholders entitled to vote at the Annual Meeting is the close of business on April 10, 2019 (the "Record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entitled to vote at the Annual Meeting?</w:t>
      </w:r>
    </w:p>
    <w:p>
      <w:pPr>
        <w:spacing w:after="0" w:line="215" w:lineRule="exact"/>
        <w:rPr>
          <w:sz w:val="20"/>
          <w:szCs w:val="20"/>
          <w:color w:val="auto"/>
        </w:rPr>
      </w:pPr>
    </w:p>
    <w:p>
      <w:pPr>
        <w:ind w:right="20" w:firstLine="321"/>
        <w:spacing w:after="0" w:line="266" w:lineRule="auto"/>
        <w:rPr>
          <w:sz w:val="20"/>
          <w:szCs w:val="20"/>
          <w:color w:val="auto"/>
        </w:rPr>
      </w:pPr>
      <w:r>
        <w:rPr>
          <w:rFonts w:ascii="Arial" w:cs="Arial" w:eastAsia="Arial" w:hAnsi="Arial"/>
          <w:sz w:val="16"/>
          <w:szCs w:val="16"/>
          <w:color w:val="auto"/>
        </w:rPr>
        <w:t>Holders of our common stock at the close of business on the Record Date are entitled to notice of, and to vote at, the Annual Meeting. Each stockholder is entitled to one (1) vote for each share of our common stock held as of the Record Date. As of the Record Date, there were 34,193,666 shares of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difference between holding shares as a stockholder of record and as a beneficial owner?</w:t>
      </w:r>
    </w:p>
    <w:p>
      <w:pPr>
        <w:spacing w:after="0" w:line="215" w:lineRule="exact"/>
        <w:rPr>
          <w:sz w:val="20"/>
          <w:szCs w:val="20"/>
          <w:color w:val="auto"/>
        </w:rPr>
      </w:pPr>
    </w:p>
    <w:p>
      <w:pPr>
        <w:jc w:val="both"/>
        <w:ind w:right="120" w:firstLine="321"/>
        <w:spacing w:after="0" w:line="297" w:lineRule="auto"/>
        <w:rPr>
          <w:sz w:val="20"/>
          <w:szCs w:val="20"/>
          <w:color w:val="auto"/>
        </w:rPr>
      </w:pPr>
      <w:r>
        <w:rPr>
          <w:rFonts w:ascii="Arial" w:cs="Arial" w:eastAsia="Arial" w:hAnsi="Arial"/>
          <w:sz w:val="15"/>
          <w:szCs w:val="15"/>
          <w:i w:val="1"/>
          <w:iCs w:val="1"/>
          <w:color w:val="auto"/>
        </w:rPr>
        <w:t xml:space="preserve">Stockholder of Record: Shares Registered in Your Name. </w:t>
      </w:r>
      <w:r>
        <w:rPr>
          <w:rFonts w:ascii="Arial" w:cs="Arial" w:eastAsia="Arial" w:hAnsi="Arial"/>
          <w:sz w:val="15"/>
          <w:szCs w:val="15"/>
          <w:color w:val="auto"/>
        </w:rPr>
        <w:t>If, at the close of business on the Record Date, your shares were registered directly in your name with American</w:t>
      </w:r>
      <w:r>
        <w:rPr>
          <w:rFonts w:ascii="Arial" w:cs="Arial" w:eastAsia="Arial" w:hAnsi="Arial"/>
          <w:sz w:val="15"/>
          <w:szCs w:val="15"/>
          <w:i w:val="1"/>
          <w:iCs w:val="1"/>
          <w:color w:val="auto"/>
        </w:rPr>
        <w:t xml:space="preserve"> </w:t>
      </w:r>
      <w:r>
        <w:rPr>
          <w:rFonts w:ascii="Arial" w:cs="Arial" w:eastAsia="Arial" w:hAnsi="Arial"/>
          <w:sz w:val="15"/>
          <w:szCs w:val="15"/>
          <w:color w:val="auto"/>
        </w:rPr>
        <w:t>Stock Transfer &amp; Trust Company, LLC ("AST"), our transfer agent, then you are considered the stockholder of record with respect to those shares. As the stockholder of record, you have the right to grant your voting proxy directly to the individuals listed on the proxy card or to vote in person at the Annual Meeting.</w:t>
      </w:r>
    </w:p>
    <w:p>
      <w:pPr>
        <w:spacing w:after="0" w:line="149"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at the close of business on the Record Date, your shares were not held in your</w:t>
      </w:r>
      <w:r>
        <w:rPr>
          <w:rFonts w:ascii="Arial" w:cs="Arial" w:eastAsia="Arial" w:hAnsi="Arial"/>
          <w:sz w:val="16"/>
          <w:szCs w:val="16"/>
          <w:i w:val="1"/>
          <w:iCs w:val="1"/>
          <w:color w:val="auto"/>
        </w:rPr>
        <w:t xml:space="preserve"> </w:t>
      </w:r>
      <w:r>
        <w:rPr>
          <w:rFonts w:ascii="Arial" w:cs="Arial" w:eastAsia="Arial" w:hAnsi="Arial"/>
          <w:sz w:val="16"/>
          <w:szCs w:val="16"/>
          <w:color w:val="auto"/>
        </w:rPr>
        <w:t>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Arial" w:cs="Arial" w:eastAsia="Arial" w:hAnsi="Arial"/>
          <w:sz w:val="16"/>
          <w:szCs w:val="16"/>
          <w:i w:val="1"/>
          <w:iCs w:val="1"/>
          <w:color w:val="auto"/>
        </w:rPr>
        <w:t>What if I do not specify how my</w:t>
      </w:r>
      <w:r>
        <w:rPr>
          <w:rFonts w:ascii="Arial" w:cs="Arial" w:eastAsia="Arial" w:hAnsi="Arial"/>
          <w:sz w:val="16"/>
          <w:szCs w:val="16"/>
          <w:color w:val="auto"/>
        </w:rPr>
        <w:t xml:space="preserve"> </w:t>
      </w:r>
      <w:r>
        <w:rPr>
          <w:rFonts w:ascii="Arial" w:cs="Arial" w:eastAsia="Arial" w:hAnsi="Arial"/>
          <w:sz w:val="16"/>
          <w:szCs w:val="16"/>
          <w:i w:val="1"/>
          <w:iCs w:val="1"/>
          <w:color w:val="auto"/>
        </w:rPr>
        <w:t>shares are to be voted?</w:t>
      </w:r>
      <w:r>
        <w:rPr>
          <w:rFonts w:ascii="Arial" w:cs="Arial" w:eastAsia="Arial" w:hAnsi="Arial"/>
          <w:sz w:val="16"/>
          <w:szCs w:val="16"/>
          <w:color w:val="auto"/>
        </w:rPr>
        <w:t>" below.</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 I have to do anything in advance if I plan to attend the Annual Meeting in person?</w:t>
      </w:r>
    </w:p>
    <w:p>
      <w:pPr>
        <w:spacing w:after="0" w:line="215" w:lineRule="exact"/>
        <w:rPr>
          <w:sz w:val="20"/>
          <w:szCs w:val="20"/>
          <w:color w:val="auto"/>
        </w:rPr>
      </w:pPr>
    </w:p>
    <w:p>
      <w:pPr>
        <w:ind w:right="20" w:firstLine="321"/>
        <w:spacing w:after="0" w:line="270"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If you were a stockholder of record at the close of business on the Record Date, you do not need to do anything in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to attend and/or vote your shares in person at the Annual Meeting, but you will need to present government-issued photo identification for entrance to the Annual Meeting.</w:t>
      </w:r>
    </w:p>
    <w:p>
      <w:pPr>
        <w:spacing w:after="0" w:line="168" w:lineRule="exact"/>
        <w:rPr>
          <w:sz w:val="20"/>
          <w:szCs w:val="20"/>
          <w:color w:val="auto"/>
        </w:rPr>
      </w:pPr>
    </w:p>
    <w:p>
      <w:pPr>
        <w:ind w:right="200" w:firstLine="321"/>
        <w:spacing w:after="0" w:line="285" w:lineRule="auto"/>
        <w:rPr>
          <w:sz w:val="20"/>
          <w:szCs w:val="20"/>
          <w:color w:val="auto"/>
        </w:rPr>
      </w:pPr>
      <w:r>
        <w:rPr>
          <w:rFonts w:ascii="Arial" w:cs="Arial" w:eastAsia="Arial" w:hAnsi="Arial"/>
          <w:sz w:val="15"/>
          <w:szCs w:val="15"/>
          <w:i w:val="1"/>
          <w:iCs w:val="1"/>
          <w:color w:val="auto"/>
        </w:rPr>
        <w:t xml:space="preserve">Beneficial Owners: Shares Registered in the Name of a Broker, Bank or Other Nominee. </w:t>
      </w:r>
      <w:r>
        <w:rPr>
          <w:rFonts w:ascii="Arial" w:cs="Arial" w:eastAsia="Arial" w:hAnsi="Arial"/>
          <w:sz w:val="15"/>
          <w:szCs w:val="15"/>
          <w:color w:val="auto"/>
        </w:rPr>
        <w:t>If you were a beneficial owner at the close of business on the Record Date, you</w:t>
      </w:r>
      <w:r>
        <w:rPr>
          <w:rFonts w:ascii="Arial" w:cs="Arial" w:eastAsia="Arial" w:hAnsi="Arial"/>
          <w:sz w:val="15"/>
          <w:szCs w:val="15"/>
          <w:i w:val="1"/>
          <w:iCs w:val="1"/>
          <w:color w:val="auto"/>
        </w:rPr>
        <w:t xml:space="preserve"> </w:t>
      </w:r>
      <w:r>
        <w:rPr>
          <w:rFonts w:ascii="Arial" w:cs="Arial" w:eastAsia="Arial" w:hAnsi="Arial"/>
          <w:sz w:val="15"/>
          <w:szCs w:val="15"/>
          <w:color w:val="auto"/>
        </w:rPr>
        <w:t>may not vote your shares in person at the Annual Meeting unless you obtain a "legal proxy" from your broker, bank or other nominee who is the stockholder of record with respect to your shares. You may still attend the Annual Meeting even if you do not have a legal proxy. For entrance to the Annual Meeting, you will need to provide proof of beneficial ownership as of the Record Date, such as the notice or voting instructions you received from your broker, bank or other nominee or a brokerage statement reflecting your ownership of shares as of the Record Date, and also present government-issued photo identification.</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Please note that no cameras, recording equipment, large bags, briefcases or packages will be permitted in the Annual Meeting.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 and what are the voting deadlines?</w:t>
      </w:r>
    </w:p>
    <w:p>
      <w:pPr>
        <w:spacing w:after="0" w:line="215" w:lineRule="exact"/>
        <w:rPr>
          <w:sz w:val="20"/>
          <w:szCs w:val="20"/>
          <w:color w:val="auto"/>
        </w:rPr>
      </w:pPr>
    </w:p>
    <w:p>
      <w:pPr>
        <w:ind w:left="320"/>
        <w:spacing w:after="0"/>
        <w:tabs>
          <w:tab w:leader="none" w:pos="4080" w:val="left"/>
        </w:tabs>
        <w:rPr>
          <w:sz w:val="20"/>
          <w:szCs w:val="20"/>
          <w:color w:val="auto"/>
        </w:rPr>
      </w:pPr>
      <w:r>
        <w:rPr>
          <w:rFonts w:ascii="Arial" w:cs="Arial" w:eastAsia="Arial" w:hAnsi="Arial"/>
          <w:sz w:val="16"/>
          <w:szCs w:val="16"/>
          <w:i w:val="1"/>
          <w:iCs w:val="1"/>
          <w:color w:val="auto"/>
        </w:rPr>
        <w:t>Stockholder of Record: Shares Registered in Your Name.</w:t>
      </w:r>
      <w:r>
        <w:rPr>
          <w:sz w:val="20"/>
          <w:szCs w:val="20"/>
          <w:color w:val="auto"/>
        </w:rPr>
        <w:tab/>
      </w:r>
      <w:r>
        <w:rPr>
          <w:rFonts w:ascii="Arial" w:cs="Arial" w:eastAsia="Arial" w:hAnsi="Arial"/>
          <w:sz w:val="14"/>
          <w:szCs w:val="14"/>
          <w:color w:val="auto"/>
        </w:rPr>
        <w:t>If you are a stockholder of record, you can vote in one of the following ways:</w:t>
      </w:r>
    </w:p>
    <w:p>
      <w:pPr>
        <w:spacing w:after="0" w:line="219" w:lineRule="exact"/>
        <w:rPr>
          <w:sz w:val="20"/>
          <w:szCs w:val="20"/>
          <w:color w:val="auto"/>
        </w:rPr>
      </w:pPr>
    </w:p>
    <w:p>
      <w:pPr>
        <w:ind w:left="980" w:right="580" w:hanging="488"/>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You may vote via the Internet. </w:t>
      </w:r>
      <w:r>
        <w:rPr>
          <w:rFonts w:ascii="Arial" w:cs="Arial" w:eastAsia="Arial" w:hAnsi="Arial"/>
          <w:sz w:val="16"/>
          <w:szCs w:val="16"/>
          <w:color w:val="auto"/>
        </w:rPr>
        <w:t>A beneficial owner holding through a bank or broker client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Broadridge</w:t>
      </w:r>
      <w:r>
        <w:rPr>
          <w:rFonts w:ascii="Arial" w:cs="Arial" w:eastAsia="Arial" w:hAnsi="Arial"/>
          <w:sz w:val="16"/>
          <w:szCs w:val="16"/>
          <w:b w:val="1"/>
          <w:bCs w:val="1"/>
          <w:color w:val="auto"/>
        </w:rPr>
        <w:t xml:space="preserve"> </w:t>
      </w:r>
      <w:r>
        <w:rPr>
          <w:rFonts w:ascii="Arial" w:cs="Arial" w:eastAsia="Arial" w:hAnsi="Arial"/>
          <w:sz w:val="16"/>
          <w:szCs w:val="16"/>
          <w:color w:val="auto"/>
        </w:rPr>
        <w:t>can vote through the Internet by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received from such bank or broker.</w:t>
      </w:r>
    </w:p>
    <w:p>
      <w:pPr>
        <w:spacing w:after="0" w:line="152" w:lineRule="exact"/>
        <w:rPr>
          <w:rFonts w:ascii="Arial" w:cs="Arial" w:eastAsia="Arial" w:hAnsi="Arial"/>
          <w:sz w:val="16"/>
          <w:szCs w:val="16"/>
          <w:color w:val="auto"/>
        </w:rPr>
      </w:pPr>
    </w:p>
    <w:p>
      <w:pPr>
        <w:ind w:left="980" w:right="220"/>
        <w:spacing w:after="0" w:line="297" w:lineRule="auto"/>
        <w:rPr>
          <w:rFonts w:ascii="Arial" w:cs="Arial" w:eastAsia="Arial" w:hAnsi="Arial"/>
          <w:sz w:val="16"/>
          <w:szCs w:val="16"/>
          <w:color w:val="auto"/>
        </w:rPr>
      </w:pPr>
      <w:r>
        <w:rPr>
          <w:rFonts w:ascii="Arial" w:cs="Arial" w:eastAsia="Arial" w:hAnsi="Arial"/>
          <w:sz w:val="15"/>
          <w:szCs w:val="15"/>
          <w:color w:val="auto"/>
        </w:rPr>
        <w:t xml:space="preserve">A registered holder through AST (if you choose to use Internet voting through AST) can vote through the Internet by going to </w:t>
      </w:r>
      <w:r>
        <w:rPr>
          <w:rFonts w:ascii="Arial" w:cs="Arial" w:eastAsia="Arial" w:hAnsi="Arial"/>
          <w:sz w:val="15"/>
          <w:szCs w:val="15"/>
          <w:i w:val="1"/>
          <w:iCs w:val="1"/>
          <w:color w:val="auto"/>
        </w:rPr>
        <w:t>www.voteproxy.com.</w:t>
      </w:r>
      <w:r>
        <w:rPr>
          <w:rFonts w:ascii="Arial" w:cs="Arial" w:eastAsia="Arial" w:hAnsi="Arial"/>
          <w:sz w:val="15"/>
          <w:szCs w:val="15"/>
          <w:color w:val="auto"/>
        </w:rPr>
        <w:t xml:space="preserve"> You will be asked to complete an electronic proxy card and to provide the control number from the proxy card you received in the mail. Your vote must be received by 11:59 p.m. Eastern Time on June 5, 2019 to be counted. If you vote via the Internet, you do not need to return a proxy card by mail.</w:t>
      </w:r>
    </w:p>
    <w:p>
      <w:pPr>
        <w:spacing w:after="0" w:line="169" w:lineRule="exact"/>
        <w:rPr>
          <w:rFonts w:ascii="Arial" w:cs="Arial" w:eastAsia="Arial" w:hAnsi="Arial"/>
          <w:sz w:val="16"/>
          <w:szCs w:val="16"/>
          <w:color w:val="auto"/>
        </w:rPr>
      </w:pPr>
    </w:p>
    <w:p>
      <w:pPr>
        <w:jc w:val="both"/>
        <w:ind w:left="980" w:right="160" w:hanging="488"/>
        <w:spacing w:after="0" w:line="329" w:lineRule="auto"/>
        <w:tabs>
          <w:tab w:leader="none" w:pos="980"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You may vote by telephone. </w:t>
      </w:r>
      <w:r>
        <w:rPr>
          <w:rFonts w:ascii="Arial" w:cs="Arial" w:eastAsia="Arial" w:hAnsi="Arial"/>
          <w:sz w:val="14"/>
          <w:szCs w:val="14"/>
          <w:color w:val="auto"/>
        </w:rPr>
        <w:t>To vote by telephone, dial toll-free 1-800-PROXIES (1-800-776-9437) in the United States and Canada, or 1-718- 921-8500 from</w:t>
      </w:r>
      <w:r>
        <w:rPr>
          <w:rFonts w:ascii="Arial" w:cs="Arial" w:eastAsia="Arial" w:hAnsi="Arial"/>
          <w:sz w:val="14"/>
          <w:szCs w:val="14"/>
          <w:b w:val="1"/>
          <w:bCs w:val="1"/>
          <w:color w:val="auto"/>
        </w:rPr>
        <w:t xml:space="preserve"> </w:t>
      </w:r>
      <w:r>
        <w:rPr>
          <w:rFonts w:ascii="Arial" w:cs="Arial" w:eastAsia="Arial" w:hAnsi="Arial"/>
          <w:sz w:val="14"/>
          <w:szCs w:val="14"/>
          <w:color w:val="auto"/>
        </w:rPr>
        <w:t>countries outside the United States and Canada and follow the recorded instructions. You will be asked to provide the control number from the proxy card. Your vote must be received by 11:59 p.m. Eastern Time on June 5, 2019 to be counted. If you vote by telephone, you do not need to return a proxy card by mail.</w:t>
      </w:r>
    </w:p>
    <w:p>
      <w:pPr>
        <w:spacing w:after="0" w:line="139" w:lineRule="exact"/>
        <w:rPr>
          <w:rFonts w:ascii="Arial" w:cs="Arial" w:eastAsia="Arial" w:hAnsi="Arial"/>
          <w:sz w:val="14"/>
          <w:szCs w:val="14"/>
          <w:color w:val="auto"/>
        </w:rPr>
      </w:pPr>
    </w:p>
    <w:p>
      <w:pPr>
        <w:ind w:left="980" w:hanging="488"/>
        <w:spacing w:after="0" w:line="26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You may vote by mail. </w:t>
      </w:r>
      <w:r>
        <w:rPr>
          <w:rFonts w:ascii="Arial" w:cs="Arial" w:eastAsia="Arial" w:hAnsi="Arial"/>
          <w:sz w:val="16"/>
          <w:szCs w:val="16"/>
          <w:color w:val="auto"/>
        </w:rPr>
        <w:t>To vote by mail using the proxy card you received by mail, you need to complete, date and sign the proxy card and return it promptly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mail in the envelope to be provided so that it is received no later than June 5, 2019.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you own in accordance with the recommendations of our Board of Directors. Our Board of Directors recommends that you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two (2) directors nominated by our Board of Directors and named in this proxy statement as Class I directors to serve for a three-year term to expire at the 2022 annual meeting of stockholders and the one (1) director nominated by our Board of Directors and named in this proxy statement as a Class II director to serve for a one-year term to expire at the 2020 annual meeting of stockholders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appointment of PricewaterhouseCoopers LLP as our independent registered public accounting firm for our fiscal year ending December 31, 2019.</w:t>
      </w:r>
    </w:p>
    <w:p>
      <w:pPr>
        <w:spacing w:after="0" w:line="184" w:lineRule="exact"/>
        <w:rPr>
          <w:rFonts w:ascii="Arial" w:cs="Arial" w:eastAsia="Arial" w:hAnsi="Arial"/>
          <w:sz w:val="16"/>
          <w:szCs w:val="16"/>
          <w:color w:val="auto"/>
        </w:rPr>
      </w:pPr>
    </w:p>
    <w:p>
      <w:pPr>
        <w:ind w:left="980" w:right="440" w:hanging="488"/>
        <w:spacing w:after="0" w:line="289"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You may vote in person. </w:t>
      </w:r>
      <w:r>
        <w:rPr>
          <w:rFonts w:ascii="Arial" w:cs="Arial" w:eastAsia="Arial" w:hAnsi="Arial"/>
          <w:sz w:val="16"/>
          <w:szCs w:val="16"/>
          <w:color w:val="auto"/>
        </w:rPr>
        <w:t>If you plan to attend the Annual Meeting, you may vote by delivering your completed proxy card in person or by completing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submitting a ballot, which will be provided at the Annual Meeting.</w:t>
      </w:r>
    </w:p>
    <w:p>
      <w:pPr>
        <w:spacing w:after="0" w:line="153" w:lineRule="exact"/>
        <w:rPr>
          <w:sz w:val="20"/>
          <w:szCs w:val="20"/>
          <w:color w:val="auto"/>
        </w:rPr>
      </w:pPr>
    </w:p>
    <w:p>
      <w:pPr>
        <w:ind w:right="60" w:firstLine="321"/>
        <w:spacing w:after="0" w:line="266"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you are the beneficial owner of shares held of record by a broker,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w:t>
      </w:r>
    </w:p>
    <w:p>
      <w:pPr>
        <w:spacing w:after="0" w:line="167" w:lineRule="exact"/>
        <w:rPr>
          <w:sz w:val="20"/>
          <w:szCs w:val="20"/>
          <w:color w:val="auto"/>
        </w:rPr>
      </w:pPr>
    </w:p>
    <w:p>
      <w:pPr>
        <w:ind w:right="40" w:firstLine="321"/>
        <w:spacing w:after="0" w:line="289" w:lineRule="auto"/>
        <w:rPr>
          <w:sz w:val="20"/>
          <w:szCs w:val="20"/>
          <w:color w:val="auto"/>
        </w:rPr>
      </w:pPr>
      <w:r>
        <w:rPr>
          <w:rFonts w:ascii="Arial" w:cs="Arial" w:eastAsia="Arial" w:hAnsi="Arial"/>
          <w:sz w:val="16"/>
          <w:szCs w:val="16"/>
          <w:b w:val="1"/>
          <w:bCs w:val="1"/>
          <w:color w:val="auto"/>
        </w:rPr>
        <w:t>As discussed above, if you are a beneficial owner, you may not vote your shares in person at the Annual Meeting unless you obtain a legal proxy from your broker, bank or other nominee.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or revoke my proxy?</w:t>
      </w:r>
    </w:p>
    <w:p>
      <w:pPr>
        <w:spacing w:after="0" w:line="215" w:lineRule="exact"/>
        <w:rPr>
          <w:sz w:val="20"/>
          <w:szCs w:val="20"/>
          <w:color w:val="auto"/>
        </w:rPr>
      </w:pPr>
    </w:p>
    <w:p>
      <w:pPr>
        <w:ind w:right="360" w:firstLine="321"/>
        <w:spacing w:after="0" w:line="284"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If you are a stockholder of record, you may revoke your proxy or change your proxy instructions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before your proxy is voted at the Annual Meeting by:</w:t>
      </w:r>
    </w:p>
    <w:p>
      <w:pPr>
        <w:spacing w:after="0" w:line="169" w:lineRule="exact"/>
        <w:rPr>
          <w:sz w:val="20"/>
          <w:szCs w:val="20"/>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entering a new vote by Internet or telephone;</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signing and returning a new proxy card with a later date;</w:t>
      </w:r>
    </w:p>
    <w:p>
      <w:pPr>
        <w:spacing w:after="0" w:line="222" w:lineRule="exact"/>
        <w:rPr>
          <w:rFonts w:ascii="Arial" w:cs="Arial" w:eastAsia="Arial" w:hAnsi="Arial"/>
          <w:sz w:val="16"/>
          <w:szCs w:val="16"/>
          <w:color w:val="auto"/>
        </w:rPr>
      </w:pPr>
    </w:p>
    <w:p>
      <w:pPr>
        <w:ind w:left="980" w:right="120" w:hanging="488"/>
        <w:spacing w:after="0" w:line="284"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delivering a written revocation to our Secretary at Y-mAbs Therapeutics, Inc., 230 Park Avenue, Suite 3350, New York, New York 10169, by 11:59 p.m. Eastern Time on June 5, 2019; or</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attending the Annual Meeting and voting in person.</w:t>
      </w:r>
    </w:p>
    <w:p>
      <w:pPr>
        <w:spacing w:after="0" w:line="211" w:lineRule="exact"/>
        <w:rPr>
          <w:sz w:val="20"/>
          <w:szCs w:val="20"/>
          <w:color w:val="auto"/>
        </w:rPr>
      </w:pPr>
    </w:p>
    <w:p>
      <w:pPr>
        <w:ind w:right="120" w:firstLine="321"/>
        <w:spacing w:after="0" w:line="284"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you are the beneficial owner of your shares, you must contact the broker, bank</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nominee holding your shares and follow their instructions to change your vote or revoke your proxy.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effect of giving a proxy?</w:t>
      </w:r>
    </w:p>
    <w:p>
      <w:pPr>
        <w:spacing w:after="0" w:line="215" w:lineRule="exact"/>
        <w:rPr>
          <w:sz w:val="20"/>
          <w:szCs w:val="20"/>
          <w:color w:val="auto"/>
        </w:rPr>
      </w:pPr>
    </w:p>
    <w:p>
      <w:pPr>
        <w:jc w:val="both"/>
        <w:ind w:right="20" w:firstLine="321"/>
        <w:spacing w:after="0" w:line="310" w:lineRule="auto"/>
        <w:rPr>
          <w:sz w:val="20"/>
          <w:szCs w:val="20"/>
          <w:color w:val="auto"/>
        </w:rPr>
      </w:pPr>
      <w:r>
        <w:rPr>
          <w:rFonts w:ascii="Arial" w:cs="Arial" w:eastAsia="Arial" w:hAnsi="Arial"/>
          <w:sz w:val="14"/>
          <w:szCs w:val="14"/>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I do not specify how my shares are to be voted?</w:t>
      </w:r>
    </w:p>
    <w:p>
      <w:pPr>
        <w:spacing w:after="0" w:line="215"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i w:val="1"/>
          <w:iCs w:val="1"/>
          <w:color w:val="auto"/>
        </w:rPr>
        <w:t xml:space="preserve">Stockholder of Record: Shares Registered in Your Name. </w:t>
      </w:r>
      <w:r>
        <w:rPr>
          <w:rFonts w:ascii="Arial" w:cs="Arial" w:eastAsia="Arial" w:hAnsi="Arial"/>
          <w:sz w:val="16"/>
          <w:szCs w:val="16"/>
          <w:color w:val="auto"/>
        </w:rPr>
        <w:t>If you are a stockholder of record and you submit a proxy but you do not provide voting instructions, your shares</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voted:</w:t>
      </w:r>
    </w:p>
    <w:p>
      <w:pPr>
        <w:spacing w:after="0" w:line="177" w:lineRule="exact"/>
        <w:rPr>
          <w:sz w:val="20"/>
          <w:szCs w:val="20"/>
          <w:color w:val="auto"/>
        </w:rPr>
      </w:pPr>
    </w:p>
    <w:p>
      <w:pPr>
        <w:ind w:left="980" w:hanging="488"/>
        <w:spacing w:after="0" w:line="268"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two (2) directors nominated by our Board of Directors and named in this proxy statement as Class I directors each to serve for a three-year term to expire at the 2022 annual meeting of stockholders, and the one (1) director nominated by our Board of Directors and named in this proxy statement as a Class II director to serve for a one-year term to expire at the 2020 annual meeting of stockholders, each such nominee to hold office until his successor has been duly elected and qualified or until his earlier death, resignation or removal (Proposal No. 1);</w:t>
      </w:r>
    </w:p>
    <w:p>
      <w:pPr>
        <w:spacing w:after="0" w:line="176" w:lineRule="exact"/>
        <w:rPr>
          <w:rFonts w:ascii="Arial" w:cs="Arial" w:eastAsia="Arial" w:hAnsi="Arial"/>
          <w:sz w:val="16"/>
          <w:szCs w:val="16"/>
          <w:color w:val="auto"/>
        </w:rPr>
      </w:pPr>
    </w:p>
    <w:p>
      <w:pPr>
        <w:ind w:left="980" w:right="640" w:hanging="488"/>
        <w:spacing w:after="0" w:line="289"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independent registered public accounting firm for our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2019 (Proposal No. 2); and</w:t>
      </w:r>
    </w:p>
    <w:p>
      <w:pPr>
        <w:spacing w:after="0" w:line="165" w:lineRule="exact"/>
        <w:rPr>
          <w:rFonts w:ascii="Arial" w:cs="Arial" w:eastAsia="Arial" w:hAnsi="Arial"/>
          <w:sz w:val="16"/>
          <w:szCs w:val="16"/>
          <w:color w:val="auto"/>
        </w:rPr>
      </w:pPr>
    </w:p>
    <w:p>
      <w:pPr>
        <w:ind w:left="980" w:hanging="488"/>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discretion of the named proxy holders regarding any other matters properly presented for a vote at the Annual Meeting.</w:t>
      </w:r>
    </w:p>
    <w:p>
      <w:pPr>
        <w:spacing w:after="0" w:line="211" w:lineRule="exact"/>
        <w:rPr>
          <w:sz w:val="20"/>
          <w:szCs w:val="20"/>
          <w:color w:val="auto"/>
        </w:rPr>
      </w:pPr>
    </w:p>
    <w:p>
      <w:pPr>
        <w:ind w:right="200" w:firstLine="321"/>
        <w:spacing w:after="0" w:line="266" w:lineRule="auto"/>
        <w:rPr>
          <w:sz w:val="20"/>
          <w:szCs w:val="20"/>
          <w:color w:val="auto"/>
        </w:rPr>
      </w:pPr>
      <w:r>
        <w:rPr>
          <w:rFonts w:ascii="Arial" w:cs="Arial" w:eastAsia="Arial" w:hAnsi="Arial"/>
          <w:sz w:val="16"/>
          <w:szCs w:val="16"/>
          <w:i w:val="1"/>
          <w:iCs w:val="1"/>
          <w:color w:val="auto"/>
        </w:rPr>
        <w:t xml:space="preserve">Beneficial Owners: Shares Registered in the Name of a Broker, Bank or Other Nominee. </w:t>
      </w:r>
      <w:r>
        <w:rPr>
          <w:rFonts w:ascii="Arial" w:cs="Arial" w:eastAsia="Arial" w:hAnsi="Arial"/>
          <w:sz w:val="16"/>
          <w:szCs w:val="16"/>
          <w:color w:val="auto"/>
        </w:rPr>
        <w:t>If you are a beneficial owner and you do not provide your broker, bank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nominee that holds your shares with voting instructions, then your broker, bank or other nominee will determine if it has discretion to vote on each matter. Brokers do not have discretion to vote on non-routine matters. Proposal No. 1 (election of directors) is a non-routine matter, while Proposal No. 2 (ratification of appointment of independent registered public accounting firm) is a routine matter. As a result, if you do not provide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voting instructions to your broker, bank or other nominee, then your broker, bank or other nominee may not vote your shares with respect to Proposal No. 1, which would result in a "broker non-vote," but such broker, bank or other nominee may, in its discretion, vote your shares with respect to Proposal No. 2. For additional information regarding broker non-votes, see "</w:t>
      </w:r>
      <w:r>
        <w:rPr>
          <w:rFonts w:ascii="Arial" w:cs="Arial" w:eastAsia="Arial" w:hAnsi="Arial"/>
          <w:sz w:val="16"/>
          <w:szCs w:val="16"/>
          <w:i w:val="1"/>
          <w:iCs w:val="1"/>
          <w:color w:val="auto"/>
        </w:rPr>
        <w:t>What are the effects of abstentions and broker non-votes?</w:t>
      </w:r>
      <w:r>
        <w:rPr>
          <w:rFonts w:ascii="Arial" w:cs="Arial" w:eastAsia="Arial" w:hAnsi="Arial"/>
          <w:sz w:val="16"/>
          <w:szCs w:val="16"/>
          <w:color w:val="auto"/>
        </w:rPr>
        <w:t>" below.</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the effects of abstentions and broker non-votes?</w:t>
      </w:r>
    </w:p>
    <w:p>
      <w:pPr>
        <w:spacing w:after="0" w:line="215" w:lineRule="exact"/>
        <w:rPr>
          <w:sz w:val="20"/>
          <w:szCs w:val="20"/>
          <w:color w:val="auto"/>
        </w:rPr>
      </w:pPr>
    </w:p>
    <w:p>
      <w:pPr>
        <w:ind w:right="100" w:firstLine="312"/>
        <w:spacing w:after="0" w:line="262" w:lineRule="auto"/>
        <w:rPr>
          <w:sz w:val="20"/>
          <w:szCs w:val="20"/>
          <w:color w:val="auto"/>
        </w:rPr>
      </w:pPr>
      <w:r>
        <w:rPr>
          <w:rFonts w:ascii="Arial" w:cs="Arial" w:eastAsia="Arial" w:hAnsi="Arial"/>
          <w:sz w:val="16"/>
          <w:szCs w:val="16"/>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and entitled to vote at the Annual Meeting (</w:t>
      </w:r>
      <w:r>
        <w:rPr>
          <w:rFonts w:ascii="Arial" w:cs="Arial" w:eastAsia="Arial" w:hAnsi="Arial"/>
          <w:sz w:val="16"/>
          <w:szCs w:val="16"/>
          <w:i w:val="1"/>
          <w:iCs w:val="1"/>
          <w:color w:val="auto"/>
        </w:rPr>
        <w:t>e.g.</w:t>
      </w:r>
      <w:r>
        <w:rPr>
          <w:rFonts w:ascii="Arial" w:cs="Arial" w:eastAsia="Arial" w:hAnsi="Arial"/>
          <w:sz w:val="16"/>
          <w:szCs w:val="16"/>
          <w:color w:val="auto"/>
        </w:rPr>
        <w:t>, Proposal No. 2). However, because the outcome of Proposal No. 1 (election of directors) will be determined by a plurality vote, abstentions will have no impact on the outcome of such proposal as long as a quorum exists.</w:t>
      </w:r>
    </w:p>
    <w:p>
      <w:pPr>
        <w:spacing w:after="0" w:line="176" w:lineRule="exact"/>
        <w:rPr>
          <w:sz w:val="20"/>
          <w:szCs w:val="20"/>
          <w:color w:val="auto"/>
        </w:rPr>
      </w:pPr>
    </w:p>
    <w:p>
      <w:pPr>
        <w:ind w:right="20" w:firstLine="312"/>
        <w:spacing w:after="0" w:line="289" w:lineRule="auto"/>
        <w:rPr>
          <w:sz w:val="20"/>
          <w:szCs w:val="20"/>
          <w:color w:val="auto"/>
        </w:rPr>
      </w:pPr>
      <w:r>
        <w:rPr>
          <w:rFonts w:ascii="Arial" w:cs="Arial" w:eastAsia="Arial" w:hAnsi="Arial"/>
          <w:sz w:val="15"/>
          <w:szCs w:val="15"/>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a quorum?</w:t>
      </w:r>
    </w:p>
    <w:p>
      <w:pPr>
        <w:spacing w:after="0" w:line="215" w:lineRule="exact"/>
        <w:rPr>
          <w:sz w:val="20"/>
          <w:szCs w:val="20"/>
          <w:color w:val="auto"/>
        </w:rPr>
      </w:pPr>
    </w:p>
    <w:p>
      <w:pPr>
        <w:ind w:right="140" w:firstLine="312"/>
        <w:spacing w:after="0" w:line="264" w:lineRule="auto"/>
        <w:rPr>
          <w:sz w:val="20"/>
          <w:szCs w:val="20"/>
          <w:color w:val="auto"/>
        </w:rPr>
      </w:pPr>
      <w:r>
        <w:rPr>
          <w:rFonts w:ascii="Arial" w:cs="Arial" w:eastAsia="Arial" w:hAnsi="Arial"/>
          <w:sz w:val="16"/>
          <w:szCs w:val="16"/>
          <w:color w:val="auto"/>
        </w:rPr>
        <w:t>A quorum is the minimum number of shares required to be present at the Annual Meeting for the meeting to be properly held under our amended and restated bylaws and Delaware law. A majority of the shares of common stock outstanding and entitled to vote, in person or by proxy, constitutes a quorum for the transaction of business at the Annual Meeting. As noted above, as of the Record Date, there were a total of 34,193,666 shares of common stock outstanding, which means that 17,096,834 shares of common stock must be represented in person or by proxy at the Annual Meeting to have a quorum. If there is no quorum, a majority of the shares present at the Annual Meeting may adjourn the meeting to a later date.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many votes are needed for approval of each proposal?</w:t>
      </w:r>
    </w:p>
    <w:p>
      <w:pPr>
        <w:spacing w:after="0" w:line="227" w:lineRule="exact"/>
        <w:rPr>
          <w:sz w:val="20"/>
          <w:szCs w:val="20"/>
          <w:color w:val="auto"/>
        </w:rPr>
      </w:pPr>
    </w:p>
    <w:p>
      <w:pPr>
        <w:jc w:val="both"/>
        <w:ind w:left="980" w:right="300" w:hanging="488"/>
        <w:spacing w:after="0" w:line="299" w:lineRule="auto"/>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i w:val="1"/>
          <w:iCs w:val="1"/>
          <w:color w:val="auto"/>
        </w:rPr>
        <w:t xml:space="preserve">Proposal No. 1: </w:t>
      </w:r>
      <w:r>
        <w:rPr>
          <w:rFonts w:ascii="Arial" w:cs="Arial" w:eastAsia="Arial" w:hAnsi="Arial"/>
          <w:sz w:val="14"/>
          <w:szCs w:val="14"/>
          <w:color w:val="auto"/>
        </w:rPr>
        <w:t>The election of Class I and Class II directors requires a plurality vote of the shares of our common stock present in person or by proxy at the</w:t>
      </w:r>
      <w:r>
        <w:rPr>
          <w:rFonts w:ascii="Arial" w:cs="Arial" w:eastAsia="Arial" w:hAnsi="Arial"/>
          <w:sz w:val="14"/>
          <w:szCs w:val="14"/>
          <w:i w:val="1"/>
          <w:iCs w:val="1"/>
          <w:color w:val="auto"/>
        </w:rPr>
        <w:t xml:space="preserve"> </w:t>
      </w:r>
      <w:r>
        <w:rPr>
          <w:rFonts w:ascii="Arial" w:cs="Arial" w:eastAsia="Arial" w:hAnsi="Arial"/>
          <w:sz w:val="14"/>
          <w:szCs w:val="14"/>
          <w:color w:val="auto"/>
        </w:rPr>
        <w:t>Annual Meeting and entitled to vote thereon to be approved. This means that the three (3) nominees that receive the most FOR votes will be elected. You may</w:t>
      </w:r>
    </w:p>
    <w:p>
      <w:pPr>
        <w:ind w:left="980" w:right="80"/>
        <w:spacing w:after="0" w:line="263" w:lineRule="auto"/>
        <w:rPr>
          <w:rFonts w:ascii="Arial" w:cs="Arial" w:eastAsia="Arial" w:hAnsi="Arial"/>
          <w:sz w:val="14"/>
          <w:szCs w:val="14"/>
          <w:color w:val="auto"/>
        </w:rPr>
      </w:pPr>
      <w:r>
        <w:rPr>
          <w:rFonts w:ascii="Arial" w:cs="Arial" w:eastAsia="Arial" w:hAnsi="Arial"/>
          <w:sz w:val="16"/>
          <w:szCs w:val="16"/>
          <w:color w:val="auto"/>
        </w:rPr>
        <w:t>(i)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If you WITHHOLD your vote as to all nominees, you will be deemed to have abstained from voting on Proposal No. 1, and such abstention will have no effect on the outcome of such proposal.</w:t>
      </w:r>
    </w:p>
    <w:p>
      <w:pPr>
        <w:spacing w:after="0" w:line="197" w:lineRule="exact"/>
        <w:rPr>
          <w:rFonts w:ascii="Arial" w:cs="Arial" w:eastAsia="Arial" w:hAnsi="Arial"/>
          <w:sz w:val="14"/>
          <w:szCs w:val="14"/>
          <w:color w:val="auto"/>
        </w:rPr>
      </w:pPr>
    </w:p>
    <w:p>
      <w:pPr>
        <w:ind w:left="980" w:right="20" w:hanging="488"/>
        <w:spacing w:after="0" w:line="284"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Proposal No. 2: </w:t>
      </w:r>
      <w:r>
        <w:rPr>
          <w:rFonts w:ascii="Arial" w:cs="Arial" w:eastAsia="Arial" w:hAnsi="Arial"/>
          <w:sz w:val="16"/>
          <w:szCs w:val="16"/>
          <w:color w:val="auto"/>
        </w:rPr>
        <w:t>The ratification of the appointment of PricewaterhouseCoopers LLP requires an affirmative vote of a majority of the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by proxy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980" w:right="420"/>
        <w:spacing w:after="0" w:line="284" w:lineRule="auto"/>
        <w:rPr>
          <w:sz w:val="20"/>
          <w:szCs w:val="20"/>
          <w:color w:val="auto"/>
        </w:rPr>
      </w:pPr>
      <w:r>
        <w:rPr>
          <w:rFonts w:ascii="Arial" w:cs="Arial" w:eastAsia="Arial" w:hAnsi="Arial"/>
          <w:sz w:val="16"/>
          <w:szCs w:val="16"/>
          <w:color w:val="auto"/>
        </w:rPr>
        <w:t>at the Annual Meeting and entitled to vote thereon to be approved. You may vote FOR, AGAINST or ABSTAIN. If you ABSTAIN from voting on Proposal No. 2, the abstention will have the same effect as a vote AGAINST such proposal.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proxies solicited for the Annual Meeting and who is paying for such solicitation?</w:t>
      </w:r>
    </w:p>
    <w:p>
      <w:pPr>
        <w:spacing w:after="0" w:line="215" w:lineRule="exact"/>
        <w:rPr>
          <w:sz w:val="20"/>
          <w:szCs w:val="20"/>
          <w:color w:val="auto"/>
        </w:rPr>
      </w:pPr>
    </w:p>
    <w:p>
      <w:pPr>
        <w:ind w:right="80" w:firstLine="321"/>
        <w:spacing w:after="0" w:line="283" w:lineRule="auto"/>
        <w:rPr>
          <w:sz w:val="20"/>
          <w:szCs w:val="20"/>
          <w:color w:val="auto"/>
        </w:rPr>
      </w:pPr>
      <w:r>
        <w:rPr>
          <w:rFonts w:ascii="Arial" w:cs="Arial" w:eastAsia="Arial" w:hAnsi="Arial"/>
          <w:sz w:val="15"/>
          <w:szCs w:val="15"/>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have engaged D.F. King, at an anticipated cost of approximately $10,500, for proxy solicitation services related to the Annual Meeting.</w:t>
      </w:r>
    </w:p>
    <w:p>
      <w:pPr>
        <w:spacing w:after="0" w:line="161"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does it mean if I received more than one Notice?</w:t>
      </w:r>
    </w:p>
    <w:p>
      <w:pPr>
        <w:spacing w:after="0" w:line="215" w:lineRule="exact"/>
        <w:rPr>
          <w:sz w:val="20"/>
          <w:szCs w:val="20"/>
          <w:color w:val="auto"/>
        </w:rPr>
      </w:pPr>
    </w:p>
    <w:p>
      <w:pPr>
        <w:ind w:right="160" w:firstLine="321"/>
        <w:spacing w:after="0" w:line="284"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Notice to ensure that all of your shares are voted.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 my vote confidential?</w:t>
      </w:r>
    </w:p>
    <w:p>
      <w:pPr>
        <w:spacing w:after="0" w:line="215"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share an address with another stockholder, and we received only one paper copy of the proxy materials. How may I obtain an additional copy of the proxy materials?</w:t>
      </w:r>
    </w:p>
    <w:p>
      <w:pPr>
        <w:spacing w:after="0" w:line="238" w:lineRule="exact"/>
        <w:rPr>
          <w:sz w:val="20"/>
          <w:szCs w:val="20"/>
          <w:color w:val="auto"/>
        </w:rPr>
      </w:pPr>
    </w:p>
    <w:p>
      <w:pPr>
        <w:ind w:firstLine="318"/>
        <w:spacing w:after="0" w:line="282" w:lineRule="auto"/>
        <w:rPr>
          <w:sz w:val="20"/>
          <w:szCs w:val="20"/>
          <w:color w:val="auto"/>
        </w:rPr>
      </w:pPr>
      <w:r>
        <w:rPr>
          <w:rFonts w:ascii="Arial" w:cs="Arial" w:eastAsia="Arial" w:hAnsi="Arial"/>
          <w:sz w:val="15"/>
          <w:szCs w:val="15"/>
          <w:color w:val="auto"/>
        </w:rPr>
        <w:t>We have adopted an SEC-approved procedure called "householding," which has been approved by the SEC. Under this procedure, we will deliver only one (1) paper copy of our annual report to stockholders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 Y-mAbs Therapeutics, Inc., Attention: Secretary, 230 Park Avenue, Suite 3350, New York, New York 10169, Telephone No. (646) 885-8505.</w:t>
      </w:r>
    </w:p>
    <w:p>
      <w:pPr>
        <w:spacing w:after="0" w:line="160" w:lineRule="exact"/>
        <w:rPr>
          <w:sz w:val="20"/>
          <w:szCs w:val="20"/>
          <w:color w:val="auto"/>
        </w:rPr>
      </w:pPr>
    </w:p>
    <w:p>
      <w:pPr>
        <w:jc w:val="center"/>
        <w:ind w:right="500"/>
        <w:spacing w:after="0"/>
        <w:rPr>
          <w:sz w:val="20"/>
          <w:szCs w:val="20"/>
          <w:color w:val="auto"/>
        </w:rPr>
      </w:pPr>
      <w:r>
        <w:rPr>
          <w:rFonts w:ascii="Arial" w:cs="Arial" w:eastAsia="Arial" w:hAnsi="Arial"/>
          <w:sz w:val="15"/>
          <w:szCs w:val="15"/>
          <w:color w:val="auto"/>
        </w:rPr>
        <w:t>Stockholders who hold shares in street name may contact their brokerage firm, bank, broker-dealer or other nominee to request information about householding.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find out the results of the voting at the Annual Meeting?</w:t>
      </w:r>
    </w:p>
    <w:p>
      <w:pPr>
        <w:spacing w:after="0" w:line="215"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 the SEC within four (4) business days after the Annual Meeting. If final voting results are not available to us at that time, we intend to file a Current Report on Form 8-K to publish preliminary results and, within four (4) business days after the final results are known to us, file an amendment to the Current Report on Form 8-K to publish the final results.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What is the deadline to propose actions for consideration at next year's annual meeting of stockholders or to nominate individuals to serve as directors?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Proposals to be Included in Proxy Statement</w:t>
      </w:r>
    </w:p>
    <w:p>
      <w:pPr>
        <w:spacing w:after="0" w:line="211" w:lineRule="exact"/>
        <w:rPr>
          <w:sz w:val="20"/>
          <w:szCs w:val="20"/>
          <w:color w:val="auto"/>
        </w:rPr>
      </w:pPr>
    </w:p>
    <w:p>
      <w:pPr>
        <w:ind w:right="100" w:firstLine="321"/>
        <w:spacing w:after="0" w:line="262"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Secretary in a timely manner. Stockholder proposals must comply with the requirements of Rule 14a-8 under the Securities Exchange Act of 1934, as amended (the "Exchange Act"), regarding the inclusion of stockholder proposals in company-sponsored proxy materials. For a stockholder proposal to be considered for inclusion in our proxy statement for our 2020 annual meeting of stockholders, our Secretary must receive the written proposal at our principal executive offices not later than January 1, 2020. Stockholder proposals should be addressed to: Y-mAbs Therapeutics, Inc., Attention: Secretary, 230 Park Avenue, Suite 3350, New York, New York 10169, Telephone No. (646) 885-8505.</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Proposals Not Included in Proxy Statement</w:t>
      </w:r>
    </w:p>
    <w:p>
      <w:pPr>
        <w:spacing w:after="0" w:line="211"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Our amended and restated bylaws establish an advance notice procedure for stockholders who wish to present a proposal before an annual meeting of stockholders but do not intend for the proposal to be included in our proxy statement. Our amended and restated bylaws also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amended and restated bylaws.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 be timely for our 2020 annual meeting of stockholders, our Secretary must receive the written notice at our principal executive offices:</w:t>
      </w:r>
    </w:p>
    <w:p>
      <w:pPr>
        <w:spacing w:after="0" w:line="223" w:lineRule="exact"/>
        <w:rPr>
          <w:sz w:val="20"/>
          <w:szCs w:val="20"/>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earlier than February 7, 2020;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 later than March 8, 2020.</w:t>
      </w:r>
    </w:p>
    <w:p>
      <w:pPr>
        <w:spacing w:after="0" w:line="211"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In the event that we hold our 2020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(2) dates:</w:t>
      </w:r>
    </w:p>
    <w:p>
      <w:pPr>
        <w:spacing w:after="0" w:line="181" w:lineRule="exact"/>
        <w:rPr>
          <w:sz w:val="20"/>
          <w:szCs w:val="20"/>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90th day prior to such annual meeting; or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10th day following the day on which public announcement of the date of such annual meeting is first made.</w:t>
      </w:r>
    </w:p>
    <w:p>
      <w:pPr>
        <w:spacing w:after="0" w:line="211" w:lineRule="exact"/>
        <w:rPr>
          <w:sz w:val="20"/>
          <w:szCs w:val="20"/>
          <w:color w:val="auto"/>
        </w:rPr>
      </w:pPr>
    </w:p>
    <w:p>
      <w:pPr>
        <w:ind w:right="260" w:firstLine="321"/>
        <w:spacing w:after="0" w:line="284"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Nomination of Director Candidates</w:t>
      </w:r>
    </w:p>
    <w:p>
      <w:pPr>
        <w:spacing w:after="0" w:line="211" w:lineRule="exact"/>
        <w:rPr>
          <w:sz w:val="20"/>
          <w:szCs w:val="20"/>
          <w:color w:val="auto"/>
        </w:rPr>
      </w:pPr>
    </w:p>
    <w:p>
      <w:pPr>
        <w:ind w:right="180" w:firstLine="315"/>
        <w:spacing w:after="0" w:line="266" w:lineRule="auto"/>
        <w:rPr>
          <w:sz w:val="20"/>
          <w:szCs w:val="20"/>
          <w:color w:val="auto"/>
        </w:rPr>
      </w:pPr>
      <w:r>
        <w:rPr>
          <w:rFonts w:ascii="Arial" w:cs="Arial" w:eastAsia="Arial" w:hAnsi="Arial"/>
          <w:sz w:val="16"/>
          <w:szCs w:val="16"/>
          <w:color w:val="auto"/>
        </w:rPr>
        <w:t>You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"Board of Directors and Corporate Governance—Stockholder Recommendations for Nominations to the Board of Directors."</w:t>
      </w:r>
    </w:p>
    <w:p>
      <w:pPr>
        <w:spacing w:after="0" w:line="171" w:lineRule="exact"/>
        <w:rPr>
          <w:sz w:val="20"/>
          <w:szCs w:val="20"/>
          <w:color w:val="auto"/>
        </w:rPr>
      </w:pPr>
    </w:p>
    <w:p>
      <w:pPr>
        <w:ind w:right="80" w:firstLine="321"/>
        <w:spacing w:after="0" w:line="289" w:lineRule="auto"/>
        <w:rPr>
          <w:sz w:val="20"/>
          <w:szCs w:val="20"/>
          <w:color w:val="auto"/>
        </w:rPr>
      </w:pPr>
      <w:r>
        <w:rPr>
          <w:rFonts w:ascii="Arial" w:cs="Arial" w:eastAsia="Arial" w:hAnsi="Arial"/>
          <w:sz w:val="15"/>
          <w:szCs w:val="15"/>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Secretary in accordance with our amended and restated bylaws, which, in general, require that the notice be received by our Secretary within the time period described above under "Stockholder Proposals Not Included in Proxy Statement" for stockholder proposals that are not intended to be included in a proxy statement.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Availability of Bylaws</w:t>
      </w:r>
    </w:p>
    <w:p>
      <w:pPr>
        <w:spacing w:after="0" w:line="211" w:lineRule="exact"/>
        <w:rPr>
          <w:sz w:val="20"/>
          <w:szCs w:val="20"/>
          <w:color w:val="auto"/>
        </w:rPr>
      </w:pPr>
    </w:p>
    <w:p>
      <w:pPr>
        <w:ind w:firstLine="312"/>
        <w:spacing w:after="0" w:line="359" w:lineRule="auto"/>
        <w:rPr>
          <w:sz w:val="20"/>
          <w:szCs w:val="20"/>
          <w:color w:val="auto"/>
        </w:rPr>
      </w:pPr>
      <w:r>
        <w:rPr>
          <w:rFonts w:ascii="Arial" w:cs="Arial" w:eastAsia="Arial" w:hAnsi="Arial"/>
          <w:sz w:val="14"/>
          <w:szCs w:val="14"/>
          <w:color w:val="auto"/>
        </w:rPr>
        <w:t xml:space="preserve">A copy of our amended and restated bylaws may be obtained by accessing our public filings on the SEC's website at </w:t>
      </w:r>
      <w:r>
        <w:rPr>
          <w:rFonts w:ascii="Arial" w:cs="Arial" w:eastAsia="Arial" w:hAnsi="Arial"/>
          <w:sz w:val="14"/>
          <w:szCs w:val="14"/>
          <w:i w:val="1"/>
          <w:iCs w:val="1"/>
          <w:color w:val="auto"/>
        </w:rPr>
        <w:t>www.sec.gov</w:t>
      </w:r>
      <w:r>
        <w:rPr>
          <w:rFonts w:ascii="Arial" w:cs="Arial" w:eastAsia="Arial" w:hAnsi="Arial"/>
          <w:sz w:val="14"/>
          <w:szCs w:val="14"/>
          <w:color w:val="auto"/>
        </w:rPr>
        <w:t>. You may also contact our Secretary at our principal executive office for a copy of the relevant bylaw provisions regarding the requirements for making stockholder proposals and nominating director candidates.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215" w:lineRule="exact"/>
        <w:rPr>
          <w:sz w:val="20"/>
          <w:szCs w:val="20"/>
          <w:color w:val="auto"/>
        </w:rPr>
      </w:pPr>
    </w:p>
    <w:p>
      <w:pPr>
        <w:ind w:right="20" w:firstLine="318"/>
        <w:spacing w:after="0" w:line="280" w:lineRule="auto"/>
        <w:rPr>
          <w:sz w:val="20"/>
          <w:szCs w:val="20"/>
          <w:color w:val="auto"/>
        </w:rPr>
      </w:pPr>
      <w:r>
        <w:rPr>
          <w:rFonts w:ascii="Arial" w:cs="Arial" w:eastAsia="Arial" w:hAnsi="Arial"/>
          <w:sz w:val="15"/>
          <w:szCs w:val="15"/>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including the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(ii) the last day of the fiscal year in which our total annual gross revenue is equal to or more than $1.07 billion; (iii) the date on which we have issued more than $1 billion in nonconvertible debt during the previous three (3) years; or (iv) the date on which we are deemed to be a large accelerated filer under the rules of the SEC. Even after we are no longer an "emerging growth company," we may remain a "smaller reporting company."</w:t>
      </w: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BOARD OF DIRECTORS AND 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15" w:lineRule="exact"/>
        <w:rPr>
          <w:sz w:val="20"/>
          <w:szCs w:val="20"/>
          <w:color w:val="auto"/>
        </w:rPr>
      </w:pPr>
    </w:p>
    <w:p>
      <w:pPr>
        <w:ind w:right="40" w:firstLine="321"/>
        <w:spacing w:after="0" w:line="264" w:lineRule="auto"/>
        <w:rPr>
          <w:sz w:val="20"/>
          <w:szCs w:val="20"/>
          <w:color w:val="auto"/>
        </w:rPr>
      </w:pPr>
      <w:r>
        <w:rPr>
          <w:rFonts w:ascii="Arial" w:cs="Arial" w:eastAsia="Arial" w:hAnsi="Arial"/>
          <w:sz w:val="16"/>
          <w:szCs w:val="16"/>
          <w:color w:val="auto"/>
        </w:rPr>
        <w:t>Our business affairs are managed under the direction of our Board of Directors, which is divided into three (3) classes with staggered three-year terms. There are currently three (3) Class I directors (Bo Kruse, Ashutosh Tyagi, M.D. and Dr. Gérard Ber), whose terms expire at the Annual Meeting; three (3) Class II directors (James I. Healy, M.D., Gregory Raskin, M.D. and David N. Gill), whose terms expire at the 2020 annual meeting of stockholders; and three (3) Class III directors (Thomas Gad, Claus Juan Møller San Pedro, M.D., PhD., and Johan Wedell-Wedellsborg), whose terms expire at the 2021 annual meeting of stockholders (in all cases subject to the election and qualification of their successors or to their earlier death, resignation or removal).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One (1) of our current Class I directors, Bo Kruse, following best practices as our Company's Chief Financial Officer, has determined to retire from our Board of Directors at the end of his current term and will not stand for re-election at the Annual Meeting. Mr. Kruse will continue to serve as a member of our Board of Directors until the Annual Meeting. Mr. Kruse advised the Company that his decision not to stand for re-election was not the result of any disagreement with the Company, the Board of Directors or its management on any matter relating to the Company's operations, policies or practices. Upon the expiration of Mr. Kruse's current term at the Annual Meeting, the size of our Board of Directors will be reduced from nine (9) to eight (8) directors.</w:t>
      </w:r>
    </w:p>
    <w:p>
      <w:pPr>
        <w:spacing w:after="0" w:line="172" w:lineRule="exact"/>
        <w:rPr>
          <w:sz w:val="20"/>
          <w:szCs w:val="20"/>
          <w:color w:val="auto"/>
        </w:rPr>
      </w:pPr>
    </w:p>
    <w:p>
      <w:pPr>
        <w:ind w:right="180" w:firstLine="321"/>
        <w:spacing w:after="0" w:line="289" w:lineRule="auto"/>
        <w:rPr>
          <w:sz w:val="20"/>
          <w:szCs w:val="20"/>
          <w:color w:val="auto"/>
        </w:rPr>
      </w:pPr>
      <w:r>
        <w:rPr>
          <w:rFonts w:ascii="Arial" w:cs="Arial" w:eastAsia="Arial" w:hAnsi="Arial"/>
          <w:sz w:val="15"/>
          <w:szCs w:val="15"/>
          <w:color w:val="auto"/>
        </w:rPr>
        <w:t>Our Board of Directors has determined to reassign Mr. Gill from a Class II director to a Class I director and, in connection therewith, Mr. Gill will stand for election at the Annual Meeting to serve for a three-year term to expire at the 2022 annual meeting of stockholders. Mr. Gill will continue to serve as member of our Board of Directors and Chair of our Audit Committee and as a member of our Compensation Committee and our Nominating and Corporate Governance Committee until the Annual Meeting and, if elected at the Annual Meeting, will continue to serve in those positions until his term expires at the 2022 annual meeting of stockholders.</w:t>
      </w:r>
    </w:p>
    <w:p>
      <w:pPr>
        <w:spacing w:after="0" w:line="156" w:lineRule="exact"/>
        <w:rPr>
          <w:sz w:val="20"/>
          <w:szCs w:val="20"/>
          <w:color w:val="auto"/>
        </w:rPr>
      </w:pPr>
    </w:p>
    <w:p>
      <w:pPr>
        <w:ind w:right="200" w:firstLine="321"/>
        <w:spacing w:after="0" w:line="262" w:lineRule="auto"/>
        <w:rPr>
          <w:sz w:val="20"/>
          <w:szCs w:val="20"/>
          <w:color w:val="auto"/>
        </w:rPr>
      </w:pPr>
      <w:r>
        <w:rPr>
          <w:rFonts w:ascii="Arial" w:cs="Arial" w:eastAsia="Arial" w:hAnsi="Arial"/>
          <w:sz w:val="16"/>
          <w:szCs w:val="16"/>
          <w:color w:val="auto"/>
        </w:rPr>
        <w:t>In addition, our Board of Directors has determined that Dr. Tyagi, whose term expires at the Annual Meeting, will stand for re-election as a Class II director at the Annual Meeting to serve for a one-year term to expire at the 2020 annual meeting of stockholders. Dr. Tyagi will continue to serve as a member of our Board of Directors and Chair of the Nominating and Corporate Governance Committee until the Annual Meeting and, if elected at the Annual Meeting, will continue to serve in those positions until his term expires at the 2020 annual meeting of stockholders. Following the Annual Meeting, assuming the election of Dr. Tyagi, Dr. Ber and Mr. Gill, five (5) of our eight (8) directors, Dr. Ber, Mr. Gill, Dr. Healy, Dr. Tyagi and Mr. Wedell-Wedellsborg, have been determined by our Board of Directors to be independent within the meaning of the independent director requirements of Nasdaq Listing Rules and SEC Rules.</w:t>
      </w:r>
    </w:p>
    <w:p>
      <w:pPr>
        <w:spacing w:after="0" w:line="176" w:lineRule="exact"/>
        <w:rPr>
          <w:sz w:val="20"/>
          <w:szCs w:val="20"/>
          <w:color w:val="auto"/>
        </w:rPr>
      </w:pPr>
    </w:p>
    <w:p>
      <w:pPr>
        <w:ind w:right="60" w:firstLine="321"/>
        <w:spacing w:after="0" w:line="305" w:lineRule="auto"/>
        <w:rPr>
          <w:sz w:val="20"/>
          <w:szCs w:val="20"/>
          <w:color w:val="auto"/>
        </w:rPr>
      </w:pPr>
      <w:r>
        <w:rPr>
          <w:rFonts w:ascii="Arial" w:cs="Arial" w:eastAsia="Arial" w:hAnsi="Arial"/>
          <w:sz w:val="14"/>
          <w:szCs w:val="14"/>
          <w:color w:val="auto"/>
        </w:rPr>
        <w:t>Set forth below are the names of, and certain information for, each member of our Board of Directors, including the two (2) nominees for election as Class I directors, Dr. Ber and Mr. Gill, and the one (1) nominee for election as a Class II director, Dr. Tyagi, but excluding Mr. Kruse, who, following best practices as the Company's Chief Financial Officer, will not stand for re-election at the Annual Meeting. The information presented includes each director's and nominee's principal occupation and business experience for the past five (5) years, and the names of other public companies of which he has served as a director during the past five (5) years. The information presented below regarding the specific experience, qualifications, attributes and skills of each director and nominee led our Nominating and Corporate Governance Committee and our Board of Directors to conclude that each such individual should serve as a director. In addition, we believe that all of our directors and nominees possess the attributes or characteristics described in "Corporate Governance Matters—Director Nomination Process" that the Nominating and Corporate Governance Committee expects of each director.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Set forth below are the names, ages and positions of the members of our Board and the committees of the Board on which they will serve following the Annual Meeting</w:t>
      </w:r>
    </w:p>
    <w:p>
      <w:pPr>
        <w:spacing w:after="0" w:line="230" w:lineRule="exact"/>
        <w:rPr>
          <w:sz w:val="20"/>
          <w:szCs w:val="20"/>
          <w:color w:val="auto"/>
        </w:rPr>
      </w:pPr>
    </w:p>
    <w:p>
      <w:pPr>
        <w:ind w:left="1140"/>
        <w:spacing w:after="0"/>
        <w:tabs>
          <w:tab w:leader="none" w:pos="4540" w:val="left"/>
          <w:tab w:leader="none" w:pos="7400" w:val="left"/>
        </w:tabs>
        <w:rPr>
          <w:sz w:val="20"/>
          <w:szCs w:val="20"/>
          <w:color w:val="auto"/>
        </w:rPr>
      </w:pPr>
      <w:r>
        <w:rPr>
          <w:rFonts w:ascii="Arial" w:cs="Arial" w:eastAsia="Arial" w:hAnsi="Arial"/>
          <w:sz w:val="12"/>
          <w:szCs w:val="12"/>
          <w:b w:val="1"/>
          <w:bCs w:val="1"/>
          <w:u w:val="single" w:color="auto"/>
          <w:color w:val="auto"/>
        </w:rPr>
        <w:t>Name</w:t>
      </w:r>
      <w:r>
        <w:rPr>
          <w:sz w:val="20"/>
          <w:szCs w:val="20"/>
          <w:color w:val="auto"/>
        </w:rPr>
        <w:tab/>
      </w:r>
      <w:r>
        <w:rPr>
          <w:rFonts w:ascii="Arial" w:cs="Arial" w:eastAsia="Arial" w:hAnsi="Arial"/>
          <w:sz w:val="12"/>
          <w:szCs w:val="12"/>
          <w:b w:val="1"/>
          <w:bCs w:val="1"/>
          <w:color w:val="auto"/>
        </w:rPr>
        <w:t>Age</w:t>
      </w:r>
      <w:r>
        <w:rPr>
          <w:sz w:val="20"/>
          <w:szCs w:val="20"/>
          <w:color w:val="auto"/>
        </w:rPr>
        <w:tab/>
      </w:r>
      <w:r>
        <w:rPr>
          <w:rFonts w:ascii="Arial" w:cs="Arial" w:eastAsia="Arial" w:hAnsi="Arial"/>
          <w:sz w:val="10"/>
          <w:szCs w:val="10"/>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6985</wp:posOffset>
            </wp:positionV>
            <wp:extent cx="367220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72205" cy="7620"/>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Class I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-115570</wp:posOffset>
            </wp:positionV>
            <wp:extent cx="5801995" cy="125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01995" cy="12509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ind w:left="1300"/>
        <w:spacing w:after="0" w:line="203" w:lineRule="auto"/>
        <w:rPr>
          <w:sz w:val="20"/>
          <w:szCs w:val="20"/>
          <w:color w:val="auto"/>
        </w:rPr>
      </w:pPr>
      <w:r>
        <w:rPr>
          <w:rFonts w:ascii="Arial" w:cs="Arial" w:eastAsia="Arial" w:hAnsi="Arial"/>
          <w:sz w:val="16"/>
          <w:szCs w:val="16"/>
          <w:color w:val="auto"/>
        </w:rPr>
        <w:t>Gérard Ber, Ph.D.</w:t>
      </w:r>
      <w:r>
        <w:rPr>
          <w:rFonts w:ascii="Arial" w:cs="Arial" w:eastAsia="Arial" w:hAnsi="Arial"/>
          <w:sz w:val="26"/>
          <w:szCs w:val="26"/>
          <w:color w:val="auto"/>
          <w:vertAlign w:val="superscript"/>
        </w:rPr>
        <w:t>(2)(3)</w:t>
      </w:r>
    </w:p>
    <w:p>
      <w:pPr>
        <w:ind w:left="1300"/>
        <w:spacing w:after="0"/>
        <w:rPr>
          <w:sz w:val="20"/>
          <w:szCs w:val="20"/>
          <w:color w:val="auto"/>
        </w:rPr>
      </w:pPr>
      <w:r>
        <w:rPr>
          <w:rFonts w:ascii="Arial" w:cs="Arial" w:eastAsia="Arial" w:hAnsi="Arial"/>
          <w:sz w:val="16"/>
          <w:szCs w:val="16"/>
          <w:color w:val="auto"/>
        </w:rPr>
        <w:t>David N. Gill</w:t>
      </w:r>
      <w:r>
        <w:rPr>
          <w:rFonts w:ascii="Arial" w:cs="Arial" w:eastAsia="Arial" w:hAnsi="Arial"/>
          <w:sz w:val="26"/>
          <w:szCs w:val="26"/>
          <w:color w:val="auto"/>
          <w:vertAlign w:val="superscript"/>
        </w:rPr>
        <w:t>(1)(2)(3)</w:t>
      </w:r>
    </w:p>
    <w:p>
      <w:pPr>
        <w:spacing w:after="0" w:line="144"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Class II Nominee</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Ashutosh Tyagi, M.D.</w:t>
      </w:r>
      <w:r>
        <w:rPr>
          <w:rFonts w:ascii="Arial" w:cs="Arial" w:eastAsia="Arial" w:hAnsi="Arial"/>
          <w:sz w:val="26"/>
          <w:szCs w:val="26"/>
          <w:color w:val="auto"/>
          <w:vertAlign w:val="superscript"/>
        </w:rPr>
        <w:t>(3)</w:t>
      </w:r>
    </w:p>
    <w:p>
      <w:pPr>
        <w:spacing w:after="0" w:line="150"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Class II Directors</w:t>
      </w:r>
    </w:p>
    <w:p>
      <w:pPr>
        <w:ind w:left="1300"/>
        <w:spacing w:after="0" w:line="209" w:lineRule="auto"/>
        <w:rPr>
          <w:sz w:val="20"/>
          <w:szCs w:val="20"/>
          <w:color w:val="auto"/>
        </w:rPr>
      </w:pPr>
      <w:r>
        <w:rPr>
          <w:rFonts w:ascii="Arial" w:cs="Arial" w:eastAsia="Arial" w:hAnsi="Arial"/>
          <w:sz w:val="16"/>
          <w:szCs w:val="16"/>
          <w:color w:val="auto"/>
        </w:rPr>
        <w:t>James I. Healy, M.D.</w:t>
      </w:r>
      <w:r>
        <w:rPr>
          <w:rFonts w:ascii="Arial" w:cs="Arial" w:eastAsia="Arial" w:hAnsi="Arial"/>
          <w:sz w:val="26"/>
          <w:szCs w:val="26"/>
          <w:color w:val="auto"/>
          <w:vertAlign w:val="superscript"/>
        </w:rPr>
        <w:t>(1)(2)</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Gregory Raskin, M.D.</w:t>
      </w: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6"/>
          <w:szCs w:val="16"/>
          <w:b w:val="1"/>
          <w:bCs w:val="1"/>
          <w:i w:val="1"/>
          <w:iCs w:val="1"/>
          <w:color w:val="auto"/>
        </w:rPr>
        <w:t>Class III Directors</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Thomas Gad</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Claus Juan Møller San Pedro, M.D., Ph.D.</w:t>
      </w:r>
    </w:p>
    <w:p>
      <w:pPr>
        <w:spacing w:after="0" w:line="3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Johan Wedell-Wedellsborg</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22225</wp:posOffset>
            </wp:positionV>
            <wp:extent cx="15271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27175" cy="7620"/>
                    </a:xfrm>
                    <a:prstGeom prst="rect">
                      <a:avLst/>
                    </a:prstGeom>
                    <a:noFill/>
                  </pic:spPr>
                </pic:pic>
              </a:graphicData>
            </a:graphic>
          </wp:anchor>
        </w:drawing>
      </w:r>
    </w:p>
    <w:p>
      <w:pPr>
        <w:spacing w:after="0" w:line="204" w:lineRule="exact"/>
        <w:rPr>
          <w:sz w:val="20"/>
          <w:szCs w:val="20"/>
          <w:color w:val="auto"/>
        </w:rPr>
      </w:pPr>
    </w:p>
    <w:p>
      <w:pPr>
        <w:ind w:left="1640" w:hanging="498"/>
        <w:spacing w:after="0"/>
        <w:tabs>
          <w:tab w:leader="none" w:pos="1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Member of our Audit Committee.</w:t>
      </w:r>
    </w:p>
    <w:p>
      <w:pPr>
        <w:spacing w:after="0" w:line="120" w:lineRule="exact"/>
        <w:rPr>
          <w:rFonts w:ascii="Arial" w:cs="Arial" w:eastAsia="Arial" w:hAnsi="Arial"/>
          <w:sz w:val="12"/>
          <w:szCs w:val="12"/>
          <w:color w:val="auto"/>
        </w:rPr>
      </w:pPr>
    </w:p>
    <w:p>
      <w:pPr>
        <w:ind w:left="1640" w:hanging="498"/>
        <w:spacing w:after="0"/>
        <w:tabs>
          <w:tab w:leader="none" w:pos="1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Member of our Compensation Committee</w:t>
      </w:r>
    </w:p>
    <w:p>
      <w:pPr>
        <w:spacing w:after="0" w:line="20" w:lineRule="exact"/>
        <w:rPr>
          <w:sz w:val="20"/>
          <w:szCs w:val="20"/>
          <w:color w:val="auto"/>
        </w:rPr>
      </w:pPr>
      <w:r>
        <w:rPr>
          <w:sz w:val="20"/>
          <w:szCs w:val="20"/>
          <w:color w:val="auto"/>
        </w:rPr>
        <w:br w:type="column"/>
      </w:r>
    </w:p>
    <w:p>
      <w:pPr>
        <w:ind w:left="308" w:hanging="308"/>
        <w:spacing w:after="0"/>
        <w:tabs>
          <w:tab w:leader="none" w:pos="3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w:t>
      </w:r>
    </w:p>
    <w:p>
      <w:pPr>
        <w:spacing w:after="0" w:line="42" w:lineRule="exact"/>
        <w:rPr>
          <w:rFonts w:ascii="Arial" w:cs="Arial" w:eastAsia="Arial" w:hAnsi="Arial"/>
          <w:sz w:val="16"/>
          <w:szCs w:val="16"/>
          <w:color w:val="auto"/>
        </w:rPr>
      </w:pPr>
    </w:p>
    <w:p>
      <w:pPr>
        <w:ind w:left="308" w:hanging="308"/>
        <w:spacing w:after="0"/>
        <w:tabs>
          <w:tab w:leader="none" w:pos="308"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-110490</wp:posOffset>
            </wp:positionV>
            <wp:extent cx="5801995" cy="148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01995" cy="148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
        <w:spacing w:after="0"/>
        <w:tabs>
          <w:tab w:leader="none" w:pos="288"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-110490</wp:posOffset>
            </wp:positionV>
            <wp:extent cx="5801995" cy="148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01995" cy="148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08" w:hanging="308"/>
        <w:spacing w:after="0"/>
        <w:tabs>
          <w:tab w:leader="none" w:pos="3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Director</w:t>
      </w:r>
    </w:p>
    <w:p>
      <w:pPr>
        <w:spacing w:after="0" w:line="50" w:lineRule="exact"/>
        <w:rPr>
          <w:rFonts w:ascii="Arial" w:cs="Arial" w:eastAsia="Arial" w:hAnsi="Arial"/>
          <w:sz w:val="16"/>
          <w:szCs w:val="16"/>
          <w:color w:val="auto"/>
        </w:rPr>
      </w:pPr>
    </w:p>
    <w:p>
      <w:pPr>
        <w:ind w:left="308" w:hanging="308"/>
        <w:spacing w:after="0"/>
        <w:tabs>
          <w:tab w:leader="none" w:pos="3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-259080</wp:posOffset>
            </wp:positionV>
            <wp:extent cx="5801995" cy="148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01995" cy="148590"/>
                    </a:xfrm>
                    <a:prstGeom prst="rect">
                      <a:avLst/>
                    </a:prstGeom>
                    <a:noFill/>
                  </pic:spPr>
                </pic:pic>
              </a:graphicData>
            </a:graphic>
          </wp:anchor>
        </w:drawing>
        <w:drawing>
          <wp:anchor simplePos="0" relativeHeight="251657728" behindDoc="1" locked="0" layoutInCell="0" allowOverlap="1">
            <wp:simplePos x="0" y="0"/>
            <wp:positionH relativeFrom="column">
              <wp:posOffset>-2238375</wp:posOffset>
            </wp:positionH>
            <wp:positionV relativeFrom="paragraph">
              <wp:posOffset>13970</wp:posOffset>
            </wp:positionV>
            <wp:extent cx="5801995" cy="266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01995" cy="2660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308" w:hanging="308"/>
        <w:spacing w:after="0"/>
        <w:tabs>
          <w:tab w:leader="none" w:pos="308" w:val="left"/>
        </w:tabs>
        <w:numPr>
          <w:ilvl w:val="0"/>
          <w:numId w:val="18"/>
        </w:numPr>
        <w:rPr>
          <w:rFonts w:ascii="Arial" w:cs="Arial" w:eastAsia="Arial" w:hAnsi="Arial"/>
          <w:sz w:val="14"/>
          <w:szCs w:val="14"/>
          <w:color w:val="auto"/>
        </w:rPr>
      </w:pPr>
      <w:r>
        <w:rPr>
          <w:rFonts w:ascii="Arial" w:cs="Arial" w:eastAsia="Arial" w:hAnsi="Arial"/>
          <w:sz w:val="14"/>
          <w:szCs w:val="14"/>
          <w:color w:val="auto"/>
        </w:rPr>
        <w:t>Founder, Chairman, President, Head of Business Development and Director</w:t>
      </w:r>
    </w:p>
    <w:p>
      <w:pPr>
        <w:spacing w:after="0" w:line="43" w:lineRule="exact"/>
        <w:rPr>
          <w:rFonts w:ascii="Arial" w:cs="Arial" w:eastAsia="Arial" w:hAnsi="Arial"/>
          <w:sz w:val="14"/>
          <w:szCs w:val="14"/>
          <w:color w:val="auto"/>
        </w:rPr>
      </w:pPr>
    </w:p>
    <w:p>
      <w:pPr>
        <w:ind w:left="308" w:hanging="308"/>
        <w:spacing w:after="0"/>
        <w:tabs>
          <w:tab w:leader="none" w:pos="308"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Chief Executive Officer and Director</w:t>
      </w:r>
    </w:p>
    <w:p>
      <w:pPr>
        <w:spacing w:after="0" w:line="13" w:lineRule="exact"/>
        <w:rPr>
          <w:rFonts w:ascii="Arial" w:cs="Arial" w:eastAsia="Arial" w:hAnsi="Arial"/>
          <w:sz w:val="16"/>
          <w:szCs w:val="16"/>
          <w:color w:val="auto"/>
        </w:rPr>
      </w:pPr>
    </w:p>
    <w:p>
      <w:pPr>
        <w:ind w:left="308" w:hanging="308"/>
        <w:spacing w:after="0"/>
        <w:tabs>
          <w:tab w:leader="none" w:pos="3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-2238375</wp:posOffset>
            </wp:positionH>
            <wp:positionV relativeFrom="paragraph">
              <wp:posOffset>-240665</wp:posOffset>
            </wp:positionV>
            <wp:extent cx="5801995" cy="1250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01995" cy="125095"/>
                    </a:xfrm>
                    <a:prstGeom prst="rect">
                      <a:avLst/>
                    </a:prstGeom>
                    <a:noFill/>
                  </pic:spPr>
                </pic:pic>
              </a:graphicData>
            </a:graphic>
          </wp:anchor>
        </w:drawing>
      </w:r>
    </w:p>
    <w:p>
      <w:pPr>
        <w:spacing w:after="0" w:line="856" w:lineRule="exact"/>
        <w:rPr>
          <w:sz w:val="20"/>
          <w:szCs w:val="20"/>
          <w:color w:val="auto"/>
        </w:rPr>
      </w:pPr>
    </w:p>
    <w:p>
      <w:pPr>
        <w:sectPr>
          <w:pgSz w:w="11900" w:h="16838" w:orient="portrait"/>
          <w:cols w:equalWidth="0" w:num="2">
            <w:col w:w="4040" w:space="632"/>
            <w:col w:w="6748"/>
          </w:cols>
          <w:pgMar w:left="240" w:top="131" w:right="239" w:bottom="1440" w:gutter="0" w:footer="0" w:header="0"/>
          <w:type w:val="continuous"/>
        </w:sectPr>
      </w:pPr>
    </w:p>
    <w:p>
      <w:pPr>
        <w:ind w:left="1640" w:hanging="498"/>
        <w:spacing w:after="0"/>
        <w:tabs>
          <w:tab w:leader="none" w:pos="1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Member of our Nominating and Corporate Governance Committee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 Director Nominees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Dr. Gérard Ber, Director</w:t>
      </w:r>
    </w:p>
    <w:p>
      <w:pPr>
        <w:spacing w:after="0" w:line="211" w:lineRule="exact"/>
        <w:rPr>
          <w:sz w:val="20"/>
          <w:szCs w:val="20"/>
          <w:color w:val="auto"/>
        </w:rPr>
      </w:pPr>
    </w:p>
    <w:p>
      <w:pPr>
        <w:ind w:right="60" w:firstLine="321"/>
        <w:spacing w:after="0" w:line="282" w:lineRule="auto"/>
        <w:rPr>
          <w:sz w:val="20"/>
          <w:szCs w:val="20"/>
          <w:color w:val="auto"/>
        </w:rPr>
      </w:pPr>
      <w:r>
        <w:rPr>
          <w:rFonts w:ascii="Arial" w:cs="Arial" w:eastAsia="Arial" w:hAnsi="Arial"/>
          <w:sz w:val="15"/>
          <w:szCs w:val="15"/>
          <w:color w:val="auto"/>
        </w:rPr>
        <w:t>Dr. Ber has been a member of our Board of Directors since December 2018. Dr. Ber has more than 30 years of experience in Molecular Nuclear Medicine ("MNM") including development, production and commercialization of diagnostics and therapeutic products for several indications in oncology, cardiology, neurology and infectious/inflammatory diseases. In 2002, Dr. Ber co-founded Advanced Accelerator Applications S.A., and was its Chief Operating Officer from 2002 to 2018, when it was sold to Novartis AG. Dr. Ber grew Advanced Accelerator Applications S.A. from a start-up to a global leader in MNM and was member of its board of directors from 2002 to 2015, when Advanced Accelerator Applications S.A. listed on The Nasdaq Global Select Market. He received his Ph.D. degree in Pharmacy from the Scientific and Medical University of Grenoble. Dr. Ber currently serves as a member of our Compensation Committee and our Nominating and Corporate Governance Committee and, if re-elected as a Class I director at the Annual Meeting, he will continue to serve as a member of those Committees.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David N. Gill, Director</w:t>
      </w:r>
    </w:p>
    <w:p>
      <w:pPr>
        <w:spacing w:after="0" w:line="211"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Mr. Gill has been a member of our Board of Directors since December 2017. Mr. Gill served as the President and Chief Financial Officer of EndoChoice, Inc., a medical device company focused on gastrointestinal disease, from April 2016 through the sale of the company to Boston Scientific in November 2016 and as Chief Financial Officer from August 2014 to November 2016. Previously, he served as the Chief Financial Officer of INC Research (now known as Syneos Health), a clinical research organization, from February 2011 to August 2013 after having served as a board member and its audit committee chairman from 2007 to 2010. Mr. Gill also currently serves on the boards of Melinta Therapeutics, Inc. (f/k/a Cempra, Inc.), Evolus, Inc., Strata Skin Sciences, Inc. and Histogenics, Inc. Earlier in his career, Mr. Gill served in a variety of senior executive leadership roles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for several publicly-traded companies, including NxStage Medical, CTI Molecular Imaging, Inc., Interland Inc. and Novoste Corporation. Mr. Gill holds a B.S. degree, cum laude, in accounting from Wake Forest University and an M.B.A. degree, with honors, from Emory University, and was formerly a certified public accountant. Mr. Gill currently serves as Chair of our Audit Committee, as a member of our Compensation Committee and our Nominating and Corporate Governance Committee, and, if elected as a Class I director at the Annual Meeting, he will continue to serve in those capacities.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 Director Nominee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Ashutosh Tyagi, M.D., Director</w:t>
      </w:r>
    </w:p>
    <w:p>
      <w:pPr>
        <w:spacing w:after="0" w:line="211" w:lineRule="exact"/>
        <w:rPr>
          <w:sz w:val="20"/>
          <w:szCs w:val="20"/>
          <w:color w:val="auto"/>
        </w:rPr>
      </w:pPr>
    </w:p>
    <w:p>
      <w:pPr>
        <w:ind w:right="60" w:firstLine="321"/>
        <w:spacing w:after="0" w:line="262" w:lineRule="auto"/>
        <w:rPr>
          <w:sz w:val="20"/>
          <w:szCs w:val="20"/>
          <w:color w:val="auto"/>
        </w:rPr>
      </w:pPr>
      <w:r>
        <w:rPr>
          <w:rFonts w:ascii="Arial" w:cs="Arial" w:eastAsia="Arial" w:hAnsi="Arial"/>
          <w:sz w:val="16"/>
          <w:szCs w:val="16"/>
          <w:color w:val="auto"/>
        </w:rPr>
        <w:t>Dr. Tyagi has been a member of our Board of Directors since November 2017, representing until the end of 2018 Scopia Capital Management LP, or Scopia Capital, an institutional alternative asset management firm. Dr. Tyagi was with Scopia Capital from 2010 to 2018 (as a partner from 2012 to 2018). At Scopia Capital, Dr. Tyagi managed global health care investments and was a Co-Portfolio Manager of Scopia Capital's health care funds. Prior to joining Scopia, he worked at Lombard Odier, Morgan Stanley, and Citigroup. Dr. Tyagi received a B.A. in Asian Studies from the University of Michigan, an MBA from the University of Michigan Business School and an M.D. from the University of Michigan School of Medicine. Dr. Tyagi currently serves as Chair of our Nominating and Corporate Governance Committee and, if elected as a Class II director at the Annual Meeting, he will continue to serve in that capacity.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Gregory Raskin, M.D., Director</w:t>
      </w:r>
    </w:p>
    <w:p>
      <w:pPr>
        <w:spacing w:after="0" w:line="211" w:lineRule="exact"/>
        <w:rPr>
          <w:sz w:val="20"/>
          <w:szCs w:val="20"/>
          <w:color w:val="auto"/>
        </w:rPr>
      </w:pPr>
    </w:p>
    <w:p>
      <w:pPr>
        <w:ind w:firstLine="321"/>
        <w:spacing w:after="0" w:line="319" w:lineRule="auto"/>
        <w:rPr>
          <w:sz w:val="20"/>
          <w:szCs w:val="20"/>
          <w:color w:val="auto"/>
        </w:rPr>
      </w:pPr>
      <w:r>
        <w:rPr>
          <w:rFonts w:ascii="Arial" w:cs="Arial" w:eastAsia="Arial" w:hAnsi="Arial"/>
          <w:sz w:val="15"/>
          <w:szCs w:val="15"/>
          <w:color w:val="auto"/>
        </w:rPr>
        <w:t>Dr. Raskin has been a member of our Board of Directors since September 2015. Dr. Raskin is Vice President, Technology Development at Memorial Sloan Kettering Cancer Center ("MSK"), where he has worked since 2012. Dr. Raskin holds a B.A. in Molecular Biophysics and Biochemistry and an M.D. from Yale University.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James I. Healy, M.D., Ph.D., Director</w:t>
      </w:r>
    </w:p>
    <w:p>
      <w:pPr>
        <w:spacing w:after="0" w:line="211" w:lineRule="exact"/>
        <w:rPr>
          <w:sz w:val="20"/>
          <w:szCs w:val="20"/>
          <w:color w:val="auto"/>
        </w:rPr>
      </w:pPr>
    </w:p>
    <w:p>
      <w:pPr>
        <w:ind w:right="20" w:firstLine="321"/>
        <w:spacing w:after="0" w:line="280" w:lineRule="auto"/>
        <w:rPr>
          <w:sz w:val="20"/>
          <w:szCs w:val="20"/>
          <w:color w:val="auto"/>
        </w:rPr>
      </w:pPr>
      <w:r>
        <w:rPr>
          <w:rFonts w:ascii="Arial" w:cs="Arial" w:eastAsia="Arial" w:hAnsi="Arial"/>
          <w:sz w:val="15"/>
          <w:szCs w:val="15"/>
          <w:color w:val="auto"/>
        </w:rPr>
        <w:t>Dr. Healy has served as a member of our Board of Directors since November 2017. Dr. Healy has been a general partner at Sofinnova Investments, Inc. (formerly Sofinnova Ventures, Inc.), a biotech investment firm, since June 2000. Prior to June 2000, Dr. Healy held various positions at Sanderling Ventures, Bayer Healthcare Pharmaceuticals (as successor to Miles Laboratories) and ISTA Pharmaceuticals, Inc. Dr. Healy is currently on the board of directors of Ascendis Pharma A/S (Nasdaq: ASND), Coherus BioSciences, Inc. (Nasdaq: CHRS), Iterum Therapeutics, PLC (Nasdaq: ITRM), Natera, Inc. (Nasdaq: NTRA), NuCana PLC (Nasdaq: NCNA), ObsEva SA (Nasdaq: OBSV) and one private company. Previously, he served as a board member of Amarin Corporation, Auris Medical Holding AG, Edge Therapeutics, Inc., Hyperion Therapeutics, Inc., InterMune, Inc., Anthera Pharmaceuticals, Inc., Durata Therapeutics, Inc., CoTherix, Inc., Movetis NV and several private companies. In 2011, Dr. Healy won the IBF Risk Innovator Award and was named as one of the industry's top leading Life Science investors in 2013 by Forbes Magazine. Dr. Healy holds an M.D. and a Ph.D. in Immunology from Stanford University School of Medicine and holds a B.A. in Molecular Biology and a B.A. in Scandinavian Studies from the University of California, Berkeley. Dr. Healy currently serves as Chair of our Compensation Committee and as a member of our Audit Committee.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III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Thomas Gad, Founder, Chairman, President and Head of Business Development and Director</w:t>
      </w:r>
    </w:p>
    <w:p>
      <w:pPr>
        <w:spacing w:after="0" w:line="211" w:lineRule="exact"/>
        <w:rPr>
          <w:sz w:val="20"/>
          <w:szCs w:val="20"/>
          <w:color w:val="auto"/>
        </w:rPr>
      </w:pPr>
    </w:p>
    <w:p>
      <w:pPr>
        <w:ind w:right="20" w:firstLine="321"/>
        <w:spacing w:after="0" w:line="280" w:lineRule="auto"/>
        <w:rPr>
          <w:sz w:val="20"/>
          <w:szCs w:val="20"/>
          <w:color w:val="auto"/>
        </w:rPr>
      </w:pPr>
      <w:r>
        <w:rPr>
          <w:rFonts w:ascii="Arial" w:cs="Arial" w:eastAsia="Arial" w:hAnsi="Arial"/>
          <w:sz w:val="15"/>
          <w:szCs w:val="15"/>
          <w:color w:val="auto"/>
        </w:rPr>
        <w:t>Mr. Gad founded our Company in April 2015 and has served as our Chairman, President and Head of Business Development and as a member of our Board of Directors since our inception. Mr. Gad founded our Company inspired by his daughter, who went through six (6) years of various cancer treatments before receiving breakthrough cancer immunotherapy at MSK and overcoming high-risk neuroblastoma.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Holding, ApS, a personal holding company involved in research and development activities in the pharmaceutical industry from 2014 until the company was placed in liquidation proceedings in 2015. The company is now under compulsory dissolution proceedings.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B.S. in Business Administration from Pepperdine University.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Claus Juan Møller San Pedro, M.D., Ph.D., Chief Executive Officer and Director</w:t>
      </w:r>
    </w:p>
    <w:p>
      <w:pPr>
        <w:spacing w:after="0" w:line="211" w:lineRule="exact"/>
        <w:rPr>
          <w:sz w:val="20"/>
          <w:szCs w:val="20"/>
          <w:color w:val="auto"/>
        </w:rPr>
      </w:pPr>
    </w:p>
    <w:p>
      <w:pPr>
        <w:ind w:right="100" w:firstLine="321"/>
        <w:spacing w:after="0" w:line="285" w:lineRule="auto"/>
        <w:rPr>
          <w:sz w:val="20"/>
          <w:szCs w:val="20"/>
          <w:color w:val="auto"/>
        </w:rPr>
      </w:pPr>
      <w:r>
        <w:rPr>
          <w:rFonts w:ascii="Arial" w:cs="Arial" w:eastAsia="Arial" w:hAnsi="Arial"/>
          <w:sz w:val="15"/>
          <w:szCs w:val="15"/>
          <w:color w:val="auto"/>
        </w:rPr>
        <w:t>Dr. Møller has served as our Chief Executive Officer and has served as a member of our Board of Directors since June 2015. Dr. Møller was the founder of Azanta A/S, or Azanta, a Danish specialty biopharmaceutical company and its Chief Executive Officer from 2009 to 2015. In addition, Dr. Møller co-founded Genmab A/S ("Genmab"), one of the largest European biopharmaceutical companies in 1999,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Johan Wedell-Wedellsborg, Director</w:t>
      </w:r>
    </w:p>
    <w:p>
      <w:pPr>
        <w:spacing w:after="0" w:line="211" w:lineRule="exact"/>
        <w:rPr>
          <w:sz w:val="20"/>
          <w:szCs w:val="20"/>
          <w:color w:val="auto"/>
        </w:rPr>
      </w:pPr>
    </w:p>
    <w:p>
      <w:pPr>
        <w:jc w:val="both"/>
        <w:ind w:right="160" w:firstLine="321"/>
        <w:spacing w:after="0" w:line="266" w:lineRule="auto"/>
        <w:rPr>
          <w:sz w:val="20"/>
          <w:szCs w:val="20"/>
          <w:color w:val="auto"/>
        </w:rPr>
      </w:pPr>
      <w:r>
        <w:rPr>
          <w:rFonts w:ascii="Arial" w:cs="Arial" w:eastAsia="Arial" w:hAnsi="Arial"/>
          <w:sz w:val="16"/>
          <w:szCs w:val="16"/>
          <w:color w:val="auto"/>
        </w:rPr>
        <w:t>Mr. Wedell-Wedellsborg has been a member of our Board of Directors since September 2015. Mr. Wedell-Wedellsborg has been the owner and Chairman of the board of Weco Group A/S ("Weco"), one of our principal stockholders, since May 2001. Weco is involved in shipping, investments in biotechnology companies, real estate investments and the financial services industry. Mr. Wedell-Wedellsborg is also the majority owner of WG Biotech ApS, another one of our principal stockholders. Mr. Wedell-Wedellsborg currently serves as a member of our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Matters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211"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Our Board of Directors has the responsibility for establishing broad corporate policies and for overseeing our overall performance. Members of our Board of Directors are kept informed of our business activities through discussions with the Chief Executive Officer, President and other officers, by reviewing analyses and reports sent to them, and by participating in Board of Directors and committee meetings. Mr. Gad serves as Chairman of our Board of Directors and Dr. Møller as our Chief Executive Officer, and we have not designated a lead independent director. We believe that having the offices of Chairman of our Board of Directors and Chief Executive Officer held by two (2) different people is appropriate for a company of our size and stage of development in order to maximize efficiencies of our limited available personnel resources. In accordance with our amended and restated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20"/>
        <w:spacing w:after="0" w:line="270" w:lineRule="auto"/>
        <w:rPr>
          <w:sz w:val="20"/>
          <w:szCs w:val="20"/>
          <w:color w:val="auto"/>
        </w:rPr>
      </w:pPr>
      <w:r>
        <w:rPr>
          <w:rFonts w:ascii="Arial" w:cs="Arial" w:eastAsia="Arial" w:hAnsi="Arial"/>
          <w:sz w:val="16"/>
          <w:szCs w:val="16"/>
          <w:color w:val="auto"/>
        </w:rPr>
        <w:t>bylaws, our Board of Directors is divided into three (3) classes with staggered three-year terms. Our Board of Directors presently has an Audit Committee, a Compensation Committee and a Nominating and Corporate Governance Committee. As noted above, Mr. Gill is Chair of our Audit Committee, Dr. Healy is Chair of our Compensation Committee and Dr. Tyagi is Chair of our Nominating and Corporate Governance Committee.</w:t>
      </w:r>
    </w:p>
    <w:p>
      <w:pPr>
        <w:spacing w:after="0" w:line="168" w:lineRule="exact"/>
        <w:rPr>
          <w:sz w:val="20"/>
          <w:szCs w:val="20"/>
          <w:color w:val="auto"/>
        </w:rPr>
      </w:pPr>
    </w:p>
    <w:p>
      <w:pPr>
        <w:ind w:right="180" w:firstLine="321"/>
        <w:spacing w:after="0" w:line="326" w:lineRule="auto"/>
        <w:rPr>
          <w:sz w:val="20"/>
          <w:szCs w:val="20"/>
          <w:color w:val="auto"/>
        </w:rPr>
      </w:pPr>
      <w:r>
        <w:rPr>
          <w:rFonts w:ascii="Arial" w:cs="Arial" w:eastAsia="Arial" w:hAnsi="Arial"/>
          <w:sz w:val="14"/>
          <w:szCs w:val="14"/>
          <w:color w:val="auto"/>
        </w:rPr>
        <w:t>Our Board of Directors believes that sound governance practices and policies provide an important framework to assist them in fulfilling their duty to stockholders. Our Board of Directors has implemented separate committees for the areas of audit, compensation and nomination of directors, annual review of the independence of our Audit and Compensation Committee members, maintenance of a majority of independent directors, and written expectations of management and directors, among other best practices.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Determination of Independence</w:t>
      </w:r>
    </w:p>
    <w:p>
      <w:pPr>
        <w:spacing w:after="0" w:line="211" w:lineRule="exact"/>
        <w:rPr>
          <w:sz w:val="20"/>
          <w:szCs w:val="20"/>
          <w:color w:val="auto"/>
        </w:rPr>
      </w:pPr>
    </w:p>
    <w:p>
      <w:pPr>
        <w:ind w:firstLine="321"/>
        <w:spacing w:after="0" w:line="278" w:lineRule="auto"/>
        <w:rPr>
          <w:sz w:val="20"/>
          <w:szCs w:val="20"/>
          <w:color w:val="auto"/>
        </w:rPr>
      </w:pPr>
      <w:r>
        <w:rPr>
          <w:rFonts w:ascii="Arial" w:cs="Arial" w:eastAsia="Arial" w:hAnsi="Arial"/>
          <w:sz w:val="15"/>
          <w:szCs w:val="15"/>
          <w:color w:val="auto"/>
        </w:rPr>
        <w:t>Rule 5605 of the Nasdaq Listing Rules requires a majority of a listed company's board of directors to be comprised of independent directors within one (1) year of listing. In addition, the Nasdaq Listing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 Rule 10C-1 under the Exchange Act. Under Rule 5605(a)(2) of the Nasdaq Listing Rules, a director will only qualify as an "independent director" if, in the opinion of the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a company's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65" w:lineRule="exact"/>
        <w:rPr>
          <w:sz w:val="20"/>
          <w:szCs w:val="20"/>
          <w:color w:val="auto"/>
        </w:rPr>
      </w:pPr>
    </w:p>
    <w:p>
      <w:pPr>
        <w:ind w:right="40" w:firstLine="321"/>
        <w:spacing w:after="0" w:line="303" w:lineRule="auto"/>
        <w:rPr>
          <w:sz w:val="20"/>
          <w:szCs w:val="20"/>
          <w:color w:val="auto"/>
        </w:rPr>
      </w:pPr>
      <w:r>
        <w:rPr>
          <w:rFonts w:ascii="Arial" w:cs="Arial" w:eastAsia="Arial" w:hAnsi="Arial"/>
          <w:sz w:val="14"/>
          <w:szCs w:val="14"/>
          <w:color w:val="auto"/>
        </w:rPr>
        <w:t>In April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following the Annual Meeting, each of our directors, other than Mr. Gad, Dr. Møller and Dr. Raskin, is an "independent director" as defined under Rule 5605(a)(2) of the Nasdaq Listing Rules. Mr. Gad is not an independent director under Rule 5605(a)(2) because he is our President, Dr. Møller is not an independent director under Rule 5605(a)(2) because he is our Chief Executive Officer and Dr. Raskin is not an independent director under Rule 5605(a)(2) because of his affiliation with MSK, one of our principal stockholders and an organization with which we have material commercial relationships. Our Board of Directors also determined that each of Mr. Gill, Dr. Healy and Mr. Wedell-Wedellsborg, who will continue to comprise our Audit Committee following the Annual Meeting, satisfies the independence standards for the Audit Committee established by the SEC and the Nasdaq Listing Rules, including the independence requirements contemplated by Rule 10A-3 under the Exchange Act.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Our Board of Directors further determined that, each of Dr. Ber, Mr. Gill and Dr. Healy, members of our Compensation Committee, are independent within the meaning of Rule 10C-1 under the Exchange Act. Finally, our Board of Directors determined that each of Dr. Ber, Mr. Gill and Dr. Tyagi, members of our Nominating and Corporate Governance Committee, meets the independence requirements of the Nasdaq Listing Rules with regard to the independence of the members of nominating and corporate governance committees. In making such determinations, our Board of Directors considered the relationships that each such non-employee director has with the Company and all other facts and circumstances our Board of Directors deemed relevant in determining independence, including the beneficial ownership of our capital stock by each non-employee director.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Board of Director Meetings and Attendance</w:t>
      </w:r>
    </w:p>
    <w:p>
      <w:pPr>
        <w:spacing w:after="0" w:line="211" w:lineRule="exact"/>
        <w:rPr>
          <w:sz w:val="20"/>
          <w:szCs w:val="20"/>
          <w:color w:val="auto"/>
        </w:rPr>
      </w:pPr>
    </w:p>
    <w:p>
      <w:pPr>
        <w:ind w:right="60" w:firstLine="321"/>
        <w:spacing w:after="0" w:line="297" w:lineRule="auto"/>
        <w:rPr>
          <w:sz w:val="20"/>
          <w:szCs w:val="20"/>
          <w:color w:val="auto"/>
        </w:rPr>
      </w:pPr>
      <w:r>
        <w:rPr>
          <w:rFonts w:ascii="Arial" w:cs="Arial" w:eastAsia="Arial" w:hAnsi="Arial"/>
          <w:sz w:val="15"/>
          <w:szCs w:val="15"/>
          <w:color w:val="auto"/>
        </w:rPr>
        <w:t>Our Board of Directors held six (6) meetings and acted by written consent three (3) times, during the year ended December 31, 2018 ("fiscal 2018"). During fiscal 2018, each of the directors then in office attended at least 75% of the aggregate of the number of Board of Director meetings and the number of meetings held by all committees of the Board of Directors on which such director then served. Members of our Board of Directors are invited to attend each annual meeting of stockholders.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Communicating with the Independent Directors</w:t>
      </w:r>
    </w:p>
    <w:p>
      <w:pPr>
        <w:spacing w:after="0" w:line="211"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Our Board of Directors will give appropriate attention to written communications that are submitted by stockholders, and will respond if and as appropriate. The Chairman of our Board of Directors (if an independent director), or the lead independent director (if one is appointed), or otherwise the Chair of the Nominating and Corporate Governance Committee, subject to advice and assistance from our Chief Financial Officer, is primarily responsible for monitoring communications from stockholders and for providing copies or summaries to the other directors as he or she considers appropriate.</w:t>
      </w:r>
    </w:p>
    <w:p>
      <w:pPr>
        <w:spacing w:after="0" w:line="171" w:lineRule="exact"/>
        <w:rPr>
          <w:sz w:val="20"/>
          <w:szCs w:val="20"/>
          <w:color w:val="auto"/>
        </w:rPr>
      </w:pPr>
    </w:p>
    <w:p>
      <w:pPr>
        <w:ind w:right="20" w:firstLine="321"/>
        <w:spacing w:after="0" w:line="289" w:lineRule="auto"/>
        <w:rPr>
          <w:sz w:val="20"/>
          <w:szCs w:val="20"/>
          <w:color w:val="auto"/>
        </w:rPr>
      </w:pPr>
      <w:r>
        <w:rPr>
          <w:rFonts w:ascii="Arial" w:cs="Arial" w:eastAsia="Arial" w:hAnsi="Arial"/>
          <w:sz w:val="15"/>
          <w:szCs w:val="15"/>
          <w:color w:val="auto"/>
        </w:rPr>
        <w:t>Communications are forwarded to all directors if they relate to important substantive matters and include suggestions or comments that the Chairman of our Board of Directors, Chair of our Audit Committee, Chair of our Compensation Committee or Chair of our Nominating and Corporate Governance Committee, as applicable, considers to be important for the directors to know. In general, communications relating to corporate governance and corporate strategy are more likely to be forwarded than communications relating to ordinary business affairs, personal grievances and matters as to which we receive repetitive or duplicative communications.</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Stockholders who wish to send communications on any topic to our Board of Directors should address such communications to Y-mAbs Therapeutics, Inc., Attention: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Secretary, 230 Park Avenue, Suite 3350, New York, New York 10169, Telephone No. (646) 885-8505.</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Regarding Committees of the Board of Directors</w:t>
      </w:r>
    </w:p>
    <w:p>
      <w:pPr>
        <w:spacing w:after="0" w:line="215" w:lineRule="exact"/>
        <w:rPr>
          <w:sz w:val="20"/>
          <w:szCs w:val="20"/>
          <w:color w:val="auto"/>
        </w:rPr>
      </w:pPr>
    </w:p>
    <w:p>
      <w:pPr>
        <w:jc w:val="both"/>
        <w:ind w:right="20" w:firstLine="318"/>
        <w:spacing w:after="0" w:line="270" w:lineRule="auto"/>
        <w:rPr>
          <w:sz w:val="20"/>
          <w:szCs w:val="20"/>
          <w:color w:val="auto"/>
        </w:rPr>
      </w:pPr>
      <w:r>
        <w:rPr>
          <w:rFonts w:ascii="Arial" w:cs="Arial" w:eastAsia="Arial" w:hAnsi="Arial"/>
          <w:sz w:val="16"/>
          <w:szCs w:val="16"/>
          <w:color w:val="auto"/>
        </w:rPr>
        <w:t xml:space="preserve">We have established an Audit Committee, a Compensation Committee and a Nominating and Corporate Governance Committee. Each of these committees operates under a charter that has been approved by our Board of Directors. A copy of each committee's charter can be found under the "Investor Relations—Corporate Governance—Governance Overview" section of our website, which is located at </w:t>
      </w:r>
      <w:r>
        <w:rPr>
          <w:rFonts w:ascii="Arial" w:cs="Arial" w:eastAsia="Arial" w:hAnsi="Arial"/>
          <w:sz w:val="16"/>
          <w:szCs w:val="16"/>
          <w:i w:val="1"/>
          <w:iCs w:val="1"/>
          <w:color w:val="auto"/>
        </w:rPr>
        <w:t>www.ymabs.com</w:t>
      </w:r>
      <w:r>
        <w:rPr>
          <w:rFonts w:ascii="Arial" w:cs="Arial" w:eastAsia="Arial" w:hAnsi="Arial"/>
          <w:sz w:val="16"/>
          <w:szCs w:val="16"/>
          <w:color w:val="auto"/>
        </w:rPr>
        <w:t>.</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membership and meeting information for fiscal 2018 for each of the committees of the Board of Directors: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Nominating and</w:t>
            </w:r>
          </w:p>
        </w:tc>
      </w:tr>
      <w:tr>
        <w:trPr>
          <w:trHeight w:val="136"/>
        </w:trPr>
        <w:tc>
          <w:tcPr>
            <w:tcW w:w="3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gridSpan w:val="2"/>
          </w:tcPr>
          <w:p>
            <w:pPr>
              <w:jc w:val="center"/>
              <w:ind w:right="360"/>
              <w:spacing w:after="0" w:line="136" w:lineRule="exact"/>
              <w:rPr>
                <w:sz w:val="20"/>
                <w:szCs w:val="20"/>
                <w:color w:val="auto"/>
              </w:rPr>
            </w:pPr>
            <w:r>
              <w:rPr>
                <w:rFonts w:ascii="Arial" w:cs="Arial" w:eastAsia="Arial" w:hAnsi="Arial"/>
                <w:sz w:val="12"/>
                <w:szCs w:val="12"/>
                <w:b w:val="1"/>
                <w:bCs w:val="1"/>
                <w:color w:val="auto"/>
                <w:w w:val="97"/>
              </w:rPr>
              <w:t>Corporate</w:t>
            </w:r>
          </w:p>
        </w:tc>
      </w:tr>
      <w:tr>
        <w:trPr>
          <w:trHeight w:val="149"/>
        </w:trPr>
        <w:tc>
          <w:tcPr>
            <w:tcW w:w="450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8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Audit</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Compensation</w:t>
            </w:r>
          </w:p>
        </w:tc>
        <w:tc>
          <w:tcPr>
            <w:tcW w:w="14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Governance</w:t>
            </w: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27"/>
        </w:trPr>
        <w:tc>
          <w:tcPr>
            <w:tcW w:w="450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Dr. Gérard Ber</w:t>
            </w:r>
            <w:r>
              <w:rPr>
                <w:rFonts w:ascii="Arial" w:cs="Arial" w:eastAsia="Arial" w:hAnsi="Arial"/>
                <w:sz w:val="26"/>
                <w:szCs w:val="26"/>
                <w:color w:val="auto"/>
                <w:vertAlign w:val="superscript"/>
              </w:rPr>
              <w:t>(1)</w:t>
            </w:r>
          </w:p>
        </w:tc>
        <w:tc>
          <w:tcPr>
            <w:tcW w:w="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X</w:t>
            </w: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X</w:t>
            </w:r>
          </w:p>
        </w:tc>
      </w:tr>
      <w:tr>
        <w:trPr>
          <w:trHeight w:val="197"/>
        </w:trPr>
        <w:tc>
          <w:tcPr>
            <w:tcW w:w="4500" w:type="dxa"/>
            <w:vAlign w:val="bottom"/>
            <w:gridSpan w:val="3"/>
          </w:tcPr>
          <w:p>
            <w:pPr>
              <w:spacing w:after="0"/>
              <w:rPr>
                <w:sz w:val="20"/>
                <w:szCs w:val="20"/>
                <w:color w:val="auto"/>
              </w:rPr>
            </w:pPr>
            <w:r>
              <w:rPr>
                <w:rFonts w:ascii="Arial" w:cs="Arial" w:eastAsia="Arial" w:hAnsi="Arial"/>
                <w:sz w:val="16"/>
                <w:szCs w:val="16"/>
                <w:color w:val="auto"/>
              </w:rPr>
              <w:t>Thomas Gad</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gridSpan w:val="2"/>
          </w:tcPr>
          <w:p>
            <w:pPr>
              <w:ind w:left="920"/>
              <w:spacing w:after="0"/>
              <w:rPr>
                <w:sz w:val="20"/>
                <w:szCs w:val="20"/>
                <w:color w:val="auto"/>
              </w:rPr>
            </w:pPr>
            <w:r>
              <w:rPr>
                <w:rFonts w:ascii="Arial" w:cs="Arial" w:eastAsia="Arial" w:hAnsi="Arial"/>
                <w:sz w:val="16"/>
                <w:szCs w:val="16"/>
                <w:color w:val="auto"/>
              </w:rPr>
              <w:t>X</w:t>
            </w:r>
            <w:r>
              <w:rPr>
                <w:rFonts w:ascii="Arial" w:cs="Arial" w:eastAsia="Arial" w:hAnsi="Arial"/>
                <w:sz w:val="13"/>
                <w:szCs w:val="13"/>
                <w:color w:val="auto"/>
              </w:rPr>
              <w:t>(2)</w:t>
            </w:r>
          </w:p>
        </w:tc>
      </w:tr>
      <w:tr>
        <w:trPr>
          <w:trHeight w:val="197"/>
        </w:trPr>
        <w:tc>
          <w:tcPr>
            <w:tcW w:w="4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David N. Gill</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X</w:t>
            </w:r>
            <w:r>
              <w:rPr>
                <w:rFonts w:ascii="Arial" w:cs="Arial" w:eastAsia="Arial" w:hAnsi="Arial"/>
                <w:sz w:val="13"/>
                <w:szCs w:val="13"/>
                <w:color w:val="auto"/>
              </w:rPr>
              <w:t>(2)</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197"/>
        </w:trPr>
        <w:tc>
          <w:tcPr>
            <w:tcW w:w="4500" w:type="dxa"/>
            <w:vAlign w:val="bottom"/>
            <w:gridSpan w:val="3"/>
          </w:tcPr>
          <w:p>
            <w:pPr>
              <w:spacing w:after="0"/>
              <w:rPr>
                <w:sz w:val="20"/>
                <w:szCs w:val="20"/>
                <w:color w:val="auto"/>
              </w:rPr>
            </w:pPr>
            <w:r>
              <w:rPr>
                <w:rFonts w:ascii="Arial" w:cs="Arial" w:eastAsia="Arial" w:hAnsi="Arial"/>
                <w:sz w:val="16"/>
                <w:szCs w:val="16"/>
                <w:color w:val="auto"/>
              </w:rPr>
              <w:t>Dr. James I. Healy</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color w:val="auto"/>
              </w:rPr>
              <w:t>X</w:t>
            </w:r>
            <w:r>
              <w:rPr>
                <w:rFonts w:ascii="Arial" w:cs="Arial" w:eastAsia="Arial" w:hAnsi="Arial"/>
                <w:sz w:val="13"/>
                <w:szCs w:val="13"/>
                <w:color w:val="auto"/>
              </w:rPr>
              <w:t>(2)</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7"/>
        </w:trPr>
        <w:tc>
          <w:tcPr>
            <w:tcW w:w="4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Dr. Gregory Raskin</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X</w:t>
            </w:r>
          </w:p>
        </w:tc>
        <w:tc>
          <w:tcPr>
            <w:tcW w:w="9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X</w:t>
            </w:r>
          </w:p>
        </w:tc>
      </w:tr>
      <w:tr>
        <w:trPr>
          <w:trHeight w:val="197"/>
        </w:trPr>
        <w:tc>
          <w:tcPr>
            <w:tcW w:w="4500" w:type="dxa"/>
            <w:vAlign w:val="bottom"/>
            <w:gridSpan w:val="3"/>
          </w:tcPr>
          <w:p>
            <w:pPr>
              <w:spacing w:after="0"/>
              <w:rPr>
                <w:sz w:val="20"/>
                <w:szCs w:val="20"/>
                <w:color w:val="auto"/>
              </w:rPr>
            </w:pPr>
            <w:r>
              <w:rPr>
                <w:rFonts w:ascii="Arial" w:cs="Arial" w:eastAsia="Arial" w:hAnsi="Arial"/>
                <w:sz w:val="16"/>
                <w:szCs w:val="16"/>
                <w:color w:val="auto"/>
              </w:rPr>
              <w:t>Dr. Ashutosh Tyagi</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X</w:t>
            </w: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7"/>
        </w:trPr>
        <w:tc>
          <w:tcPr>
            <w:tcW w:w="45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Johan Wedell-Wedellsborg</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X</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05"/>
        </w:trPr>
        <w:tc>
          <w:tcPr>
            <w:tcW w:w="4500" w:type="dxa"/>
            <w:vAlign w:val="bottom"/>
            <w:gridSpan w:val="3"/>
          </w:tcPr>
          <w:p>
            <w:pPr>
              <w:spacing w:after="0"/>
              <w:rPr>
                <w:sz w:val="20"/>
                <w:szCs w:val="20"/>
                <w:color w:val="auto"/>
              </w:rPr>
            </w:pPr>
            <w:r>
              <w:rPr>
                <w:rFonts w:ascii="Arial" w:cs="Arial" w:eastAsia="Arial" w:hAnsi="Arial"/>
                <w:sz w:val="16"/>
                <w:szCs w:val="16"/>
                <w:color w:val="auto"/>
              </w:rPr>
              <w:t>Total meetings in fiscal 2018</w:t>
            </w:r>
          </w:p>
        </w:tc>
        <w:tc>
          <w:tcPr>
            <w:tcW w:w="800" w:type="dxa"/>
            <w:vAlign w:val="bottom"/>
            <w:gridSpan w:val="2"/>
          </w:tcPr>
          <w:p>
            <w:pPr>
              <w:jc w:val="right"/>
              <w:ind w:right="360"/>
              <w:spacing w:after="0"/>
              <w:rPr>
                <w:sz w:val="20"/>
                <w:szCs w:val="20"/>
                <w:color w:val="auto"/>
              </w:rPr>
            </w:pPr>
            <w:r>
              <w:rPr>
                <w:rFonts w:ascii="Arial" w:cs="Arial" w:eastAsia="Arial" w:hAnsi="Arial"/>
                <w:sz w:val="16"/>
                <w:szCs w:val="16"/>
                <w:color w:val="auto"/>
              </w:rPr>
              <w:t>7</w:t>
            </w:r>
          </w:p>
        </w:tc>
        <w:tc>
          <w:tcPr>
            <w:tcW w:w="1280" w:type="dxa"/>
            <w:vAlign w:val="bottom"/>
            <w:gridSpan w:val="2"/>
          </w:tcPr>
          <w:p>
            <w:pPr>
              <w:ind w:left="840"/>
              <w:spacing w:after="0"/>
              <w:rPr>
                <w:sz w:val="20"/>
                <w:szCs w:val="20"/>
                <w:color w:val="auto"/>
              </w:rPr>
            </w:pPr>
            <w:r>
              <w:rPr>
                <w:rFonts w:ascii="Arial" w:cs="Arial" w:eastAsia="Arial" w:hAnsi="Arial"/>
                <w:sz w:val="16"/>
                <w:szCs w:val="16"/>
                <w:color w:val="auto"/>
              </w:rPr>
              <w:t>2</w:t>
            </w:r>
          </w:p>
        </w:tc>
        <w:tc>
          <w:tcPr>
            <w:tcW w:w="1400" w:type="dxa"/>
            <w:vAlign w:val="bottom"/>
            <w:gridSpan w:val="2"/>
          </w:tcPr>
          <w:p>
            <w:pPr>
              <w:jc w:val="right"/>
              <w:ind w:right="380"/>
              <w:spacing w:after="0"/>
              <w:rPr>
                <w:sz w:val="20"/>
                <w:szCs w:val="20"/>
                <w:color w:val="auto"/>
              </w:rPr>
            </w:pPr>
            <w:r>
              <w:rPr>
                <w:rFonts w:ascii="Arial" w:cs="Arial" w:eastAsia="Arial" w:hAnsi="Arial"/>
                <w:sz w:val="16"/>
                <w:szCs w:val="16"/>
                <w:color w:val="auto"/>
              </w:rPr>
              <w:t>1</w:t>
            </w:r>
          </w:p>
        </w:tc>
      </w:tr>
      <w:tr>
        <w:trPr>
          <w:trHeight w:val="91"/>
        </w:trPr>
        <w:tc>
          <w:tcPr>
            <w:tcW w:w="3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2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80" w:type="dxa"/>
            <w:vAlign w:val="bottom"/>
          </w:tcPr>
          <w:p>
            <w:pPr>
              <w:spacing w:after="0"/>
              <w:rPr>
                <w:sz w:val="7"/>
                <w:szCs w:val="7"/>
                <w:color w:val="auto"/>
              </w:rPr>
            </w:pPr>
          </w:p>
        </w:tc>
      </w:tr>
    </w:tbl>
    <w:p>
      <w:pPr>
        <w:spacing w:after="0" w:line="176" w:lineRule="exact"/>
        <w:rPr>
          <w:sz w:val="20"/>
          <w:szCs w:val="20"/>
          <w:color w:val="auto"/>
        </w:rPr>
      </w:pPr>
    </w:p>
    <w:p>
      <w:pPr>
        <w:ind w:left="2200" w:hanging="487"/>
        <w:spacing w:after="0" w:line="251" w:lineRule="auto"/>
        <w:tabs>
          <w:tab w:leader="none" w:pos="22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During fiscal 2018, Michael Buschle, Ph.D., was a member of our Board of Directors and served as a member of our Compensation Committee and Nominating and Corporate Governance Committee until he resigned effective December 11, 2018. Effective upon Dr. Buschle's resignation, Dr. Ber replaced him as a member of our Board of Directors and as a member of our Compensation Committee and Nominating and Corporate Governance Committee.</w:t>
      </w:r>
    </w:p>
    <w:p>
      <w:pPr>
        <w:spacing w:after="0" w:line="97" w:lineRule="exact"/>
        <w:rPr>
          <w:rFonts w:ascii="Arial" w:cs="Arial" w:eastAsia="Arial" w:hAnsi="Arial"/>
          <w:sz w:val="12"/>
          <w:szCs w:val="12"/>
          <w:color w:val="auto"/>
        </w:rPr>
      </w:pPr>
    </w:p>
    <w:p>
      <w:pPr>
        <w:ind w:left="2200" w:hanging="487"/>
        <w:spacing w:after="0"/>
        <w:tabs>
          <w:tab w:leader="none" w:pos="220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Committee Chair for fiscal 2018.</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Below is a description of each committee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Audit Committee's responsibilities include:</w:t>
      </w:r>
    </w:p>
    <w:p>
      <w:pPr>
        <w:spacing w:after="0" w:line="223" w:lineRule="exact"/>
        <w:rPr>
          <w:sz w:val="20"/>
          <w:szCs w:val="20"/>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our registered public accounting firm;</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overseeing the work of our independent registered public accounting firm, including through the receipt and consideration of reports from such firm;</w:t>
      </w:r>
    </w:p>
    <w:p>
      <w:pPr>
        <w:spacing w:after="0" w:line="234" w:lineRule="exact"/>
        <w:rPr>
          <w:rFonts w:ascii="Arial" w:cs="Arial" w:eastAsia="Arial" w:hAnsi="Arial"/>
          <w:sz w:val="15"/>
          <w:szCs w:val="15"/>
          <w:color w:val="auto"/>
        </w:rPr>
      </w:pPr>
    </w:p>
    <w:p>
      <w:pPr>
        <w:ind w:left="980" w:right="220" w:hanging="488"/>
        <w:spacing w:after="0" w:line="284" w:lineRule="auto"/>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and discussing with management and our independent registered public accounting firm our annual and quarterly financial statements and related disclosures;</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overseeing our risk assessment and risk management policies;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procedures for the receipt, retention and treatment of accounting related complaints and concerns;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meeting independently with our internal auditing staff, if any, our independent registered public accounting firm and management;</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and approving or ratifying any related person transactions;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preparing the Audit Committee report required by SEC rules.</w:t>
      </w:r>
    </w:p>
    <w:p>
      <w:pPr>
        <w:spacing w:after="0" w:line="211" w:lineRule="exact"/>
        <w:rPr>
          <w:sz w:val="20"/>
          <w:szCs w:val="20"/>
          <w:color w:val="auto"/>
        </w:rPr>
      </w:pPr>
    </w:p>
    <w:p>
      <w:pPr>
        <w:jc w:val="both"/>
        <w:ind w:firstLine="318"/>
        <w:spacing w:after="0" w:line="270" w:lineRule="auto"/>
        <w:rPr>
          <w:sz w:val="20"/>
          <w:szCs w:val="20"/>
          <w:color w:val="auto"/>
        </w:rPr>
      </w:pPr>
      <w:r>
        <w:rPr>
          <w:rFonts w:ascii="Arial" w:cs="Arial" w:eastAsia="Arial" w:hAnsi="Arial"/>
          <w:sz w:val="16"/>
          <w:szCs w:val="16"/>
          <w:color w:val="auto"/>
        </w:rPr>
        <w:t>The current members of our Audit Committee are Mr. Gill, Dr. Healy and Mr. Wedell-Wedellsborg. Mr. Gill is Chair of our Audit Committee. Our Board of Directors has determined that Mr. Gill qualifies as an "Audit Committee financial expert" within the meaning of applicable SEC rules. Our Audit Committee held seven (7) meetings during fiscal 2018.</w:t>
      </w:r>
    </w:p>
    <w:p>
      <w:pPr>
        <w:spacing w:after="0" w:line="16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Compensation Committee's responsibilities include:</w:t>
      </w:r>
    </w:p>
    <w:p>
      <w:pPr>
        <w:spacing w:after="0" w:line="223" w:lineRule="exact"/>
        <w:rPr>
          <w:sz w:val="20"/>
          <w:szCs w:val="20"/>
          <w:color w:val="auto"/>
        </w:rPr>
      </w:pPr>
    </w:p>
    <w:p>
      <w:pPr>
        <w:ind w:left="980" w:hanging="488"/>
        <w:spacing w:after="0"/>
        <w:tabs>
          <w:tab w:leader="none" w:pos="9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reviewing and approving, or making recommendations to our board with respect to, the compensation of our chief executive officer and other executive officers;</w:t>
      </w:r>
    </w:p>
    <w:p>
      <w:pPr>
        <w:spacing w:after="0" w:line="258" w:lineRule="exact"/>
        <w:rPr>
          <w:rFonts w:ascii="Arial" w:cs="Arial" w:eastAsia="Arial" w:hAnsi="Arial"/>
          <w:sz w:val="14"/>
          <w:szCs w:val="14"/>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overseeing the evaluation of our senior executives;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overseeing and administering our cash and equity incentive plans;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director compensation;</w:t>
      </w:r>
    </w:p>
    <w:p>
      <w:pPr>
        <w:spacing w:after="0" w:line="235" w:lineRule="exact"/>
        <w:rPr>
          <w:rFonts w:ascii="Arial" w:cs="Arial" w:eastAsia="Arial" w:hAnsi="Arial"/>
          <w:sz w:val="16"/>
          <w:szCs w:val="16"/>
          <w:color w:val="auto"/>
        </w:rPr>
      </w:pPr>
    </w:p>
    <w:p>
      <w:pPr>
        <w:ind w:left="980" w:right="80" w:hanging="488"/>
        <w:spacing w:after="0" w:line="284"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and discussing annually with management our "Compensation Discussion and Analysis" disclosure if and to the extent such disclosure is then required by SEC rules; and</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preparing the Compensation Committee report if and to the extent then required by SEC rules.</w:t>
      </w:r>
    </w:p>
    <w:p>
      <w:pPr>
        <w:spacing w:after="0" w:line="211"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processes and procedures followed by our Compensation Committee in considering and determining executive and director compensation are described below under the heading "Narrative Disclosure to Summary Compensation Table".</w:t>
      </w:r>
    </w:p>
    <w:p>
      <w:pPr>
        <w:spacing w:after="0" w:line="156" w:lineRule="exact"/>
        <w:rPr>
          <w:sz w:val="20"/>
          <w:szCs w:val="20"/>
          <w:color w:val="auto"/>
        </w:rPr>
      </w:pPr>
    </w:p>
    <w:p>
      <w:pPr>
        <w:ind w:right="640" w:firstLine="318"/>
        <w:spacing w:after="0" w:line="284" w:lineRule="auto"/>
        <w:rPr>
          <w:sz w:val="20"/>
          <w:szCs w:val="20"/>
          <w:color w:val="auto"/>
        </w:rPr>
      </w:pPr>
      <w:r>
        <w:rPr>
          <w:rFonts w:ascii="Arial" w:cs="Arial" w:eastAsia="Arial" w:hAnsi="Arial"/>
          <w:sz w:val="16"/>
          <w:szCs w:val="16"/>
          <w:color w:val="auto"/>
        </w:rPr>
        <w:t>The current members of our Compensation Committee are Dr. Ber, Mr. Gill and Dr. Healy. Dr. Healy is Chair of our Compensation Committee. Our Compensation Committee held two (2) meetings during fiscal 2018.</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Nominating and Corporate Governance Committee's responsibilities include:</w:t>
      </w:r>
    </w:p>
    <w:p>
      <w:pPr>
        <w:spacing w:after="0" w:line="223" w:lineRule="exact"/>
        <w:rPr>
          <w:sz w:val="20"/>
          <w:szCs w:val="20"/>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recommending to our board the persons to be nominated for election as directors and to each of our board's committees;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our board leadership structure and board committee structure;</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and making recommendations to our Board of Directors with respect to management succession planning;</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developing and recommending to our board corporate governance principles; and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overseeing an annual evaluation of our board.</w:t>
      </w:r>
    </w:p>
    <w:p>
      <w:pPr>
        <w:spacing w:after="0" w:line="211" w:lineRule="exact"/>
        <w:rPr>
          <w:sz w:val="20"/>
          <w:szCs w:val="20"/>
          <w:color w:val="auto"/>
        </w:rPr>
      </w:pPr>
    </w:p>
    <w:p>
      <w:pPr>
        <w:ind w:right="280" w:firstLine="318"/>
        <w:spacing w:after="0" w:line="284" w:lineRule="auto"/>
        <w:rPr>
          <w:sz w:val="20"/>
          <w:szCs w:val="20"/>
          <w:color w:val="auto"/>
        </w:rPr>
      </w:pPr>
      <w:r>
        <w:rPr>
          <w:rFonts w:ascii="Arial" w:cs="Arial" w:eastAsia="Arial" w:hAnsi="Arial"/>
          <w:sz w:val="16"/>
          <w:szCs w:val="16"/>
          <w:color w:val="auto"/>
        </w:rPr>
        <w:t>The current members of our Nominating and Corporate Governance Committee are Dr. Ber, Mr. Gill and Dr. Tyagi. Dr. Tyagi is the current Chair of the Nominating and Corporate Governance Committee. The Nominating and Corporate Governance Committee held one (1) meeting during fiscal 2018.</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Director Nomination Process</w:t>
      </w:r>
    </w:p>
    <w:p>
      <w:pPr>
        <w:spacing w:after="0" w:line="211" w:lineRule="exact"/>
        <w:rPr>
          <w:sz w:val="20"/>
          <w:szCs w:val="20"/>
          <w:color w:val="auto"/>
        </w:rPr>
      </w:pPr>
    </w:p>
    <w:p>
      <w:pPr>
        <w:ind w:right="180" w:firstLine="318"/>
        <w:spacing w:after="0" w:line="270" w:lineRule="auto"/>
        <w:rPr>
          <w:sz w:val="20"/>
          <w:szCs w:val="20"/>
          <w:color w:val="auto"/>
        </w:rPr>
      </w:pPr>
      <w:r>
        <w:rPr>
          <w:rFonts w:ascii="Arial" w:cs="Arial" w:eastAsia="Arial" w:hAnsi="Arial"/>
          <w:sz w:val="16"/>
          <w:szCs w:val="16"/>
          <w:color w:val="auto"/>
        </w:rPr>
        <w:t>The process followed by our Nominating and Corporate Governance Committee to identify and evaluate director candidates includes requests to members of our Board of Directors and others for recommendations, meetings from time to time to evaluate biographical information and background material relating to potential candidates and interviews of selected candidates by members of the Nominating and Corporate Governance Committee and our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Criteria and Diversity</w:t>
      </w:r>
    </w:p>
    <w:p>
      <w:pPr>
        <w:spacing w:after="0" w:line="211" w:lineRule="exact"/>
        <w:rPr>
          <w:sz w:val="20"/>
          <w:szCs w:val="20"/>
          <w:color w:val="auto"/>
        </w:rPr>
      </w:pPr>
    </w:p>
    <w:p>
      <w:pPr>
        <w:ind w:right="180" w:firstLine="321"/>
        <w:spacing w:after="0" w:line="270" w:lineRule="auto"/>
        <w:rPr>
          <w:sz w:val="20"/>
          <w:szCs w:val="20"/>
          <w:color w:val="auto"/>
        </w:rPr>
      </w:pPr>
      <w:r>
        <w:rPr>
          <w:rFonts w:ascii="Arial" w:cs="Arial" w:eastAsia="Arial" w:hAnsi="Arial"/>
          <w:sz w:val="16"/>
          <w:szCs w:val="16"/>
          <w:color w:val="auto"/>
        </w:rPr>
        <w:t>In considering whether to recommend to our Board of Directors any particular candidate for inclusion in our Board of Directors' slate of recommended director nominees, including candidates recommended by stockholders, the Nominating and Corporate Governance Committee of our Board of Directors applies the criteria set forth in our corporate governance guidelines. These criteria include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auto"/>
        </w:rPr>
        <w:t>the candidate's integrity, business acumen, knowledge of our business and industry, the ability to act in the interests of all stockholders and lack of conflicts of interest.</w:t>
      </w:r>
    </w:p>
    <w:p>
      <w:pPr>
        <w:spacing w:after="0" w:line="222" w:lineRule="exact"/>
        <w:rPr>
          <w:sz w:val="20"/>
          <w:szCs w:val="20"/>
          <w:color w:val="auto"/>
        </w:rPr>
      </w:pPr>
    </w:p>
    <w:p>
      <w:pPr>
        <w:ind w:right="220" w:firstLine="318"/>
        <w:spacing w:after="0" w:line="264" w:lineRule="auto"/>
        <w:rPr>
          <w:sz w:val="20"/>
          <w:szCs w:val="20"/>
          <w:color w:val="auto"/>
        </w:rPr>
      </w:pPr>
      <w:r>
        <w:rPr>
          <w:rFonts w:ascii="Arial" w:cs="Arial" w:eastAsia="Arial" w:hAnsi="Arial"/>
          <w:sz w:val="16"/>
          <w:szCs w:val="16"/>
          <w:color w:val="auto"/>
        </w:rPr>
        <w:t>The biographies for the director nominees set forth in this proxy statement under the heading "Board of Directors and Corporate Governance—Election of Directors," indicate each nominee's experience, qualifications, attributes and skills that led our Nominating and Corporate Governance Committee and our Board of Directors to conclude that he should be elected to serve as a director. Our Nominating and Corporate Governance Committee and our Board of Directors believe that each of the nominees has the individual attributes and characteristics required of each of our directors, and the nominees as a group possess the skill sets and specific experience desired of our Board of Directors as a whole.</w:t>
      </w:r>
    </w:p>
    <w:p>
      <w:pPr>
        <w:spacing w:after="0" w:line="172" w:lineRule="exact"/>
        <w:rPr>
          <w:sz w:val="20"/>
          <w:szCs w:val="20"/>
          <w:color w:val="auto"/>
        </w:rPr>
      </w:pPr>
    </w:p>
    <w:p>
      <w:pPr>
        <w:ind w:right="120" w:firstLine="321"/>
        <w:spacing w:after="0" w:line="266" w:lineRule="auto"/>
        <w:rPr>
          <w:sz w:val="20"/>
          <w:szCs w:val="20"/>
          <w:color w:val="auto"/>
        </w:rPr>
      </w:pPr>
      <w:r>
        <w:rPr>
          <w:rFonts w:ascii="Arial" w:cs="Arial" w:eastAsia="Arial" w:hAnsi="Arial"/>
          <w:sz w:val="16"/>
          <w:szCs w:val="16"/>
          <w:color w:val="auto"/>
        </w:rPr>
        <w:t>Our Nominating and Corporate Governance Committee does not have a policy (formal or informal) with respect to diversity, but believes that our board, taken as a whole, should embody a diverse set of skills, experiences and backgrounds. In this regard, the Nominating and Corporate Governance Committee also takes into consideration the diversity (for example, with respect to gender, race and national origin) of members of our Board of Directors. The Nominating and Corporate Governance Committee does not make any particular weighting of diversity or any other characteristic in evaluating nominees and directors.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Nominations</w:t>
      </w:r>
    </w:p>
    <w:p>
      <w:pPr>
        <w:spacing w:after="0" w:line="211" w:lineRule="exact"/>
        <w:rPr>
          <w:sz w:val="20"/>
          <w:szCs w:val="20"/>
          <w:color w:val="auto"/>
        </w:rPr>
      </w:pPr>
    </w:p>
    <w:p>
      <w:pPr>
        <w:ind w:right="80" w:firstLine="321"/>
        <w:spacing w:after="0" w:line="261" w:lineRule="auto"/>
        <w:rPr>
          <w:sz w:val="20"/>
          <w:szCs w:val="20"/>
          <w:color w:val="auto"/>
        </w:rPr>
      </w:pPr>
      <w:r>
        <w:rPr>
          <w:rFonts w:ascii="Arial" w:cs="Arial" w:eastAsia="Arial" w:hAnsi="Arial"/>
          <w:sz w:val="16"/>
          <w:szCs w:val="16"/>
          <w:color w:val="auto"/>
        </w:rPr>
        <w:t>Stockholders may recommend individuals to our Nominating and Corporate Governance Committee for consideration as potential director candidates by submitting their names, together with appropriate biographical information and background materials, to Y-mAbs Therapeutics, Inc., Attention: Secretary, 230 Park Avenue, Suite 3350, New York, New York 10169, Telephone No. (646) 885-8505. Assuming that appropriate biographical and background material has been provided on or before the dates set forth in this proxy statement under the heading "Stockholder Proposals for our 2020 Annual Meeting", the Nominating and Corporate Governance Committee will evaluate stockholder-recommended candidates by following substantially the same process, and applying substantially the same criteria, as it follows for candidates submitted by others. If our Board of Directors determines to nominate a stockholder-recommended candidate and recommends his or her election, then his or her name will be included in our proxy card for the next annual meeting.</w:t>
      </w:r>
    </w:p>
    <w:p>
      <w:pPr>
        <w:spacing w:after="0" w:line="178" w:lineRule="exact"/>
        <w:rPr>
          <w:sz w:val="20"/>
          <w:szCs w:val="20"/>
          <w:color w:val="auto"/>
        </w:rPr>
      </w:pPr>
    </w:p>
    <w:p>
      <w:pPr>
        <w:ind w:right="100" w:firstLine="321"/>
        <w:spacing w:after="0" w:line="270" w:lineRule="auto"/>
        <w:rPr>
          <w:sz w:val="20"/>
          <w:szCs w:val="20"/>
          <w:color w:val="auto"/>
        </w:rPr>
      </w:pPr>
      <w:r>
        <w:rPr>
          <w:rFonts w:ascii="Arial" w:cs="Arial" w:eastAsia="Arial" w:hAnsi="Arial"/>
          <w:sz w:val="16"/>
          <w:szCs w:val="16"/>
          <w:color w:val="auto"/>
        </w:rPr>
        <w:t>Stockholders also have the right under our amended and restated by-laws to directly nominate director candidates, without any action or recommendation on the part of the Nominating and Corporate Governance Committee or our Board of Directors, by following the procedures set forth in this proxy statement under the heading "Stockholder Proposals for our 2020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Oversight of Risk</w:t>
      </w:r>
    </w:p>
    <w:p>
      <w:pPr>
        <w:spacing w:after="0" w:line="211"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color w:val="auto"/>
        </w:rPr>
        <w:t>Our Board of Directors oversees our risk management processes directly and through its committees. Our management is responsible for risk management on a day-day basis. The role of our Board of Directors and its committees is to oversee the risk management activities of management. Our Board of Directors fulfills this duty by discussing with management the policies and practices utilized by management in assessing and managing risks and providing input on those policies and practices. In general, our Board of Directors oversees risk management activities relating to business strategy, acquisitions, capital allocation, organizational structure and certain operational risks. Our Audit Committee oversees risk management activities related to financial controls and legal and compliance risks. Our Compensation Committee oversees risk management activities relating to our compensation policies and practices. Our Nominating and Corporate Governance Committee oversees risk management activities relating to the composition of our Board of Directors and management succession planning. Each committee reports to the full Board of Directors on a regular basis, including reports with respect to the committee's risk oversight activities as appropriate. In addition, since risk</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issues often overlap, committees from time to time request that the full Board of Directors discuss particular risks.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 Interlocks and Insider Participation</w:t>
      </w:r>
    </w:p>
    <w:p>
      <w:pPr>
        <w:spacing w:after="0" w:line="211" w:lineRule="exact"/>
        <w:rPr>
          <w:sz w:val="20"/>
          <w:szCs w:val="20"/>
          <w:color w:val="auto"/>
        </w:rPr>
      </w:pPr>
    </w:p>
    <w:p>
      <w:pPr>
        <w:ind w:right="40" w:firstLine="321"/>
        <w:spacing w:after="0" w:line="270" w:lineRule="auto"/>
        <w:rPr>
          <w:sz w:val="20"/>
          <w:szCs w:val="20"/>
          <w:color w:val="auto"/>
        </w:rPr>
      </w:pPr>
      <w:r>
        <w:rPr>
          <w:rFonts w:ascii="Arial" w:cs="Arial" w:eastAsia="Arial" w:hAnsi="Arial"/>
          <w:sz w:val="16"/>
          <w:szCs w:val="16"/>
          <w:color w:val="auto"/>
        </w:rPr>
        <w:t>During fiscal 2018, Dr. Healy, Dr. Michael Buschle and Mr. Wedell-Wedellsborg served as members of our Compensation Committee. Dr. Ber served as member of our Compensation Committee since he became a member of our Board of Directors on December 11, 2018 replacing Dr. Michael Buschle who resigned as a member of our Board of Directors effective December 11, 2018.</w:t>
      </w:r>
    </w:p>
    <w:p>
      <w:pPr>
        <w:spacing w:after="0" w:line="168" w:lineRule="exact"/>
        <w:rPr>
          <w:sz w:val="20"/>
          <w:szCs w:val="20"/>
          <w:color w:val="auto"/>
        </w:rPr>
      </w:pPr>
    </w:p>
    <w:p>
      <w:pPr>
        <w:ind w:firstLine="321"/>
        <w:spacing w:after="0" w:line="319" w:lineRule="auto"/>
        <w:rPr>
          <w:sz w:val="20"/>
          <w:szCs w:val="20"/>
          <w:color w:val="auto"/>
        </w:rPr>
      </w:pPr>
      <w:r>
        <w:rPr>
          <w:rFonts w:ascii="Arial" w:cs="Arial" w:eastAsia="Arial" w:hAnsi="Arial"/>
          <w:sz w:val="15"/>
          <w:szCs w:val="15"/>
          <w:color w:val="auto"/>
        </w:rPr>
        <w:t>None of our executive officers serves, or in the past has served, as a member of the board of directors or Compensation Committee, or other committee serving an equivalent function, of any entity that has one or more executive officers who serve as members of our Board of Directors or our Compensation Committee.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Family Relationships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are no family relationships between or among the directors, executive officers or persons nominated or chosen by us to become directors or executive officers.</w:t>
      </w:r>
    </w:p>
    <w:p>
      <w:pPr>
        <w:spacing w:after="0" w:line="222" w:lineRule="exact"/>
        <w:rPr>
          <w:sz w:val="20"/>
          <w:szCs w:val="20"/>
          <w:color w:val="auto"/>
        </w:rPr>
      </w:pPr>
    </w:p>
    <w:p>
      <w:pPr>
        <w:ind w:right="180" w:firstLine="318"/>
        <w:spacing w:after="0" w:line="289" w:lineRule="auto"/>
        <w:rPr>
          <w:sz w:val="20"/>
          <w:szCs w:val="20"/>
          <w:color w:val="auto"/>
        </w:rPr>
      </w:pPr>
      <w:r>
        <w:rPr>
          <w:rFonts w:ascii="Arial" w:cs="Arial" w:eastAsia="Arial" w:hAnsi="Arial"/>
          <w:sz w:val="15"/>
          <w:szCs w:val="15"/>
          <w:color w:val="auto"/>
        </w:rPr>
        <w:t>There are no arrangements or understandings between any two (2) or more of our directors or executive officers or between any of our directors or executive officers and any other person pursuant to which any director or officer was or is to be selected as a director or officer, and there is no arrangement, plan or understanding as to whether non-management stockholders will exercise their voting rights to continue to elect the current Board of Directors. There are also no arrangements, agreements or understandings between non-management stockholders that may directly or indirectly participate in or influence the management of our affairs.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Policy on Trading, Pledging and Hedging of Company Stock</w:t>
      </w:r>
    </w:p>
    <w:p>
      <w:pPr>
        <w:spacing w:after="0" w:line="211" w:lineRule="exact"/>
        <w:rPr>
          <w:sz w:val="20"/>
          <w:szCs w:val="20"/>
          <w:color w:val="auto"/>
        </w:rPr>
      </w:pPr>
    </w:p>
    <w:p>
      <w:pPr>
        <w:ind w:right="20" w:firstLine="321"/>
        <w:spacing w:after="0" w:line="310" w:lineRule="auto"/>
        <w:rPr>
          <w:sz w:val="20"/>
          <w:szCs w:val="20"/>
          <w:color w:val="auto"/>
        </w:rPr>
      </w:pPr>
      <w:r>
        <w:rPr>
          <w:rFonts w:ascii="Arial" w:cs="Arial" w:eastAsia="Arial" w:hAnsi="Arial"/>
          <w:sz w:val="14"/>
          <w:szCs w:val="14"/>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and employees. Our insider trading policy expressly prohibits purchases of any derivative securities that provide the economic equivalent of ownership.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Code of Business Conduct and Ethics</w:t>
      </w:r>
    </w:p>
    <w:p>
      <w:pPr>
        <w:spacing w:after="0" w:line="211" w:lineRule="exact"/>
        <w:rPr>
          <w:sz w:val="20"/>
          <w:szCs w:val="20"/>
          <w:color w:val="auto"/>
        </w:rPr>
      </w:pPr>
    </w:p>
    <w:p>
      <w:pPr>
        <w:ind w:right="60" w:firstLine="321"/>
        <w:spacing w:after="0" w:line="262" w:lineRule="auto"/>
        <w:rPr>
          <w:sz w:val="20"/>
          <w:szCs w:val="20"/>
          <w:color w:val="auto"/>
        </w:rPr>
      </w:pPr>
      <w:r>
        <w:rPr>
          <w:rFonts w:ascii="Arial" w:cs="Arial" w:eastAsia="Arial" w:hAnsi="Arial"/>
          <w:sz w:val="16"/>
          <w:szCs w:val="16"/>
          <w:color w:val="auto"/>
        </w:rPr>
        <w:t xml:space="preserve">Our Board of Directors has adopted a written Code of Conduct and ethics that applies to our directors, officers and employees, including our principal executive officer, principal financial officer, principal accounting officer or controller, or persons performing similar functions. Our Code of Conduct has been distributed to all directors, officers, and employees. A copy of our Code of Conduct can be found under the "Investor Relations—Corporate Governance—Governance Overview" section of our website at </w:t>
      </w:r>
      <w:r>
        <w:rPr>
          <w:rFonts w:ascii="Arial" w:cs="Arial" w:eastAsia="Arial" w:hAnsi="Arial"/>
          <w:sz w:val="16"/>
          <w:szCs w:val="16"/>
          <w:i w:val="1"/>
          <w:iCs w:val="1"/>
          <w:color w:val="auto"/>
        </w:rPr>
        <w:t xml:space="preserve">www.ymabs.com. </w:t>
      </w:r>
      <w:r>
        <w:rPr>
          <w:rFonts w:ascii="Arial" w:cs="Arial" w:eastAsia="Arial" w:hAnsi="Arial"/>
          <w:sz w:val="16"/>
          <w:szCs w:val="16"/>
          <w:color w:val="auto"/>
        </w:rPr>
        <w:t>We intend to disclose future amendments to certain provisions of our Code of Conduct, or waivers of such provisions, applicable to our directors and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at the same location on our website identified above. The inclusion of our website address in this proxy statement does not include or incorporate by reference the information on our website into this proxy statement.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Policies and Procedures for Related Person Transactions</w:t>
      </w:r>
    </w:p>
    <w:p>
      <w:pPr>
        <w:spacing w:after="0" w:line="211" w:lineRule="exact"/>
        <w:rPr>
          <w:sz w:val="20"/>
          <w:szCs w:val="20"/>
          <w:color w:val="auto"/>
        </w:rPr>
      </w:pPr>
    </w:p>
    <w:p>
      <w:pPr>
        <w:ind w:right="60" w:firstLine="321"/>
        <w:spacing w:after="0" w:line="270" w:lineRule="auto"/>
        <w:rPr>
          <w:sz w:val="20"/>
          <w:szCs w:val="20"/>
          <w:color w:val="auto"/>
        </w:rPr>
      </w:pPr>
      <w:r>
        <w:rPr>
          <w:rFonts w:ascii="Arial" w:cs="Arial" w:eastAsia="Arial" w:hAnsi="Arial"/>
          <w:sz w:val="16"/>
          <w:szCs w:val="16"/>
          <w:color w:val="auto"/>
        </w:rPr>
        <w:t>Our Board of Directors has adopted a written related person transaction policy to set forth policies and procedures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8" w:lineRule="exact"/>
        <w:rPr>
          <w:sz w:val="20"/>
          <w:szCs w:val="20"/>
          <w:color w:val="auto"/>
        </w:rPr>
      </w:pPr>
    </w:p>
    <w:p>
      <w:pPr>
        <w:ind w:right="40" w:firstLine="321"/>
        <w:spacing w:after="0" w:line="262" w:lineRule="auto"/>
        <w:rPr>
          <w:sz w:val="20"/>
          <w:szCs w:val="20"/>
          <w:color w:val="auto"/>
        </w:rPr>
      </w:pPr>
      <w:r>
        <w:rPr>
          <w:rFonts w:ascii="Arial" w:cs="Arial" w:eastAsia="Arial" w:hAnsi="Arial"/>
          <w:sz w:val="16"/>
          <w:szCs w:val="16"/>
          <w:color w:val="auto"/>
        </w:rPr>
        <w:t>If a related person proposes to enter into such a transaction, arrangement or relationship, which we refer to as a "related party transaction," the related person must report the proposed related person transaction to our chief financial officer. The policy calls for the proposed related person transaction to be reviewed and approved by our Audit Committee. Whenever practicable, the reporting, review and approval will occur prior to entry into the transaction. If advance review and approval is not practicable, the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6" w:lineRule="exact"/>
        <w:rPr>
          <w:sz w:val="20"/>
          <w:szCs w:val="20"/>
          <w:color w:val="auto"/>
        </w:rPr>
      </w:pPr>
    </w:p>
    <w:p>
      <w:pPr>
        <w:jc w:val="both"/>
        <w:ind w:right="160" w:firstLine="312"/>
        <w:spacing w:after="0" w:line="270" w:lineRule="auto"/>
        <w:rPr>
          <w:sz w:val="20"/>
          <w:szCs w:val="20"/>
          <w:color w:val="auto"/>
        </w:rPr>
      </w:pPr>
      <w:r>
        <w:rPr>
          <w:rFonts w:ascii="Arial" w:cs="Arial" w:eastAsia="Arial" w:hAnsi="Arial"/>
          <w:sz w:val="16"/>
          <w:szCs w:val="16"/>
          <w:color w:val="auto"/>
        </w:rPr>
        <w:t>A related person transaction reviewed under this policy will be considered approved or ratified if it is authorized by our Audit Committee in accordance with the standards set forth in the policy after full disclosure of the related person's interests in the transaction. As appropriate for the circumstances, the policy provides that our Audit Committee will review and consider:</w:t>
      </w:r>
    </w:p>
    <w:p>
      <w:pPr>
        <w:spacing w:after="0" w:line="181" w:lineRule="exact"/>
        <w:rPr>
          <w:sz w:val="20"/>
          <w:szCs w:val="20"/>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related person's interest in the related person transaction;</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approximate dollar value of the amount involved in the related person transaction;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approximate dollar value of the amount of the related person's interest in the transaction without regard to the amount of any profit or loss;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transaction was undertaken in the ordinary course of our business;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whether the terms of the transaction are no less favorable to us than the terms that could have been reached with an unrelated third party;</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purpose of, and the potential benefits to us of, the transaction; and</w:t>
      </w:r>
    </w:p>
    <w:p>
      <w:pPr>
        <w:spacing w:after="0" w:line="222" w:lineRule="exact"/>
        <w:rPr>
          <w:rFonts w:ascii="Arial" w:cs="Arial" w:eastAsia="Arial" w:hAnsi="Arial"/>
          <w:sz w:val="16"/>
          <w:szCs w:val="16"/>
          <w:color w:val="auto"/>
        </w:rPr>
      </w:pPr>
    </w:p>
    <w:p>
      <w:pPr>
        <w:ind w:left="980" w:right="160" w:hanging="488"/>
        <w:spacing w:after="0" w:line="284"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56" w:lineRule="exact"/>
        <w:rPr>
          <w:sz w:val="20"/>
          <w:szCs w:val="20"/>
          <w:color w:val="auto"/>
        </w:rPr>
      </w:pPr>
    </w:p>
    <w:p>
      <w:pPr>
        <w:ind w:firstLine="321"/>
        <w:spacing w:after="0" w:line="297" w:lineRule="auto"/>
        <w:rPr>
          <w:sz w:val="20"/>
          <w:szCs w:val="20"/>
          <w:color w:val="auto"/>
        </w:rPr>
      </w:pPr>
      <w:r>
        <w:rPr>
          <w:rFonts w:ascii="Arial" w:cs="Arial" w:eastAsia="Arial" w:hAnsi="Arial"/>
          <w:sz w:val="15"/>
          <w:szCs w:val="15"/>
          <w:color w:val="auto"/>
        </w:rPr>
        <w:t>Our Audit Committee may approve or ratify the related person transaction only if our Audit Committee determines that, under all of the circumstances, the transaction is in our best interests. Our Audit Committee may impose any conditions on the related person transaction as it deems appropriate. The policy also provides that transactions involving compensation of executive officers will be reviewed and approved by our Compensation Committee in the manner specified in its charter.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Related Person Transactions</w:t>
      </w:r>
    </w:p>
    <w:p>
      <w:pPr>
        <w:spacing w:after="0" w:line="211" w:lineRule="exact"/>
        <w:rPr>
          <w:sz w:val="20"/>
          <w:szCs w:val="20"/>
          <w:color w:val="auto"/>
        </w:rPr>
      </w:pPr>
    </w:p>
    <w:p>
      <w:pPr>
        <w:ind w:right="100" w:firstLine="321"/>
        <w:spacing w:after="0" w:line="289" w:lineRule="auto"/>
        <w:rPr>
          <w:sz w:val="20"/>
          <w:szCs w:val="20"/>
          <w:color w:val="auto"/>
        </w:rPr>
      </w:pPr>
      <w:r>
        <w:rPr>
          <w:rFonts w:ascii="Arial" w:cs="Arial" w:eastAsia="Arial" w:hAnsi="Arial"/>
          <w:sz w:val="15"/>
          <w:szCs w:val="15"/>
          <w:color w:val="auto"/>
        </w:rPr>
        <w:t>In addition to the compensation arrangements with directors and executive officers described elsewhere in this proxy statement, since January 1, 2018, we have engaged in, or currently propose to engage in, the following transactions in which the amount involved exceeds $120,000 and any of our executive officers, directors, director nominees or 5% stockholders, or their immediate family members, or any person who was in any of those categories at the time of such transaction, had or has a direct or indirect material interest. We believe that all of these transactions were on terms comparable to terms that could have been obtained from unrelated third parties.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Initial Public Offering</w:t>
      </w:r>
    </w:p>
    <w:p>
      <w:pPr>
        <w:spacing w:after="0" w:line="211" w:lineRule="exact"/>
        <w:rPr>
          <w:sz w:val="20"/>
          <w:szCs w:val="20"/>
          <w:color w:val="auto"/>
        </w:rPr>
      </w:pPr>
    </w:p>
    <w:p>
      <w:pPr>
        <w:ind w:right="120" w:firstLine="321"/>
        <w:spacing w:after="0" w:line="284" w:lineRule="auto"/>
        <w:rPr>
          <w:sz w:val="20"/>
          <w:szCs w:val="20"/>
          <w:color w:val="auto"/>
        </w:rPr>
      </w:pPr>
      <w:r>
        <w:rPr>
          <w:rFonts w:ascii="Arial" w:cs="Arial" w:eastAsia="Arial" w:hAnsi="Arial"/>
          <w:sz w:val="16"/>
          <w:szCs w:val="16"/>
          <w:color w:val="auto"/>
        </w:rPr>
        <w:t>In September 2018, we completed our initial public offering under which we issued and sold an aggregate of 6,900,000 shares of our common stock at a price per share of $16.00, for an aggregate purchase price of $110.4 million.</w:t>
      </w:r>
    </w:p>
    <w:p>
      <w:pPr>
        <w:spacing w:after="0" w:line="156"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following table sets forth the number of shares of our common stock purchased by our directors, executive officers and 5% stockholders and their affiliates in the initial public offering and the aggregate purchase price paid for such shares.</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Shares of Common</w:t>
            </w:r>
          </w:p>
        </w:tc>
        <w:tc>
          <w:tcPr>
            <w:tcW w:w="100" w:type="dxa"/>
            <w:vAlign w:val="bottom"/>
          </w:tcPr>
          <w:p>
            <w:pPr>
              <w:spacing w:after="0"/>
              <w:rPr>
                <w:sz w:val="12"/>
                <w:szCs w:val="12"/>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49"/>
        </w:trPr>
        <w:tc>
          <w:tcPr>
            <w:tcW w:w="55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3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0"/>
              </w:rPr>
              <w:t>Stock Purchased</w:t>
            </w:r>
          </w:p>
        </w:tc>
        <w:tc>
          <w:tcPr>
            <w:tcW w:w="10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87"/>
              </w:rPr>
              <w:t>Purchase Price</w:t>
            </w: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HBM Healthcare Investments (Cayman) Ltd.</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590,000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9,440,000</w:t>
            </w:r>
          </w:p>
        </w:tc>
        <w:tc>
          <w:tcPr>
            <w:tcW w:w="0" w:type="dxa"/>
            <w:vAlign w:val="bottom"/>
          </w:tcPr>
          <w:p>
            <w:pPr>
              <w:spacing w:after="0"/>
              <w:rPr>
                <w:sz w:val="1"/>
                <w:szCs w:val="1"/>
                <w:color w:val="auto"/>
              </w:rPr>
            </w:pPr>
          </w:p>
        </w:tc>
      </w:tr>
      <w:tr>
        <w:trPr>
          <w:trHeight w:val="197"/>
        </w:trPr>
        <w:tc>
          <w:tcPr>
            <w:tcW w:w="5520" w:type="dxa"/>
            <w:vAlign w:val="bottom"/>
            <w:gridSpan w:val="3"/>
          </w:tcPr>
          <w:p>
            <w:pPr>
              <w:spacing w:after="0"/>
              <w:rPr>
                <w:sz w:val="20"/>
                <w:szCs w:val="20"/>
                <w:color w:val="auto"/>
              </w:rPr>
            </w:pPr>
            <w:r>
              <w:rPr>
                <w:rFonts w:ascii="Arial" w:cs="Arial" w:eastAsia="Arial" w:hAnsi="Arial"/>
                <w:sz w:val="16"/>
                <w:szCs w:val="16"/>
                <w:color w:val="auto"/>
              </w:rPr>
              <w:t>Sofinnova Venture Partners X, L.P.</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8,000,000</w:t>
            </w:r>
          </w:p>
        </w:tc>
        <w:tc>
          <w:tcPr>
            <w:tcW w:w="0" w:type="dxa"/>
            <w:vAlign w:val="bottom"/>
          </w:tcPr>
          <w:p>
            <w:pPr>
              <w:spacing w:after="0"/>
              <w:rPr>
                <w:sz w:val="1"/>
                <w:szCs w:val="1"/>
                <w:color w:val="auto"/>
              </w:rPr>
            </w:pPr>
          </w:p>
        </w:tc>
      </w:tr>
      <w:tr>
        <w:trPr>
          <w:trHeight w:val="234"/>
        </w:trPr>
        <w:tc>
          <w:tcPr>
            <w:tcW w:w="552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Claus Juan Møller San Pedro, M.D., Ph.D.</w:t>
            </w:r>
            <w:r>
              <w:rPr>
                <w:rFonts w:ascii="Arial" w:cs="Arial" w:eastAsia="Arial" w:hAnsi="Arial"/>
                <w:sz w:val="26"/>
                <w:szCs w:val="26"/>
                <w:color w:val="auto"/>
                <w:vertAlign w:val="superscript"/>
              </w:rPr>
              <w:t>(1)</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
        </w:trPr>
        <w:tc>
          <w:tcPr>
            <w:tcW w:w="55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Total</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520" w:type="dxa"/>
            <w:vAlign w:val="bottom"/>
            <w:gridSpan w:val="3"/>
            <w:vMerge w:val="continue"/>
          </w:tcPr>
          <w:p>
            <w:pPr>
              <w:spacing w:after="0"/>
              <w:rPr>
                <w:sz w:val="15"/>
                <w:szCs w:val="15"/>
                <w:color w:val="auto"/>
              </w:rPr>
            </w:pPr>
          </w:p>
        </w:tc>
        <w:tc>
          <w:tcPr>
            <w:tcW w:w="12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1,121,250</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17,940,000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3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3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2200" w:hanging="487"/>
        <w:spacing w:after="0"/>
        <w:tabs>
          <w:tab w:leader="none" w:pos="22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Held through CM Holding 2015 ApS, of which Dr. Møller is the sole owner.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OFFICER AND DIRECTOR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Certain information regarding our executive officers is set forth below.</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3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420" w:type="dxa"/>
            <w:vAlign w:val="bottom"/>
          </w:tcPr>
          <w:p>
            <w:pPr>
              <w:jc w:val="right"/>
              <w:ind w:right="22"/>
              <w:spacing w:after="0"/>
              <w:rPr>
                <w:sz w:val="20"/>
                <w:szCs w:val="20"/>
                <w:color w:val="auto"/>
              </w:rPr>
            </w:pPr>
            <w:r>
              <w:rPr>
                <w:rFonts w:ascii="Arial" w:cs="Arial" w:eastAsia="Arial" w:hAnsi="Arial"/>
                <w:sz w:val="12"/>
                <w:szCs w:val="12"/>
                <w:b w:val="1"/>
                <w:bCs w:val="1"/>
                <w:color w:val="auto"/>
              </w:rPr>
              <w:t>Age</w:t>
            </w:r>
          </w:p>
        </w:tc>
        <w:tc>
          <w:tcPr>
            <w:tcW w:w="260" w:type="dxa"/>
            <w:vAlign w:val="bottom"/>
          </w:tcPr>
          <w:p>
            <w:pPr>
              <w:spacing w:after="0"/>
              <w:rPr>
                <w:sz w:val="12"/>
                <w:szCs w:val="12"/>
                <w:color w:val="auto"/>
              </w:rPr>
            </w:pPr>
          </w:p>
        </w:tc>
        <w:tc>
          <w:tcPr>
            <w:tcW w:w="4100" w:type="dxa"/>
            <w:vAlign w:val="bottom"/>
          </w:tcPr>
          <w:p>
            <w:pPr>
              <w:ind w:left="184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34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Thomas Gad</w:t>
            </w:r>
          </w:p>
        </w:tc>
        <w:tc>
          <w:tcPr>
            <w:tcW w:w="42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49</w:t>
            </w:r>
          </w:p>
        </w:tc>
        <w:tc>
          <w:tcPr>
            <w:tcW w:w="4360" w:type="dxa"/>
            <w:vAlign w:val="bottom"/>
            <w:gridSpan w:val="2"/>
            <w:shd w:val="clear" w:color="auto" w:fill="CCEEFF"/>
          </w:tcPr>
          <w:p>
            <w:pPr>
              <w:ind w:left="260"/>
              <w:spacing w:after="0" w:line="181" w:lineRule="exact"/>
              <w:rPr>
                <w:sz w:val="20"/>
                <w:szCs w:val="20"/>
                <w:color w:val="auto"/>
              </w:rPr>
            </w:pPr>
            <w:r>
              <w:rPr>
                <w:rFonts w:ascii="Arial" w:cs="Arial" w:eastAsia="Arial" w:hAnsi="Arial"/>
                <w:sz w:val="16"/>
                <w:szCs w:val="16"/>
                <w:color w:val="auto"/>
                <w:w w:val="96"/>
              </w:rPr>
              <w:t>Founder, Chairman of the Board of Directors, President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Head of Business Development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Claus Juan Møller San Pedro, M.D., Ph.D.</w:t>
            </w: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4360" w:type="dxa"/>
            <w:vAlign w:val="bottom"/>
            <w:gridSpan w:val="2"/>
          </w:tcPr>
          <w:p>
            <w:pPr>
              <w:ind w:left="260"/>
              <w:spacing w:after="0"/>
              <w:rPr>
                <w:sz w:val="20"/>
                <w:szCs w:val="20"/>
                <w:color w:val="auto"/>
              </w:rPr>
            </w:pPr>
            <w:r>
              <w:rPr>
                <w:rFonts w:ascii="Arial" w:cs="Arial" w:eastAsia="Arial" w:hAnsi="Arial"/>
                <w:sz w:val="16"/>
                <w:szCs w:val="16"/>
                <w:color w:val="auto"/>
              </w:rPr>
              <w:t>Chief Executive Officer and Director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 Kruse</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1"/>
              </w:rPr>
              <w:t>Executive Vice President, Secretary, Treasurer, Chief Financial</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Officer and Director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Torben Lund-Hansen, Ph.D.</w:t>
            </w: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c>
          <w:tcPr>
            <w:tcW w:w="4360" w:type="dxa"/>
            <w:vAlign w:val="bottom"/>
            <w:gridSpan w:val="2"/>
          </w:tcPr>
          <w:p>
            <w:pPr>
              <w:ind w:left="260"/>
              <w:spacing w:after="0"/>
              <w:rPr>
                <w:sz w:val="20"/>
                <w:szCs w:val="20"/>
                <w:color w:val="auto"/>
              </w:rPr>
            </w:pPr>
            <w:r>
              <w:rPr>
                <w:rFonts w:ascii="Arial" w:cs="Arial" w:eastAsia="Arial" w:hAnsi="Arial"/>
                <w:sz w:val="16"/>
                <w:szCs w:val="16"/>
                <w:color w:val="auto"/>
              </w:rPr>
              <w:t>Senior Vice President and Chief Technical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Steen Lisby, M.D., DMSc</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36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Senior Vice President and Chief Medical Officer</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2"/>
          </w:tcPr>
          <w:p>
            <w:pPr>
              <w:spacing w:after="0"/>
              <w:rPr>
                <w:sz w:val="20"/>
                <w:szCs w:val="20"/>
                <w:color w:val="auto"/>
              </w:rPr>
            </w:pPr>
            <w:r>
              <w:rPr>
                <w:rFonts w:ascii="Arial" w:cs="Arial" w:eastAsia="Arial" w:hAnsi="Arial"/>
                <w:sz w:val="16"/>
                <w:szCs w:val="16"/>
                <w:color w:val="auto"/>
              </w:rPr>
              <w:t>Joris Wiel Jan Wilms</w:t>
            </w:r>
          </w:p>
        </w:tc>
        <w:tc>
          <w:tcPr>
            <w:tcW w:w="420" w:type="dxa"/>
            <w:vAlign w:val="bottom"/>
          </w:tcPr>
          <w:p>
            <w:pPr>
              <w:jc w:val="right"/>
              <w:spacing w:after="0"/>
              <w:rPr>
                <w:sz w:val="20"/>
                <w:szCs w:val="20"/>
                <w:color w:val="auto"/>
              </w:rPr>
            </w:pPr>
            <w:r>
              <w:rPr>
                <w:rFonts w:ascii="Arial" w:cs="Arial" w:eastAsia="Arial" w:hAnsi="Arial"/>
                <w:sz w:val="16"/>
                <w:szCs w:val="16"/>
                <w:color w:val="auto"/>
              </w:rPr>
              <w:t>45</w:t>
            </w:r>
          </w:p>
        </w:tc>
        <w:tc>
          <w:tcPr>
            <w:tcW w:w="4360" w:type="dxa"/>
            <w:vAlign w:val="bottom"/>
            <w:gridSpan w:val="2"/>
          </w:tcPr>
          <w:p>
            <w:pPr>
              <w:ind w:left="260"/>
              <w:spacing w:after="0"/>
              <w:rPr>
                <w:sz w:val="20"/>
                <w:szCs w:val="20"/>
                <w:color w:val="auto"/>
              </w:rPr>
            </w:pPr>
            <w:r>
              <w:rPr>
                <w:rFonts w:ascii="Arial" w:cs="Arial" w:eastAsia="Arial" w:hAnsi="Arial"/>
                <w:sz w:val="16"/>
                <w:szCs w:val="16"/>
                <w:color w:val="auto"/>
              </w:rPr>
              <w:t>Senior Vice President and Chief Operating Officer</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Certain additional information concerning the individuals named above is set forth below. This information is based on information furnished us by each individual noted.</w:t>
      </w:r>
    </w:p>
    <w:p>
      <w:pPr>
        <w:spacing w:after="0" w:line="234" w:lineRule="exact"/>
        <w:rPr>
          <w:sz w:val="20"/>
          <w:szCs w:val="20"/>
          <w:color w:val="auto"/>
        </w:rPr>
      </w:pPr>
    </w:p>
    <w:p>
      <w:pPr>
        <w:ind w:right="220" w:firstLine="321"/>
        <w:spacing w:after="0" w:line="284" w:lineRule="auto"/>
        <w:rPr>
          <w:sz w:val="20"/>
          <w:szCs w:val="20"/>
          <w:color w:val="auto"/>
        </w:rPr>
      </w:pPr>
      <w:r>
        <w:rPr>
          <w:rFonts w:ascii="Arial" w:cs="Arial" w:eastAsia="Arial" w:hAnsi="Arial"/>
          <w:sz w:val="16"/>
          <w:szCs w:val="16"/>
          <w:b w:val="1"/>
          <w:bCs w:val="1"/>
          <w:i w:val="1"/>
          <w:iCs w:val="1"/>
          <w:color w:val="auto"/>
        </w:rPr>
        <w:t>Thomas Gad, Founder, Chairman, President and Head of Business Development</w:t>
      </w:r>
      <w:r>
        <w:rPr>
          <w:rFonts w:ascii="Arial" w:cs="Arial" w:eastAsia="Arial" w:hAnsi="Arial"/>
          <w:sz w:val="16"/>
          <w:szCs w:val="16"/>
          <w:color w:val="auto"/>
        </w:rPr>
        <w:t>—Please see "Board of Directors and Corporate Governance—Election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above for biographical information regarding Mr. Gad.</w:t>
      </w:r>
    </w:p>
    <w:p>
      <w:pPr>
        <w:spacing w:after="0" w:line="156" w:lineRule="exact"/>
        <w:rPr>
          <w:sz w:val="20"/>
          <w:szCs w:val="20"/>
          <w:color w:val="auto"/>
        </w:rPr>
      </w:pPr>
    </w:p>
    <w:p>
      <w:pPr>
        <w:ind w:right="440" w:firstLine="321"/>
        <w:spacing w:after="0" w:line="284" w:lineRule="auto"/>
        <w:rPr>
          <w:sz w:val="20"/>
          <w:szCs w:val="20"/>
          <w:color w:val="auto"/>
        </w:rPr>
      </w:pPr>
      <w:r>
        <w:rPr>
          <w:rFonts w:ascii="Arial" w:cs="Arial" w:eastAsia="Arial" w:hAnsi="Arial"/>
          <w:sz w:val="16"/>
          <w:szCs w:val="16"/>
          <w:b w:val="1"/>
          <w:bCs w:val="1"/>
          <w:i w:val="1"/>
          <w:iCs w:val="1"/>
          <w:color w:val="auto"/>
        </w:rPr>
        <w:t>Claus Juan Møller San Pedro, M.D., Ph.D.</w:t>
      </w:r>
      <w:r>
        <w:rPr>
          <w:rFonts w:ascii="Arial" w:cs="Arial" w:eastAsia="Arial" w:hAnsi="Arial"/>
          <w:sz w:val="16"/>
          <w:szCs w:val="16"/>
          <w:color w:val="auto"/>
        </w:rPr>
        <w:t>—Please see "Board of Directors and Corporate Governance—Election of Directors" above for biographical information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regarding Dr. Møller.</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 w:firstLine="321"/>
        <w:spacing w:after="0" w:line="283" w:lineRule="auto"/>
        <w:rPr>
          <w:sz w:val="20"/>
          <w:szCs w:val="20"/>
          <w:color w:val="auto"/>
        </w:rPr>
      </w:pPr>
      <w:r>
        <w:rPr>
          <w:rFonts w:ascii="Arial" w:cs="Arial" w:eastAsia="Arial" w:hAnsi="Arial"/>
          <w:sz w:val="15"/>
          <w:szCs w:val="15"/>
          <w:b w:val="1"/>
          <w:bCs w:val="1"/>
          <w:i w:val="1"/>
          <w:iCs w:val="1"/>
          <w:color w:val="auto"/>
        </w:rPr>
        <w:t>Bo Kruse, Chief Financial Officer, Treasurer and Secretary</w:t>
      </w:r>
      <w:r>
        <w:rPr>
          <w:rFonts w:ascii="Arial" w:cs="Arial" w:eastAsia="Arial" w:hAnsi="Arial"/>
          <w:sz w:val="15"/>
          <w:szCs w:val="15"/>
          <w:color w:val="auto"/>
        </w:rPr>
        <w:t>—Mr. Kruse has served as our Executive Vice President, Secretary, Treasurer and Chief Financial Officer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2015. Mr. Kruse has also served as a member of our Board of Directors since June 2015. Mr. Kruse has broad 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M.Sc. in Business Economics and Auditing from the Copenhagen Business School.</w:t>
      </w:r>
    </w:p>
    <w:p>
      <w:pPr>
        <w:spacing w:after="0" w:line="161"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b w:val="1"/>
          <w:bCs w:val="1"/>
          <w:i w:val="1"/>
          <w:iCs w:val="1"/>
          <w:color w:val="auto"/>
        </w:rPr>
        <w:t xml:space="preserve">Torben Lund-Hansen, Ph.D., Senior Vice President and Chief Technical Officer </w:t>
      </w:r>
      <w:r>
        <w:rPr>
          <w:rFonts w:ascii="Arial" w:cs="Arial" w:eastAsia="Arial" w:hAnsi="Arial"/>
          <w:sz w:val="15"/>
          <w:szCs w:val="15"/>
          <w:color w:val="auto"/>
        </w:rPr>
        <w:t>—Dr. Lund-Hansen has served as our Senior Vice President, Chief Technical Officer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January 2016. Dr. Lund-Hansen has substantial experience in antibody process development, commercial manufacturing and global project management. Dr. Lund-Hansen was Vice President and Head of Manufacturing from 2002 to 2006, Vice President and Head of Manufacturing and Preclinical Safety from 2006 to 2008, Senior Vice President, Technical Operations from 2008 to 2009 at Genmab and President and Treasurer at Genmab MN Inc., a wholly owned subsidiary of Genmab located near Minneapolis-St. Paul, Minnesota, from 2008 to 2009. At Genmab, Dr. Lund-Hansen was responsible for outsourcing of clinical and commercial drug substance and drug product manufacturing. He was also President and Treasurer from 2008 to 2009 of Genmab MN Inc.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documentation packages submitted to global regulatory agencies followed by approval and launch of several biologics. Dr. Lund-Hansen received his M.Sc. and Ph.D. from the University of Copenhagen.</w:t>
      </w:r>
    </w:p>
    <w:p>
      <w:pPr>
        <w:spacing w:after="0" w:line="162" w:lineRule="exact"/>
        <w:rPr>
          <w:sz w:val="20"/>
          <w:szCs w:val="20"/>
          <w:color w:val="auto"/>
        </w:rPr>
      </w:pPr>
    </w:p>
    <w:p>
      <w:pPr>
        <w:ind w:right="20" w:firstLine="321"/>
        <w:spacing w:after="0" w:line="264" w:lineRule="auto"/>
        <w:rPr>
          <w:sz w:val="20"/>
          <w:szCs w:val="20"/>
          <w:color w:val="auto"/>
        </w:rPr>
      </w:pPr>
      <w:r>
        <w:rPr>
          <w:rFonts w:ascii="Arial" w:cs="Arial" w:eastAsia="Arial" w:hAnsi="Arial"/>
          <w:sz w:val="16"/>
          <w:szCs w:val="16"/>
          <w:b w:val="1"/>
          <w:bCs w:val="1"/>
          <w:i w:val="1"/>
          <w:iCs w:val="1"/>
          <w:color w:val="auto"/>
        </w:rPr>
        <w:t>Steen Lisby, M.D., DMSc, Senior Vice President and Chief Medical Officer</w:t>
      </w:r>
      <w:r>
        <w:rPr>
          <w:rFonts w:ascii="Arial" w:cs="Arial" w:eastAsia="Arial" w:hAnsi="Arial"/>
          <w:sz w:val="16"/>
          <w:szCs w:val="16"/>
          <w:color w:val="auto"/>
        </w:rPr>
        <w:t>—Dr. Lisby joined our Company in June 2017 as our Senior Vice President and Chief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Dr. Lisby has extensive clinical and 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172" w:lineRule="exact"/>
        <w:rPr>
          <w:sz w:val="20"/>
          <w:szCs w:val="20"/>
          <w:color w:val="auto"/>
        </w:rPr>
      </w:pPr>
    </w:p>
    <w:p>
      <w:pPr>
        <w:ind w:firstLine="321"/>
        <w:spacing w:after="0" w:line="283" w:lineRule="auto"/>
        <w:rPr>
          <w:sz w:val="20"/>
          <w:szCs w:val="20"/>
          <w:color w:val="auto"/>
        </w:rPr>
      </w:pPr>
      <w:r>
        <w:rPr>
          <w:rFonts w:ascii="Arial" w:cs="Arial" w:eastAsia="Arial" w:hAnsi="Arial"/>
          <w:sz w:val="15"/>
          <w:szCs w:val="15"/>
          <w:b w:val="1"/>
          <w:bCs w:val="1"/>
          <w:i w:val="1"/>
          <w:iCs w:val="1"/>
          <w:color w:val="auto"/>
        </w:rPr>
        <w:t>Joris Wiel Jan Wilms, Senior Vice President and Chief Operating Officer</w:t>
      </w:r>
      <w:r>
        <w:rPr>
          <w:rFonts w:ascii="Arial" w:cs="Arial" w:eastAsia="Arial" w:hAnsi="Arial"/>
          <w:sz w:val="15"/>
          <w:szCs w:val="15"/>
          <w:color w:val="auto"/>
        </w:rPr>
        <w:t>—Mr. Wilms has served as our Senior Vice President and Chief Operating Officer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November 2017. Mr. Wilms joined our Company in July 2016 as Vice President and Head of Clinical Operations and has extensive industry experience in clinical development, primarily within oncology and hematology indications. Mr. Wilms was at KLIFO A/S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w:t>
      </w:r>
    </w:p>
    <w:p>
      <w:pPr>
        <w:spacing w:after="0" w:line="215"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This section discusses the material elements of our executive compensation policies for our "named executive officers" and the most important factors relevant to an analysis of these policies. For fiscal 2018, our "named executive officers" are Thomas Gad, our Founder, Chairman, President and Head of Business Development, Claus Juan Møller San Pedro, M.D., Ph.D. our Chief Executive Officer, and Bo Kruse, our Executive Vice President, Secretary, Treasurer and Chief Financial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addition, this section provides qualitative information regarding the manner and context in which compensation is awarded to and earned by our named executive officers and is intended to place in perspective the data presented in the following tables and the corresponding narrative.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15" w:lineRule="exact"/>
        <w:rPr>
          <w:sz w:val="20"/>
          <w:szCs w:val="20"/>
          <w:color w:val="auto"/>
        </w:rPr>
      </w:pPr>
    </w:p>
    <w:p>
      <w:pPr>
        <w:ind w:right="20" w:firstLine="318"/>
        <w:spacing w:after="0" w:line="270"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2018, to our Chief Executive Officer and our two (2) next most highly compensated executive officers who earned more than $100,000 during the fiscal year ended December 31, 2018, and were serving as executive officers as of such date. No option or other equity awards other than set out below were granted to such executive officers during fiscal 2018.</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66"/>
              <w:spacing w:after="0"/>
              <w:rPr>
                <w:sz w:val="20"/>
                <w:szCs w:val="20"/>
                <w:color w:val="auto"/>
              </w:rPr>
            </w:pPr>
            <w:r>
              <w:rPr>
                <w:rFonts w:ascii="Arial" w:cs="Arial" w:eastAsia="Arial" w:hAnsi="Arial"/>
                <w:sz w:val="12"/>
                <w:szCs w:val="12"/>
                <w:b w:val="1"/>
                <w:bCs w:val="1"/>
                <w:color w:val="auto"/>
                <w:w w:val="92"/>
              </w:rPr>
              <w:t>Option</w:t>
            </w:r>
          </w:p>
        </w:tc>
        <w:tc>
          <w:tcPr>
            <w:tcW w:w="160" w:type="dxa"/>
            <w:vAlign w:val="bottom"/>
          </w:tcPr>
          <w:p>
            <w:pPr>
              <w:spacing w:after="0"/>
              <w:rPr>
                <w:sz w:val="12"/>
                <w:szCs w:val="12"/>
                <w:color w:val="auto"/>
              </w:rPr>
            </w:pPr>
          </w:p>
        </w:tc>
        <w:tc>
          <w:tcPr>
            <w:tcW w:w="900" w:type="dxa"/>
            <w:vAlign w:val="bottom"/>
            <w:gridSpan w:val="2"/>
          </w:tcPr>
          <w:p>
            <w:pPr>
              <w:jc w:val="right"/>
              <w:ind w:right="125"/>
              <w:spacing w:after="0"/>
              <w:rPr>
                <w:sz w:val="20"/>
                <w:szCs w:val="20"/>
                <w:color w:val="auto"/>
              </w:rPr>
            </w:pPr>
            <w:r>
              <w:rPr>
                <w:rFonts w:ascii="Arial" w:cs="Arial" w:eastAsia="Arial" w:hAnsi="Arial"/>
                <w:sz w:val="12"/>
                <w:szCs w:val="12"/>
                <w:b w:val="1"/>
                <w:bCs w:val="1"/>
                <w:color w:val="auto"/>
              </w:rPr>
              <w:t>All 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Bonus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66"/>
              <w:spacing w:after="0" w:line="136" w:lineRule="exact"/>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1"/>
                <w:szCs w:val="11"/>
                <w:color w:val="auto"/>
              </w:rPr>
            </w:pPr>
          </w:p>
        </w:tc>
        <w:tc>
          <w:tcPr>
            <w:tcW w:w="900" w:type="dxa"/>
            <w:vAlign w:val="bottom"/>
            <w:gridSpan w:val="2"/>
          </w:tcPr>
          <w:p>
            <w:pPr>
              <w:jc w:val="right"/>
              <w:ind w:right="5"/>
              <w:spacing w:after="0" w:line="136" w:lineRule="exact"/>
              <w:rPr>
                <w:sz w:val="20"/>
                <w:szCs w:val="20"/>
                <w:color w:val="auto"/>
              </w:rPr>
            </w:pPr>
            <w:r>
              <w:rPr>
                <w:rFonts w:ascii="Arial" w:cs="Arial" w:eastAsia="Arial" w:hAnsi="Arial"/>
                <w:sz w:val="12"/>
                <w:szCs w:val="12"/>
                <w:b w:val="1"/>
                <w:bCs w:val="1"/>
                <w:color w:val="auto"/>
                <w:w w:val="95"/>
              </w:rPr>
              <w:t>Compensation</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0"/>
        </w:trPr>
        <w:tc>
          <w:tcPr>
            <w:tcW w:w="360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2"/>
              <w:spacing w:after="0"/>
              <w:rPr>
                <w:sz w:val="20"/>
                <w:szCs w:val="20"/>
                <w:color w:val="auto"/>
              </w:rPr>
            </w:pPr>
            <w:r>
              <w:rPr>
                <w:rFonts w:ascii="Arial" w:cs="Arial" w:eastAsia="Arial" w:hAnsi="Arial"/>
                <w:sz w:val="12"/>
                <w:szCs w:val="12"/>
                <w:b w:val="1"/>
                <w:bCs w:val="1"/>
                <w:color w:val="auto"/>
                <w:w w:val="96"/>
              </w:rPr>
              <w:t>Salary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ind w:left="80"/>
              <w:spacing w:after="0" w:line="160"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66"/>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jc w:val="right"/>
              <w:ind w:right="245"/>
              <w:spacing w:after="0" w:line="160" w:lineRule="exact"/>
              <w:rPr>
                <w:sz w:val="20"/>
                <w:szCs w:val="20"/>
                <w:color w:val="auto"/>
              </w:rPr>
            </w:pPr>
            <w:r>
              <w:rPr>
                <w:rFonts w:ascii="Arial" w:cs="Arial" w:eastAsia="Arial" w:hAnsi="Arial"/>
                <w:sz w:val="18"/>
                <w:szCs w:val="18"/>
                <w:b w:val="1"/>
                <w:bCs w:val="1"/>
                <w:color w:val="auto"/>
                <w:w w:val="93"/>
                <w:vertAlign w:val="subscript"/>
              </w:rPr>
              <w:t>)</w:t>
            </w:r>
            <w:r>
              <w:rPr>
                <w:rFonts w:ascii="Arial" w:cs="Arial" w:eastAsia="Arial" w:hAnsi="Arial"/>
                <w:sz w:val="9"/>
                <w:szCs w:val="9"/>
                <w:b w:val="1"/>
                <w:bCs w:val="1"/>
                <w:color w:val="auto"/>
                <w:w w:val="93"/>
              </w:rPr>
              <w:t>(2)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64"/>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6"/>
                <w:szCs w:val="16"/>
                <w:color w:val="auto"/>
              </w:rPr>
              <w:t>Thomas Gad</w:t>
            </w:r>
          </w:p>
        </w:tc>
        <w:tc>
          <w:tcPr>
            <w:tcW w:w="2100" w:type="dxa"/>
            <w:vAlign w:val="bottom"/>
            <w:gridSpan w:val="2"/>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395,002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191,575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1,984,675</w:t>
            </w:r>
          </w:p>
        </w:tc>
        <w:tc>
          <w:tcPr>
            <w:tcW w:w="58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84,793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2,656,045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Founder, Chairman, President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148,750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8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98,883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597,637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and Head of Business Development</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3600" w:type="dxa"/>
            <w:vAlign w:val="bottom"/>
            <w:gridSpan w:val="4"/>
          </w:tcPr>
          <w:p>
            <w:pPr>
              <w:spacing w:after="0"/>
              <w:rPr>
                <w:sz w:val="20"/>
                <w:szCs w:val="20"/>
                <w:color w:val="auto"/>
              </w:rPr>
            </w:pPr>
            <w:r>
              <w:rPr>
                <w:rFonts w:ascii="Arial" w:cs="Arial" w:eastAsia="Arial" w:hAnsi="Arial"/>
                <w:sz w:val="16"/>
                <w:szCs w:val="16"/>
                <w:color w:val="auto"/>
              </w:rPr>
              <w:t>Dr. Claus Juan Møller San Pedro M.D., Ph.D.</w:t>
            </w:r>
          </w:p>
        </w:tc>
        <w:tc>
          <w:tcPr>
            <w:tcW w:w="680" w:type="dxa"/>
            <w:vAlign w:val="bottom"/>
          </w:tcPr>
          <w:p>
            <w:pPr>
              <w:jc w:val="right"/>
              <w:spacing w:after="0"/>
              <w:rPr>
                <w:sz w:val="20"/>
                <w:szCs w:val="20"/>
                <w:color w:val="auto"/>
              </w:rPr>
            </w:pPr>
            <w:r>
              <w:rPr>
                <w:rFonts w:ascii="Arial" w:cs="Arial" w:eastAsia="Arial" w:hAnsi="Arial"/>
                <w:sz w:val="16"/>
                <w:szCs w:val="16"/>
                <w:color w:val="auto"/>
              </w:rPr>
              <w:t>2018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470,000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w w:val="86"/>
              </w:rPr>
              <w:t>227,950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3,444,195</w:t>
            </w:r>
          </w:p>
        </w:tc>
        <w:tc>
          <w:tcPr>
            <w:tcW w:w="580" w:type="dxa"/>
            <w:vAlign w:val="bottom"/>
            <w:gridSpan w:val="2"/>
          </w:tcPr>
          <w:p>
            <w:pPr>
              <w:jc w:val="right"/>
              <w:ind w:right="298"/>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84,793</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w w:val="95"/>
              </w:rPr>
              <w:t>4,226,878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80" w:type="dxa"/>
            <w:vAlign w:val="bottom"/>
            <w:gridSpan w:val="3"/>
          </w:tcPr>
          <w:p>
            <w:pPr>
              <w:ind w:left="140"/>
              <w:spacing w:after="0"/>
              <w:rPr>
                <w:sz w:val="20"/>
                <w:szCs w:val="20"/>
                <w:color w:val="auto"/>
              </w:rPr>
            </w:pPr>
            <w:r>
              <w:rPr>
                <w:rFonts w:ascii="Arial" w:cs="Arial" w:eastAsia="Arial" w:hAnsi="Arial"/>
                <w:sz w:val="16"/>
                <w:szCs w:val="16"/>
                <w:i w:val="1"/>
                <w:iCs w:val="1"/>
                <w:color w:val="auto"/>
              </w:rPr>
              <w:t>Chief Executive Officer</w:t>
            </w:r>
          </w:p>
        </w:tc>
        <w:tc>
          <w:tcPr>
            <w:tcW w:w="680" w:type="dxa"/>
            <w:vAlign w:val="bottom"/>
          </w:tcPr>
          <w:p>
            <w:pPr>
              <w:jc w:val="right"/>
              <w:spacing w:after="0"/>
              <w:rPr>
                <w:sz w:val="20"/>
                <w:szCs w:val="20"/>
                <w:color w:val="auto"/>
              </w:rPr>
            </w:pPr>
            <w:r>
              <w:rPr>
                <w:rFonts w:ascii="Arial" w:cs="Arial" w:eastAsia="Arial" w:hAnsi="Arial"/>
                <w:sz w:val="16"/>
                <w:szCs w:val="16"/>
                <w:color w:val="auto"/>
              </w:rPr>
              <w:t>2017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409,561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ind w:left="60"/>
              <w:spacing w:after="0"/>
              <w:rPr>
                <w:sz w:val="20"/>
                <w:szCs w:val="20"/>
                <w:color w:val="auto"/>
              </w:rPr>
            </w:pPr>
            <w:r>
              <w:rPr>
                <w:rFonts w:ascii="Arial" w:cs="Arial" w:eastAsia="Arial" w:hAnsi="Arial"/>
                <w:sz w:val="16"/>
                <w:szCs w:val="16"/>
                <w:color w:val="auto"/>
                <w:w w:val="86"/>
              </w:rPr>
              <w:t>170,000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w:t>
            </w:r>
          </w:p>
        </w:tc>
        <w:tc>
          <w:tcPr>
            <w:tcW w:w="580" w:type="dxa"/>
            <w:vAlign w:val="bottom"/>
            <w:gridSpan w:val="2"/>
          </w:tcPr>
          <w:p>
            <w:pPr>
              <w:jc w:val="right"/>
              <w:ind w:right="298"/>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85,031</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664,592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Bo Kruse</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167,325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1,824,175</w:t>
            </w:r>
          </w:p>
        </w:tc>
        <w:tc>
          <w:tcPr>
            <w:tcW w:w="58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2,337,293</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Executive Vice President, Secretary,</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317,926</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6"/>
              </w:rPr>
              <w:t>127,000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580" w:type="dxa"/>
            <w:vAlign w:val="bottom"/>
            <w:gridSpan w:val="2"/>
            <w:shd w:val="clear" w:color="auto" w:fill="CCEEFF"/>
          </w:tcPr>
          <w:p>
            <w:pPr>
              <w:jc w:val="right"/>
              <w:ind w:right="298"/>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58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Treasurer and Chief Financial Officer</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right="20" w:hanging="498"/>
        <w:spacing w:after="0" w:line="267" w:lineRule="auto"/>
        <w:tabs>
          <w:tab w:leader="none" w:pos="1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87" w:lineRule="exact"/>
        <w:rPr>
          <w:rFonts w:ascii="Arial" w:cs="Arial" w:eastAsia="Arial" w:hAnsi="Arial"/>
          <w:sz w:val="12"/>
          <w:szCs w:val="12"/>
          <w:color w:val="auto"/>
        </w:rPr>
      </w:pPr>
    </w:p>
    <w:p>
      <w:pPr>
        <w:ind w:left="1640" w:hanging="498"/>
        <w:spacing w:after="0" w:line="251" w:lineRule="auto"/>
        <w:tabs>
          <w:tab w:leader="none" w:pos="1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Each of Mr. Gad, Dr. Møller and Mr. Kruse serves as a member of our Board of Directors but do not receive any additional compensation for their service as a director. Amounts in this column include a monthly housing allowance of $7,000 to cover rental expenses associated with the U.S. residence for each of Mr. Gad and Dr. Møller. Amounts also include certain insurance premiums and technology expenses paid for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Narrative Disclosure to Summary Compensation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We review compensation for our executive officers annually. The material terms of the elements of our executive compensation program for fiscal 2018 are described below.</w:t>
      </w:r>
    </w:p>
    <w:p>
      <w:pPr>
        <w:spacing w:after="0" w:line="234" w:lineRule="exact"/>
        <w:rPr>
          <w:sz w:val="20"/>
          <w:szCs w:val="20"/>
          <w:color w:val="auto"/>
        </w:rPr>
      </w:pPr>
    </w:p>
    <w:p>
      <w:pPr>
        <w:ind w:right="40" w:firstLine="321"/>
        <w:spacing w:after="0" w:line="310" w:lineRule="auto"/>
        <w:rPr>
          <w:sz w:val="20"/>
          <w:szCs w:val="20"/>
          <w:color w:val="auto"/>
        </w:rPr>
      </w:pPr>
      <w:r>
        <w:rPr>
          <w:rFonts w:ascii="Arial" w:cs="Arial" w:eastAsia="Arial" w:hAnsi="Arial"/>
          <w:sz w:val="14"/>
          <w:szCs w:val="14"/>
          <w:color w:val="auto"/>
        </w:rPr>
        <w:t>Our Compensation Committee sets base salaries and bonuses and grants equity incentive awards to our executive officers. In setting base salaries and bonuses and granting equity incentive awards, our Compensation Committee considers compensation for comparable positions in the market, the historical compensation levels of our executives, individual and corporate performance as compared to our expectations and objectives, our desire to motivate our employees to achieve short- and long-term results that are in the best interests of our stockholders, and a long-term commitment to our company. The Compensation Committee conducts performance evaluations of Mr. Gad, Dr. Møller and Mr. Kruse. The Compensation Committee consults with the Board of Directors as to the achievement of corporate objectives that drive contingent compensation awards.</w:t>
      </w:r>
    </w:p>
    <w:p>
      <w:pPr>
        <w:spacing w:after="0" w:line="144" w:lineRule="exact"/>
        <w:rPr>
          <w:sz w:val="20"/>
          <w:szCs w:val="20"/>
          <w:color w:val="auto"/>
        </w:rPr>
      </w:pPr>
    </w:p>
    <w:p>
      <w:pPr>
        <w:ind w:firstLine="321"/>
        <w:spacing w:after="0" w:line="315" w:lineRule="auto"/>
        <w:rPr>
          <w:sz w:val="20"/>
          <w:szCs w:val="20"/>
          <w:color w:val="auto"/>
        </w:rPr>
      </w:pPr>
      <w:r>
        <w:rPr>
          <w:rFonts w:ascii="Arial" w:cs="Arial" w:eastAsia="Arial" w:hAnsi="Arial"/>
          <w:sz w:val="14"/>
          <w:szCs w:val="14"/>
          <w:color w:val="auto"/>
        </w:rPr>
        <w:t>Our Compensation Committee has the authority to retain compensation consultants and other outside advisors to assist in the evaluation of executive officer compensation. Our Compensation Committee considered compensation information previously provided in fiscal year 2017 and in fiscal 2018 by Radford, part of Aon Hewitt, a business unit of Aon plc, as its independent compensation consultant, in determining cash compensation and equity awards. Radford was engaged by our Compensation Committee to develop a peer group for market assessment and conduct a competitive compensation assessment for our executive management team, our Board of Directors and our broad-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359" w:lineRule="auto"/>
        <w:rPr>
          <w:sz w:val="20"/>
          <w:szCs w:val="20"/>
          <w:color w:val="auto"/>
        </w:rPr>
      </w:pPr>
      <w:r>
        <w:rPr>
          <w:rFonts w:ascii="Arial" w:cs="Arial" w:eastAsia="Arial" w:hAnsi="Arial"/>
          <w:sz w:val="14"/>
          <w:szCs w:val="14"/>
          <w:color w:val="auto"/>
        </w:rPr>
        <w:t>based employee population. Among other things, Radford provided competitive compensation data for purposes of benchmarking our equity grant values and targets, our bonus targets and structure, our total direct compensation, our target incentive opportunities and our base salaries and target total cash compensation for executive officers and directors.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Base Salary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2017, we paid annual base salaries of $350,004 to Mr. Gad, $409,561 to Dr. Møller, and $317,926 to Mr. Kruse.</w:t>
      </w:r>
    </w:p>
    <w:p>
      <w:pPr>
        <w:spacing w:after="0" w:line="211"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In April 2018, our Board of Directors raised the base salary of each of Mr. Gad, Dr. Møller and Mr. Kruse to $395,000, $470,000 and $345,000, respectively, for fiscal 2018 effective as of January 1, 2018.</w:t>
      </w:r>
    </w:p>
    <w:p>
      <w:pPr>
        <w:spacing w:after="0" w:line="156" w:lineRule="exact"/>
        <w:rPr>
          <w:sz w:val="20"/>
          <w:szCs w:val="20"/>
          <w:color w:val="auto"/>
        </w:rPr>
      </w:pPr>
    </w:p>
    <w:p>
      <w:pPr>
        <w:ind w:right="20" w:firstLine="318"/>
        <w:spacing w:after="0" w:line="297" w:lineRule="auto"/>
        <w:rPr>
          <w:sz w:val="20"/>
          <w:szCs w:val="20"/>
          <w:color w:val="auto"/>
        </w:rPr>
      </w:pPr>
      <w:r>
        <w:rPr>
          <w:rFonts w:ascii="Arial" w:cs="Arial" w:eastAsia="Arial" w:hAnsi="Arial"/>
          <w:sz w:val="15"/>
          <w:szCs w:val="15"/>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Bonus</w:t>
      </w:r>
    </w:p>
    <w:p>
      <w:pPr>
        <w:spacing w:after="0" w:line="211" w:lineRule="exact"/>
        <w:rPr>
          <w:sz w:val="20"/>
          <w:szCs w:val="20"/>
          <w:color w:val="auto"/>
        </w:rPr>
      </w:pPr>
    </w:p>
    <w:p>
      <w:pPr>
        <w:ind w:right="60" w:firstLine="318"/>
        <w:spacing w:after="0" w:line="270" w:lineRule="auto"/>
        <w:rPr>
          <w:sz w:val="20"/>
          <w:szCs w:val="20"/>
          <w:color w:val="auto"/>
        </w:rPr>
      </w:pPr>
      <w:r>
        <w:rPr>
          <w:rFonts w:ascii="Arial" w:cs="Arial" w:eastAsia="Arial" w:hAnsi="Arial"/>
          <w:sz w:val="16"/>
          <w:szCs w:val="16"/>
          <w:color w:val="auto"/>
        </w:rPr>
        <w:t>We do not have a formal performance-based bonus plan. From time to time, our Board of Directors has approved discretionary annual cash bonuses to our named executive officers with respect to their prior year performance. In April 2018, our Board of Directors approved cash bonuses for Mr. Gad, Dr. Møller and Mr. Kruse in the amounts of $148,750, $170,000 and $127,000, respectively, for services performed during 2017. Such amounts were paid in May 2018.</w:t>
      </w:r>
    </w:p>
    <w:p>
      <w:pPr>
        <w:spacing w:after="0" w:line="168" w:lineRule="exact"/>
        <w:rPr>
          <w:sz w:val="20"/>
          <w:szCs w:val="20"/>
          <w:color w:val="auto"/>
        </w:rPr>
      </w:pPr>
    </w:p>
    <w:p>
      <w:pPr>
        <w:ind w:right="40" w:firstLine="321"/>
        <w:spacing w:after="0" w:line="299" w:lineRule="auto"/>
        <w:rPr>
          <w:sz w:val="20"/>
          <w:szCs w:val="20"/>
          <w:color w:val="auto"/>
        </w:rPr>
      </w:pPr>
      <w:r>
        <w:rPr>
          <w:rFonts w:ascii="Arial" w:cs="Arial" w:eastAsia="Arial" w:hAnsi="Arial"/>
          <w:sz w:val="14"/>
          <w:szCs w:val="14"/>
          <w:color w:val="auto"/>
        </w:rPr>
        <w:t>In December 2018, our Board of Directors approved cash bonuses for Mr. Gad, Dr. Møller and Mr. Kruse in the amounts of $191,575, $227,950 and $167,325, respectively, for services performed during 2018. Such amounts were paid in March 2019. The annual incentive cash bonus for 2018 had a target of 50% of Mr. Gad's, Dr. Møller's and</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Mr. Kruse's annual base salary. The annual incentive cash bonus for 2019 has a target of 50% of Mr. Gad's and Mr. Kruse's annual base salary whereas for Dr. Møller, it has been set to 55% of his annual base salary. The annual incentive cash bonus may be increased if our Board of Directors determines that the named executive officer has exceeded the performance objectives that year.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Incentives</w:t>
      </w:r>
    </w:p>
    <w:p>
      <w:pPr>
        <w:spacing w:after="0" w:line="211" w:lineRule="exact"/>
        <w:rPr>
          <w:sz w:val="20"/>
          <w:szCs w:val="20"/>
          <w:color w:val="auto"/>
        </w:rPr>
      </w:pPr>
    </w:p>
    <w:p>
      <w:pPr>
        <w:ind w:right="80" w:firstLine="312"/>
        <w:spacing w:after="0" w:line="283" w:lineRule="auto"/>
        <w:rPr>
          <w:sz w:val="20"/>
          <w:szCs w:val="20"/>
          <w:color w:val="auto"/>
        </w:rPr>
      </w:pPr>
      <w:r>
        <w:rPr>
          <w:rFonts w:ascii="Arial" w:cs="Arial" w:eastAsia="Arial" w:hAnsi="Arial"/>
          <w:sz w:val="15"/>
          <w:szCs w:val="15"/>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our 2018 Equity Incentive Plan (the "2018 Plan"), which may be granted as either incentive stock options or nonstatutory stock options.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Description of Option Awards</w:t>
      </w:r>
    </w:p>
    <w:p>
      <w:pPr>
        <w:spacing w:after="0" w:line="211" w:lineRule="exact"/>
        <w:rPr>
          <w:sz w:val="20"/>
          <w:szCs w:val="20"/>
          <w:color w:val="auto"/>
        </w:rPr>
      </w:pPr>
    </w:p>
    <w:p>
      <w:pPr>
        <w:ind w:right="60" w:firstLine="321"/>
        <w:spacing w:after="0" w:line="284" w:lineRule="auto"/>
        <w:rPr>
          <w:sz w:val="20"/>
          <w:szCs w:val="20"/>
          <w:color w:val="auto"/>
        </w:rPr>
      </w:pPr>
      <w:r>
        <w:rPr>
          <w:rFonts w:ascii="Arial" w:cs="Arial" w:eastAsia="Arial" w:hAnsi="Arial"/>
          <w:sz w:val="16"/>
          <w:szCs w:val="16"/>
          <w:color w:val="auto"/>
        </w:rPr>
        <w:t>Mr. Gad, Dr. Møller and Mr. Kruse did not receive any option or other equity awards in 2017. On April 24, 2018, Mr. Gad, Dr. Møller and Mr. Kruse received option grants of 100,000, 125,000 and 75,000 shares of common stock, respectively, at an exercise price of $11.16 per share. On December 11,</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20"/>
        <w:spacing w:after="0" w:line="299" w:lineRule="auto"/>
        <w:rPr>
          <w:sz w:val="20"/>
          <w:szCs w:val="20"/>
          <w:color w:val="auto"/>
        </w:rPr>
      </w:pPr>
      <w:r>
        <w:rPr>
          <w:rFonts w:ascii="Arial" w:cs="Arial" w:eastAsia="Arial" w:hAnsi="Arial"/>
          <w:sz w:val="14"/>
          <w:szCs w:val="14"/>
          <w:color w:val="auto"/>
        </w:rPr>
        <w:t>2018 Mr. Gad, Dr. Møller and Mr. Kruse received option grants of 107,500, 211,500 and 107,500 shares of common stock, respectively, at an exercise price of $21.97 per share. The shares subject to each option will vest and become exercisable based on our "Standard Vesting Schedule" of 25% on the one-year anniversary of the date of grant, and</w:t>
      </w:r>
    </w:p>
    <w:p>
      <w:pPr>
        <w:spacing w:after="0" w:line="1" w:lineRule="exact"/>
        <w:rPr>
          <w:sz w:val="20"/>
          <w:szCs w:val="20"/>
          <w:color w:val="auto"/>
        </w:rPr>
      </w:pPr>
    </w:p>
    <w:p>
      <w:pPr>
        <w:ind w:right="100"/>
        <w:spacing w:after="0" w:line="214" w:lineRule="auto"/>
        <w:rPr>
          <w:sz w:val="20"/>
          <w:szCs w:val="20"/>
          <w:color w:val="auto"/>
        </w:rPr>
      </w:pPr>
      <w:r>
        <w:rPr>
          <w:rFonts w:ascii="Arial" w:cs="Arial" w:eastAsia="Arial" w:hAnsi="Arial"/>
          <w:sz w:val="16"/>
          <w:szCs w:val="16"/>
          <w:color w:val="auto"/>
        </w:rPr>
        <w:t>1/48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total shares subject to the options award vesting on the same day of the month as the grant date over the course of the next three (3) years, subject to the executive's continued employment on each vesting date.</w:t>
      </w:r>
    </w:p>
    <w:p>
      <w:pPr>
        <w:spacing w:after="0" w:line="191" w:lineRule="exact"/>
        <w:rPr>
          <w:sz w:val="20"/>
          <w:szCs w:val="20"/>
          <w:color w:val="auto"/>
        </w:rPr>
      </w:pPr>
    </w:p>
    <w:p>
      <w:pPr>
        <w:ind w:right="100" w:firstLine="321"/>
        <w:spacing w:after="0" w:line="319" w:lineRule="auto"/>
        <w:rPr>
          <w:sz w:val="20"/>
          <w:szCs w:val="20"/>
          <w:color w:val="auto"/>
        </w:rPr>
      </w:pPr>
      <w:r>
        <w:rPr>
          <w:rFonts w:ascii="Arial" w:cs="Arial" w:eastAsia="Arial" w:hAnsi="Arial"/>
          <w:sz w:val="15"/>
          <w:szCs w:val="15"/>
          <w:color w:val="auto"/>
        </w:rPr>
        <w:t>In the event of a change of control, as defined in the 2018 Plan and the preceding 2015 Equity Incentive Plan (the "2015 Plan"), each option granted to Mr. Gad, Dr. Møller and Mr. Kruse on April 24, 2018 under the 2015 Plan and on December 11, 2018 under the 2018 Plan will fully vest and become immediately exercisable.</w:t>
      </w:r>
    </w:p>
    <w:p>
      <w:pPr>
        <w:spacing w:after="0" w:line="133" w:lineRule="exact"/>
        <w:rPr>
          <w:sz w:val="20"/>
          <w:szCs w:val="20"/>
          <w:color w:val="auto"/>
        </w:rPr>
      </w:pPr>
    </w:p>
    <w:p>
      <w:pPr>
        <w:ind w:firstLine="321"/>
        <w:spacing w:after="0" w:line="262" w:lineRule="auto"/>
        <w:rPr>
          <w:sz w:val="20"/>
          <w:szCs w:val="20"/>
          <w:color w:val="auto"/>
        </w:rPr>
      </w:pPr>
      <w:r>
        <w:rPr>
          <w:rFonts w:ascii="Arial" w:cs="Arial" w:eastAsia="Arial" w:hAnsi="Arial"/>
          <w:sz w:val="16"/>
          <w:szCs w:val="16"/>
          <w:color w:val="auto"/>
        </w:rPr>
        <w:t>In the event Mr. Gad, Dr. Møller or Mr. Kruse's employment is terminated by the Company without "cause" or by either Mr. Gad, Dr. Møller or Mr. Kruse for "good reason", or by their "retirement" or "disability", as such terms are defined in the 2015 Plan and/or as determined for grants made under the 2018 Plan (with respect to good reason, as summarized below), or by death, the options granted to Mr. Gad, Dr. Møller and Mr. Kruse will continue to vest and become exercisable in accordance with our Standard Vesting Schedule. If Mr. Gad, Dr. Møller or Mr. Kruse's employment is terminated for "cause" or by either Mr. Gad, Dr. Møller or Mr. Kruse voluntarily (other than for retirement), the vesting schedule for options granted to Mr. Gad, Dr. Møller and Mr. Kruse will terminate immediately and shares subject to the option which have not vested prior to such termination will not become exercisable.</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defined in the 2015 Plan and the 2018 Plan:</w:t>
      </w:r>
    </w:p>
    <w:p>
      <w:pPr>
        <w:spacing w:after="0" w:line="223" w:lineRule="exact"/>
        <w:rPr>
          <w:sz w:val="20"/>
          <w:szCs w:val="20"/>
          <w:color w:val="auto"/>
        </w:rPr>
      </w:pPr>
    </w:p>
    <w:p>
      <w:pPr>
        <w:ind w:left="980" w:right="80" w:hanging="488"/>
        <w:spacing w:after="0" w:line="26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our Board of Directors), (2) the change in effective control of us which occurs on the date that a majority of members of our Board of Directors is replaced during any twelve (12) month period by directors whose appointment of election is not endorsed by a majority of the members of our Board of Directors prior to the date of the appointment or election (if any person or entity is considered to be in effective control of us, the acquisition of additional control of us by the same person or entity will not be considered a change in control), and (3) the acquisition by a person or entity of a substantial portion of our assets with a total gross fair market value equal to or more than 50% of the total gross fair market value of all of our assets immediately prior to such acquisition.</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defined in the 2015 Plan and as determined in connection with grants made under the 2018 Plan:</w:t>
      </w:r>
    </w:p>
    <w:p>
      <w:pPr>
        <w:spacing w:after="0" w:line="235" w:lineRule="exact"/>
        <w:rPr>
          <w:sz w:val="20"/>
          <w:szCs w:val="20"/>
          <w:color w:val="auto"/>
        </w:rPr>
      </w:pPr>
    </w:p>
    <w:p>
      <w:pPr>
        <w:jc w:val="both"/>
        <w:ind w:left="980" w:right="180" w:hanging="488"/>
        <w:spacing w:after="0" w:line="270"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"cause" generally means abuse of alcohol or another drug while performing his or her duties as an employee of the Company, or a breach of or failure or refusal by participant to comply with any material provision of his or her employment agreement or arrangement with us if not cured within ten (10) days after written notice thereof from us; and</w:t>
      </w:r>
    </w:p>
    <w:p>
      <w:pPr>
        <w:spacing w:after="0" w:line="180" w:lineRule="exact"/>
        <w:rPr>
          <w:rFonts w:ascii="Arial" w:cs="Arial" w:eastAsia="Arial" w:hAnsi="Arial"/>
          <w:sz w:val="16"/>
          <w:szCs w:val="16"/>
          <w:color w:val="auto"/>
        </w:rPr>
      </w:pPr>
    </w:p>
    <w:p>
      <w:pPr>
        <w:ind w:left="980" w:right="40" w:hanging="488"/>
        <w:spacing w:after="0" w:line="282" w:lineRule="auto"/>
        <w:tabs>
          <w:tab w:leader="none" w:pos="9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"good reason" generally means, during the term of the participant's employment relationship with the Company, without the participant's written consent, we cause a material reduction in base salary or compensation and bonus opportunity, a relocation of participant's principal place of employment by more than 50 miles, any material breach by the Company of any provision in the participant's employment agreement or arrangement or other agreements, the Company's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 or mentally incapacitated or as required by applicable law), or a material change in the reporting structure applicable to the participant.</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options expire 10 years from the date of grant. None of the options granted to the named executive officers provide for tax-reimbursements or tax gross-ups.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Year End 2018</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Securities</w:t>
            </w: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5"/>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Unexercised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98"/>
              </w:rPr>
              <w:t>Option</w:t>
            </w: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93"/>
              </w:rPr>
              <w:t>Exercise</w:t>
            </w: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Exercisable</w:t>
            </w:r>
          </w:p>
        </w:tc>
        <w:tc>
          <w:tcPr>
            <w:tcW w:w="14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Unexercisable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4"/>
              <w:spacing w:after="0" w:line="136" w:lineRule="exact"/>
              <w:rPr>
                <w:sz w:val="20"/>
                <w:szCs w:val="20"/>
                <w:color w:val="auto"/>
              </w:rPr>
            </w:pPr>
            <w:r>
              <w:rPr>
                <w:rFonts w:ascii="Arial" w:cs="Arial" w:eastAsia="Arial" w:hAnsi="Arial"/>
                <w:sz w:val="12"/>
                <w:szCs w:val="12"/>
                <w:b w:val="1"/>
                <w:bCs w:val="1"/>
                <w:color w:val="auto"/>
                <w:w w:val="88"/>
              </w:rPr>
              <w:t>Price</w:t>
            </w:r>
          </w:p>
        </w:tc>
        <w:tc>
          <w:tcPr>
            <w:tcW w:w="160" w:type="dxa"/>
            <w:vAlign w:val="bottom"/>
          </w:tcPr>
          <w:p>
            <w:pPr>
              <w:spacing w:after="0"/>
              <w:rPr>
                <w:sz w:val="11"/>
                <w:szCs w:val="11"/>
                <w:color w:val="auto"/>
              </w:rPr>
            </w:pPr>
          </w:p>
        </w:tc>
        <w:tc>
          <w:tcPr>
            <w:tcW w:w="13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9"/>
        </w:trPr>
        <w:tc>
          <w:tcPr>
            <w:tcW w:w="48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960" w:type="dxa"/>
            <w:vAlign w:val="bottom"/>
            <w:gridSpan w:val="2"/>
          </w:tcPr>
          <w:p>
            <w:pPr>
              <w:jc w:val="center"/>
              <w:ind w:left="63"/>
              <w:spacing w:after="0"/>
              <w:rPr>
                <w:sz w:val="20"/>
                <w:szCs w:val="20"/>
                <w:color w:val="auto"/>
              </w:rPr>
            </w:pPr>
            <w:r>
              <w:rPr>
                <w:rFonts w:ascii="Arial" w:cs="Arial" w:eastAsia="Arial" w:hAnsi="Arial"/>
                <w:sz w:val="12"/>
                <w:szCs w:val="12"/>
                <w:b w:val="1"/>
                <w:bCs w:val="1"/>
                <w:color w:val="auto"/>
                <w:w w:val="95"/>
              </w:rPr>
              <w:t>(#)</w:t>
            </w:r>
          </w:p>
        </w:tc>
        <w:tc>
          <w:tcPr>
            <w:tcW w:w="1020" w:type="dxa"/>
            <w:vAlign w:val="bottom"/>
            <w:gridSpan w:val="2"/>
          </w:tcPr>
          <w:p>
            <w:pPr>
              <w:jc w:val="center"/>
              <w:ind w:left="81"/>
              <w:spacing w:after="0"/>
              <w:rPr>
                <w:sz w:val="20"/>
                <w:szCs w:val="20"/>
                <w:color w:val="auto"/>
              </w:rPr>
            </w:pPr>
            <w:r>
              <w:rPr>
                <w:rFonts w:ascii="Arial" w:cs="Arial" w:eastAsia="Arial" w:hAnsi="Arial"/>
                <w:sz w:val="12"/>
                <w:szCs w:val="12"/>
                <w:b w:val="1"/>
                <w:bCs w:val="1"/>
                <w:color w:val="auto"/>
                <w:w w:val="95"/>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4"/>
              <w:spacing w:after="0"/>
              <w:rPr>
                <w:sz w:val="20"/>
                <w:szCs w:val="20"/>
                <w:color w:val="auto"/>
              </w:rPr>
            </w:pPr>
            <w:r>
              <w:rPr>
                <w:rFonts w:ascii="Arial" w:cs="Arial" w:eastAsia="Arial" w:hAnsi="Arial"/>
                <w:sz w:val="12"/>
                <w:szCs w:val="12"/>
                <w:b w:val="1"/>
                <w:bCs w:val="1"/>
                <w:color w:val="auto"/>
                <w:w w:val="91"/>
              </w:rPr>
              <w:t>($/share)</w:t>
            </w: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84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Thomas Gad</w:t>
            </w:r>
            <w:r>
              <w:rPr>
                <w:rFonts w:ascii="Arial" w:cs="Arial" w:eastAsia="Arial" w:hAnsi="Arial"/>
                <w:sz w:val="26"/>
                <w:szCs w:val="26"/>
                <w:color w:val="auto"/>
                <w:vertAlign w:val="superscript"/>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June 9, 2025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89,917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76,083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October 20, 2026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December 13, 2026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April 23, 2028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December 10, 2028</w:t>
            </w:r>
          </w:p>
        </w:tc>
        <w:tc>
          <w:tcPr>
            <w:tcW w:w="0" w:type="dxa"/>
            <w:vAlign w:val="bottom"/>
          </w:tcPr>
          <w:p>
            <w:pPr>
              <w:spacing w:after="0"/>
              <w:rPr>
                <w:sz w:val="1"/>
                <w:szCs w:val="1"/>
                <w:color w:val="auto"/>
              </w:rPr>
            </w:pPr>
          </w:p>
        </w:tc>
      </w:tr>
      <w:tr>
        <w:trPr>
          <w:trHeight w:val="423"/>
        </w:trPr>
        <w:tc>
          <w:tcPr>
            <w:tcW w:w="4860" w:type="dxa"/>
            <w:vAlign w:val="bottom"/>
            <w:gridSpan w:val="4"/>
          </w:tcPr>
          <w:p>
            <w:pPr>
              <w:spacing w:after="0"/>
              <w:rPr>
                <w:sz w:val="20"/>
                <w:szCs w:val="20"/>
                <w:color w:val="auto"/>
              </w:rPr>
            </w:pPr>
            <w:r>
              <w:rPr>
                <w:rFonts w:ascii="Arial" w:cs="Arial" w:eastAsia="Arial" w:hAnsi="Arial"/>
                <w:sz w:val="16"/>
                <w:szCs w:val="16"/>
                <w:color w:val="auto"/>
              </w:rPr>
              <w:t>Dr. Claus Juan Møller San Pedro</w:t>
            </w:r>
            <w:r>
              <w:rPr>
                <w:rFonts w:ascii="Arial" w:cs="Arial" w:eastAsia="Arial" w:hAnsi="Arial"/>
                <w:sz w:val="26"/>
                <w:szCs w:val="26"/>
                <w:color w:val="auto"/>
                <w:vertAlign w:val="superscript"/>
              </w:rPr>
              <w:t>(2)</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437,500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62,500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2.00</w:t>
            </w:r>
          </w:p>
        </w:tc>
        <w:tc>
          <w:tcPr>
            <w:tcW w:w="1520" w:type="dxa"/>
            <w:vAlign w:val="bottom"/>
            <w:gridSpan w:val="2"/>
          </w:tcPr>
          <w:p>
            <w:pPr>
              <w:ind w:left="160"/>
              <w:spacing w:after="0"/>
              <w:rPr>
                <w:sz w:val="20"/>
                <w:szCs w:val="20"/>
                <w:color w:val="auto"/>
              </w:rPr>
            </w:pPr>
            <w:r>
              <w:rPr>
                <w:rFonts w:ascii="Arial" w:cs="Arial" w:eastAsia="Arial" w:hAnsi="Arial"/>
                <w:sz w:val="16"/>
                <w:szCs w:val="16"/>
                <w:color w:val="auto"/>
              </w:rPr>
              <w:t>June 9, 2025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108,333</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91,667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4.38</w:t>
            </w:r>
          </w:p>
        </w:tc>
        <w:tc>
          <w:tcPr>
            <w:tcW w:w="1520" w:type="dxa"/>
            <w:vAlign w:val="bottom"/>
            <w:gridSpan w:val="2"/>
          </w:tcPr>
          <w:p>
            <w:pPr>
              <w:ind w:left="160"/>
              <w:spacing w:after="0"/>
              <w:rPr>
                <w:sz w:val="20"/>
                <w:szCs w:val="20"/>
                <w:color w:val="auto"/>
              </w:rPr>
            </w:pPr>
            <w:r>
              <w:rPr>
                <w:rFonts w:ascii="Arial" w:cs="Arial" w:eastAsia="Arial" w:hAnsi="Arial"/>
                <w:sz w:val="16"/>
                <w:szCs w:val="16"/>
                <w:color w:val="auto"/>
              </w:rPr>
              <w:t>October 20, 2026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9,000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8.50</w:t>
            </w:r>
          </w:p>
        </w:tc>
        <w:tc>
          <w:tcPr>
            <w:tcW w:w="1520" w:type="dxa"/>
            <w:vAlign w:val="bottom"/>
            <w:gridSpan w:val="2"/>
          </w:tcPr>
          <w:p>
            <w:pPr>
              <w:ind w:left="160"/>
              <w:spacing w:after="0"/>
              <w:rPr>
                <w:sz w:val="20"/>
                <w:szCs w:val="20"/>
                <w:color w:val="auto"/>
              </w:rPr>
            </w:pPr>
            <w:r>
              <w:rPr>
                <w:rFonts w:ascii="Arial" w:cs="Arial" w:eastAsia="Arial" w:hAnsi="Arial"/>
                <w:sz w:val="16"/>
                <w:szCs w:val="16"/>
                <w:color w:val="auto"/>
                <w:w w:val="95"/>
              </w:rPr>
              <w:t>December 13, 2026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125,000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11.16</w:t>
            </w:r>
          </w:p>
        </w:tc>
        <w:tc>
          <w:tcPr>
            <w:tcW w:w="1520" w:type="dxa"/>
            <w:vAlign w:val="bottom"/>
            <w:gridSpan w:val="2"/>
          </w:tcPr>
          <w:p>
            <w:pPr>
              <w:ind w:left="160"/>
              <w:spacing w:after="0"/>
              <w:rPr>
                <w:sz w:val="20"/>
                <w:szCs w:val="20"/>
                <w:color w:val="auto"/>
              </w:rPr>
            </w:pPr>
            <w:r>
              <w:rPr>
                <w:rFonts w:ascii="Arial" w:cs="Arial" w:eastAsia="Arial" w:hAnsi="Arial"/>
                <w:sz w:val="16"/>
                <w:szCs w:val="16"/>
                <w:color w:val="auto"/>
              </w:rPr>
              <w:t>April 23, 2028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211,500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21.97</w:t>
            </w:r>
          </w:p>
        </w:tc>
        <w:tc>
          <w:tcPr>
            <w:tcW w:w="1520" w:type="dxa"/>
            <w:vAlign w:val="bottom"/>
            <w:gridSpan w:val="2"/>
          </w:tcPr>
          <w:p>
            <w:pPr>
              <w:ind w:left="160"/>
              <w:spacing w:after="0"/>
              <w:rPr>
                <w:sz w:val="20"/>
                <w:szCs w:val="20"/>
                <w:color w:val="auto"/>
              </w:rPr>
            </w:pPr>
            <w:r>
              <w:rPr>
                <w:rFonts w:ascii="Arial" w:cs="Arial" w:eastAsia="Arial" w:hAnsi="Arial"/>
                <w:sz w:val="16"/>
                <w:szCs w:val="16"/>
                <w:color w:val="auto"/>
                <w:w w:val="95"/>
              </w:rPr>
              <w:t>December 10, 2028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Bo Kruse</w:t>
            </w:r>
            <w:r>
              <w:rPr>
                <w:rFonts w:ascii="Arial" w:cs="Arial" w:eastAsia="Arial" w:hAnsi="Arial"/>
                <w:sz w:val="26"/>
                <w:szCs w:val="26"/>
                <w:color w:val="auto"/>
                <w:vertAlign w:val="superscript"/>
              </w:rPr>
              <w:t>(3)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262,500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June 9, 2025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72,042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60,958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October 20, 2026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December 13, 2026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April 23, 2028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5"/>
              </w:rPr>
              <w:t>December 10, 2028</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hanging="498"/>
        <w:spacing w:after="0" w:line="251" w:lineRule="auto"/>
        <w:tabs>
          <w:tab w:leader="none" w:pos="1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December 14, 2016, April 24, 2018 and December 11, 2018 respectively, vested as to 25% of the shares on the anniversary of the grant date and vest thereafter as to 2.0833% of the shares in equal monthly installments through June 10, 2019, October 21, 2020, December 14, 2020, April 24, 2022 and December 11, 2022 respectively.</w:t>
      </w:r>
    </w:p>
    <w:p>
      <w:pPr>
        <w:spacing w:after="0" w:line="97" w:lineRule="exact"/>
        <w:rPr>
          <w:rFonts w:ascii="Arial" w:cs="Arial" w:eastAsia="Arial" w:hAnsi="Arial"/>
          <w:sz w:val="12"/>
          <w:szCs w:val="12"/>
          <w:color w:val="auto"/>
        </w:rPr>
      </w:pPr>
    </w:p>
    <w:p>
      <w:pPr>
        <w:ind w:left="1640" w:hanging="498"/>
        <w:spacing w:after="0" w:line="285" w:lineRule="auto"/>
        <w:tabs>
          <w:tab w:leader="none" w:pos="1640"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These options were granted on June 10, 2015, October 21, 2016, December 14, 2016, April 24, 2018 and December 11, 2018 respectively, vested as to 25% of the shares on the anniversary of the grant date and vest thereafter as to 2.0833% of the shares in equal monthly installments through June 10, 2019, October 21, 2020, December 14, 2020, April 24, 2022 and December 11, 2022 respectively. Dr. Møller transferred all shares underlying the June 10, 2015 option award upon receipt to CM Holding 2015 ApS, of which Dr. Møller is the sole owner.</w:t>
      </w:r>
    </w:p>
    <w:p>
      <w:pPr>
        <w:spacing w:after="0" w:line="79" w:lineRule="exact"/>
        <w:rPr>
          <w:rFonts w:ascii="Arial" w:cs="Arial" w:eastAsia="Arial" w:hAnsi="Arial"/>
          <w:sz w:val="11"/>
          <w:szCs w:val="11"/>
          <w:color w:val="auto"/>
        </w:rPr>
      </w:pPr>
    </w:p>
    <w:p>
      <w:pPr>
        <w:ind w:left="1640" w:hanging="498"/>
        <w:spacing w:after="0" w:line="251" w:lineRule="auto"/>
        <w:tabs>
          <w:tab w:leader="none" w:pos="16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December 14, 2016, April 24, 2018 and December 11, 2018 respectively, vested as to 25% of the shares on the anniversary of the grant date and vest thereafter as to 2.0833% of the shares in equal monthly installments through June 10, 2019, October 21, 2020, December 14, 2020, April 24, 2022 and December 11, 2022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Gad</w:t>
      </w:r>
    </w:p>
    <w:p>
      <w:pPr>
        <w:spacing w:after="0" w:line="215" w:lineRule="exact"/>
        <w:rPr>
          <w:sz w:val="20"/>
          <w:szCs w:val="20"/>
          <w:color w:val="auto"/>
        </w:rPr>
      </w:pPr>
    </w:p>
    <w:p>
      <w:pPr>
        <w:ind w:right="60" w:firstLine="321"/>
        <w:spacing w:after="0" w:line="289" w:lineRule="auto"/>
        <w:rPr>
          <w:sz w:val="20"/>
          <w:szCs w:val="20"/>
          <w:color w:val="auto"/>
        </w:rPr>
      </w:pPr>
      <w:r>
        <w:rPr>
          <w:rFonts w:ascii="Arial" w:cs="Arial" w:eastAsia="Arial" w:hAnsi="Arial"/>
          <w:sz w:val="15"/>
          <w:szCs w:val="15"/>
          <w:color w:val="auto"/>
        </w:rPr>
        <w:t>In April 2016, the Company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15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30" w:name="page31"/>
    <w:bookmarkEnd w:id="30"/>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right="120" w:firstLine="321"/>
        <w:spacing w:after="0" w:line="266" w:lineRule="auto"/>
        <w:rPr>
          <w:sz w:val="20"/>
          <w:szCs w:val="20"/>
          <w:color w:val="auto"/>
        </w:rPr>
      </w:pPr>
      <w:r>
        <w:rPr>
          <w:rFonts w:ascii="Arial" w:cs="Arial" w:eastAsia="Arial" w:hAnsi="Arial"/>
          <w:sz w:val="16"/>
          <w:szCs w:val="16"/>
          <w:color w:val="auto"/>
        </w:rPr>
        <w:t>Under the terms of the service agreement, if Mr. Gad's employment is terminated by us without "cause", as defined in his service agreement, and subject to Mr. Gad's execution of a release in form and substance satisfactory to us, we have agreed to continue to pay his then-existing salary for a period of 12 months, and all benefits set forth in the service agreement, for one (1) full year commencing with the day following the final day of the 12-month notice period such that the total amount in severance pay shall be 24 months of his then-existing salary, starting from the date of such termination notice.</w:t>
      </w:r>
    </w:p>
    <w:p>
      <w:pPr>
        <w:spacing w:after="0" w:line="171" w:lineRule="exact"/>
        <w:rPr>
          <w:sz w:val="20"/>
          <w:szCs w:val="20"/>
          <w:color w:val="auto"/>
        </w:rPr>
      </w:pPr>
    </w:p>
    <w:p>
      <w:pPr>
        <w:ind w:left="321"/>
        <w:spacing w:after="0"/>
        <w:rPr>
          <w:sz w:val="20"/>
          <w:szCs w:val="20"/>
          <w:color w:val="auto"/>
        </w:rPr>
      </w:pPr>
      <w:r>
        <w:rPr>
          <w:rFonts w:ascii="Arial" w:cs="Arial" w:eastAsia="Arial" w:hAnsi="Arial"/>
          <w:sz w:val="14"/>
          <w:szCs w:val="14"/>
          <w:color w:val="auto"/>
        </w:rPr>
        <w:t>As defined in Mr. Gad's service agreement, "cause" means (1) Mr. Gad's fraudulent, unlawful, grossly negligent or willful misconduct in connection with his duties to us,</w:t>
      </w:r>
    </w:p>
    <w:p>
      <w:pPr>
        <w:spacing w:after="0" w:line="44" w:lineRule="exact"/>
        <w:rPr>
          <w:sz w:val="20"/>
          <w:szCs w:val="20"/>
          <w:color w:val="auto"/>
        </w:rPr>
      </w:pPr>
    </w:p>
    <w:p>
      <w:pPr>
        <w:ind w:left="221" w:hanging="221"/>
        <w:spacing w:after="0"/>
        <w:tabs>
          <w:tab w:leader="none" w:pos="221" w:val="left"/>
        </w:tabs>
        <w:numPr>
          <w:ilvl w:val="0"/>
          <w:numId w:val="32"/>
        </w:numPr>
        <w:rPr>
          <w:rFonts w:ascii="Arial" w:cs="Arial" w:eastAsia="Arial" w:hAnsi="Arial"/>
          <w:sz w:val="15"/>
          <w:szCs w:val="15"/>
          <w:color w:val="auto"/>
        </w:rPr>
      </w:pPr>
      <w:r>
        <w:rPr>
          <w:rFonts w:ascii="Arial" w:cs="Arial" w:eastAsia="Arial" w:hAnsi="Arial"/>
          <w:sz w:val="15"/>
          <w:szCs w:val="15"/>
          <w:color w:val="auto"/>
        </w:rPr>
        <w:t>conduct by Mr. Gad which is materially injurious to the business or reputation of us or any of our affiliated entities or any of their respective partners or members, or</w:t>
      </w:r>
    </w:p>
    <w:p>
      <w:pPr>
        <w:spacing w:after="0" w:line="24" w:lineRule="exact"/>
        <w:rPr>
          <w:rFonts w:ascii="Arial" w:cs="Arial" w:eastAsia="Arial" w:hAnsi="Arial"/>
          <w:sz w:val="15"/>
          <w:szCs w:val="15"/>
          <w:color w:val="auto"/>
        </w:rPr>
      </w:pPr>
    </w:p>
    <w:p>
      <w:pPr>
        <w:ind w:left="221" w:hanging="221"/>
        <w:spacing w:after="0"/>
        <w:tabs>
          <w:tab w:leader="none" w:pos="2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Mr. Gad's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w:t>
      </w:r>
    </w:p>
    <w:p>
      <w:pPr>
        <w:spacing w:after="0" w:line="203" w:lineRule="exact"/>
        <w:rPr>
          <w:sz w:val="20"/>
          <w:szCs w:val="20"/>
          <w:color w:val="auto"/>
        </w:rPr>
      </w:pPr>
    </w:p>
    <w:p>
      <w:pPr>
        <w:ind w:left="1" w:right="20" w:firstLine="321"/>
        <w:spacing w:after="0" w:line="283" w:lineRule="auto"/>
        <w:rPr>
          <w:sz w:val="20"/>
          <w:szCs w:val="20"/>
          <w:color w:val="auto"/>
        </w:rPr>
      </w:pPr>
      <w:r>
        <w:rPr>
          <w:rFonts w:ascii="Arial" w:cs="Arial" w:eastAsia="Arial" w:hAnsi="Arial"/>
          <w:sz w:val="15"/>
          <w:szCs w:val="15"/>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Mr. Gad terminates his employment or (b) six (6) months after the termination of his employment in the event that we terminate Mr. Gad's employment, (2) not to solicit our employees during his employment and for a period of (a) one (1) year after the termination of his employment in the event that Mr. Gad terminates his employment or (b) six (6) months after the termination of his employment in the event that we terminate Mr. Gad's employment, (3) not to disclose our confidential and proprietary information and (4) to assign to us related intellectual property developed during the course of his employment.</w:t>
      </w:r>
    </w:p>
    <w:p>
      <w:pPr>
        <w:spacing w:after="0" w:line="15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Dr. Claus Juan Møller San Pedro</w:t>
      </w:r>
    </w:p>
    <w:p>
      <w:pPr>
        <w:spacing w:after="0" w:line="215" w:lineRule="exact"/>
        <w:rPr>
          <w:sz w:val="20"/>
          <w:szCs w:val="20"/>
          <w:color w:val="auto"/>
        </w:rPr>
      </w:pPr>
    </w:p>
    <w:p>
      <w:pPr>
        <w:ind w:left="1" w:right="20" w:firstLine="321"/>
        <w:spacing w:after="0" w:line="289" w:lineRule="auto"/>
        <w:rPr>
          <w:sz w:val="20"/>
          <w:szCs w:val="20"/>
          <w:color w:val="auto"/>
        </w:rPr>
      </w:pPr>
      <w:r>
        <w:rPr>
          <w:rFonts w:ascii="Arial" w:cs="Arial" w:eastAsia="Arial" w:hAnsi="Arial"/>
          <w:sz w:val="15"/>
          <w:szCs w:val="15"/>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 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56" w:lineRule="exact"/>
        <w:rPr>
          <w:sz w:val="20"/>
          <w:szCs w:val="20"/>
          <w:color w:val="auto"/>
        </w:rPr>
      </w:pPr>
    </w:p>
    <w:p>
      <w:pPr>
        <w:ind w:left="1" w:right="120" w:firstLine="321"/>
        <w:spacing w:after="0" w:line="266" w:lineRule="auto"/>
        <w:rPr>
          <w:sz w:val="20"/>
          <w:szCs w:val="20"/>
          <w:color w:val="auto"/>
        </w:rPr>
      </w:pPr>
      <w:r>
        <w:rPr>
          <w:rFonts w:ascii="Arial" w:cs="Arial" w:eastAsia="Arial" w:hAnsi="Arial"/>
          <w:sz w:val="16"/>
          <w:szCs w:val="16"/>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71" w:lineRule="exact"/>
        <w:rPr>
          <w:sz w:val="20"/>
          <w:szCs w:val="20"/>
          <w:color w:val="auto"/>
        </w:rPr>
      </w:pPr>
    </w:p>
    <w:p>
      <w:pPr>
        <w:ind w:left="1" w:right="120" w:firstLine="312"/>
        <w:spacing w:after="0" w:line="270" w:lineRule="auto"/>
        <w:rPr>
          <w:sz w:val="20"/>
          <w:szCs w:val="20"/>
          <w:color w:val="auto"/>
        </w:rPr>
      </w:pPr>
      <w:r>
        <w:rPr>
          <w:rFonts w:ascii="Arial" w:cs="Arial" w:eastAsia="Arial" w:hAnsi="Arial"/>
          <w:sz w:val="16"/>
          <w:szCs w:val="16"/>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w:t>
      </w:r>
    </w:p>
    <w:p>
      <w:pPr>
        <w:spacing w:after="0" w:line="168" w:lineRule="exact"/>
        <w:rPr>
          <w:sz w:val="20"/>
          <w:szCs w:val="20"/>
          <w:color w:val="auto"/>
        </w:rPr>
      </w:pPr>
    </w:p>
    <w:p>
      <w:pPr>
        <w:ind w:left="1" w:firstLine="321"/>
        <w:spacing w:after="0" w:line="315" w:lineRule="auto"/>
        <w:rPr>
          <w:sz w:val="20"/>
          <w:szCs w:val="20"/>
          <w:color w:val="auto"/>
        </w:rPr>
      </w:pPr>
      <w:r>
        <w:rPr>
          <w:rFonts w:ascii="Arial" w:cs="Arial" w:eastAsia="Arial" w:hAnsi="Arial"/>
          <w:sz w:val="14"/>
          <w:szCs w:val="14"/>
          <w:color w:val="auto"/>
        </w:rPr>
        <w:t>Dr. Møller has also agreed pursuant to the service agreement (1) not to compete with us in the United States, Denmark, or any other territory or country where we maintain employees, own property or otherwise conduct business, during his employment and for a period of (a) one (1) year after the termination of his employment in the event that Dr. Møller terminates his employment or (b) six (6) months after the termination of his employment in the event that we terminate Dr. Møller's employment, (2) not to solicit our employees during his employment and for a period of (a) one (1) year after the termination of his employment in the event that Dr. Møller terminates his employment</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1"/>
          </w:cols>
          <w:pgMar w:left="239" w:top="131" w:right="29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580"/>
        <w:spacing w:after="0" w:line="284" w:lineRule="auto"/>
        <w:rPr>
          <w:sz w:val="20"/>
          <w:szCs w:val="20"/>
          <w:color w:val="auto"/>
        </w:rPr>
      </w:pPr>
      <w:r>
        <w:rPr>
          <w:rFonts w:ascii="Arial" w:cs="Arial" w:eastAsia="Arial" w:hAnsi="Arial"/>
          <w:sz w:val="16"/>
          <w:szCs w:val="16"/>
          <w:color w:val="auto"/>
        </w:rPr>
        <w:t>or (b) six (6)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 Kruse</w:t>
      </w:r>
    </w:p>
    <w:p>
      <w:pPr>
        <w:spacing w:after="0" w:line="215" w:lineRule="exact"/>
        <w:rPr>
          <w:sz w:val="20"/>
          <w:szCs w:val="20"/>
          <w:color w:val="auto"/>
        </w:rPr>
      </w:pPr>
    </w:p>
    <w:p>
      <w:pPr>
        <w:ind w:right="40" w:firstLine="321"/>
        <w:spacing w:after="0" w:line="289" w:lineRule="auto"/>
        <w:rPr>
          <w:sz w:val="20"/>
          <w:szCs w:val="20"/>
          <w:color w:val="auto"/>
        </w:rPr>
      </w:pPr>
      <w:r>
        <w:rPr>
          <w:rFonts w:ascii="Arial" w:cs="Arial" w:eastAsia="Arial" w:hAnsi="Arial"/>
          <w:sz w:val="15"/>
          <w:szCs w:val="15"/>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 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56" w:lineRule="exact"/>
        <w:rPr>
          <w:sz w:val="20"/>
          <w:szCs w:val="20"/>
          <w:color w:val="auto"/>
        </w:rPr>
      </w:pPr>
    </w:p>
    <w:p>
      <w:pPr>
        <w:jc w:val="both"/>
        <w:ind w:firstLine="321"/>
        <w:spacing w:after="0" w:line="326" w:lineRule="auto"/>
        <w:rPr>
          <w:sz w:val="20"/>
          <w:szCs w:val="20"/>
          <w:color w:val="auto"/>
        </w:rPr>
      </w:pPr>
      <w:r>
        <w:rPr>
          <w:rFonts w:ascii="Arial" w:cs="Arial" w:eastAsia="Arial" w:hAnsi="Arial"/>
          <w:sz w:val="14"/>
          <w:szCs w:val="14"/>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33" w:lineRule="exact"/>
        <w:rPr>
          <w:sz w:val="20"/>
          <w:szCs w:val="20"/>
          <w:color w:val="auto"/>
        </w:rPr>
      </w:pPr>
    </w:p>
    <w:p>
      <w:pPr>
        <w:jc w:val="both"/>
        <w:ind w:firstLine="312"/>
        <w:spacing w:after="0" w:line="284"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56" w:lineRule="exact"/>
        <w:rPr>
          <w:sz w:val="20"/>
          <w:szCs w:val="20"/>
          <w:color w:val="auto"/>
        </w:rPr>
      </w:pPr>
    </w:p>
    <w:p>
      <w:pPr>
        <w:ind w:right="460" w:firstLine="321"/>
        <w:spacing w:after="0" w:line="284" w:lineRule="auto"/>
        <w:rPr>
          <w:sz w:val="20"/>
          <w:szCs w:val="20"/>
          <w:color w:val="auto"/>
        </w:rPr>
      </w:pPr>
      <w:r>
        <w:rPr>
          <w:rFonts w:ascii="Arial" w:cs="Arial" w:eastAsia="Arial" w:hAnsi="Arial"/>
          <w:sz w:val="16"/>
          <w:szCs w:val="16"/>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Benefit Plans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Health Insurance</w:t>
      </w:r>
    </w:p>
    <w:p>
      <w:pPr>
        <w:spacing w:after="0" w:line="211" w:lineRule="exact"/>
        <w:rPr>
          <w:sz w:val="20"/>
          <w:szCs w:val="20"/>
          <w:color w:val="auto"/>
        </w:rPr>
      </w:pPr>
    </w:p>
    <w:p>
      <w:pPr>
        <w:ind w:right="160" w:firstLine="318"/>
        <w:spacing w:after="0" w:line="284" w:lineRule="auto"/>
        <w:rPr>
          <w:sz w:val="20"/>
          <w:szCs w:val="20"/>
          <w:color w:val="auto"/>
        </w:rPr>
      </w:pPr>
      <w:r>
        <w:rPr>
          <w:rFonts w:ascii="Arial" w:cs="Arial" w:eastAsia="Arial" w:hAnsi="Arial"/>
          <w:sz w:val="16"/>
          <w:szCs w:val="16"/>
          <w:color w:val="auto"/>
        </w:rPr>
        <w:t>We currently provide broad-based health and welfare benefits that are available to all of our U.S. employees, including our named executive officers, including health, life and disability insurance.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401(k) Retirement Plan</w:t>
      </w:r>
    </w:p>
    <w:p>
      <w:pPr>
        <w:spacing w:after="0" w:line="211" w:lineRule="exact"/>
        <w:rPr>
          <w:sz w:val="20"/>
          <w:szCs w:val="20"/>
          <w:color w:val="auto"/>
        </w:rPr>
      </w:pPr>
    </w:p>
    <w:p>
      <w:pPr>
        <w:ind w:right="100" w:firstLine="318"/>
        <w:spacing w:after="0" w:line="285" w:lineRule="auto"/>
        <w:rPr>
          <w:sz w:val="20"/>
          <w:szCs w:val="20"/>
          <w:color w:val="auto"/>
        </w:rPr>
      </w:pPr>
      <w:r>
        <w:rPr>
          <w:rFonts w:ascii="Arial" w:cs="Arial" w:eastAsia="Arial" w:hAnsi="Arial"/>
          <w:sz w:val="15"/>
          <w:szCs w:val="15"/>
          <w:color w:val="auto"/>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 deferred salary contributions.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60" w:lineRule="exact"/>
        <w:rPr>
          <w:sz w:val="20"/>
          <w:szCs w:val="20"/>
          <w:color w:val="auto"/>
        </w:rPr>
      </w:pPr>
    </w:p>
    <w:p>
      <w:pPr>
        <w:ind w:right="80" w:firstLine="318"/>
        <w:spacing w:after="0" w:line="266" w:lineRule="auto"/>
        <w:rPr>
          <w:sz w:val="20"/>
          <w:szCs w:val="20"/>
          <w:color w:val="auto"/>
        </w:rPr>
      </w:pPr>
      <w:r>
        <w:rPr>
          <w:rFonts w:ascii="Arial" w:cs="Arial" w:eastAsia="Arial" w:hAnsi="Arial"/>
          <w:sz w:val="16"/>
          <w:szCs w:val="16"/>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2018. In addition, health insurance benefits for our Danish employees are fully paid for by such employees. Our Danish subsidiary does not incur any costs for these health insurance benefits.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Liability and Indemnification</w:t>
      </w:r>
    </w:p>
    <w:p>
      <w:pPr>
        <w:spacing w:after="0" w:line="215" w:lineRule="exact"/>
        <w:rPr>
          <w:sz w:val="20"/>
          <w:szCs w:val="20"/>
          <w:color w:val="auto"/>
        </w:rPr>
      </w:pPr>
    </w:p>
    <w:p>
      <w:pPr>
        <w:ind w:firstLine="312"/>
        <w:spacing w:after="0" w:line="289" w:lineRule="auto"/>
        <w:rPr>
          <w:sz w:val="20"/>
          <w:szCs w:val="20"/>
          <w:color w:val="auto"/>
        </w:rPr>
      </w:pPr>
      <w:r>
        <w:rPr>
          <w:rFonts w:ascii="Arial" w:cs="Arial" w:eastAsia="Arial" w:hAnsi="Arial"/>
          <w:sz w:val="15"/>
          <w:szCs w:val="15"/>
          <w:color w:val="auto"/>
        </w:rPr>
        <w:t>As permitted by the General Corporation Law of the State of Delaware ("DGCL"), our Board of Directors and our stockholders have adopted provisions in our amended and restated certificate of incorporation that limit or eliminate the personal liability of our directors. Our amended and restated certificate of incorporation limits the personal liability of directors for breach of fiduciary duty to the maximum 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168" w:lineRule="exact"/>
        <w:rPr>
          <w:sz w:val="20"/>
          <w:szCs w:val="20"/>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any breach of the director's duty of loyalty to us or our stockholders;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acts or omissions not in good faith or that involve intentional misconduct or a knowing violation of law;</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voting for or assenting to unlawful payments of dividends, stock repurchases or other distributions; or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w:t>
      </w:r>
    </w:p>
    <w:p>
      <w:pPr>
        <w:spacing w:after="0" w:line="211" w:lineRule="exact"/>
        <w:rPr>
          <w:sz w:val="20"/>
          <w:szCs w:val="20"/>
          <w:color w:val="auto"/>
        </w:rPr>
      </w:pPr>
    </w:p>
    <w:p>
      <w:pPr>
        <w:ind w:right="180" w:firstLine="312"/>
        <w:spacing w:after="0" w:line="270"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8" w:lineRule="exact"/>
        <w:rPr>
          <w:sz w:val="20"/>
          <w:szCs w:val="20"/>
          <w:color w:val="auto"/>
        </w:rPr>
      </w:pPr>
    </w:p>
    <w:p>
      <w:pPr>
        <w:ind w:right="380" w:firstLine="321"/>
        <w:spacing w:after="0" w:line="284" w:lineRule="auto"/>
        <w:rPr>
          <w:sz w:val="20"/>
          <w:szCs w:val="20"/>
          <w:color w:val="auto"/>
        </w:rPr>
      </w:pPr>
      <w:r>
        <w:rPr>
          <w:rFonts w:ascii="Arial" w:cs="Arial" w:eastAsia="Arial" w:hAnsi="Arial"/>
          <w:sz w:val="16"/>
          <w:szCs w:val="16"/>
          <w:color w:val="auto"/>
        </w:rPr>
        <w:t>In addition, our amended and restated certificate of incorporation provides that we must indemnify our directors and officers and we must advance expenses, including attorneys' fees, to our directors and officers in connection with legal proceedings, subject to very limited exceptions.</w:t>
      </w:r>
    </w:p>
    <w:p>
      <w:pPr>
        <w:spacing w:after="0" w:line="156" w:lineRule="exact"/>
        <w:rPr>
          <w:sz w:val="20"/>
          <w:szCs w:val="20"/>
          <w:color w:val="auto"/>
        </w:rPr>
      </w:pPr>
    </w:p>
    <w:p>
      <w:pPr>
        <w:ind w:right="60" w:firstLine="318"/>
        <w:spacing w:after="0" w:line="262"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 Some of our non-employee directors may, through their relationships with their employers, be insured or indemnified against specified liabilities incurred in their capacities as members of our Board of Directors.</w:t>
      </w:r>
    </w:p>
    <w:p>
      <w:pPr>
        <w:spacing w:after="0" w:line="176" w:lineRule="exact"/>
        <w:rPr>
          <w:sz w:val="20"/>
          <w:szCs w:val="20"/>
          <w:color w:val="auto"/>
        </w:rPr>
      </w:pPr>
    </w:p>
    <w:p>
      <w:pPr>
        <w:ind w:right="360" w:firstLine="321"/>
        <w:spacing w:after="0" w:line="359" w:lineRule="auto"/>
        <w:rPr>
          <w:sz w:val="20"/>
          <w:szCs w:val="20"/>
          <w:color w:val="auto"/>
        </w:rPr>
      </w:pPr>
      <w:r>
        <w:rPr>
          <w:rFonts w:ascii="Arial" w:cs="Arial" w:eastAsia="Arial" w:hAnsi="Arial"/>
          <w:sz w:val="14"/>
          <w:szCs w:val="14"/>
          <w:color w:val="auto"/>
        </w:rPr>
        <w:t>Insofar as indemnification for liabilities arising under the Securities Act of 1933, as amended (the "Securities Act") may be permitted to directors, executive officers or persons controlling us, in the opinion of the SEC, such indemnification is against public policy as expressed in the Securities Act and is therefore unenforceable.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Considerations</w:t>
      </w:r>
    </w:p>
    <w:p>
      <w:pPr>
        <w:spacing w:after="0" w:line="211" w:lineRule="exact"/>
        <w:rPr>
          <w:sz w:val="20"/>
          <w:szCs w:val="20"/>
          <w:color w:val="auto"/>
        </w:rPr>
      </w:pPr>
    </w:p>
    <w:p>
      <w:pPr>
        <w:ind w:right="40" w:firstLine="318"/>
        <w:spacing w:after="0" w:line="262" w:lineRule="auto"/>
        <w:rPr>
          <w:sz w:val="20"/>
          <w:szCs w:val="20"/>
          <w:color w:val="auto"/>
        </w:rPr>
      </w:pPr>
      <w:r>
        <w:rPr>
          <w:rFonts w:ascii="Arial" w:cs="Arial" w:eastAsia="Arial" w:hAnsi="Arial"/>
          <w:sz w:val="16"/>
          <w:szCs w:val="16"/>
          <w:color w:val="auto"/>
        </w:rPr>
        <w:t>The Compensation Committee considers the potential future effects of Section 162(m) of the Internal Revenue Code of 1986, as amended (the "Code") on compensation paid to our named executive officers. Section 162(m) of the Code generally disallows a tax deduction to public companies for compensation in excess of $1 million paid to each of the company's chief executive officer and the three most highly compensated executive officers (other than the chief executive officer and chief financial officer). Pursuant to tax legislation signed into law on December 22, 2017 (the "Tax Act"), for taxable years beginning after December 31, 2017, the Section 162(m) deduction limitation is expanded so that it also applies compensation in excess of $1 million paid to a public company's chief financial officer. Historically, compensation that qualified under Section 162(m) as performance-based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compensation was exempt from the deduction limitation. However, subject to certain transition rules, the Tax Act eliminated the qualified performance-based compensation exception. As a result, for taxable years beginning after December 31, 2017, all compensation in excess of $1 million paid to each of the executives described above (other than certain grandfathered compensation or compensation paid pursuant to certain equity awards granted before or during a transition period following our initial public offering) will not be deductible by us.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2018.</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44"/>
              <w:spacing w:after="0"/>
              <w:rPr>
                <w:sz w:val="20"/>
                <w:szCs w:val="20"/>
                <w:color w:val="auto"/>
              </w:rPr>
            </w:pPr>
            <w:r>
              <w:rPr>
                <w:rFonts w:ascii="Arial" w:cs="Arial" w:eastAsia="Arial" w:hAnsi="Arial"/>
                <w:sz w:val="12"/>
                <w:szCs w:val="12"/>
                <w:b w:val="1"/>
                <w:bCs w:val="1"/>
                <w:color w:val="auto"/>
                <w:w w:val="94"/>
              </w:rPr>
              <w:t>Fees Earned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85"/>
              <w:spacing w:after="0"/>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4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460" w:type="dxa"/>
            <w:vAlign w:val="bottom"/>
          </w:tcPr>
          <w:p>
            <w:pPr>
              <w:jc w:val="right"/>
              <w:ind w:right="22"/>
              <w:spacing w:after="0"/>
              <w:rPr>
                <w:sz w:val="20"/>
                <w:szCs w:val="20"/>
                <w:color w:val="auto"/>
              </w:rPr>
            </w:pPr>
            <w:r>
              <w:rPr>
                <w:rFonts w:ascii="Arial" w:cs="Arial" w:eastAsia="Arial" w:hAnsi="Arial"/>
                <w:sz w:val="12"/>
                <w:szCs w:val="12"/>
                <w:b w:val="1"/>
                <w:bCs w:val="1"/>
                <w:color w:val="auto"/>
              </w:rPr>
              <w:t>Year</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24"/>
              <w:spacing w:after="0"/>
              <w:rPr>
                <w:sz w:val="20"/>
                <w:szCs w:val="20"/>
                <w:color w:val="auto"/>
              </w:rPr>
            </w:pPr>
            <w:r>
              <w:rPr>
                <w:rFonts w:ascii="Arial" w:cs="Arial" w:eastAsia="Arial" w:hAnsi="Arial"/>
                <w:sz w:val="12"/>
                <w:szCs w:val="12"/>
                <w:b w:val="1"/>
                <w:bCs w:val="1"/>
                <w:color w:val="auto"/>
                <w:w w:val="93"/>
              </w:rPr>
              <w:t>Paid in Cash ($)</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5"/>
              <w:spacing w:after="0" w:line="160" w:lineRule="exact"/>
              <w:rPr>
                <w:sz w:val="20"/>
                <w:szCs w:val="20"/>
                <w:color w:val="auto"/>
              </w:rPr>
            </w:pPr>
            <w:r>
              <w:rPr>
                <w:rFonts w:ascii="Arial" w:cs="Arial" w:eastAsia="Arial" w:hAnsi="Arial"/>
                <w:sz w:val="11"/>
                <w:szCs w:val="11"/>
                <w:b w:val="1"/>
                <w:bCs w:val="1"/>
                <w:color w:val="auto"/>
                <w:w w:val="95"/>
              </w:rPr>
              <w:t>Awards ($)</w:t>
            </w:r>
            <w:r>
              <w:rPr>
                <w:rFonts w:ascii="Arial" w:cs="Arial" w:eastAsia="Arial" w:hAnsi="Arial"/>
                <w:sz w:val="18"/>
                <w:szCs w:val="18"/>
                <w:b w:val="1"/>
                <w:bCs w:val="1"/>
                <w:color w:val="auto"/>
                <w:w w:val="95"/>
                <w:vertAlign w:val="superscript"/>
              </w:rPr>
              <w:t>(1)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Mr. Johan Wedell-Wedellsborg</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208,960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220,047</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3"/>
          </w:tcPr>
          <w:p>
            <w:pPr>
              <w:spacing w:after="0" w:line="235" w:lineRule="exact"/>
              <w:rPr>
                <w:sz w:val="20"/>
                <w:szCs w:val="20"/>
                <w:color w:val="auto"/>
              </w:rPr>
            </w:pPr>
            <w:r>
              <w:rPr>
                <w:rFonts w:ascii="Arial" w:cs="Arial" w:eastAsia="Arial" w:hAnsi="Arial"/>
                <w:sz w:val="16"/>
                <w:szCs w:val="16"/>
                <w:color w:val="auto"/>
              </w:rPr>
              <w:t>Dr. Gregory Raskin</w:t>
            </w:r>
            <w:r>
              <w:rPr>
                <w:rFonts w:ascii="Arial" w:cs="Arial" w:eastAsia="Arial" w:hAnsi="Arial"/>
                <w:sz w:val="26"/>
                <w:szCs w:val="26"/>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12,889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208,960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221,849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Dr. Gerard Ber</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399,680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402,704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gridSpan w:val="3"/>
          </w:tcPr>
          <w:p>
            <w:pPr>
              <w:spacing w:after="0" w:line="235" w:lineRule="exact"/>
              <w:rPr>
                <w:sz w:val="20"/>
                <w:szCs w:val="20"/>
                <w:color w:val="auto"/>
              </w:rPr>
            </w:pPr>
            <w:r>
              <w:rPr>
                <w:rFonts w:ascii="Arial" w:cs="Arial" w:eastAsia="Arial" w:hAnsi="Arial"/>
                <w:sz w:val="16"/>
                <w:szCs w:val="16"/>
                <w:color w:val="auto"/>
              </w:rPr>
              <w:t>Dr. Ashutosh Tyagi</w:t>
            </w:r>
            <w:r>
              <w:rPr>
                <w:rFonts w:ascii="Arial" w:cs="Arial" w:eastAsia="Arial" w:hAnsi="Arial"/>
                <w:sz w:val="26"/>
                <w:szCs w:val="26"/>
                <w:color w:val="auto"/>
                <w:vertAlign w:val="superscript"/>
              </w:rPr>
              <w:t>(3)</w:t>
            </w:r>
          </w:p>
        </w:tc>
        <w:tc>
          <w:tcPr>
            <w:tcW w:w="46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11,780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11,780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Dr. James I. Healy</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208,960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420" w:type="dxa"/>
            <w:vAlign w:val="bottom"/>
            <w:gridSpan w:val="3"/>
          </w:tcPr>
          <w:p>
            <w:pPr>
              <w:spacing w:after="0"/>
              <w:rPr>
                <w:sz w:val="20"/>
                <w:szCs w:val="20"/>
                <w:color w:val="auto"/>
              </w:rPr>
            </w:pPr>
            <w:r>
              <w:rPr>
                <w:rFonts w:ascii="Arial" w:cs="Arial" w:eastAsia="Arial" w:hAnsi="Arial"/>
                <w:sz w:val="16"/>
                <w:szCs w:val="16"/>
                <w:color w:val="auto"/>
              </w:rPr>
              <w:t>Mr. David N. Gill</w:t>
            </w:r>
          </w:p>
        </w:tc>
        <w:tc>
          <w:tcPr>
            <w:tcW w:w="460" w:type="dxa"/>
            <w:vAlign w:val="bottom"/>
          </w:tcPr>
          <w:p>
            <w:pPr>
              <w:jc w:val="right"/>
              <w:spacing w:after="0"/>
              <w:rPr>
                <w:sz w:val="20"/>
                <w:szCs w:val="20"/>
                <w:color w:val="auto"/>
              </w:rPr>
            </w:pPr>
            <w:r>
              <w:rPr>
                <w:rFonts w:ascii="Arial" w:cs="Arial" w:eastAsia="Arial" w:hAnsi="Arial"/>
                <w:sz w:val="16"/>
                <w:szCs w:val="16"/>
                <w:color w:val="auto"/>
              </w:rPr>
              <w:t>2018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13,859</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208,960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222,819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right="20" w:hanging="498"/>
        <w:spacing w:after="0" w:line="268" w:lineRule="auto"/>
        <w:tabs>
          <w:tab w:leader="none" w:pos="16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As of December 31, 2018, the aggregate number of shares of our common stock subject to each non-employee director's outstanding option awards was 32,000 shares of common stock with the exception of Dr. Tyagi, who had not received option awards during his tenure at Scopia Capital, and each of Mr. Wedell-Wedellsborg and Dr. Raskin who each held options to purchase 68,000 shares of our common stock. All options granted to non-employee directors vest over three (3) years. Options granted prior to 2018 vest with one-third of the shares of common stock underlying each option vesting at grant, and the remaining two-thirds vesting one thirty-sixth each month over the three (3) years. subject to continued service through such dates and unless vesting is accelerated pursuant to the terms of the grant. Options granted during 2018 and later vest in equal monthly installments until the third anniversary of the date of grant subject to continued service through such dates and unless vesting is accelerated pursuant to the terms of the grant. As of December 31, 2018, there were no other option awards outstanding and held by our non-employee directors.</w:t>
      </w:r>
    </w:p>
    <w:p>
      <w:pPr>
        <w:spacing w:after="0" w:line="89" w:lineRule="exact"/>
        <w:rPr>
          <w:rFonts w:ascii="Arial" w:cs="Arial" w:eastAsia="Arial" w:hAnsi="Arial"/>
          <w:sz w:val="11"/>
          <w:szCs w:val="11"/>
          <w:color w:val="auto"/>
        </w:rPr>
      </w:pPr>
    </w:p>
    <w:p>
      <w:pPr>
        <w:ind w:left="1640" w:hanging="498"/>
        <w:spacing w:after="0"/>
        <w:tabs>
          <w:tab w:leader="none" w:pos="1640" w:val="left"/>
        </w:tabs>
        <w:numPr>
          <w:ilvl w:val="0"/>
          <w:numId w:val="34"/>
        </w:numPr>
        <w:rPr>
          <w:rFonts w:ascii="Arial" w:cs="Arial" w:eastAsia="Arial" w:hAnsi="Arial"/>
          <w:sz w:val="11"/>
          <w:szCs w:val="11"/>
          <w:color w:val="auto"/>
        </w:rPr>
      </w:pPr>
      <w:r>
        <w:rPr>
          <w:rFonts w:ascii="Arial" w:cs="Arial" w:eastAsia="Arial" w:hAnsi="Arial"/>
          <w:sz w:val="11"/>
          <w:szCs w:val="11"/>
          <w:color w:val="auto"/>
        </w:rPr>
        <w:t>Dr. Raskin has entered into a contract with MSK pursuant to which Dr. Raskin will contribute to MSK his earnings from any such cash director fees as well as his earnings from such stock options.</w:t>
      </w:r>
    </w:p>
    <w:p>
      <w:pPr>
        <w:spacing w:after="0" w:line="132" w:lineRule="exact"/>
        <w:rPr>
          <w:rFonts w:ascii="Arial" w:cs="Arial" w:eastAsia="Arial" w:hAnsi="Arial"/>
          <w:sz w:val="11"/>
          <w:szCs w:val="11"/>
          <w:color w:val="auto"/>
        </w:rPr>
      </w:pPr>
    </w:p>
    <w:p>
      <w:pPr>
        <w:ind w:left="1640" w:right="140" w:hanging="498"/>
        <w:spacing w:after="0" w:line="267" w:lineRule="auto"/>
        <w:tabs>
          <w:tab w:leader="none" w:pos="1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In accordance with the terms of Dr. Tyagi's employment with Scopia Capital, his employer at the time, such fees were paid directly to Scopia Capital. Dr. Tyagi did not personally receive any such cash compensation.</w:t>
      </w:r>
    </w:p>
    <w:p>
      <w:pPr>
        <w:spacing w:after="0" w:line="162"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Non-Employee Director Compensation Policy</w:t>
      </w:r>
    </w:p>
    <w:p>
      <w:pPr>
        <w:spacing w:after="0" w:line="211" w:lineRule="exact"/>
        <w:rPr>
          <w:sz w:val="20"/>
          <w:szCs w:val="20"/>
          <w:color w:val="auto"/>
        </w:rPr>
      </w:pPr>
    </w:p>
    <w:p>
      <w:pPr>
        <w:ind w:right="220" w:firstLine="321"/>
        <w:spacing w:after="0" w:line="326" w:lineRule="auto"/>
        <w:rPr>
          <w:sz w:val="20"/>
          <w:szCs w:val="20"/>
          <w:color w:val="auto"/>
        </w:rPr>
      </w:pPr>
      <w:r>
        <w:rPr>
          <w:rFonts w:ascii="Arial" w:cs="Arial" w:eastAsia="Arial" w:hAnsi="Arial"/>
          <w:sz w:val="14"/>
          <w:szCs w:val="14"/>
          <w:color w:val="auto"/>
        </w:rPr>
        <w:t>Our Board of Directors and stockholders have approved and adopted a policy with respect to the compensation payable to our non-employee directors, which became effective upon the completion of our initial public offering in September 2018. Under this policy, each non-employee director is eligible to receive compensation for his or her service on our Board of Directors and for service on each committee on which the director is a member, which will consist of annual cash retainers and equity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awards. Our non-employee directors received the following annual cash retainers for their service in 2018, effective and prorated from the closing of our initial public offering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September 2018:</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720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8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1"/>
              </w:rPr>
              <w:t>Retainer</w:t>
            </w:r>
          </w:p>
        </w:tc>
      </w:tr>
      <w:tr>
        <w:trPr>
          <w:trHeight w:val="20"/>
        </w:trPr>
        <w:tc>
          <w:tcPr>
            <w:tcW w:w="420" w:type="dxa"/>
            <w:vAlign w:val="bottom"/>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0"/>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Board Member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35,000</w:t>
            </w: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Audit Committee Chair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15,000</w:t>
            </w: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Compensation Committee Chair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10,000</w:t>
            </w: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Nominating and Corporate Governance Committee Chair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8,000</w:t>
            </w: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Committee Member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7,500</w:t>
            </w:r>
          </w:p>
        </w:tc>
      </w:tr>
      <w:tr>
        <w:trPr>
          <w:trHeight w:val="197"/>
        </w:trPr>
        <w:tc>
          <w:tcPr>
            <w:tcW w:w="7200" w:type="dxa"/>
            <w:vAlign w:val="bottom"/>
            <w:gridSpan w:val="2"/>
          </w:tcPr>
          <w:p>
            <w:pPr>
              <w:spacing w:after="0"/>
              <w:rPr>
                <w:sz w:val="20"/>
                <w:szCs w:val="20"/>
                <w:color w:val="auto"/>
              </w:rPr>
            </w:pPr>
            <w:r>
              <w:rPr>
                <w:rFonts w:ascii="Arial" w:cs="Arial" w:eastAsia="Arial" w:hAnsi="Arial"/>
                <w:sz w:val="16"/>
                <w:szCs w:val="16"/>
                <w:color w:val="auto"/>
              </w:rPr>
              <w:t>Compensation Committee Member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r>
      <w:tr>
        <w:trPr>
          <w:trHeight w:val="197"/>
        </w:trPr>
        <w:tc>
          <w:tcPr>
            <w:tcW w:w="7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Nominating and Corporate Governance Committee Member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4,000</w:t>
            </w:r>
          </w:p>
        </w:tc>
      </w:tr>
    </w:tbl>
    <w:p>
      <w:pPr>
        <w:spacing w:after="0" w:line="188" w:lineRule="exact"/>
        <w:rPr>
          <w:sz w:val="20"/>
          <w:szCs w:val="20"/>
          <w:color w:val="auto"/>
        </w:rPr>
      </w:pPr>
    </w:p>
    <w:p>
      <w:pPr>
        <w:ind w:right="240" w:firstLine="321"/>
        <w:spacing w:after="0" w:line="285" w:lineRule="auto"/>
        <w:rPr>
          <w:sz w:val="20"/>
          <w:szCs w:val="20"/>
          <w:color w:val="auto"/>
        </w:rPr>
      </w:pPr>
      <w:r>
        <w:rPr>
          <w:rFonts w:ascii="Arial" w:cs="Arial" w:eastAsia="Arial" w:hAnsi="Arial"/>
          <w:sz w:val="15"/>
          <w:szCs w:val="15"/>
          <w:color w:val="auto"/>
        </w:rPr>
        <w:t>Stock option grants for non-employee directors will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meeting of our Board of Directors held following our annual stockholders meeting in each year commencing in 2018 and vesting in equal monthly installments until the first anniversary of the date of grant. The vesting of the initial and annual stock option grants is subject to the non-employee director's continued service on our Board of Directors.</w:t>
      </w:r>
    </w:p>
    <w:p>
      <w:pPr>
        <w:spacing w:after="0" w:line="160" w:lineRule="exact"/>
        <w:rPr>
          <w:sz w:val="20"/>
          <w:szCs w:val="20"/>
          <w:color w:val="auto"/>
        </w:rPr>
      </w:pPr>
    </w:p>
    <w:p>
      <w:pPr>
        <w:ind w:firstLine="321"/>
        <w:spacing w:after="0" w:line="319" w:lineRule="auto"/>
        <w:rPr>
          <w:sz w:val="20"/>
          <w:szCs w:val="20"/>
          <w:color w:val="auto"/>
        </w:rPr>
      </w:pPr>
      <w:r>
        <w:rPr>
          <w:rFonts w:ascii="Arial" w:cs="Arial" w:eastAsia="Arial" w:hAnsi="Arial"/>
          <w:sz w:val="15"/>
          <w:szCs w:val="15"/>
          <w:color w:val="auto"/>
        </w:rPr>
        <w:t>Directors may be reimbursed for travel, food, lodging and other expenses directly related to their service as directors. Directors are also entitled to the protection provided by their indemnification agreements and the indemnification provisions in our amended and restated certificate of incorporation and amended and restated bylaws.</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15" w:lineRule="exact"/>
        <w:rPr>
          <w:sz w:val="20"/>
          <w:szCs w:val="20"/>
          <w:color w:val="auto"/>
        </w:rPr>
      </w:pPr>
    </w:p>
    <w:p>
      <w:pPr>
        <w:ind w:right="200" w:firstLine="318"/>
        <w:spacing w:after="0" w:line="319" w:lineRule="auto"/>
        <w:rPr>
          <w:sz w:val="20"/>
          <w:szCs w:val="20"/>
          <w:color w:val="auto"/>
        </w:rPr>
      </w:pPr>
      <w:r>
        <w:rPr>
          <w:rFonts w:ascii="Arial" w:cs="Arial" w:eastAsia="Arial" w:hAnsi="Arial"/>
          <w:sz w:val="15"/>
          <w:szCs w:val="15"/>
          <w:color w:val="auto"/>
        </w:rPr>
        <w:t>The following table contains information about our equity compensation plans as of December 31, 2018. As of December 31, 2018, we had three (3) equity compensation plans, each of which was approved by our stockholders: the 2015 Plan, the 2018 Plan, and our 2018 Employee Stock Purchase Plan (the "2018 ESPP").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Number of securities</w:t>
            </w:r>
          </w:p>
        </w:tc>
      </w:tr>
      <w:tr>
        <w:trPr>
          <w:trHeight w:val="136"/>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remaining available</w:t>
            </w:r>
          </w:p>
        </w:tc>
      </w:tr>
      <w:tr>
        <w:trPr>
          <w:trHeight w:val="136"/>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0"/>
              </w:rPr>
              <w:t>for future issuance</w:t>
            </w:r>
          </w:p>
        </w:tc>
      </w:tr>
      <w:tr>
        <w:trPr>
          <w:trHeight w:val="136"/>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2"/>
              </w:rPr>
              <w:t>Number of securities</w:t>
            </w:r>
          </w:p>
        </w:tc>
        <w:tc>
          <w:tcPr>
            <w:tcW w:w="20" w:type="dxa"/>
            <w:vAlign w:val="bottom"/>
          </w:tcPr>
          <w:p>
            <w:pPr>
              <w:spacing w:after="0"/>
              <w:rPr>
                <w:sz w:val="11"/>
                <w:szCs w:val="11"/>
                <w:color w:val="auto"/>
              </w:rPr>
            </w:pPr>
          </w:p>
        </w:tc>
        <w:tc>
          <w:tcPr>
            <w:tcW w:w="13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1"/>
              </w:rPr>
              <w:t>Weighted average</w:t>
            </w:r>
          </w:p>
        </w:tc>
        <w:tc>
          <w:tcPr>
            <w:tcW w:w="14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4"/>
              </w:rPr>
              <w:t>under equity</w:t>
            </w:r>
          </w:p>
        </w:tc>
      </w:tr>
      <w:tr>
        <w:trPr>
          <w:trHeight w:val="136"/>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7"/>
              </w:rPr>
              <w:t>to be issued upon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89"/>
              </w:rPr>
              <w:t>exercise price</w:t>
            </w:r>
          </w:p>
        </w:tc>
        <w:tc>
          <w:tcPr>
            <w:tcW w:w="14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89"/>
              </w:rPr>
              <w:t>compensation plans</w:t>
            </w:r>
          </w:p>
        </w:tc>
      </w:tr>
      <w:tr>
        <w:trPr>
          <w:trHeight w:val="136"/>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6"/>
              </w:rPr>
              <w:t>exercise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1"/>
              </w:rPr>
              <w:t>of outstanding</w:t>
            </w:r>
          </w:p>
        </w:tc>
        <w:tc>
          <w:tcPr>
            <w:tcW w:w="14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0"/>
              </w:rPr>
              <w:t>(excluding securities</w:t>
            </w:r>
          </w:p>
        </w:tc>
      </w:tr>
      <w:tr>
        <w:trPr>
          <w:trHeight w:val="136"/>
        </w:trPr>
        <w:tc>
          <w:tcPr>
            <w:tcW w:w="7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6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outstanding options,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w w:val="91"/>
              </w:rPr>
              <w:t>options, warrants</w:t>
            </w:r>
          </w:p>
        </w:tc>
        <w:tc>
          <w:tcPr>
            <w:tcW w:w="14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3"/>
              </w:rPr>
              <w:t>reflected in</w:t>
            </w:r>
          </w:p>
        </w:tc>
      </w:tr>
      <w:tr>
        <w:trPr>
          <w:trHeight w:val="149"/>
        </w:trPr>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Plan Category</w:t>
            </w:r>
          </w:p>
        </w:tc>
        <w:tc>
          <w:tcPr>
            <w:tcW w:w="14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warrants and rights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and rights</w:t>
            </w:r>
          </w:p>
        </w:tc>
        <w:tc>
          <w:tcPr>
            <w:tcW w:w="14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column (a))</w:t>
            </w:r>
          </w:p>
        </w:tc>
      </w:tr>
      <w:tr>
        <w:trPr>
          <w:trHeight w:val="128"/>
        </w:trPr>
        <w:tc>
          <w:tcPr>
            <w:tcW w:w="760" w:type="dxa"/>
            <w:vAlign w:val="bottom"/>
            <w:tcBorders>
              <w:top w:val="single" w:sz="8" w:color="auto"/>
            </w:tcBorders>
          </w:tcPr>
          <w:p>
            <w:pPr>
              <w:spacing w:after="0"/>
              <w:rPr>
                <w:sz w:val="11"/>
                <w:szCs w:val="11"/>
                <w:color w:val="auto"/>
              </w:rPr>
            </w:pPr>
          </w:p>
        </w:tc>
        <w:tc>
          <w:tcPr>
            <w:tcW w:w="1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30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5"/>
              </w:rPr>
              <w:t>(a)</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11"/>
              <w:spacing w:after="0" w:line="128" w:lineRule="exact"/>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11"/>
                <w:szCs w:val="11"/>
                <w:color w:val="auto"/>
              </w:rPr>
            </w:pPr>
          </w:p>
        </w:tc>
        <w:tc>
          <w:tcPr>
            <w:tcW w:w="128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2"/>
                <w:szCs w:val="12"/>
                <w:b w:val="1"/>
                <w:bCs w:val="1"/>
                <w:color w:val="auto"/>
                <w:w w:val="95"/>
              </w:rPr>
              <w:t>(c)</w:t>
            </w:r>
          </w:p>
        </w:tc>
        <w:tc>
          <w:tcPr>
            <w:tcW w:w="200" w:type="dxa"/>
            <w:vAlign w:val="bottom"/>
          </w:tcPr>
          <w:p>
            <w:pPr>
              <w:spacing w:after="0"/>
              <w:rPr>
                <w:sz w:val="11"/>
                <w:szCs w:val="11"/>
                <w:color w:val="auto"/>
              </w:rPr>
            </w:pPr>
          </w:p>
        </w:tc>
      </w:tr>
      <w:tr>
        <w:trPr>
          <w:trHeight w:val="197"/>
        </w:trPr>
        <w:tc>
          <w:tcPr>
            <w:tcW w:w="4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3,357,873</w:t>
            </w:r>
            <w:r>
              <w:rPr>
                <w:rFonts w:ascii="Arial" w:cs="Arial" w:eastAsia="Arial" w:hAnsi="Arial"/>
                <w:sz w:val="13"/>
                <w:szCs w:val="13"/>
                <w:color w:val="auto"/>
              </w:rPr>
              <w:t>(1)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7.74</w:t>
            </w:r>
            <w:r>
              <w:rPr>
                <w:rFonts w:ascii="Arial" w:cs="Arial" w:eastAsia="Arial" w:hAnsi="Arial"/>
                <w:sz w:val="13"/>
                <w:szCs w:val="13"/>
                <w:color w:val="auto"/>
              </w:rPr>
              <w:t>(2)</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2,842,127</w:t>
            </w:r>
            <w:r>
              <w:rPr>
                <w:rFonts w:ascii="Arial" w:cs="Arial" w:eastAsia="Arial" w:hAnsi="Arial"/>
                <w:sz w:val="13"/>
                <w:szCs w:val="13"/>
                <w:color w:val="auto"/>
              </w:rPr>
              <w:t>(3)</w:t>
            </w:r>
          </w:p>
        </w:tc>
      </w:tr>
      <w:tr>
        <w:trPr>
          <w:trHeight w:val="197"/>
        </w:trPr>
        <w:tc>
          <w:tcPr>
            <w:tcW w:w="488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97"/>
        </w:trPr>
        <w:tc>
          <w:tcPr>
            <w:tcW w:w="48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3,357,873</w:t>
            </w:r>
          </w:p>
        </w:tc>
        <w:tc>
          <w:tcPr>
            <w:tcW w:w="16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2,842,127</w:t>
            </w:r>
            <w:r>
              <w:rPr>
                <w:rFonts w:ascii="Arial" w:cs="Arial" w:eastAsia="Arial" w:hAnsi="Arial"/>
                <w:sz w:val="13"/>
                <w:szCs w:val="13"/>
                <w:color w:val="auto"/>
              </w:rPr>
              <w:t>(4)</w:t>
            </w:r>
          </w:p>
        </w:tc>
      </w:tr>
      <w:tr>
        <w:trPr>
          <w:trHeight w:val="99"/>
        </w:trPr>
        <w:tc>
          <w:tcPr>
            <w:tcW w:w="7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76" w:lineRule="exact"/>
        <w:rPr>
          <w:sz w:val="20"/>
          <w:szCs w:val="20"/>
          <w:color w:val="auto"/>
        </w:rPr>
      </w:pPr>
    </w:p>
    <w:p>
      <w:pPr>
        <w:ind w:left="1640" w:right="220" w:hanging="498"/>
        <w:spacing w:after="0" w:line="267" w:lineRule="auto"/>
        <w:tabs>
          <w:tab w:leader="none" w:pos="1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Consists of (i) 2,799,373 shares to be issued upon exercise of outstanding options under the 2015 Plan as of December 31, 2018, and (ii) 558,500 shares to be issued upon exercise of outstanding options under the 2018 Plan as of December 31, 2018.</w:t>
      </w:r>
    </w:p>
    <w:p>
      <w:pPr>
        <w:spacing w:after="0" w:line="87" w:lineRule="exact"/>
        <w:rPr>
          <w:rFonts w:ascii="Arial" w:cs="Arial" w:eastAsia="Arial" w:hAnsi="Arial"/>
          <w:sz w:val="12"/>
          <w:szCs w:val="12"/>
          <w:color w:val="auto"/>
        </w:rPr>
      </w:pPr>
    </w:p>
    <w:p>
      <w:pPr>
        <w:ind w:left="1640" w:hanging="498"/>
        <w:spacing w:after="0"/>
        <w:tabs>
          <w:tab w:leader="none" w:pos="16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Consists of the weighted average exercise price of the 3,357,873 stock options outstanding on December 31, 2018.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hanging="498"/>
        <w:spacing w:after="0" w:line="267" w:lineRule="auto"/>
        <w:tabs>
          <w:tab w:leader="none" w:pos="1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Consists of (i) 2,142,127 shares that remained available for future issuance under the 2018 Plan as of December 31, 2018, and (ii) 700,000 shares that remained available for future issuance under the 2018 ESPP as of December 31, 2018. No shares remained available for future issuance under the 2015 Plan as of December 31, 2018.</w:t>
      </w:r>
    </w:p>
    <w:p>
      <w:pPr>
        <w:spacing w:after="0" w:line="87" w:lineRule="exact"/>
        <w:rPr>
          <w:rFonts w:ascii="Arial" w:cs="Arial" w:eastAsia="Arial" w:hAnsi="Arial"/>
          <w:sz w:val="12"/>
          <w:szCs w:val="12"/>
          <w:color w:val="auto"/>
        </w:rPr>
      </w:pPr>
    </w:p>
    <w:p>
      <w:pPr>
        <w:ind w:left="1640" w:hanging="498"/>
        <w:spacing w:after="0" w:line="241" w:lineRule="auto"/>
        <w:tabs>
          <w:tab w:leader="none" w:pos="16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2018 Plan has an evergreen provision that allows for an annual increase in the number of shares available for issuance under the 2018 Plan to be added on the first day of each fiscal year, beginning with the fiscal year ending December 31, 2019 and continuing for each fiscal year until, and including, the fiscal year ending December 31, 2028, equal to the lesser of (A) 4.0% of the shares of stock outstanding (on an as converted basis) on the last day of the immediately preceding fiscal year and (B) such smaller number of shares of stock as determined by our board of directors. On January 1, 2019, 1,367,746 additional shares were reserved for issuance under the 2018 Plan pursuant to this provision. The 2018 ESPP has an evergreen provision that allows for an annual increase in the number of shares available for issuance under the 2018 ESPP to be added on the first day of each fiscal year, beginning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AUDIT COMMITTEE REPORT</w:t>
      </w:r>
      <w:r>
        <w:rPr>
          <w:rFonts w:ascii="Arial" w:cs="Arial" w:eastAsia="Arial" w:hAnsi="Arial"/>
          <w:sz w:val="26"/>
          <w:szCs w:val="26"/>
          <w:b w:val="1"/>
          <w:bCs w:val="1"/>
          <w:color w:val="auto"/>
          <w:vertAlign w:val="superscript"/>
        </w:rPr>
        <w:t>(1)</w:t>
      </w:r>
    </w:p>
    <w:p>
      <w:pPr>
        <w:spacing w:after="0" w:line="133" w:lineRule="exact"/>
        <w:rPr>
          <w:sz w:val="20"/>
          <w:szCs w:val="20"/>
          <w:color w:val="auto"/>
        </w:rPr>
      </w:pPr>
    </w:p>
    <w:p>
      <w:pPr>
        <w:ind w:left="1" w:firstLine="318"/>
        <w:spacing w:after="0" w:line="289" w:lineRule="auto"/>
        <w:rPr>
          <w:sz w:val="20"/>
          <w:szCs w:val="20"/>
          <w:color w:val="auto"/>
        </w:rPr>
      </w:pPr>
      <w:r>
        <w:rPr>
          <w:rFonts w:ascii="Arial" w:cs="Arial" w:eastAsia="Arial" w:hAnsi="Arial"/>
          <w:sz w:val="15"/>
          <w:szCs w:val="15"/>
          <w:color w:val="auto"/>
        </w:rPr>
        <w:t>The Audit Committee oversees our financial reporting process on behalf of our Board of Directors. Management is responsible for our financial statements and the financial reporting process, including the system of internal controls. The independent auditors are responsible for expressing an opinion on the conformity of those audited financial statements with generally accepted accounting principles. In fulfilling its oversight responsibilities, the Audit Committee has reviewed and discussed with management and the independent auditors the audited financial statements that have been included in our most recent Annual Report on Form 10-K.</w:t>
      </w:r>
    </w:p>
    <w:p>
      <w:pPr>
        <w:spacing w:after="0" w:line="156" w:lineRule="exact"/>
        <w:rPr>
          <w:sz w:val="20"/>
          <w:szCs w:val="20"/>
          <w:color w:val="auto"/>
        </w:rPr>
      </w:pPr>
    </w:p>
    <w:p>
      <w:pPr>
        <w:ind w:left="1" w:firstLine="318"/>
        <w:spacing w:after="0" w:line="266" w:lineRule="auto"/>
        <w:rPr>
          <w:sz w:val="20"/>
          <w:szCs w:val="20"/>
          <w:color w:val="auto"/>
        </w:rPr>
      </w:pPr>
      <w:r>
        <w:rPr>
          <w:rFonts w:ascii="Arial" w:cs="Arial" w:eastAsia="Arial" w:hAnsi="Arial"/>
          <w:sz w:val="16"/>
          <w:szCs w:val="16"/>
          <w:color w:val="auto"/>
        </w:rPr>
        <w:t>The Audit Committee has discussed with the independent auditors the matters required to be discussed by Public Company Accounting Oversight Board Standard No. 16, "Communications with Audit Committees". In addition, the Audit Committee has discussed with the independent auditors the auditors' independence from our Company and our management, including the matters in the written disclosures and letter provided to the Audit Committee as required by Independence Standards Board Standard No. 1, Independence Discussions with Audit Committees.</w:t>
      </w:r>
    </w:p>
    <w:p>
      <w:pPr>
        <w:spacing w:after="0" w:line="171" w:lineRule="exact"/>
        <w:rPr>
          <w:sz w:val="20"/>
          <w:szCs w:val="20"/>
          <w:color w:val="auto"/>
        </w:rPr>
      </w:pPr>
    </w:p>
    <w:p>
      <w:pPr>
        <w:ind w:left="1" w:right="80" w:firstLine="321"/>
        <w:spacing w:after="0" w:line="270" w:lineRule="auto"/>
        <w:rPr>
          <w:sz w:val="20"/>
          <w:szCs w:val="20"/>
          <w:color w:val="auto"/>
        </w:rPr>
      </w:pPr>
      <w:r>
        <w:rPr>
          <w:rFonts w:ascii="Arial" w:cs="Arial" w:eastAsia="Arial" w:hAnsi="Arial"/>
          <w:sz w:val="16"/>
          <w:szCs w:val="16"/>
          <w:color w:val="auto"/>
        </w:rPr>
        <w:t>Based on the foregoing, the Audit Committee recommended to our Board of Directors, and our Board of Directors approved, the inclusion of the audited financial statements in our most recent Annual Report on Form 10-K for filing with the Securities and Exchange Commission. The Audit Committee has also recommended the selection of the Company's independent auditors for the fiscal year ending December 31, 2019.</w:t>
      </w:r>
    </w:p>
    <w:p>
      <w:pPr>
        <w:spacing w:after="0" w:line="168"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Members of the Audit Committee</w:t>
      </w:r>
    </w:p>
    <w:p>
      <w:pPr>
        <w:spacing w:after="0" w:line="211" w:lineRule="exact"/>
        <w:rPr>
          <w:sz w:val="20"/>
          <w:szCs w:val="20"/>
          <w:color w:val="auto"/>
        </w:rPr>
      </w:pPr>
    </w:p>
    <w:p>
      <w:pPr>
        <w:ind w:left="5901"/>
        <w:spacing w:after="0"/>
        <w:rPr>
          <w:sz w:val="20"/>
          <w:szCs w:val="20"/>
          <w:color w:val="auto"/>
        </w:rPr>
      </w:pPr>
      <w:r>
        <w:rPr>
          <w:rFonts w:ascii="Arial" w:cs="Arial" w:eastAsia="Arial" w:hAnsi="Arial"/>
          <w:sz w:val="16"/>
          <w:szCs w:val="16"/>
          <w:color w:val="auto"/>
        </w:rPr>
        <w:t>David N. Gill (Chair)</w:t>
      </w:r>
    </w:p>
    <w:p>
      <w:pPr>
        <w:ind w:left="5901"/>
        <w:spacing w:after="0" w:line="209" w:lineRule="auto"/>
        <w:rPr>
          <w:sz w:val="20"/>
          <w:szCs w:val="20"/>
          <w:color w:val="auto"/>
        </w:rPr>
      </w:pPr>
      <w:r>
        <w:rPr>
          <w:rFonts w:ascii="Arial" w:cs="Arial" w:eastAsia="Arial" w:hAnsi="Arial"/>
          <w:sz w:val="16"/>
          <w:szCs w:val="16"/>
          <w:color w:val="auto"/>
        </w:rPr>
        <w:t>Ashutosh Tyagi, M.D.</w:t>
      </w:r>
      <w:r>
        <w:rPr>
          <w:rFonts w:ascii="Arial" w:cs="Arial" w:eastAsia="Arial" w:hAnsi="Arial"/>
          <w:sz w:val="26"/>
          <w:szCs w:val="26"/>
          <w:color w:val="auto"/>
          <w:vertAlign w:val="superscript"/>
        </w:rPr>
        <w:t>(2)</w:t>
      </w:r>
    </w:p>
    <w:p>
      <w:pPr>
        <w:ind w:left="5901"/>
        <w:spacing w:after="0"/>
        <w:rPr>
          <w:sz w:val="20"/>
          <w:szCs w:val="20"/>
          <w:color w:val="auto"/>
        </w:rPr>
      </w:pPr>
      <w:r>
        <w:rPr>
          <w:rFonts w:ascii="Arial" w:cs="Arial" w:eastAsia="Arial" w:hAnsi="Arial"/>
          <w:sz w:val="16"/>
          <w:szCs w:val="16"/>
          <w:color w:val="auto"/>
        </w:rPr>
        <w:t>Gregory Raskin, M.D.</w:t>
      </w:r>
      <w:r>
        <w:rPr>
          <w:rFonts w:ascii="Arial" w:cs="Arial" w:eastAsia="Arial" w:hAnsi="Arial"/>
          <w:sz w:val="26"/>
          <w:szCs w:val="2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245745</wp:posOffset>
            </wp:positionV>
            <wp:extent cx="19024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902460"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01" w:right="140" w:hanging="501"/>
        <w:spacing w:after="0" w:line="212" w:lineRule="auto"/>
        <w:tabs>
          <w:tab w:leader="none" w:pos="501" w:val="left"/>
        </w:tabs>
        <w:numPr>
          <w:ilvl w:val="0"/>
          <w:numId w:val="37"/>
        </w:numPr>
        <w:rPr>
          <w:rFonts w:ascii="Arial" w:cs="Arial" w:eastAsia="Arial" w:hAnsi="Arial"/>
          <w:sz w:val="27"/>
          <w:szCs w:val="27"/>
          <w:color w:val="auto"/>
          <w:vertAlign w:val="superscript"/>
        </w:rPr>
      </w:pPr>
      <w:r>
        <w:rPr>
          <w:rFonts w:ascii="Arial" w:cs="Arial" w:eastAsia="Arial" w:hAnsi="Arial"/>
          <w:sz w:val="16"/>
          <w:szCs w:val="16"/>
          <w:color w:val="auto"/>
        </w:rPr>
        <w:t>The foregoing Audit Committee report does not constitute soliciting material and shall not be deemed filed or incorporated by reference into any other filing of our Company under the Securities Act of 1933 or the Securities Exchange Act of 1934, except to the extent that we specifically incorporate this Audit Committee report by reference therein.</w:t>
      </w:r>
    </w:p>
    <w:p>
      <w:pPr>
        <w:spacing w:after="0" w:line="202" w:lineRule="exact"/>
        <w:rPr>
          <w:rFonts w:ascii="Arial" w:cs="Arial" w:eastAsia="Arial" w:hAnsi="Arial"/>
          <w:sz w:val="27"/>
          <w:szCs w:val="27"/>
          <w:color w:val="auto"/>
          <w:vertAlign w:val="superscript"/>
        </w:rPr>
      </w:pPr>
    </w:p>
    <w:p>
      <w:pPr>
        <w:ind w:left="501" w:right="600" w:hanging="501"/>
        <w:spacing w:after="0" w:line="195" w:lineRule="auto"/>
        <w:tabs>
          <w:tab w:leader="none" w:pos="501" w:val="left"/>
        </w:tabs>
        <w:numPr>
          <w:ilvl w:val="0"/>
          <w:numId w:val="37"/>
        </w:numPr>
        <w:rPr>
          <w:rFonts w:ascii="Arial" w:cs="Arial" w:eastAsia="Arial" w:hAnsi="Arial"/>
          <w:sz w:val="27"/>
          <w:szCs w:val="27"/>
          <w:color w:val="auto"/>
          <w:vertAlign w:val="superscript"/>
        </w:rPr>
      </w:pPr>
      <w:r>
        <w:rPr>
          <w:rFonts w:ascii="Arial" w:cs="Arial" w:eastAsia="Arial" w:hAnsi="Arial"/>
          <w:sz w:val="16"/>
          <w:szCs w:val="16"/>
          <w:color w:val="auto"/>
        </w:rPr>
        <w:t>In April 2019, Dr. Raskin and Dr. Tyagi stepped down from their positions as members of the Audit Committee and were replaced by Dr. Healy and Mr. Wedell-Wedellsborg.</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PROPOSALS TO BE VOTED UPON AT THE ANNUAL MEETING</w:t>
      </w:r>
    </w:p>
    <w:p>
      <w:pPr>
        <w:spacing w:after="0" w:line="215" w:lineRule="exact"/>
        <w:rPr>
          <w:sz w:val="20"/>
          <w:szCs w:val="20"/>
          <w:color w:val="auto"/>
        </w:rPr>
      </w:pPr>
    </w:p>
    <w:p>
      <w:pPr>
        <w:ind w:right="40" w:firstLine="321"/>
        <w:spacing w:after="0" w:line="270" w:lineRule="auto"/>
        <w:rPr>
          <w:sz w:val="20"/>
          <w:szCs w:val="20"/>
          <w:color w:val="auto"/>
        </w:rPr>
      </w:pPr>
      <w:r>
        <w:rPr>
          <w:rFonts w:ascii="Arial" w:cs="Arial" w:eastAsia="Arial" w:hAnsi="Arial"/>
          <w:sz w:val="16"/>
          <w:szCs w:val="16"/>
          <w:color w:val="auto"/>
        </w:rPr>
        <w:t>Our Amended and Restated Certificate of Incorporation provides for a classified board of directors. This means our Board of Directors is divided into three (3) classes, with each class having as nearly as possible an equal number of directors. The term of service of each class of directors is staggered so that the term of one (1) class expires at each annual meeting of the stockholders.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Board of Directors currently consists of nine (9) members, divided into three (3) classes as follows:</w:t>
      </w:r>
    </w:p>
    <w:p>
      <w:pPr>
        <w:spacing w:after="0" w:line="223" w:lineRule="exact"/>
        <w:rPr>
          <w:sz w:val="20"/>
          <w:szCs w:val="20"/>
          <w:color w:val="auto"/>
        </w:rPr>
      </w:pPr>
    </w:p>
    <w:p>
      <w:pPr>
        <w:ind w:left="980" w:hanging="488"/>
        <w:spacing w:after="0"/>
        <w:tabs>
          <w:tab w:leader="none" w:pos="9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Class I is currently comprised of Bo Kruse, Ashutosh Tyagi, M.D. and Dr. Gérard Ber each with a term ending at the Annual Meeting of stockholders;</w:t>
      </w:r>
    </w:p>
    <w:p>
      <w:pPr>
        <w:spacing w:after="0" w:line="246" w:lineRule="exact"/>
        <w:rPr>
          <w:rFonts w:ascii="Arial" w:cs="Arial" w:eastAsia="Arial" w:hAnsi="Arial"/>
          <w:sz w:val="15"/>
          <w:szCs w:val="15"/>
          <w:color w:val="auto"/>
        </w:rPr>
      </w:pPr>
    </w:p>
    <w:p>
      <w:pPr>
        <w:ind w:left="980" w:right="600" w:hanging="488"/>
        <w:spacing w:after="0" w:line="284"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Class II is currently comprised of James I. Healy, M.D., Gregory Raskin, M.D., and David N. Gill each with a term ending at the 2020 annual meeting of stockholders; and</w:t>
      </w:r>
    </w:p>
    <w:p>
      <w:pPr>
        <w:spacing w:after="0" w:line="168" w:lineRule="exact"/>
        <w:rPr>
          <w:rFonts w:ascii="Arial" w:cs="Arial" w:eastAsia="Arial" w:hAnsi="Arial"/>
          <w:sz w:val="16"/>
          <w:szCs w:val="16"/>
          <w:color w:val="auto"/>
        </w:rPr>
      </w:pPr>
    </w:p>
    <w:p>
      <w:pPr>
        <w:ind w:left="980" w:right="100" w:hanging="488"/>
        <w:spacing w:after="0" w:line="284"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Class III is currently comprised of Thomas Gad, Claus Juan Møller San Pedro, M.D., Ph.D., and Johan Wedell-Wedellsborg, each with a term ending at the 2021 annual meeting of stockholders.</w:t>
      </w:r>
    </w:p>
    <w:p>
      <w:pPr>
        <w:spacing w:after="0" w:line="156"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Mr. Kruse, following best practices as the Company's Chief Financial Officer, has determined to retire from our Board of Directors at the end of his current term, which expires at the Annual Meeting, and he will not stand for re-election at the Annual Meeting. Upon the expiration of Mr. Kruse's current term at the Annual Meeting, the size of our Board of Directors will be reduced from nine (9) to eight (8) directors. Our Board of Directors has determined to reassign Mr. Gill from a Class II director to a Class I director and to reassign Dr. Tyagi from a Class I director to a Class II director.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Election of Two (2) Class I Directors and One (1) Class II Director</w:t>
      </w:r>
    </w:p>
    <w:p>
      <w:pPr>
        <w:spacing w:after="0" w:line="215" w:lineRule="exact"/>
        <w:rPr>
          <w:sz w:val="20"/>
          <w:szCs w:val="20"/>
          <w:color w:val="auto"/>
        </w:rPr>
      </w:pPr>
    </w:p>
    <w:p>
      <w:pPr>
        <w:jc w:val="both"/>
        <w:ind w:firstLine="321"/>
        <w:spacing w:after="0" w:line="270" w:lineRule="auto"/>
        <w:rPr>
          <w:sz w:val="20"/>
          <w:szCs w:val="20"/>
          <w:color w:val="auto"/>
        </w:rPr>
      </w:pPr>
      <w:r>
        <w:rPr>
          <w:rFonts w:ascii="Arial" w:cs="Arial" w:eastAsia="Arial" w:hAnsi="Arial"/>
          <w:sz w:val="16"/>
          <w:szCs w:val="16"/>
          <w:color w:val="auto"/>
        </w:rPr>
        <w:t>Our Board of Directors, on the recommendation of our Nominating and Corporate Governance Committee, has nominated Dr. Gérard Ber and Mr. David N. Gill for election as Class I directors at the Annual Meeting, each with a three-year term to expire at the 2022 annual meeting of stockholders, and Ashutosh Tyagi, M.D., for election as a Class II director at the Annual Meeting, with a one-year term to expire at the 2020 annual meeting of stockholders.</w:t>
      </w:r>
    </w:p>
    <w:p>
      <w:pPr>
        <w:spacing w:after="0" w:line="164" w:lineRule="exact"/>
        <w:rPr>
          <w:sz w:val="20"/>
          <w:szCs w:val="20"/>
          <w:color w:val="auto"/>
        </w:rPr>
      </w:pPr>
    </w:p>
    <w:p>
      <w:pPr>
        <w:jc w:val="both"/>
        <w:ind w:right="160" w:firstLine="321"/>
        <w:spacing w:after="0" w:line="273" w:lineRule="auto"/>
        <w:rPr>
          <w:sz w:val="20"/>
          <w:szCs w:val="20"/>
          <w:color w:val="auto"/>
        </w:rPr>
      </w:pPr>
      <w:r>
        <w:rPr>
          <w:rFonts w:ascii="Arial" w:cs="Arial" w:eastAsia="Arial" w:hAnsi="Arial"/>
          <w:sz w:val="16"/>
          <w:szCs w:val="16"/>
          <w:color w:val="auto"/>
        </w:rPr>
        <w:t>Unless otherwise instructed in the proxy, all proxies will be voted "</w:t>
      </w:r>
      <w:r>
        <w:rPr>
          <w:rFonts w:ascii="Arial" w:cs="Arial" w:eastAsia="Arial" w:hAnsi="Arial"/>
          <w:sz w:val="16"/>
          <w:szCs w:val="16"/>
          <w:b w:val="1"/>
          <w:bCs w:val="1"/>
          <w:color w:val="auto"/>
        </w:rPr>
        <w:t>FOR</w:t>
      </w:r>
      <w:r>
        <w:rPr>
          <w:rFonts w:ascii="Arial" w:cs="Arial" w:eastAsia="Arial" w:hAnsi="Arial"/>
          <w:sz w:val="16"/>
          <w:szCs w:val="16"/>
          <w:color w:val="auto"/>
        </w:rPr>
        <w:t>" the election of each of the Class I nominees identified above to a three-year term to expire at the 2022 annual meeting of stockholders, and the Class II nominee identified above to a one-year term to expire at the 2020 annual meeting of stockholders, each such nominee to hold office until his successor has been duly elected and qualified or until his earlier death, resignation or removal.</w:t>
      </w:r>
    </w:p>
    <w:p>
      <w:pPr>
        <w:spacing w:after="0" w:line="165" w:lineRule="exact"/>
        <w:rPr>
          <w:sz w:val="20"/>
          <w:szCs w:val="20"/>
          <w:color w:val="auto"/>
        </w:rPr>
      </w:pPr>
    </w:p>
    <w:p>
      <w:pPr>
        <w:ind w:right="180" w:firstLine="321"/>
        <w:spacing w:after="0" w:line="270" w:lineRule="auto"/>
        <w:rPr>
          <w:sz w:val="20"/>
          <w:szCs w:val="20"/>
          <w:color w:val="auto"/>
        </w:rPr>
      </w:pPr>
      <w:r>
        <w:rPr>
          <w:rFonts w:ascii="Arial" w:cs="Arial" w:eastAsia="Arial" w:hAnsi="Arial"/>
          <w:sz w:val="16"/>
          <w:szCs w:val="16"/>
          <w:color w:val="auto"/>
        </w:rPr>
        <w:t>Each of the nominees has indicated his willingness to continue to serve as a director, if elected. In the event that any nominee should be unable to serve, discretionary authority is reserved for the named proxy holders to vote for a substitute, or to reduce the number of directors to be elected, or both. We do not expect that any of the nominees will be unable to serve if elected.</w:t>
      </w:r>
    </w:p>
    <w:p>
      <w:pPr>
        <w:spacing w:after="0" w:line="168" w:lineRule="exact"/>
        <w:rPr>
          <w:sz w:val="20"/>
          <w:szCs w:val="20"/>
          <w:color w:val="auto"/>
        </w:rPr>
      </w:pPr>
    </w:p>
    <w:p>
      <w:pPr>
        <w:ind w:right="80" w:firstLine="312"/>
        <w:spacing w:after="0" w:line="284" w:lineRule="auto"/>
        <w:rPr>
          <w:sz w:val="20"/>
          <w:szCs w:val="20"/>
          <w:color w:val="auto"/>
        </w:rPr>
      </w:pPr>
      <w:r>
        <w:rPr>
          <w:rFonts w:ascii="Arial" w:cs="Arial" w:eastAsia="Arial" w:hAnsi="Arial"/>
          <w:sz w:val="16"/>
          <w:szCs w:val="16"/>
          <w:color w:val="auto"/>
        </w:rPr>
        <w:t>A plurality of the combined voting power of the shares of common stock present in person or represented by proxy at the Annual Meeting and entitled to vote is required to elect each nominee as a director.</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OUR BOARD OF DIRECTORS RECOMMENDS THAT STOCKHOLDERS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THE ELECTION OF DR. GÉRARD BER AND MR. DAVID 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GILL TO SERVE AS CLASS I DIRECTORS, AND ASHUTOSH TYAGI, M.D. TO SERVE AS A CLASS II DIRECTOR.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 Ratification of the Appointment of Independent Registered Public Accounting Firm</w:t>
      </w:r>
    </w:p>
    <w:p>
      <w:pPr>
        <w:spacing w:after="0" w:line="215" w:lineRule="exact"/>
        <w:rPr>
          <w:sz w:val="20"/>
          <w:szCs w:val="20"/>
          <w:color w:val="auto"/>
        </w:rPr>
      </w:pPr>
    </w:p>
    <w:p>
      <w:pPr>
        <w:ind w:firstLine="321"/>
        <w:spacing w:after="0" w:line="310" w:lineRule="auto"/>
        <w:rPr>
          <w:sz w:val="20"/>
          <w:szCs w:val="20"/>
          <w:color w:val="auto"/>
        </w:rPr>
      </w:pPr>
      <w:r>
        <w:rPr>
          <w:rFonts w:ascii="Arial" w:cs="Arial" w:eastAsia="Arial" w:hAnsi="Arial"/>
          <w:sz w:val="14"/>
          <w:szCs w:val="14"/>
          <w:color w:val="auto"/>
        </w:rPr>
        <w:t>Our Audit Committee has appointed the firm of PricewaterhouseCoopers LLP ("PwC"), an independent registered public accounting firm, as independent auditors for the fiscal year ending December 31, 2019. Although stockholder approval of our Audit Committee's appointment of PwC is not required by law, our Board of Directors believes that it is advisable to give stockholders an opportunity to ratify this appointment. If this proposal is not approved at the Annual Meeting, our Audit Committee will reconsider its appointment of PwC. PwC has no direct or indirect material financial interest in our Company or our subsidiaries. Representatives of PwC are expected to be present at the Annual Meeting and will have the opportunity to make a statement, if they desire to do so, and will be available to respond to appropriate questions from our stockholders.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Fees and Services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sets forth fees billed for professional audit services and other services rendered to us by PwC for the fiscal years ended December 31, 2018 and 2017.</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All such services and fees were pre-approved by our Audit Committee in accordance with the "Pre-Approval Policies and Procedures" described below.</w:t>
      </w:r>
    </w:p>
    <w:p>
      <w:pPr>
        <w:spacing w:after="0" w:line="19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40" w:type="dxa"/>
            <w:vAlign w:val="bottom"/>
            <w:gridSpan w:val="3"/>
          </w:tcPr>
          <w:p>
            <w:pPr>
              <w:spacing w:after="0"/>
              <w:rPr>
                <w:sz w:val="20"/>
                <w:szCs w:val="20"/>
                <w:color w:val="auto"/>
              </w:rPr>
            </w:pPr>
            <w:r>
              <w:rPr>
                <w:rFonts w:ascii="Arial" w:cs="Arial" w:eastAsia="Arial" w:hAnsi="Arial"/>
                <w:sz w:val="12"/>
                <w:szCs w:val="12"/>
                <w:b w:val="1"/>
                <w:bCs w:val="1"/>
                <w:color w:val="auto"/>
              </w:rPr>
              <w:t>Fee Category</w:t>
            </w:r>
          </w:p>
        </w:tc>
        <w:tc>
          <w:tcPr>
            <w:tcW w:w="140" w:type="dxa"/>
            <w:vAlign w:val="bottom"/>
          </w:tcPr>
          <w:p>
            <w:pPr>
              <w:spacing w:after="0"/>
              <w:rPr>
                <w:sz w:val="12"/>
                <w:szCs w:val="12"/>
                <w:color w:val="auto"/>
              </w:rPr>
            </w:pPr>
          </w:p>
        </w:tc>
        <w:tc>
          <w:tcPr>
            <w:tcW w:w="700" w:type="dxa"/>
            <w:vAlign w:val="bottom"/>
          </w:tcPr>
          <w:p>
            <w:pPr>
              <w:jc w:val="right"/>
              <w:ind w:right="223"/>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63"/>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7"/>
        </w:trPr>
        <w:tc>
          <w:tcPr>
            <w:tcW w:w="6140" w:type="dxa"/>
            <w:vAlign w:val="bottom"/>
            <w:gridSpan w:val="3"/>
            <w:shd w:val="clear" w:color="auto" w:fill="CCEEFF"/>
          </w:tcPr>
          <w:p>
            <w:pPr>
              <w:spacing w:after="0" w:line="226"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1,522,000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485,000</w:t>
            </w:r>
          </w:p>
        </w:tc>
      </w:tr>
      <w:tr>
        <w:trPr>
          <w:trHeight w:val="234"/>
        </w:trPr>
        <w:tc>
          <w:tcPr>
            <w:tcW w:w="6140" w:type="dxa"/>
            <w:vAlign w:val="bottom"/>
            <w:gridSpan w:val="3"/>
          </w:tcPr>
          <w:p>
            <w:pPr>
              <w:spacing w:after="0" w:line="235"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34"/>
        </w:trPr>
        <w:tc>
          <w:tcPr>
            <w:tcW w:w="614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53,600</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234"/>
        </w:trPr>
        <w:tc>
          <w:tcPr>
            <w:tcW w:w="6140" w:type="dxa"/>
            <w:vAlign w:val="bottom"/>
            <w:gridSpan w:val="3"/>
          </w:tcPr>
          <w:p>
            <w:pPr>
              <w:spacing w:after="0" w:line="235"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2,800</w:t>
            </w:r>
          </w:p>
        </w:tc>
        <w:tc>
          <w:tcPr>
            <w:tcW w:w="14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1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Total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1,578,400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485,000</w:t>
            </w:r>
          </w:p>
        </w:tc>
      </w:tr>
      <w:tr>
        <w:trPr>
          <w:trHeight w:val="99"/>
        </w:trPr>
        <w:tc>
          <w:tcPr>
            <w:tcW w:w="7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76" w:lineRule="exact"/>
        <w:rPr>
          <w:sz w:val="20"/>
          <w:szCs w:val="20"/>
          <w:color w:val="auto"/>
        </w:rPr>
      </w:pPr>
    </w:p>
    <w:p>
      <w:pPr>
        <w:ind w:left="2200" w:right="300" w:hanging="487"/>
        <w:spacing w:after="0" w:line="246" w:lineRule="auto"/>
        <w:tabs>
          <w:tab w:leader="none" w:pos="2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"Audit Fees" consist of fees for professional services performed by our independent registered public accounting firm for the audit of our annual financial statements, the review of interim financial statements, and related services that are normally provided in connection with registration statements, including the registration statement on Form S-1 filed in connection with our initial public offering and a registration statement on Form S-8. Included in the 2018 Audit Fees is $880,000 of fees billed in connection with our initial public offering, which closed in September 2018.</w:t>
      </w:r>
    </w:p>
    <w:p>
      <w:pPr>
        <w:spacing w:after="0" w:line="100" w:lineRule="exact"/>
        <w:rPr>
          <w:rFonts w:ascii="Arial" w:cs="Arial" w:eastAsia="Arial" w:hAnsi="Arial"/>
          <w:sz w:val="12"/>
          <w:szCs w:val="12"/>
          <w:color w:val="auto"/>
        </w:rPr>
      </w:pPr>
    </w:p>
    <w:p>
      <w:pPr>
        <w:ind w:left="2200" w:right="40" w:hanging="487"/>
        <w:spacing w:after="0" w:line="267" w:lineRule="auto"/>
        <w:tabs>
          <w:tab w:leader="none" w:pos="2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"Audit-Related Fees" may consist of fees for professional services performed by our independent registered public accounting firm for assurance and related services that are reasonably related to the performance of the audit or review of our consolidated financial statements. There were no such fees incurred in 2018 or 2017.</w:t>
      </w:r>
    </w:p>
    <w:p>
      <w:pPr>
        <w:spacing w:after="0" w:line="87" w:lineRule="exact"/>
        <w:rPr>
          <w:rFonts w:ascii="Arial" w:cs="Arial" w:eastAsia="Arial" w:hAnsi="Arial"/>
          <w:sz w:val="12"/>
          <w:szCs w:val="12"/>
          <w:color w:val="auto"/>
        </w:rPr>
      </w:pPr>
    </w:p>
    <w:p>
      <w:pPr>
        <w:ind w:left="2200" w:right="100" w:hanging="487"/>
        <w:spacing w:after="0" w:line="267" w:lineRule="auto"/>
        <w:tabs>
          <w:tab w:leader="none" w:pos="2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 Fees" may consist of fees for professional services performed by our independent registered public accounting firm, including tax consulting and compliance. There were no such fees for 2017.</w:t>
      </w:r>
    </w:p>
    <w:p>
      <w:pPr>
        <w:spacing w:after="0" w:line="87" w:lineRule="exact"/>
        <w:rPr>
          <w:rFonts w:ascii="Arial" w:cs="Arial" w:eastAsia="Arial" w:hAnsi="Arial"/>
          <w:sz w:val="12"/>
          <w:szCs w:val="12"/>
          <w:color w:val="auto"/>
        </w:rPr>
      </w:pPr>
    </w:p>
    <w:p>
      <w:pPr>
        <w:ind w:left="2200" w:hanging="487"/>
        <w:spacing w:after="0"/>
        <w:tabs>
          <w:tab w:leader="none" w:pos="220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 Other Fees" include fees for professional services that are appropriately not included in the Audit, Audit Related, and Tax categories. There were no such fees for 2017.</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Pre-Approval Policies and Procedures</w:t>
      </w:r>
    </w:p>
    <w:p>
      <w:pPr>
        <w:spacing w:after="0" w:line="211"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Our Audit Committee has adopted procedures requiring the pre-approval of all non-audit services performed by our independent registered public accounting firm in order to assure that these services do not impair the auditor's independence. These procedures generally approve the performance of specific services subject to a cost limit for all such services. This general approval is to be reviewed, and if necessary modified, at least annually. Management must obtain the specific prior approval of our Audit Committee for each engagement of the independent registered public accounting firm to perform other audit-related or other non-audit services. Our Audit Committee does not delegate its responsibility to approve services performed by the independent registered public accounting firm to any member of management.</w:t>
      </w:r>
    </w:p>
    <w:p>
      <w:pPr>
        <w:spacing w:after="0" w:line="160" w:lineRule="exact"/>
        <w:rPr>
          <w:sz w:val="20"/>
          <w:szCs w:val="20"/>
          <w:color w:val="auto"/>
        </w:rPr>
      </w:pPr>
    </w:p>
    <w:p>
      <w:pPr>
        <w:ind w:right="200" w:firstLine="318"/>
        <w:spacing w:after="0" w:line="284" w:lineRule="auto"/>
        <w:rPr>
          <w:sz w:val="20"/>
          <w:szCs w:val="20"/>
          <w:color w:val="auto"/>
        </w:rPr>
      </w:pPr>
      <w:r>
        <w:rPr>
          <w:rFonts w:ascii="Arial" w:cs="Arial" w:eastAsia="Arial" w:hAnsi="Arial"/>
          <w:sz w:val="16"/>
          <w:szCs w:val="16"/>
          <w:color w:val="auto"/>
        </w:rPr>
        <w:t>The standard applied by our Audit Committee, or the Chair of our Audit Committee, in determining whether to grant approval of any type of non-audit service, or of any specific engagement</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to perform a non-audit service, is whether the services to be performed, the compensation to be paid therefore and other related factors are consistent with the independent registered public accounting firm's independence under guidelines of the SEC and applicable professional standards. Relevant considerations include whether the work product is likely to be subject to, or implicated in, audit procedures during the audit of our financial statements, whether the independent registered public accounting firm would be functioning in the role of management or in an advocacy role, whether the independent registered public accounting firm's performance of the service would enhance our ability to manage or control risk or improve audit quality, whether such performance would increase efficiency because of the independent registered public accounting firm's familiarity with our business, personnel, culture, systems, risk profile and other factors, and whether the amount of fees involved, or the non-audit services portion of the total fees payable to the independent registered public accounting firm in the period would tend to reduce the independent registered public accounting firm's ability to exercise independent judgment in performing the audit.</w:t>
      </w:r>
    </w:p>
    <w:p>
      <w:pPr>
        <w:spacing w:after="0" w:line="171" w:lineRule="exact"/>
        <w:rPr>
          <w:sz w:val="20"/>
          <w:szCs w:val="20"/>
          <w:color w:val="auto"/>
        </w:rPr>
      </w:pPr>
    </w:p>
    <w:p>
      <w:pPr>
        <w:ind w:right="900" w:firstLine="321"/>
        <w:spacing w:after="0" w:line="273" w:lineRule="auto"/>
        <w:rPr>
          <w:sz w:val="20"/>
          <w:szCs w:val="20"/>
          <w:color w:val="auto"/>
        </w:rPr>
      </w:pPr>
      <w:r>
        <w:rPr>
          <w:rFonts w:ascii="Arial" w:cs="Arial" w:eastAsia="Arial" w:hAnsi="Arial"/>
          <w:sz w:val="16"/>
          <w:szCs w:val="16"/>
          <w:b w:val="1"/>
          <w:bCs w:val="1"/>
          <w:color w:val="auto"/>
        </w:rPr>
        <w:t>OUR BOARD OF DIRECTORS RECOMMENDS THAT STOCKHOLDERS VOTE "</w:t>
      </w:r>
      <w:r>
        <w:rPr>
          <w:rFonts w:ascii="Arial" w:cs="Arial" w:eastAsia="Arial" w:hAnsi="Arial"/>
          <w:sz w:val="16"/>
          <w:szCs w:val="16"/>
          <w:b w:val="1"/>
          <w:bCs w:val="1"/>
          <w:i w:val="1"/>
          <w:iCs w:val="1"/>
          <w:u w:val="single" w:color="auto"/>
          <w:color w:val="auto"/>
        </w:rPr>
        <w:t>FOR</w:t>
      </w:r>
      <w:r>
        <w:rPr>
          <w:rFonts w:ascii="Arial" w:cs="Arial" w:eastAsia="Arial" w:hAnsi="Arial"/>
          <w:sz w:val="16"/>
          <w:szCs w:val="16"/>
          <w:b w:val="1"/>
          <w:bCs w:val="1"/>
          <w:color w:val="auto"/>
        </w:rPr>
        <w:t>" THE RATIFICATION OF THE APPOINTMENT OF PRICEWATERHOUSECOOPERS LLP AS OUR INDEPENDENT REGISTERED PUBLIC ACCOUNTING FIRM FOR THE FISCAL YEAR ENDING DECEMBER 31, 2019.</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STOCK OWNERSHIP AND REPORTING</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Unless otherwise provided below, the following table sets forth information regarding beneficial ownership of our common stock as of April 1, 2019 by:</w:t>
      </w:r>
    </w:p>
    <w:p>
      <w:pPr>
        <w:spacing w:after="0" w:line="223" w:lineRule="exact"/>
        <w:rPr>
          <w:sz w:val="20"/>
          <w:szCs w:val="20"/>
          <w:color w:val="auto"/>
        </w:rPr>
      </w:pPr>
    </w:p>
    <w:p>
      <w:pPr>
        <w:ind w:left="980" w:hanging="488"/>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person, or group of affiliated persons, known to us to be the beneficial owner of 5% or more of the outstanding shares of our common stock;</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our current directors and nominees for director;</w:t>
      </w:r>
    </w:p>
    <w:p>
      <w:pPr>
        <w:spacing w:after="0" w:line="222" w:lineRule="exact"/>
        <w:rPr>
          <w:rFonts w:ascii="Arial" w:cs="Arial" w:eastAsia="Arial" w:hAnsi="Arial"/>
          <w:sz w:val="16"/>
          <w:szCs w:val="16"/>
          <w:color w:val="auto"/>
        </w:rPr>
      </w:pPr>
    </w:p>
    <w:p>
      <w:pPr>
        <w:ind w:left="980" w:right="100" w:hanging="488"/>
        <w:spacing w:after="0" w:line="284"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of our executive officers who served during the year ended December 31, 2018, named in the Summary Compensation table herein, whom, collectively, we refer to as our named executive officers; and</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 of our executive officers and directors as a group.</w:t>
      </w:r>
    </w:p>
    <w:p>
      <w:pPr>
        <w:spacing w:after="0" w:line="211" w:lineRule="exact"/>
        <w:rPr>
          <w:sz w:val="20"/>
          <w:szCs w:val="20"/>
          <w:color w:val="auto"/>
        </w:rPr>
      </w:pPr>
    </w:p>
    <w:p>
      <w:pPr>
        <w:ind w:firstLine="321"/>
        <w:spacing w:after="0" w:line="261" w:lineRule="auto"/>
        <w:rPr>
          <w:sz w:val="20"/>
          <w:szCs w:val="20"/>
          <w:color w:val="auto"/>
        </w:rPr>
      </w:pPr>
      <w:r>
        <w:rPr>
          <w:rFonts w:ascii="Arial" w:cs="Arial" w:eastAsia="Arial" w:hAnsi="Arial"/>
          <w:sz w:val="16"/>
          <w:szCs w:val="16"/>
          <w:color w:val="auto"/>
        </w:rPr>
        <w:t>Beneficial ownership is determined in accordance with the rules and regulations of the SEC and includes voting or investment power with respect to our common stock. Percentage of beneficial ownership is based on 34,193,666 shares of our common stock outstanding as of April 1, 2019. In addition, shares of common stock subject to options or other rights currently exercisable, or exercisable within 60 days of April 1, 2019, are deemed outstanding and beneficially owned for the purpose of computing the percentage beneficially owned by (i) the individual holding such options, warrants or other rights (but not any other individual) and (ii) the directors and executive officers as a group.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the beneficial owner is c/o Y-mAbs Therapeutics, Inc., 230 Park Avenue, Suite 3350, New York, New York 10169.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6"/>
              </w:rPr>
              <w:t>Number of</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Percentage</w:t>
            </w: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7"/>
              </w:rPr>
              <w:t>of Shares</w:t>
            </w:r>
          </w:p>
        </w:tc>
      </w:tr>
      <w:tr>
        <w:trPr>
          <w:trHeight w:val="136"/>
        </w:trPr>
        <w:tc>
          <w:tcPr>
            <w:tcW w:w="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Beneficially</w:t>
            </w: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Beneficially</w:t>
            </w:r>
          </w:p>
        </w:tc>
      </w:tr>
      <w:tr>
        <w:trPr>
          <w:trHeight w:val="149"/>
        </w:trPr>
        <w:tc>
          <w:tcPr>
            <w:tcW w:w="7140" w:type="dxa"/>
            <w:vAlign w:val="bottom"/>
            <w:gridSpan w:val="4"/>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4"/>
              </w:rPr>
              <w:t>Owned</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Owned</w:t>
            </w:r>
          </w:p>
        </w:tc>
      </w:tr>
      <w:tr>
        <w:trPr>
          <w:trHeight w:val="190"/>
        </w:trPr>
        <w:tc>
          <w:tcPr>
            <w:tcW w:w="20" w:type="dxa"/>
            <w:vAlign w:val="bottom"/>
          </w:tcPr>
          <w:p>
            <w:pPr>
              <w:spacing w:after="0"/>
              <w:rPr>
                <w:sz w:val="16"/>
                <w:szCs w:val="16"/>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i w:val="1"/>
                <w:iCs w:val="1"/>
                <w:color w:val="auto"/>
              </w:rPr>
              <w:t>5% Stockholders</w:t>
            </w:r>
          </w:p>
        </w:tc>
        <w:tc>
          <w:tcPr>
            <w:tcW w:w="50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7120" w:type="dxa"/>
            <w:vAlign w:val="bottom"/>
            <w:gridSpan w:val="3"/>
          </w:tcPr>
          <w:p>
            <w:pPr>
              <w:spacing w:after="0" w:line="225" w:lineRule="exact"/>
              <w:rPr>
                <w:sz w:val="20"/>
                <w:szCs w:val="20"/>
                <w:color w:val="auto"/>
              </w:rPr>
            </w:pPr>
            <w:r>
              <w:rPr>
                <w:rFonts w:ascii="Arial" w:cs="Arial" w:eastAsia="Arial" w:hAnsi="Arial"/>
                <w:sz w:val="16"/>
                <w:szCs w:val="16"/>
                <w:color w:val="auto"/>
              </w:rPr>
              <w:t>WG Biotech ApS</w:t>
            </w:r>
            <w:r>
              <w:rPr>
                <w:rFonts w:ascii="Arial" w:cs="Arial" w:eastAsia="Arial" w:hAnsi="Arial"/>
                <w:sz w:val="26"/>
                <w:szCs w:val="26"/>
                <w:color w:val="auto"/>
                <w:vertAlign w:val="superscript"/>
              </w:rPr>
              <w:t>(1)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5,010,000</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14.65%</w:t>
            </w: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Rungsted Strandvej 113</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DK 0960</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Rungsted Kyst, Denmark</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Attn: Johan Wedell-Wedellsborg</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120" w:type="dxa"/>
            <w:vAlign w:val="bottom"/>
            <w:gridSpan w:val="3"/>
            <w:shd w:val="clear" w:color="auto" w:fill="CCEEFF"/>
          </w:tcPr>
          <w:p>
            <w:pPr>
              <w:spacing w:after="0" w:line="236" w:lineRule="exact"/>
              <w:rPr>
                <w:sz w:val="20"/>
                <w:szCs w:val="20"/>
                <w:color w:val="auto"/>
              </w:rPr>
            </w:pPr>
            <w:r>
              <w:rPr>
                <w:rFonts w:ascii="Arial" w:cs="Arial" w:eastAsia="Arial" w:hAnsi="Arial"/>
                <w:sz w:val="16"/>
                <w:szCs w:val="16"/>
                <w:color w:val="auto"/>
              </w:rPr>
              <w:t>Memorial Sloan Kettering Cancer Center</w:t>
            </w:r>
            <w:r>
              <w:rPr>
                <w:rFonts w:ascii="Arial" w:cs="Arial" w:eastAsia="Arial" w:hAnsi="Arial"/>
                <w:sz w:val="26"/>
                <w:szCs w:val="26"/>
                <w:color w:val="auto"/>
                <w:vertAlign w:val="superscript"/>
              </w:rPr>
              <w:t>(2)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2,749,284</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8.04%</w:t>
            </w:r>
          </w:p>
        </w:tc>
      </w:tr>
      <w:tr>
        <w:trPr>
          <w:trHeight w:val="188"/>
        </w:trPr>
        <w:tc>
          <w:tcPr>
            <w:tcW w:w="20" w:type="dxa"/>
            <w:vAlign w:val="bottom"/>
          </w:tcPr>
          <w:p>
            <w:pPr>
              <w:spacing w:after="0"/>
              <w:rPr>
                <w:sz w:val="16"/>
                <w:szCs w:val="16"/>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Office of Technology Development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1275 York Avenue</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Box 524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New York, NY, 10065</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Attn: Vice President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120" w:type="dxa"/>
            <w:vAlign w:val="bottom"/>
            <w:gridSpan w:val="3"/>
          </w:tcPr>
          <w:p>
            <w:pPr>
              <w:spacing w:after="0" w:line="225" w:lineRule="exact"/>
              <w:rPr>
                <w:sz w:val="20"/>
                <w:szCs w:val="20"/>
                <w:color w:val="auto"/>
              </w:rPr>
            </w:pPr>
            <w:r>
              <w:rPr>
                <w:rFonts w:ascii="Arial" w:cs="Arial" w:eastAsia="Arial" w:hAnsi="Arial"/>
                <w:sz w:val="16"/>
                <w:szCs w:val="16"/>
                <w:color w:val="auto"/>
              </w:rPr>
              <w:t>HBM Healthcare Investments (Cayman) Ltd.</w:t>
            </w:r>
            <w:r>
              <w:rPr>
                <w:rFonts w:ascii="Arial" w:cs="Arial" w:eastAsia="Arial" w:hAnsi="Arial"/>
                <w:sz w:val="26"/>
                <w:szCs w:val="26"/>
                <w:color w:val="auto"/>
                <w:vertAlign w:val="superscript"/>
              </w:rPr>
              <w:t>(3)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3,076,095</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9.00%</w:t>
            </w: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Governors Square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Suite #4-212-2</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23 Lime Tree Bay Avenue</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West Bay, Grand Cayman</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Cayman Islands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Attn: Jean-Marc LeSieur</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Dr. Nai-Kong V. Cheung</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2,444,493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7.15%</w:t>
            </w:r>
          </w:p>
        </w:tc>
      </w:tr>
      <w:tr>
        <w:trPr>
          <w:trHeight w:val="188"/>
        </w:trPr>
        <w:tc>
          <w:tcPr>
            <w:tcW w:w="20" w:type="dxa"/>
            <w:vAlign w:val="bottom"/>
          </w:tcPr>
          <w:p>
            <w:pPr>
              <w:spacing w:after="0"/>
              <w:rPr>
                <w:sz w:val="16"/>
                <w:szCs w:val="16"/>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425 East 58 Street</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Apt. 34D</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New York, NY 10022</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120" w:type="dxa"/>
            <w:vAlign w:val="bottom"/>
            <w:gridSpan w:val="3"/>
          </w:tcPr>
          <w:p>
            <w:pPr>
              <w:spacing w:after="0" w:line="225" w:lineRule="exact"/>
              <w:rPr>
                <w:sz w:val="20"/>
                <w:szCs w:val="20"/>
                <w:color w:val="auto"/>
              </w:rPr>
            </w:pPr>
            <w:r>
              <w:rPr>
                <w:rFonts w:ascii="Arial" w:cs="Arial" w:eastAsia="Arial" w:hAnsi="Arial"/>
                <w:sz w:val="16"/>
                <w:szCs w:val="16"/>
                <w:color w:val="auto"/>
              </w:rPr>
              <w:t>Peter Bang Holding ApS</w:t>
            </w:r>
            <w:r>
              <w:rPr>
                <w:rFonts w:ascii="Arial" w:cs="Arial" w:eastAsia="Arial" w:hAnsi="Arial"/>
                <w:sz w:val="26"/>
                <w:szCs w:val="26"/>
                <w:color w:val="auto"/>
                <w:vertAlign w:val="superscript"/>
              </w:rPr>
              <w:t>(4)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2,282,797</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6.68%</w:t>
            </w: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Richelieus Alle 8</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DK 2900</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Hellerup, Denmark</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Attn: Peter Bang</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Weco Group A/S(1)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1,683,496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4.92%</w:t>
            </w:r>
          </w:p>
        </w:tc>
      </w:tr>
      <w:tr>
        <w:trPr>
          <w:trHeight w:val="188"/>
        </w:trPr>
        <w:tc>
          <w:tcPr>
            <w:tcW w:w="20" w:type="dxa"/>
            <w:vAlign w:val="bottom"/>
          </w:tcPr>
          <w:p>
            <w:pPr>
              <w:spacing w:after="0"/>
              <w:rPr>
                <w:sz w:val="16"/>
                <w:szCs w:val="16"/>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Rungsted Strandvej 113</w:t>
            </w: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DK 2960</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Rungsted Kyst, Denmark</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Attn: Johan Wedell-Wedellsborg</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120" w:type="dxa"/>
            <w:vAlign w:val="bottom"/>
            <w:gridSpan w:val="3"/>
          </w:tcPr>
          <w:p>
            <w:pPr>
              <w:spacing w:after="0" w:line="225" w:lineRule="exact"/>
              <w:rPr>
                <w:sz w:val="20"/>
                <w:szCs w:val="20"/>
                <w:color w:val="auto"/>
              </w:rPr>
            </w:pPr>
            <w:r>
              <w:rPr>
                <w:rFonts w:ascii="Arial" w:cs="Arial" w:eastAsia="Arial" w:hAnsi="Arial"/>
                <w:sz w:val="16"/>
                <w:szCs w:val="16"/>
                <w:color w:val="auto"/>
              </w:rPr>
              <w:t>Sofinnova Venture Partners X, L.P.</w:t>
            </w:r>
            <w:r>
              <w:rPr>
                <w:rFonts w:ascii="Arial" w:cs="Arial" w:eastAsia="Arial" w:hAnsi="Arial"/>
                <w:sz w:val="26"/>
                <w:szCs w:val="26"/>
                <w:color w:val="auto"/>
                <w:vertAlign w:val="superscript"/>
              </w:rPr>
              <w:t>(5)</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2,114,945</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6.18%</w:t>
            </w: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3000 Sand Hill Road</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Building 4-Suite 250</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Menlo Park, CA 94025</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Attn: Hooman Shahlavi, Partner &amp; General Counsel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95"/>
        </w:trPr>
        <w:tc>
          <w:tcPr>
            <w:tcW w:w="20" w:type="dxa"/>
            <w:vAlign w:val="bottom"/>
          </w:tcPr>
          <w:p>
            <w:pPr>
              <w:spacing w:after="0"/>
              <w:rPr>
                <w:sz w:val="24"/>
                <w:szCs w:val="24"/>
                <w:color w:val="auto"/>
              </w:rPr>
            </w:pPr>
          </w:p>
        </w:tc>
        <w:tc>
          <w:tcPr>
            <w:tcW w:w="7120" w:type="dxa"/>
            <w:vAlign w:val="bottom"/>
            <w:gridSpan w:val="3"/>
            <w:shd w:val="clear" w:color="auto" w:fill="CCEEFF"/>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7120" w:type="dxa"/>
            <w:vAlign w:val="bottom"/>
            <w:gridSpan w:val="3"/>
          </w:tcPr>
          <w:p>
            <w:pPr>
              <w:ind w:left="140"/>
              <w:spacing w:after="0" w:line="235" w:lineRule="exact"/>
              <w:rPr>
                <w:sz w:val="20"/>
                <w:szCs w:val="20"/>
                <w:color w:val="auto"/>
              </w:rPr>
            </w:pPr>
            <w:r>
              <w:rPr>
                <w:rFonts w:ascii="Arial" w:cs="Arial" w:eastAsia="Arial" w:hAnsi="Arial"/>
                <w:sz w:val="16"/>
                <w:szCs w:val="16"/>
                <w:color w:val="auto"/>
              </w:rPr>
              <w:t>Thomas Gad(1)</w:t>
            </w:r>
            <w:r>
              <w:rPr>
                <w:rFonts w:ascii="Arial" w:cs="Arial" w:eastAsia="Arial" w:hAnsi="Arial"/>
                <w:sz w:val="26"/>
                <w:szCs w:val="26"/>
                <w:color w:val="auto"/>
                <w:vertAlign w:val="superscript"/>
              </w:rPr>
              <w:t>(6)</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1,817,667</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5.22%</w:t>
            </w:r>
          </w:p>
        </w:tc>
      </w:tr>
      <w:tr>
        <w:trPr>
          <w:trHeight w:val="234"/>
        </w:trPr>
        <w:tc>
          <w:tcPr>
            <w:tcW w:w="20" w:type="dxa"/>
            <w:vAlign w:val="bottom"/>
          </w:tcPr>
          <w:p>
            <w:pPr>
              <w:spacing w:after="0"/>
              <w:rPr>
                <w:sz w:val="20"/>
                <w:szCs w:val="20"/>
                <w:color w:val="auto"/>
              </w:rPr>
            </w:pPr>
          </w:p>
        </w:tc>
        <w:tc>
          <w:tcPr>
            <w:tcW w:w="7120" w:type="dxa"/>
            <w:vAlign w:val="bottom"/>
            <w:gridSpan w:val="3"/>
            <w:shd w:val="clear" w:color="auto" w:fill="CCEEFF"/>
          </w:tcPr>
          <w:p>
            <w:pPr>
              <w:ind w:left="140"/>
              <w:spacing w:after="0" w:line="235" w:lineRule="exact"/>
              <w:rPr>
                <w:sz w:val="20"/>
                <w:szCs w:val="20"/>
                <w:color w:val="auto"/>
              </w:rPr>
            </w:pPr>
            <w:r>
              <w:rPr>
                <w:rFonts w:ascii="Arial" w:cs="Arial" w:eastAsia="Arial" w:hAnsi="Arial"/>
                <w:sz w:val="16"/>
                <w:szCs w:val="16"/>
                <w:color w:val="auto"/>
              </w:rPr>
              <w:t>Dr. Claus Juan Møller San Pedro</w:t>
            </w:r>
            <w:r>
              <w:rPr>
                <w:rFonts w:ascii="Arial" w:cs="Arial" w:eastAsia="Arial" w:hAnsi="Arial"/>
                <w:sz w:val="26"/>
                <w:szCs w:val="26"/>
                <w:color w:val="auto"/>
                <w:vertAlign w:val="superscript"/>
              </w:rPr>
              <w:t>(7)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1,529,261</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4.39%</w:t>
            </w:r>
          </w:p>
        </w:tc>
      </w:tr>
      <w:tr>
        <w:trPr>
          <w:trHeight w:val="234"/>
        </w:trPr>
        <w:tc>
          <w:tcPr>
            <w:tcW w:w="20" w:type="dxa"/>
            <w:vAlign w:val="bottom"/>
          </w:tcPr>
          <w:p>
            <w:pPr>
              <w:spacing w:after="0"/>
              <w:rPr>
                <w:sz w:val="20"/>
                <w:szCs w:val="20"/>
                <w:color w:val="auto"/>
              </w:rPr>
            </w:pPr>
          </w:p>
        </w:tc>
        <w:tc>
          <w:tcPr>
            <w:tcW w:w="7120" w:type="dxa"/>
            <w:vAlign w:val="bottom"/>
            <w:gridSpan w:val="3"/>
          </w:tcPr>
          <w:p>
            <w:pPr>
              <w:ind w:left="140"/>
              <w:spacing w:after="0" w:line="235" w:lineRule="exact"/>
              <w:rPr>
                <w:sz w:val="20"/>
                <w:szCs w:val="20"/>
                <w:color w:val="auto"/>
              </w:rPr>
            </w:pPr>
            <w:r>
              <w:rPr>
                <w:rFonts w:ascii="Arial" w:cs="Arial" w:eastAsia="Arial" w:hAnsi="Arial"/>
                <w:sz w:val="16"/>
                <w:szCs w:val="16"/>
                <w:color w:val="auto"/>
              </w:rPr>
              <w:t>Bo Kruse</w:t>
            </w:r>
            <w:r>
              <w:rPr>
                <w:rFonts w:ascii="Arial" w:cs="Arial" w:eastAsia="Arial" w:hAnsi="Arial"/>
                <w:sz w:val="26"/>
                <w:szCs w:val="26"/>
                <w:color w:val="auto"/>
                <w:vertAlign w:val="superscript"/>
              </w:rPr>
              <w:t>(8)</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760,869</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2.20%</w:t>
            </w:r>
          </w:p>
        </w:tc>
      </w:tr>
      <w:tr>
        <w:trPr>
          <w:trHeight w:val="234"/>
        </w:trPr>
        <w:tc>
          <w:tcPr>
            <w:tcW w:w="20" w:type="dxa"/>
            <w:vAlign w:val="bottom"/>
          </w:tcPr>
          <w:p>
            <w:pPr>
              <w:spacing w:after="0"/>
              <w:rPr>
                <w:sz w:val="20"/>
                <w:szCs w:val="20"/>
                <w:color w:val="auto"/>
              </w:rPr>
            </w:pPr>
          </w:p>
        </w:tc>
        <w:tc>
          <w:tcPr>
            <w:tcW w:w="7120" w:type="dxa"/>
            <w:vAlign w:val="bottom"/>
            <w:gridSpan w:val="3"/>
            <w:shd w:val="clear" w:color="auto" w:fill="CCEEFF"/>
          </w:tcPr>
          <w:p>
            <w:pPr>
              <w:ind w:left="140"/>
              <w:spacing w:after="0" w:line="235" w:lineRule="exact"/>
              <w:rPr>
                <w:sz w:val="20"/>
                <w:szCs w:val="20"/>
                <w:color w:val="auto"/>
              </w:rPr>
            </w:pPr>
            <w:r>
              <w:rPr>
                <w:rFonts w:ascii="Arial" w:cs="Arial" w:eastAsia="Arial" w:hAnsi="Arial"/>
                <w:sz w:val="16"/>
                <w:szCs w:val="16"/>
                <w:color w:val="auto"/>
              </w:rPr>
              <w:t>Johan Wedell-Wedellsborg</w:t>
            </w:r>
            <w:r>
              <w:rPr>
                <w:rFonts w:ascii="Arial" w:cs="Arial" w:eastAsia="Arial" w:hAnsi="Arial"/>
                <w:sz w:val="26"/>
                <w:szCs w:val="26"/>
                <w:color w:val="auto"/>
                <w:vertAlign w:val="superscript"/>
              </w:rPr>
              <w:t>(9)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6,734,163</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19.67%</w:t>
            </w:r>
          </w:p>
        </w:tc>
      </w:tr>
      <w:tr>
        <w:trPr>
          <w:trHeight w:val="234"/>
        </w:trPr>
        <w:tc>
          <w:tcPr>
            <w:tcW w:w="20" w:type="dxa"/>
            <w:vAlign w:val="bottom"/>
          </w:tcPr>
          <w:p>
            <w:pPr>
              <w:spacing w:after="0"/>
              <w:rPr>
                <w:sz w:val="20"/>
                <w:szCs w:val="20"/>
                <w:color w:val="auto"/>
              </w:rPr>
            </w:pPr>
          </w:p>
        </w:tc>
        <w:tc>
          <w:tcPr>
            <w:tcW w:w="7120" w:type="dxa"/>
            <w:vAlign w:val="bottom"/>
            <w:gridSpan w:val="3"/>
          </w:tcPr>
          <w:p>
            <w:pPr>
              <w:ind w:left="140"/>
              <w:spacing w:after="0" w:line="235" w:lineRule="exact"/>
              <w:rPr>
                <w:sz w:val="20"/>
                <w:szCs w:val="20"/>
                <w:color w:val="auto"/>
              </w:rPr>
            </w:pPr>
            <w:r>
              <w:rPr>
                <w:rFonts w:ascii="Arial" w:cs="Arial" w:eastAsia="Arial" w:hAnsi="Arial"/>
                <w:sz w:val="16"/>
                <w:szCs w:val="16"/>
                <w:color w:val="auto"/>
              </w:rPr>
              <w:t>Dr. Gregory Raskin</w:t>
            </w:r>
            <w:r>
              <w:rPr>
                <w:rFonts w:ascii="Arial" w:cs="Arial" w:eastAsia="Arial" w:hAnsi="Arial"/>
                <w:sz w:val="26"/>
                <w:szCs w:val="26"/>
                <w:color w:val="auto"/>
                <w:vertAlign w:val="superscript"/>
              </w:rPr>
              <w:t>(10)</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46,549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Dr. Gerard Ber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120" w:type="dxa"/>
            <w:vAlign w:val="bottom"/>
            <w:gridSpan w:val="3"/>
          </w:tcPr>
          <w:p>
            <w:pPr>
              <w:ind w:left="140"/>
              <w:spacing w:after="0" w:line="235" w:lineRule="exact"/>
              <w:rPr>
                <w:sz w:val="20"/>
                <w:szCs w:val="20"/>
                <w:color w:val="auto"/>
              </w:rPr>
            </w:pPr>
            <w:r>
              <w:rPr>
                <w:rFonts w:ascii="Arial" w:cs="Arial" w:eastAsia="Arial" w:hAnsi="Arial"/>
                <w:sz w:val="16"/>
                <w:szCs w:val="16"/>
                <w:color w:val="auto"/>
              </w:rPr>
              <w:t>Dr. James I. Healy</w:t>
            </w:r>
            <w:r>
              <w:rPr>
                <w:rFonts w:ascii="Arial" w:cs="Arial" w:eastAsia="Arial" w:hAnsi="Arial"/>
                <w:sz w:val="26"/>
                <w:szCs w:val="26"/>
                <w:color w:val="auto"/>
                <w:vertAlign w:val="superscript"/>
              </w:rPr>
              <w:t>(11)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2,114,945</w:t>
            </w:r>
          </w:p>
        </w:tc>
        <w:tc>
          <w:tcPr>
            <w:tcW w:w="1040" w:type="dxa"/>
            <w:vAlign w:val="bottom"/>
            <w:gridSpan w:val="3"/>
          </w:tcPr>
          <w:p>
            <w:pPr>
              <w:jc w:val="right"/>
              <w:ind w:right="20"/>
              <w:spacing w:after="0"/>
              <w:rPr>
                <w:sz w:val="20"/>
                <w:szCs w:val="20"/>
                <w:color w:val="auto"/>
              </w:rPr>
            </w:pPr>
            <w:r>
              <w:rPr>
                <w:rFonts w:ascii="Arial" w:cs="Arial" w:eastAsia="Arial" w:hAnsi="Arial"/>
                <w:sz w:val="16"/>
                <w:szCs w:val="16"/>
                <w:color w:val="auto"/>
              </w:rPr>
              <w:t>6.18%</w:t>
            </w:r>
          </w:p>
        </w:tc>
      </w:tr>
      <w:tr>
        <w:trPr>
          <w:trHeight w:val="197"/>
        </w:trPr>
        <w:tc>
          <w:tcPr>
            <w:tcW w:w="20" w:type="dxa"/>
            <w:vAlign w:val="bottom"/>
          </w:tcPr>
          <w:p>
            <w:pPr>
              <w:spacing w:after="0"/>
              <w:rPr>
                <w:sz w:val="17"/>
                <w:szCs w:val="17"/>
                <w:color w:val="auto"/>
              </w:rPr>
            </w:pPr>
          </w:p>
        </w:tc>
        <w:tc>
          <w:tcPr>
            <w:tcW w:w="712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Dr. Ashutosh Tyagi</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20" w:type="dxa"/>
            <w:vAlign w:val="bottom"/>
          </w:tcPr>
          <w:p>
            <w:pPr>
              <w:spacing w:after="0"/>
              <w:rPr>
                <w:sz w:val="17"/>
                <w:szCs w:val="17"/>
                <w:color w:val="auto"/>
              </w:rPr>
            </w:pPr>
          </w:p>
        </w:tc>
        <w:tc>
          <w:tcPr>
            <w:tcW w:w="7120" w:type="dxa"/>
            <w:vAlign w:val="bottom"/>
            <w:gridSpan w:val="3"/>
          </w:tcPr>
          <w:p>
            <w:pPr>
              <w:ind w:left="140"/>
              <w:spacing w:after="0"/>
              <w:rPr>
                <w:sz w:val="20"/>
                <w:szCs w:val="20"/>
                <w:color w:val="auto"/>
              </w:rPr>
            </w:pPr>
            <w:r>
              <w:rPr>
                <w:rFonts w:ascii="Arial" w:cs="Arial" w:eastAsia="Arial" w:hAnsi="Arial"/>
                <w:sz w:val="16"/>
                <w:szCs w:val="16"/>
                <w:color w:val="auto"/>
              </w:rPr>
              <w:t>David N. Gill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10,667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120" w:type="dxa"/>
            <w:vAlign w:val="bottom"/>
            <w:gridSpan w:val="3"/>
            <w:shd w:val="clear" w:color="auto" w:fill="CCEEFF"/>
          </w:tcPr>
          <w:p>
            <w:pPr>
              <w:ind w:left="140"/>
              <w:spacing w:after="0" w:line="235" w:lineRule="exact"/>
              <w:rPr>
                <w:sz w:val="20"/>
                <w:szCs w:val="20"/>
                <w:color w:val="auto"/>
              </w:rPr>
            </w:pPr>
            <w:r>
              <w:rPr>
                <w:rFonts w:ascii="Arial" w:cs="Arial" w:eastAsia="Arial" w:hAnsi="Arial"/>
                <w:sz w:val="16"/>
                <w:szCs w:val="16"/>
                <w:color w:val="auto"/>
              </w:rPr>
              <w:t>All Current Executive Officers and Directors as a Group (12 persons)</w:t>
            </w:r>
            <w:r>
              <w:rPr>
                <w:rFonts w:ascii="Arial" w:cs="Arial" w:eastAsia="Arial" w:hAnsi="Arial"/>
                <w:sz w:val="26"/>
                <w:szCs w:val="26"/>
                <w:color w:val="auto"/>
                <w:vertAlign w:val="superscript"/>
              </w:rPr>
              <w:t>(12)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13,208,546</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38.40%</w:t>
            </w:r>
          </w:p>
        </w:tc>
      </w:tr>
      <w:tr>
        <w:trPr>
          <w:trHeight w:val="99"/>
        </w:trPr>
        <w:tc>
          <w:tcPr>
            <w:tcW w:w="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176" w:lineRule="exact"/>
        <w:rPr>
          <w:sz w:val="20"/>
          <w:szCs w:val="20"/>
          <w:color w:val="auto"/>
        </w:rPr>
      </w:pPr>
    </w:p>
    <w:p>
      <w:pPr>
        <w:ind w:left="1640" w:hanging="498"/>
        <w:spacing w:after="0"/>
        <w:tabs>
          <w:tab w:leader="none" w:pos="1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our outstanding shares of common stock.</w:t>
      </w:r>
    </w:p>
    <w:p>
      <w:pPr>
        <w:spacing w:after="0" w:line="121" w:lineRule="exact"/>
        <w:rPr>
          <w:sz w:val="20"/>
          <w:szCs w:val="20"/>
          <w:color w:val="auto"/>
        </w:rPr>
      </w:pPr>
    </w:p>
    <w:p>
      <w:pPr>
        <w:ind w:left="1640" w:hanging="498"/>
        <w:spacing w:after="0" w:line="267" w:lineRule="auto"/>
        <w:tabs>
          <w:tab w:leader="none" w:pos="1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Johan Wedell-Wedellsborg is the majority owner of WG Biotech ApS and the owner of Weco Group A/S and as such has sole voting and dispositive power with respect to such shares. Mr. Gad owns a 20.57% equity interest in WG Biotech ApS but has no voting or dispositive power over the shares of common stock held by WG Biotech ApS.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640" w:right="100" w:hanging="498"/>
        <w:spacing w:after="0" w:line="267"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MSK is a not-for-profit corporation and the voting and investment control of MSK's shares are held by appropriate members of its management under the oversight of MSK's board of directors. As indicated in footnote 10 below, Dr. Gregory Raskin is an employee of MSK and has no voting or dispositive power with respect to the shares owned by MSK.</w:t>
      </w:r>
    </w:p>
    <w:p>
      <w:pPr>
        <w:spacing w:after="0" w:line="87" w:lineRule="exact"/>
        <w:rPr>
          <w:rFonts w:ascii="Arial" w:cs="Arial" w:eastAsia="Arial" w:hAnsi="Arial"/>
          <w:sz w:val="12"/>
          <w:szCs w:val="12"/>
          <w:color w:val="auto"/>
        </w:rPr>
      </w:pPr>
    </w:p>
    <w:p>
      <w:pPr>
        <w:ind w:left="1640" w:right="140" w:hanging="498"/>
        <w:spacing w:after="0" w:line="285" w:lineRule="auto"/>
        <w:tabs>
          <w:tab w:leader="none" w:pos="16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 investment power with respect to such shares, and each disclaims beneficial ownership of such shares except to the extent of any pecuniary interest therein.</w:t>
      </w:r>
    </w:p>
    <w:p>
      <w:pPr>
        <w:spacing w:after="0" w:line="79" w:lineRule="exact"/>
        <w:rPr>
          <w:rFonts w:ascii="Arial" w:cs="Arial" w:eastAsia="Arial" w:hAnsi="Arial"/>
          <w:sz w:val="11"/>
          <w:szCs w:val="11"/>
          <w:color w:val="auto"/>
        </w:rPr>
      </w:pPr>
    </w:p>
    <w:p>
      <w:pPr>
        <w:ind w:left="1640" w:hanging="498"/>
        <w:spacing w:after="0"/>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Peter Bang is the owner of Peter Bang Holding ApS and as such has sole voting and dispositive power with respect to such shares.</w:t>
      </w:r>
    </w:p>
    <w:p>
      <w:pPr>
        <w:spacing w:after="0" w:line="120" w:lineRule="exact"/>
        <w:rPr>
          <w:rFonts w:ascii="Arial" w:cs="Arial" w:eastAsia="Arial" w:hAnsi="Arial"/>
          <w:sz w:val="12"/>
          <w:szCs w:val="12"/>
          <w:color w:val="auto"/>
        </w:rPr>
      </w:pPr>
    </w:p>
    <w:p>
      <w:pPr>
        <w:ind w:left="1640" w:right="20" w:hanging="498"/>
        <w:spacing w:after="0" w:line="267"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voting and investment control of the shares owned by Sofinnova Venture Partners X, L.P. are held by Dr. James I. Healy, Dr. Anand Mehra and Michael F. Powell, Ph.D., the managing members of Sofinnova Management X, L.L.C., the General Partner of Sofinnova.</w:t>
      </w:r>
    </w:p>
    <w:p>
      <w:pPr>
        <w:spacing w:after="0" w:line="87" w:lineRule="exact"/>
        <w:rPr>
          <w:rFonts w:ascii="Arial" w:cs="Arial" w:eastAsia="Arial" w:hAnsi="Arial"/>
          <w:sz w:val="12"/>
          <w:szCs w:val="12"/>
          <w:color w:val="auto"/>
        </w:rPr>
      </w:pPr>
    </w:p>
    <w:p>
      <w:pPr>
        <w:ind w:left="1640" w:right="80" w:hanging="498"/>
        <w:spacing w:after="0" w:line="313" w:lineRule="auto"/>
        <w:tabs>
          <w:tab w:leader="none" w:pos="16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Includes (i) 1,190,000 shares of common stock owned by GAD Enterprises LLC, of which Mr. Gad is the sole member and manager and as such Mr. Gad has sole voting and dispositive power with respect to such shares, and (ii) 627,667 shares of common stock underlying options that are exercisable as of April 1, 2019 or will become exercisable within 60 days after such date.</w:t>
      </w:r>
    </w:p>
    <w:p>
      <w:pPr>
        <w:spacing w:after="0" w:line="64" w:lineRule="exact"/>
        <w:rPr>
          <w:rFonts w:ascii="Arial" w:cs="Arial" w:eastAsia="Arial" w:hAnsi="Arial"/>
          <w:sz w:val="11"/>
          <w:szCs w:val="11"/>
          <w:color w:val="auto"/>
        </w:rPr>
      </w:pPr>
    </w:p>
    <w:p>
      <w:pPr>
        <w:ind w:left="1640" w:hanging="498"/>
        <w:spacing w:after="0" w:line="251"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(i) 872,928 shares of common stock owned by CM Holding 2015 ApS, Dr. Møller's personal holding company of which Dr. Møller is the sole owner and as such Dr. Møller has sole voting and dispositive power with respect to such shares, and (ii) 656,333 shares of common stock underlying options that are exercisable as of April 1, 2019 or will become exercisable within 60 days after such date.</w:t>
      </w:r>
    </w:p>
    <w:p>
      <w:pPr>
        <w:spacing w:after="0" w:line="97" w:lineRule="exact"/>
        <w:rPr>
          <w:rFonts w:ascii="Arial" w:cs="Arial" w:eastAsia="Arial" w:hAnsi="Arial"/>
          <w:sz w:val="12"/>
          <w:szCs w:val="12"/>
          <w:color w:val="auto"/>
        </w:rPr>
      </w:pPr>
    </w:p>
    <w:p>
      <w:pPr>
        <w:ind w:left="1640" w:right="20" w:hanging="498"/>
        <w:spacing w:after="0" w:line="251"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403,792 shares of common stock underlying options that are exercisable as of April 1, 2019 or will become exercisable within 60 days after such date.</w:t>
      </w:r>
    </w:p>
    <w:p>
      <w:pPr>
        <w:spacing w:after="0" w:line="97" w:lineRule="exact"/>
        <w:rPr>
          <w:rFonts w:ascii="Arial" w:cs="Arial" w:eastAsia="Arial" w:hAnsi="Arial"/>
          <w:sz w:val="12"/>
          <w:szCs w:val="12"/>
          <w:color w:val="auto"/>
        </w:rPr>
      </w:pPr>
    </w:p>
    <w:p>
      <w:pPr>
        <w:ind w:left="1640" w:right="40" w:hanging="498"/>
        <w:spacing w:after="0" w:line="251"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(i) 5,010,000 shares of common stock owned by WG Biotech ApS in which Mr. Wedell-Wedellsborg is the majority owner and as such has sole voting and dispositive power with respect to such shares, (ii) 1,683,496 shares owned by Weco Group A/S of which Mr. Wedell-Wedellsborg is the owner and as such has sole voting and dispositive power with respect to such shares, and (iii) 40,667 shares of common stock underlying options that are exercisable as of April 1, 2019 or will become exercisable within 60 days after such date.</w:t>
      </w:r>
    </w:p>
    <w:p>
      <w:pPr>
        <w:spacing w:after="0" w:line="97" w:lineRule="exact"/>
        <w:rPr>
          <w:rFonts w:ascii="Arial" w:cs="Arial" w:eastAsia="Arial" w:hAnsi="Arial"/>
          <w:sz w:val="12"/>
          <w:szCs w:val="12"/>
          <w:color w:val="auto"/>
        </w:rPr>
      </w:pPr>
    </w:p>
    <w:p>
      <w:pPr>
        <w:ind w:left="1640" w:hanging="498"/>
        <w:spacing w:after="0" w:line="275" w:lineRule="auto"/>
        <w:tabs>
          <w:tab w:leader="none" w:pos="1640" w:val="left"/>
        </w:tabs>
        <w:numPr>
          <w:ilvl w:val="0"/>
          <w:numId w:val="43"/>
        </w:numPr>
        <w:rPr>
          <w:rFonts w:ascii="Arial" w:cs="Arial" w:eastAsia="Arial" w:hAnsi="Arial"/>
          <w:sz w:val="11"/>
          <w:szCs w:val="11"/>
          <w:color w:val="auto"/>
        </w:rPr>
      </w:pPr>
      <w:r>
        <w:rPr>
          <w:rFonts w:ascii="Arial" w:cs="Arial" w:eastAsia="Arial" w:hAnsi="Arial"/>
          <w:sz w:val="11"/>
          <w:szCs w:val="11"/>
          <w:color w:val="auto"/>
        </w:rPr>
        <w:t>Dr. Raskin has entered into a contract with MSK pursuant to which Dr. Raskin will contribute to MSK his earnings from the interests described herein. Includes 5,882 shares of common stock owned directly by Dr. Raskin. Also includes 40,667 shares of common stock underlying options that are exercisable as of April 1, 2019 or will become exercisable within 60 days after such date. Does not include 2,749,284 shares of common stock owned by MSK. Dr. Raskin is an employee of MSK. Dr. Raskin has no voting or dispositive power with respect the shares owned by MSK, and therefore, Dr. Raskin disclaims beneficial ownership of such shares except to the extent of his pecuniary interest, if any, arising as a result of his employment with MSK.</w:t>
      </w:r>
    </w:p>
    <w:p>
      <w:pPr>
        <w:spacing w:after="0" w:line="86" w:lineRule="exact"/>
        <w:rPr>
          <w:rFonts w:ascii="Arial" w:cs="Arial" w:eastAsia="Arial" w:hAnsi="Arial"/>
          <w:sz w:val="11"/>
          <w:szCs w:val="11"/>
          <w:color w:val="auto"/>
        </w:rPr>
      </w:pPr>
    </w:p>
    <w:p>
      <w:pPr>
        <w:jc w:val="both"/>
        <w:ind w:left="1640" w:right="140" w:hanging="498"/>
        <w:spacing w:after="0" w:line="251"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As indicated in footnote 5 above, includes 1,604,278 shares of common stock owned by Sofinnova Venture Partners X, L.P. Dr. Healy is a managing member of Sofinnova Management X, L.L.C., the General Partner of Sofinnova Venture Partners X, L.P., and as such has voting and dispositive power over such shares with Dr. Anand Mehra and Michael F. Powell, Ph.D., the other managing members of Sofinnova Management X, L.L.C.</w:t>
      </w:r>
    </w:p>
    <w:p>
      <w:pPr>
        <w:spacing w:after="0" w:line="97" w:lineRule="exact"/>
        <w:rPr>
          <w:rFonts w:ascii="Arial" w:cs="Arial" w:eastAsia="Arial" w:hAnsi="Arial"/>
          <w:sz w:val="12"/>
          <w:szCs w:val="12"/>
          <w:color w:val="auto"/>
        </w:rPr>
      </w:pPr>
    </w:p>
    <w:p>
      <w:pPr>
        <w:ind w:left="1640" w:right="280" w:hanging="498"/>
        <w:spacing w:after="0" w:line="267" w:lineRule="auto"/>
        <w:tabs>
          <w:tab w:leader="none" w:pos="1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1,935,667 shares of common stock underlying options that are exercisable as of April 1, 2019 or will become exercisable within 60 days after such date. Also includes 45,662 shares of common stock owned by an executive officer not named in the above table.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16(a) Beneficial Ownership Reporting Compliance</w:t>
      </w:r>
    </w:p>
    <w:p>
      <w:pPr>
        <w:spacing w:after="0" w:line="215" w:lineRule="exact"/>
        <w:rPr>
          <w:sz w:val="20"/>
          <w:szCs w:val="20"/>
          <w:color w:val="auto"/>
        </w:rPr>
      </w:pPr>
    </w:p>
    <w:p>
      <w:pPr>
        <w:ind w:right="20" w:firstLine="321"/>
        <w:spacing w:after="0" w:line="315" w:lineRule="auto"/>
        <w:rPr>
          <w:sz w:val="20"/>
          <w:szCs w:val="20"/>
          <w:color w:val="auto"/>
        </w:rPr>
      </w:pPr>
      <w:r>
        <w:rPr>
          <w:rFonts w:ascii="Arial" w:cs="Arial" w:eastAsia="Arial" w:hAnsi="Arial"/>
          <w:sz w:val="14"/>
          <w:szCs w:val="14"/>
          <w:color w:val="auto"/>
        </w:rPr>
        <w:t>Section 16(a) of the Exchange Act requires our directors and officers and holders of more than 10% of our common stock to file with the SEC initial reports of ownership of our common stock and other equity securities on a Form 3 and reports of changes in such ownership on a Form 4 or Form 5. Directors and officers and holders of 10% of our common stock are required by SEC regulations to furnish us with copies of all Section 16(a) forms they file. To our knowledge, based solely on a review of our records and representations made by our directors and officers regarding their filing obligations, we believe all Section 16(a) filing requirements were satisfied with respect to fiscal 2018.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for our 2020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Proposals to be Included in Proxy Statement</w:t>
      </w:r>
    </w:p>
    <w:p>
      <w:pPr>
        <w:spacing w:after="0" w:line="211"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color w:val="auto"/>
        </w:rPr>
        <w:t>Pursuant to Rule 14a-8 of the Exchange Act, any stockholder who desires to include a proposal in the proxy statement and form of proxy for our 2020 annual meeting of stockholders must deliver the proposal to our principal executive offices no later than January 1, 2020, which is 120 days prior to the first anniversary of the mailing date of this proxy, unless the date of the 2020 annual meeting of stockholders is changed by more than 30 days from the anniversary of our 2019 Annual Meeting, in which case, the deadline for such proposals will be a reasonable time before we begin to print and send our proxy materials. Upon receipt of any such proposal, we will determine whether or not to include such proposal in the proxy statement and proxy card in accordance with regulations governing the solicitation of proxies.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Stockholder Proposals Not Included in Proxy Statement</w:t>
      </w:r>
    </w:p>
    <w:p>
      <w:pPr>
        <w:spacing w:after="0" w:line="211" w:lineRule="exact"/>
        <w:rPr>
          <w:sz w:val="20"/>
          <w:szCs w:val="20"/>
          <w:color w:val="auto"/>
        </w:rPr>
      </w:pPr>
    </w:p>
    <w:p>
      <w:pPr>
        <w:ind w:firstLine="321"/>
        <w:spacing w:after="0" w:line="302" w:lineRule="auto"/>
        <w:rPr>
          <w:sz w:val="20"/>
          <w:szCs w:val="20"/>
          <w:color w:val="auto"/>
        </w:rPr>
      </w:pPr>
      <w:r>
        <w:rPr>
          <w:rFonts w:ascii="Arial" w:cs="Arial" w:eastAsia="Arial" w:hAnsi="Arial"/>
          <w:sz w:val="14"/>
          <w:szCs w:val="14"/>
          <w:color w:val="auto"/>
        </w:rPr>
        <w:t>In addition, our amended and restated by-laws establish an advance notice procedure for nominations for election to our Board of Directors and other matters that stockholders wish to present for action at an annual meeting other than those to be included in our proxy statement. In general, we must receive other proposals of stockholders (including director nominations) intended to be presented at the 2020 annual meeting of stockholders but not included in the proxy statement by March 8, 2020, but not before February 7, 2020, which is not less than 90 days nor more than 120 days prior to the anniversary date of the immediately preceding such annual meeting. However, if the date of such annual meeting is more than 30 days before or more than 60 days after such anniversary date, notice must be received no earlier than the close of business 120 calendar days prior to such annual meeting and no later than the close of business on the later of 90 days prior to such annual meeting and 10 days following the day on which notice of the date of such annual meeting was mailed or public announcement of the date of such annual meeting was first made. If the stockholder fails to give notice by these dates, then the persons named as proxies in the proxies solicited by the Board of Directors for the 2020 annual meeting of stockholders may exercise discretionary voting power regarding any such proposal. Stockholders are advised to review our by-laws which also specify requirements as to the form and content of a stockholder's notice.</w:t>
      </w:r>
    </w:p>
    <w:p>
      <w:pPr>
        <w:spacing w:after="0" w:line="150" w:lineRule="exact"/>
        <w:rPr>
          <w:sz w:val="20"/>
          <w:szCs w:val="20"/>
          <w:color w:val="auto"/>
        </w:rPr>
      </w:pPr>
    </w:p>
    <w:p>
      <w:pPr>
        <w:ind w:right="140" w:firstLine="312"/>
        <w:spacing w:after="0" w:line="284" w:lineRule="auto"/>
        <w:rPr>
          <w:sz w:val="20"/>
          <w:szCs w:val="20"/>
          <w:color w:val="auto"/>
        </w:rPr>
      </w:pPr>
      <w:r>
        <w:rPr>
          <w:rFonts w:ascii="Arial" w:cs="Arial" w:eastAsia="Arial" w:hAnsi="Arial"/>
          <w:sz w:val="16"/>
          <w:szCs w:val="16"/>
          <w:color w:val="auto"/>
        </w:rPr>
        <w:t>Any proposals, notices or information about proposed director candidates should be sent to Y-mAbs Therapeutics, Inc., Attention: Secretary, 230 Park Avenue, Suite 3350, New York, New York 10169, Telephone No. (646) 885-8505.</w:t>
      </w:r>
    </w:p>
    <w:p>
      <w:pPr>
        <w:spacing w:after="0" w:line="156" w:lineRule="exact"/>
        <w:rPr>
          <w:sz w:val="20"/>
          <w:szCs w:val="20"/>
          <w:color w:val="auto"/>
        </w:rPr>
      </w:pPr>
    </w:p>
    <w:p>
      <w:pPr>
        <w:ind w:right="60" w:firstLine="312"/>
        <w:spacing w:after="0" w:line="264" w:lineRule="auto"/>
        <w:rPr>
          <w:sz w:val="20"/>
          <w:szCs w:val="20"/>
          <w:color w:val="auto"/>
        </w:rPr>
      </w:pPr>
      <w:r>
        <w:rPr>
          <w:rFonts w:ascii="Arial" w:cs="Arial" w:eastAsia="Arial" w:hAnsi="Arial"/>
          <w:sz w:val="16"/>
          <w:szCs w:val="16"/>
          <w:color w:val="auto"/>
        </w:rPr>
        <w:t>As noted above, any stockholder who intends to present a proposal at our 2020 annual meeting of stockholders may do so by following the procedures set forth in Rule 14a-8 under the Exchange Act. Pursuant to such rule, a stockholder must have continuously held for at least one (1) year prior to the submission of the proposal (and continue to hold through the date of the meeting) at least $2,000 in market value, or 1%, of our outstanding stock in order to submit a proposal for inclusion in our proxy materials. Subject to SEC rules, we reserve the right to vote against, reject, rule out of order, or take other appropriate action with respect to any proposal that does not comply with these requirements.</w:t>
      </w: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OTHER MATTERS</w:t>
      </w:r>
    </w:p>
    <w:p>
      <w:pPr>
        <w:spacing w:after="0" w:line="215" w:lineRule="exact"/>
        <w:rPr>
          <w:sz w:val="20"/>
          <w:szCs w:val="20"/>
          <w:color w:val="auto"/>
        </w:rPr>
      </w:pPr>
    </w:p>
    <w:p>
      <w:pPr>
        <w:jc w:val="both"/>
        <w:ind w:right="280" w:firstLine="312"/>
        <w:spacing w:after="0" w:line="297" w:lineRule="auto"/>
        <w:rPr>
          <w:sz w:val="20"/>
          <w:szCs w:val="20"/>
          <w:color w:val="auto"/>
        </w:rPr>
      </w:pPr>
      <w:r>
        <w:rPr>
          <w:rFonts w:ascii="Arial" w:cs="Arial" w:eastAsia="Arial" w:hAnsi="Arial"/>
          <w:sz w:val="15"/>
          <w:szCs w:val="15"/>
          <w:color w:val="auto"/>
        </w:rPr>
        <w:t>As of the date of this proxy statement, we know of no matter not specifically referred to above as to which any action is expected to be taken at the Annual Meeting. The persons named as proxies will vote the proxies, insofar as they are not otherwise instructed, regarding such other matters and the transaction of such other business as may be properly brought before the meeting, as seems to them to be in the best interest of our company and our stockholders.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 of Annual Meeting Materials</w:t>
      </w:r>
    </w:p>
    <w:p>
      <w:pPr>
        <w:spacing w:after="0" w:line="215" w:lineRule="exact"/>
        <w:rPr>
          <w:sz w:val="20"/>
          <w:szCs w:val="20"/>
          <w:color w:val="auto"/>
        </w:rPr>
      </w:pPr>
    </w:p>
    <w:p>
      <w:pPr>
        <w:ind w:firstLine="321"/>
        <w:spacing w:after="0" w:line="283" w:lineRule="auto"/>
        <w:rPr>
          <w:sz w:val="20"/>
          <w:szCs w:val="20"/>
          <w:color w:val="auto"/>
        </w:rPr>
      </w:pPr>
      <w:r>
        <w:rPr>
          <w:rFonts w:ascii="Arial" w:cs="Arial" w:eastAsia="Arial" w:hAnsi="Arial"/>
          <w:sz w:val="15"/>
          <w:szCs w:val="15"/>
          <w:color w:val="auto"/>
        </w:rPr>
        <w:t>Some brokers and other nominee record holders may be "householding" our proxy materials. This means a single notice and, if applicable, the proxy materials, will be delivered to multiple stockholders sharing an address unless contrary instructions have been received. We will promptly deliver a separate copy of the notice and, if applicable, the proxy materials and our 2018 annual report to stockholders, which consists of our Annual Report, to you if you write or call us at Y-mAbs Therapeutics, Inc., Attention: Secretary, 230 Park Avenue, Suite 3350, New York, New York 10169, Telephone No. (646) 885-8505. If you would like to receive separate copies of our proxy materials and annual reports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Report on Form 10-K</w:t>
      </w:r>
    </w:p>
    <w:p>
      <w:pPr>
        <w:spacing w:after="0" w:line="215" w:lineRule="exact"/>
        <w:rPr>
          <w:sz w:val="20"/>
          <w:szCs w:val="20"/>
          <w:color w:val="auto"/>
        </w:rPr>
      </w:pPr>
    </w:p>
    <w:p>
      <w:pPr>
        <w:ind w:right="820" w:firstLine="315"/>
        <w:spacing w:after="0" w:line="359" w:lineRule="auto"/>
        <w:rPr>
          <w:sz w:val="20"/>
          <w:szCs w:val="20"/>
          <w:color w:val="auto"/>
        </w:rPr>
      </w:pPr>
      <w:r>
        <w:rPr>
          <w:rFonts w:ascii="Arial" w:cs="Arial" w:eastAsia="Arial" w:hAnsi="Arial"/>
          <w:sz w:val="14"/>
          <w:szCs w:val="14"/>
          <w:color w:val="auto"/>
        </w:rPr>
        <w:t xml:space="preserve">You may obtain copies of our Annual Report on Form 10-K for the fiscal year ended December 31, 2018, without charge by writing to the Secretary, Y-mAbs Therapeutics, Inc., 230 Park Avenue, Suite 3350, New York, New York 10169. You also can find our Annual Report on our website at </w:t>
      </w:r>
      <w:r>
        <w:rPr>
          <w:rFonts w:ascii="Arial" w:cs="Arial" w:eastAsia="Arial" w:hAnsi="Arial"/>
          <w:sz w:val="14"/>
          <w:szCs w:val="14"/>
          <w:i w:val="1"/>
          <w:iCs w:val="1"/>
          <w:color w:val="auto"/>
        </w:rPr>
        <w:t>www.ymabs.com</w:t>
      </w:r>
      <w:r>
        <w:rPr>
          <w:rFonts w:ascii="Arial" w:cs="Arial" w:eastAsia="Arial" w:hAnsi="Arial"/>
          <w:sz w:val="14"/>
          <w:szCs w:val="14"/>
          <w:color w:val="auto"/>
        </w:rPr>
        <w: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589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58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89800" cy="9153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289800" cy="9153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89800" cy="87541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289800" cy="8754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o"/>
      <w:numFmt w:val="bullet"/>
      <w:start w:val="1"/>
    </w:lvl>
    <w:lvl w:ilvl="1">
      <w:lvlJc w:val="left"/>
      <w:lvlText w:val="(%2)"/>
      <w:numFmt w:val="decimal"/>
      <w:start w:val="1"/>
    </w:lvl>
  </w:abstractNum>
  <w:abstractNum w:abstractNumId="2">
    <w:nsid w:val="2D1D5AE9"/>
    <w:multiLevelType w:val="hybridMultilevel"/>
    <w:lvl w:ilvl="0">
      <w:lvlJc w:val="left"/>
      <w:lvlText w:val="(%1)"/>
      <w:numFmt w:val="decimal"/>
      <w:start w:val="646"/>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61"/>
    </w:lvl>
  </w:abstractNum>
  <w:abstractNum w:abstractNumId="14">
    <w:nsid w:val="2901D82"/>
    <w:multiLevelType w:val="hybridMultilevel"/>
    <w:lvl w:ilvl="0">
      <w:lvlJc w:val="left"/>
      <w:lvlText w:val="%1"/>
      <w:numFmt w:val="decimal"/>
      <w:start w:val="64"/>
    </w:lvl>
  </w:abstractNum>
  <w:abstractNum w:abstractNumId="15">
    <w:nsid w:val="3A95F874"/>
    <w:multiLevelType w:val="hybridMultilevel"/>
    <w:lvl w:ilvl="0">
      <w:lvlJc w:val="left"/>
      <w:lvlText w:val="%1"/>
      <w:numFmt w:val="decimal"/>
      <w:start w:val="54"/>
    </w:lvl>
  </w:abstractNum>
  <w:abstractNum w:abstractNumId="16">
    <w:nsid w:val="8138641"/>
    <w:multiLevelType w:val="hybridMultilevel"/>
    <w:lvl w:ilvl="0">
      <w:lvlJc w:val="left"/>
      <w:lvlText w:val="%1"/>
      <w:numFmt w:val="decimal"/>
      <w:start w:val="46"/>
    </w:lvl>
  </w:abstractNum>
  <w:abstractNum w:abstractNumId="17">
    <w:nsid w:val="1E7FF521"/>
    <w:multiLevelType w:val="hybridMultilevel"/>
    <w:lvl w:ilvl="0">
      <w:lvlJc w:val="left"/>
      <w:lvlText w:val="%1"/>
      <w:numFmt w:val="decimal"/>
      <w:start w:val="49"/>
    </w:lvl>
  </w:abstractNum>
  <w:abstractNum w:abstractNumId="18">
    <w:nsid w:val="7C3DBD3D"/>
    <w:multiLevelType w:val="hybridMultilevel"/>
    <w:lvl w:ilvl="0">
      <w:lvlJc w:val="left"/>
      <w:lvlText w:val="%1"/>
      <w:numFmt w:val="decimal"/>
      <w:start w:val="57"/>
    </w:lvl>
  </w:abstractNum>
  <w:abstractNum w:abstractNumId="19">
    <w:nsid w:val="737B8DDC"/>
    <w:multiLevelType w:val="hybridMultilevel"/>
    <w:lvl w:ilvl="0">
      <w:lvlJc w:val="left"/>
      <w:lvlText w:val="%1"/>
      <w:numFmt w:val="decimal"/>
      <w:start w:val="49"/>
    </w:lvl>
  </w:abstractNum>
  <w:abstractNum w:abstractNumId="20">
    <w:nsid w:val="6CEAF087"/>
    <w:multiLevelType w:val="hybridMultilevel"/>
    <w:lvl w:ilvl="0">
      <w:lvlJc w:val="left"/>
      <w:lvlText w:val="(%1)"/>
      <w:numFmt w:val="decimal"/>
      <w:start w:val="3"/>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2"/>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2019-12-03T00:42:31Z</dcterms:created>
  <dcterms:modified xsi:type="dcterms:W3CDTF">2019-12-03T00:42:31Z</dcterms:modified>
</cp:coreProperties>
</file>