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July 16, 2024</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26670</wp:posOffset>
            </wp:positionV>
            <wp:extent cx="5657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98" w:lineRule="exact"/>
        <w:rPr>
          <w:sz w:val="24"/>
          <w:szCs w:val="24"/>
          <w:color w:val="auto"/>
        </w:rPr>
      </w:pPr>
    </w:p>
    <w:tbl>
      <w:tblPr>
        <w:tblLayout w:type="fixed"/>
        <w:tblInd w:w="420" w:type="dxa"/>
        <w:tblCellMar>
          <w:top w:w="0" w:type="dxa"/>
          <w:left w:w="0" w:type="dxa"/>
          <w:bottom w:w="0" w:type="dxa"/>
          <w:right w:w="0" w:type="dxa"/>
        </w:tblCellMar>
      </w:tblPr>
      <w:tr>
        <w:trPr>
          <w:trHeight w:val="203"/>
        </w:trPr>
        <w:tc>
          <w:tcPr>
            <w:tcW w:w="2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9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001-38650</w:t>
            </w:r>
          </w:p>
        </w:tc>
        <w:tc>
          <w:tcPr>
            <w:tcW w:w="158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47-4619612</w:t>
            </w:r>
          </w:p>
        </w:tc>
      </w:tr>
      <w:tr>
        <w:trPr>
          <w:trHeight w:val="203"/>
        </w:trPr>
        <w:tc>
          <w:tcPr>
            <w:tcW w:w="2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158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158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09"/>
        </w:trPr>
        <w:tc>
          <w:tcPr>
            <w:tcW w:w="2220" w:type="dxa"/>
            <w:vAlign w:val="bottom"/>
          </w:tcPr>
          <w:p>
            <w:pPr>
              <w:spacing w:after="0"/>
              <w:rPr>
                <w:sz w:val="24"/>
                <w:szCs w:val="24"/>
                <w:color w:val="auto"/>
              </w:rPr>
            </w:pPr>
          </w:p>
        </w:tc>
        <w:tc>
          <w:tcPr>
            <w:tcW w:w="3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230 Park Avenue</w:t>
            </w:r>
          </w:p>
        </w:tc>
        <w:tc>
          <w:tcPr>
            <w:tcW w:w="158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Suite 3350</w:t>
            </w:r>
          </w:p>
        </w:tc>
        <w:tc>
          <w:tcPr>
            <w:tcW w:w="158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New York, New York 10169</w:t>
            </w:r>
          </w:p>
        </w:tc>
        <w:tc>
          <w:tcPr>
            <w:tcW w:w="1580" w:type="dxa"/>
            <w:vAlign w:val="bottom"/>
          </w:tcPr>
          <w:p>
            <w:pPr>
              <w:spacing w:after="0"/>
              <w:rPr>
                <w:sz w:val="17"/>
                <w:szCs w:val="17"/>
                <w:color w:val="auto"/>
              </w:rPr>
            </w:pPr>
          </w:p>
        </w:tc>
      </w:tr>
      <w:tr>
        <w:trPr>
          <w:trHeight w:val="212"/>
        </w:trPr>
        <w:tc>
          <w:tcPr>
            <w:tcW w:w="2220" w:type="dxa"/>
            <w:vAlign w:val="bottom"/>
          </w:tcPr>
          <w:p>
            <w:pPr>
              <w:spacing w:after="0"/>
              <w:rPr>
                <w:sz w:val="18"/>
                <w:szCs w:val="18"/>
                <w:color w:val="auto"/>
              </w:rPr>
            </w:pP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tc>
        <w:tc>
          <w:tcPr>
            <w:tcW w:w="1580" w:type="dxa"/>
            <w:vAlign w:val="bottom"/>
          </w:tcPr>
          <w:p>
            <w:pPr>
              <w:spacing w:after="0"/>
              <w:rPr>
                <w:sz w:val="18"/>
                <w:szCs w:val="18"/>
                <w:color w:val="auto"/>
              </w:rPr>
            </w:pPr>
          </w:p>
        </w:tc>
      </w:tr>
      <w:tr>
        <w:trPr>
          <w:trHeight w:val="395"/>
        </w:trPr>
        <w:tc>
          <w:tcPr>
            <w:tcW w:w="2220" w:type="dxa"/>
            <w:vAlign w:val="bottom"/>
          </w:tcPr>
          <w:p>
            <w:pPr>
              <w:spacing w:after="0"/>
              <w:rPr>
                <w:sz w:val="24"/>
                <w:szCs w:val="24"/>
                <w:color w:val="auto"/>
              </w:rPr>
            </w:pPr>
          </w:p>
        </w:tc>
        <w:tc>
          <w:tcPr>
            <w:tcW w:w="3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(646) 885-8505</w:t>
            </w:r>
          </w:p>
        </w:tc>
        <w:tc>
          <w:tcPr>
            <w:tcW w:w="1580" w:type="dxa"/>
            <w:vAlign w:val="bottom"/>
          </w:tcPr>
          <w:p>
            <w:pPr>
              <w:spacing w:after="0"/>
              <w:rPr>
                <w:sz w:val="24"/>
                <w:szCs w:val="24"/>
                <w:color w:val="auto"/>
              </w:rPr>
            </w:pPr>
          </w:p>
        </w:tc>
      </w:tr>
      <w:tr>
        <w:trPr>
          <w:trHeight w:val="212"/>
        </w:trPr>
        <w:tc>
          <w:tcPr>
            <w:tcW w:w="2220" w:type="dxa"/>
            <w:vAlign w:val="bottom"/>
          </w:tcPr>
          <w:p>
            <w:pPr>
              <w:spacing w:after="0"/>
              <w:rPr>
                <w:sz w:val="18"/>
                <w:szCs w:val="18"/>
                <w:color w:val="auto"/>
              </w:rPr>
            </w:pPr>
          </w:p>
        </w:tc>
        <w:tc>
          <w:tcPr>
            <w:tcW w:w="3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include area code)</w:t>
            </w:r>
          </w:p>
        </w:tc>
        <w:tc>
          <w:tcPr>
            <w:tcW w:w="1580" w:type="dxa"/>
            <w:vAlign w:val="bottom"/>
          </w:tcPr>
          <w:p>
            <w:pPr>
              <w:spacing w:after="0"/>
              <w:rPr>
                <w:sz w:val="18"/>
                <w:szCs w:val="18"/>
                <w:color w:val="auto"/>
              </w:rPr>
            </w:pP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27" w:lineRule="exact"/>
        <w:rPr>
          <w:sz w:val="24"/>
          <w:szCs w:val="24"/>
          <w:color w:val="auto"/>
        </w:rPr>
      </w:pPr>
    </w:p>
    <w:p>
      <w:pPr>
        <w:ind w:left="60" w:right="159"/>
        <w:spacing w:after="0" w:line="29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u w:val="single" w:color="auto"/>
          <w:color w:val="auto"/>
        </w:rPr>
        <w:t>see</w:t>
      </w:r>
      <w:r>
        <w:rPr>
          <w:rFonts w:ascii="Times New Roman" w:cs="Times New Roman" w:eastAsia="Times New Roman" w:hAnsi="Times New Roman"/>
          <w:sz w:val="16"/>
          <w:szCs w:val="16"/>
          <w:color w:val="auto"/>
        </w:rPr>
        <w:t xml:space="preserve"> General Instruction A.2. below):</w:t>
      </w:r>
    </w:p>
    <w:p>
      <w:pPr>
        <w:spacing w:after="0" w:line="164"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34" w:lineRule="exact"/>
        <w:rPr>
          <w:rFonts w:ascii="MS PGothic" w:cs="MS PGothic" w:eastAsia="MS PGothic" w:hAnsi="MS PGothic"/>
          <w:sz w:val="16"/>
          <w:szCs w:val="16"/>
          <w:color w:val="auto"/>
        </w:rPr>
      </w:pPr>
    </w:p>
    <w:p>
      <w:pPr>
        <w:ind w:left="380" w:hanging="330"/>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34" w:lineRule="exact"/>
        <w:rPr>
          <w:rFonts w:ascii="MS PGothic" w:cs="MS PGothic" w:eastAsia="MS PGothic" w:hAnsi="MS PGothic"/>
          <w:sz w:val="16"/>
          <w:szCs w:val="16"/>
          <w:color w:val="auto"/>
        </w:rPr>
      </w:pPr>
    </w:p>
    <w:p>
      <w:pPr>
        <w:ind w:left="380" w:hanging="330"/>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34" w:lineRule="exact"/>
        <w:rPr>
          <w:rFonts w:ascii="MS PGothic" w:cs="MS PGothic" w:eastAsia="MS PGothic" w:hAnsi="MS PGothic"/>
          <w:sz w:val="16"/>
          <w:szCs w:val="16"/>
          <w:color w:val="auto"/>
        </w:rPr>
      </w:pPr>
    </w:p>
    <w:p>
      <w:pPr>
        <w:ind w:left="60" w:right="1399" w:hanging="10"/>
        <w:spacing w:after="0" w:line="553" w:lineRule="auto"/>
        <w:tabs>
          <w:tab w:leader="none" w:pos="39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w:t>
            </w:r>
          </w:p>
        </w:tc>
      </w:tr>
      <w:tr>
        <w:trPr>
          <w:trHeight w:val="212"/>
        </w:trPr>
        <w:tc>
          <w:tcPr>
            <w:tcW w:w="3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registered</w:t>
            </w:r>
          </w:p>
        </w:tc>
      </w:tr>
      <w:tr>
        <w:trPr>
          <w:trHeight w:val="210"/>
        </w:trPr>
        <w:tc>
          <w:tcPr>
            <w:tcW w:w="2860" w:type="dxa"/>
            <w:vAlign w:val="bottom"/>
            <w:tcBorders>
              <w:top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YMAB</w:t>
            </w:r>
          </w:p>
        </w:tc>
        <w:tc>
          <w:tcPr>
            <w:tcW w:w="1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94" w:lineRule="exact"/>
        <w:rPr>
          <w:sz w:val="24"/>
          <w:szCs w:val="24"/>
          <w:color w:val="auto"/>
        </w:rPr>
      </w:pPr>
    </w:p>
    <w:p>
      <w:pPr>
        <w:ind w:left="60" w:right="4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8" w:lineRule="exact"/>
        <w:rPr>
          <w:sz w:val="24"/>
          <w:szCs w:val="24"/>
          <w:color w:val="auto"/>
        </w:rPr>
      </w:pPr>
    </w:p>
    <w:p>
      <w:pPr>
        <w:ind w:left="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71" w:lineRule="exact"/>
        <w:rPr>
          <w:sz w:val="24"/>
          <w:szCs w:val="24"/>
          <w:color w:val="auto"/>
        </w:rPr>
      </w:pPr>
    </w:p>
    <w:p>
      <w:pPr>
        <w:ind w:left="60" w:right="65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570230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21590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64770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1" w:name="page2"/>
    <w:bookmarkEnd w:id="1"/>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On July 16, 2024, in connection with the previously-disclosed resignation of Bo Kruse, the former Executive Vice President, Chief Financial Officer, Treasurer and Secretary of Y-mAbs Therapeutics, Inc. (the “Company”), Y-mAbs Therapeutics A/S, the wholly-owned subsidiary of the Company, entered into a separation agreement (the “Separation Agreement”) with Mr. Kruse and the Company entered into a consultancy agreement (the “Consultancy Agreement”) with Investeringsselskabet GH ApS pursuant to which Mr. Kruse will provide consulting services to the Company.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Separation Agreement</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Pursuant to the Separation Agreement, Mr. Kruse’s last day of employment with the Company will be July 31, 2024 and he will be eligible to receive:</w:t>
      </w:r>
    </w:p>
    <w:p>
      <w:pPr>
        <w:spacing w:after="0" w:line="162" w:lineRule="exact"/>
        <w:rPr>
          <w:sz w:val="20"/>
          <w:szCs w:val="20"/>
          <w:color w:val="auto"/>
        </w:rPr>
      </w:pP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his base salary at the current rate up to and including July 31, 2024;</w:t>
      </w:r>
    </w:p>
    <w:p>
      <w:pPr>
        <w:spacing w:after="0" w:line="27" w:lineRule="exact"/>
        <w:rPr>
          <w:rFonts w:ascii="Times New Roman" w:cs="Times New Roman" w:eastAsia="Times New Roman" w:hAnsi="Times New Roman"/>
          <w:sz w:val="18"/>
          <w:szCs w:val="18"/>
          <w:color w:val="auto"/>
        </w:rPr>
      </w:pPr>
    </w:p>
    <w:p>
      <w:pPr>
        <w:ind w:left="720" w:right="179" w:hanging="319"/>
        <w:spacing w:after="0" w:line="250"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fiscal year 2024 bonus in the amount of $151,376 (1,035,867 Danish krone, translated to U.S. dollars at an exchange rate of 6.8430:1, which is the exchange rate as of July 16, 2024), which amount represents Mr. Kruse’s target 2024 bonus, pro-rated for the portion of the year he was employed by the Company;</w:t>
      </w:r>
    </w:p>
    <w:p>
      <w:pPr>
        <w:spacing w:after="0" w:line="1" w:lineRule="exact"/>
        <w:rPr>
          <w:rFonts w:ascii="Times New Roman" w:cs="Times New Roman" w:eastAsia="Times New Roman" w:hAnsi="Times New Roman"/>
          <w:sz w:val="18"/>
          <w:szCs w:val="18"/>
          <w:color w:val="auto"/>
        </w:rPr>
      </w:pPr>
    </w:p>
    <w:p>
      <w:pPr>
        <w:ind w:left="720" w:right="599" w:hanging="319"/>
        <w:spacing w:after="0" w:line="250"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vesting of equity awarded to him before September 28, 2022 in accordance with the terms of the applicable award agreements and equity incentive plans; and</w:t>
      </w: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vesting through July 31, 2025 of equity awarded to him on or after September 28, 2022.</w:t>
      </w:r>
    </w:p>
    <w:p>
      <w:pPr>
        <w:spacing w:after="0" w:line="207"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Separation Agreement contains restrictive covenants, including confidentiality and non-disparagement covenants, and a mutual release of claims.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Consultancy Agreement</w:t>
      </w:r>
    </w:p>
    <w:p>
      <w:pPr>
        <w:spacing w:after="0" w:line="229"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The Consultancy Agreement is effective August 1, 2024, has a one-year term (the “Consulting Period”) and may be terminated by either party in the event of material breach by the other party that remains uncured after a two-week notice period or suspension of payment, liquidation, bankruptcy or insolvency of the other party. Pursuant to the Consultancy Agreement, during the Consulting Period, Mr. Kruse will provide consulting services relating to financial operations and corporate governance and will be available to assist the Company with any other matters arising from his time as an employee of the Company. In compensation for such services, the Company will pay a fixed monthly fee of $43,251 (295,967 Danish krone, excluding VAT, translated to U.S. dollars at an exchange rate of 6.8430:1, which is the exchange rate as of July 16, 2024). The Consultancy Agreement also contains a confidentiality covenant.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5"/>
                <w:szCs w:val="15"/>
                <w:color w:val="auto"/>
              </w:rPr>
            </w:pPr>
          </w:p>
        </w:tc>
      </w:tr>
      <w:tr>
        <w:trPr>
          <w:trHeight w:val="38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Separation Agreement, entered into on July 16, 2024, between Bo Kruse and Y-mAbs Therapeutics A/S</w:t>
            </w: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Consultancy Agreement, entered into on July 16, 2024, between Investeringsselskabet GH ApS and the</w:t>
            </w:r>
          </w:p>
        </w:tc>
        <w:tc>
          <w:tcPr>
            <w:tcW w:w="20" w:type="dxa"/>
            <w:vAlign w:val="bottom"/>
            <w:tcBorders>
              <w:top w:val="single" w:sz="8" w:color="0000EE"/>
            </w:tcBorders>
          </w:tcPr>
          <w:p>
            <w:pPr>
              <w:spacing w:after="0"/>
              <w:rPr>
                <w:sz w:val="17"/>
                <w:szCs w:val="17"/>
                <w:color w:val="auto"/>
              </w:rPr>
            </w:pPr>
          </w:p>
        </w:tc>
        <w:tc>
          <w:tcPr>
            <w:tcW w:w="36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Company</w:t>
            </w:r>
          </w:p>
        </w:tc>
        <w:tc>
          <w:tcPr>
            <w:tcW w:w="7120" w:type="dxa"/>
            <w:vAlign w:val="bottom"/>
            <w:gridSpan w:val="4"/>
          </w:tcPr>
          <w:p>
            <w:pPr>
              <w:spacing w:after="0"/>
              <w:rPr>
                <w:sz w:val="17"/>
                <w:szCs w:val="17"/>
                <w:color w:val="auto"/>
              </w:rPr>
            </w:pPr>
          </w:p>
        </w:tc>
      </w:tr>
      <w:tr>
        <w:trPr>
          <w:trHeight w:val="23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Interactive Data File (embedded within the Inline XBRL document)</w:t>
            </w:r>
          </w:p>
        </w:tc>
      </w:tr>
      <w:tr>
        <w:trPr>
          <w:trHeight w:val="1033"/>
        </w:trPr>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606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July 19, 2024</w:t>
            </w:r>
          </w:p>
        </w:tc>
        <w:tc>
          <w:tcPr>
            <w:tcW w:w="606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By:  /s/ Michael Rossi</w:t>
            </w:r>
          </w:p>
        </w:tc>
      </w:tr>
      <w:tr>
        <w:trPr>
          <w:trHeight w:val="191"/>
        </w:trPr>
        <w:tc>
          <w:tcPr>
            <w:tcW w:w="28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Rossi</w:t>
            </w:r>
          </w:p>
        </w:tc>
        <w:tc>
          <w:tcPr>
            <w:tcW w:w="20" w:type="dxa"/>
            <w:vAlign w:val="bottom"/>
          </w:tcPr>
          <w:p>
            <w:pPr>
              <w:spacing w:after="0"/>
              <w:rPr>
                <w:sz w:val="16"/>
                <w:szCs w:val="16"/>
                <w:color w:val="auto"/>
              </w:rPr>
            </w:pPr>
          </w:p>
        </w:tc>
      </w:tr>
      <w:tr>
        <w:trPr>
          <w:trHeight w:val="234"/>
        </w:trPr>
        <w:tc>
          <w:tcPr>
            <w:tcW w:w="28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14"/>
        </w:trPr>
        <w:tc>
          <w:tcPr>
            <w:tcW w:w="28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8"/>
          <w:szCs w:val="18"/>
          <w:b w:val="1"/>
          <w:bCs w:val="1"/>
          <w:color w:val="auto"/>
        </w:rPr>
        <w:t>Exhibit 10.1</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15</w:t>
      </w:r>
      <w:r>
        <w:rPr>
          <w:rFonts w:ascii="Calibri" w:cs="Calibri" w:eastAsia="Calibri" w:hAnsi="Calibri"/>
          <w:sz w:val="13"/>
          <w:szCs w:val="13"/>
          <w:color w:val="auto"/>
        </w:rPr>
        <w:t>th</w:t>
      </w:r>
      <w:r>
        <w:rPr>
          <w:rFonts w:ascii="Calibri" w:cs="Calibri" w:eastAsia="Calibri" w:hAnsi="Calibri"/>
          <w:sz w:val="18"/>
          <w:szCs w:val="18"/>
          <w:color w:val="auto"/>
        </w:rPr>
        <w:t xml:space="preserve"> July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2072005</wp:posOffset>
            </wp:positionV>
            <wp:extent cx="388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80"/>
        <w:spacing w:after="0"/>
        <w:rPr>
          <w:sz w:val="20"/>
          <w:szCs w:val="20"/>
          <w:color w:val="auto"/>
        </w:rPr>
      </w:pPr>
      <w:r>
        <w:rPr>
          <w:rFonts w:ascii="Calibri" w:cs="Calibri" w:eastAsia="Calibri" w:hAnsi="Calibri"/>
          <w:sz w:val="23"/>
          <w:szCs w:val="23"/>
          <w:b w:val="1"/>
          <w:bCs w:val="1"/>
          <w:color w:val="656565"/>
        </w:rPr>
        <w:t>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2560320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151765</wp:posOffset>
            </wp:positionV>
            <wp:extent cx="3883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Y-mAbs Therapeutcs A/S</w:t>
      </w:r>
    </w:p>
    <w:p>
      <w:pPr>
        <w:jc w:val="center"/>
        <w:spacing w:after="0" w:line="235" w:lineRule="auto"/>
        <w:rPr>
          <w:sz w:val="20"/>
          <w:szCs w:val="20"/>
          <w:color w:val="auto"/>
        </w:rPr>
      </w:pPr>
      <w:r>
        <w:rPr>
          <w:rFonts w:ascii="Calibri" w:cs="Calibri" w:eastAsia="Calibri" w:hAnsi="Calibri"/>
          <w:sz w:val="18"/>
          <w:szCs w:val="18"/>
          <w:color w:val="auto"/>
        </w:rPr>
        <w:t>(CVR no. 37053678)</w:t>
      </w:r>
    </w:p>
    <w:p>
      <w:pPr>
        <w:jc w:val="center"/>
        <w:spacing w:after="0" w:line="236" w:lineRule="auto"/>
        <w:rPr>
          <w:sz w:val="20"/>
          <w:szCs w:val="20"/>
          <w:color w:val="auto"/>
        </w:rPr>
      </w:pPr>
      <w:r>
        <w:rPr>
          <w:rFonts w:ascii="Calibri" w:cs="Calibri" w:eastAsia="Calibri" w:hAnsi="Calibri"/>
          <w:sz w:val="18"/>
          <w:szCs w:val="18"/>
          <w:color w:val="auto"/>
        </w:rPr>
        <w:t>Agern Alle 11</w:t>
      </w:r>
    </w:p>
    <w:p>
      <w:pPr>
        <w:spacing w:after="0" w:line="1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2970 H</w:t>
      </w:r>
      <w:r>
        <w:rPr>
          <w:rFonts w:ascii="Verdana" w:cs="Verdana" w:eastAsia="Verdana" w:hAnsi="Verdana"/>
          <w:sz w:val="18"/>
          <w:szCs w:val="18"/>
          <w:color w:val="auto"/>
        </w:rPr>
        <w:t>ø</w:t>
      </w:r>
      <w:r>
        <w:rPr>
          <w:rFonts w:ascii="Calibri" w:cs="Calibri" w:eastAsia="Calibri" w:hAnsi="Calibri"/>
          <w:sz w:val="18"/>
          <w:szCs w:val="18"/>
          <w:color w:val="auto"/>
        </w:rPr>
        <w:t>rsholm</w:t>
      </w:r>
    </w:p>
    <w:p>
      <w:pPr>
        <w:jc w:val="center"/>
        <w:spacing w:after="0" w:line="231"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Company</w:t>
      </w:r>
      <w:r>
        <w:rPr>
          <w:rFonts w:ascii="Calibri" w:cs="Calibri" w:eastAsia="Calibri" w:hAnsi="Calibri"/>
          <w:sz w:val="18"/>
          <w:szCs w:val="18"/>
          <w:color w:val="auto"/>
        </w:rPr>
        <w:t>")</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AND</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Bo Kruse</w:t>
      </w:r>
    </w:p>
    <w:p>
      <w:pPr>
        <w:spacing w:after="0" w:line="18"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Ä</w:t>
      </w:r>
      <w:r>
        <w:rPr>
          <w:rFonts w:ascii="Calibri" w:cs="Calibri" w:eastAsia="Calibri" w:hAnsi="Calibri"/>
          <w:sz w:val="18"/>
          <w:szCs w:val="18"/>
          <w:color w:val="auto"/>
        </w:rPr>
        <w:t>ngav</w:t>
      </w:r>
      <w:r>
        <w:rPr>
          <w:rFonts w:ascii="Verdana" w:cs="Verdana" w:eastAsia="Verdana" w:hAnsi="Verdana"/>
          <w:sz w:val="18"/>
          <w:szCs w:val="18"/>
          <w:color w:val="auto"/>
        </w:rPr>
        <w:t>å</w:t>
      </w:r>
      <w:r>
        <w:rPr>
          <w:rFonts w:ascii="Calibri" w:cs="Calibri" w:eastAsia="Calibri" w:hAnsi="Calibri"/>
          <w:sz w:val="18"/>
          <w:szCs w:val="18"/>
          <w:color w:val="auto"/>
        </w:rPr>
        <w:t>ngsv</w:t>
      </w:r>
      <w:r>
        <w:rPr>
          <w:rFonts w:ascii="Verdana" w:cs="Verdana" w:eastAsia="Verdana" w:hAnsi="Verdana"/>
          <w:sz w:val="18"/>
          <w:szCs w:val="18"/>
          <w:color w:val="auto"/>
        </w:rPr>
        <w:t>ä</w:t>
      </w:r>
      <w:r>
        <w:rPr>
          <w:rFonts w:ascii="Calibri" w:cs="Calibri" w:eastAsia="Calibri" w:hAnsi="Calibri"/>
          <w:sz w:val="18"/>
          <w:szCs w:val="18"/>
          <w:color w:val="auto"/>
        </w:rPr>
        <w:t>gen 4</w:t>
      </w:r>
    </w:p>
    <w:p>
      <w:pPr>
        <w:jc w:val="center"/>
        <w:spacing w:after="0" w:line="231" w:lineRule="auto"/>
        <w:rPr>
          <w:sz w:val="20"/>
          <w:szCs w:val="20"/>
          <w:color w:val="auto"/>
        </w:rPr>
      </w:pPr>
      <w:r>
        <w:rPr>
          <w:rFonts w:ascii="Calibri" w:cs="Calibri" w:eastAsia="Calibri" w:hAnsi="Calibri"/>
          <w:sz w:val="18"/>
          <w:szCs w:val="18"/>
          <w:color w:val="auto"/>
        </w:rPr>
        <w:t>S-21851 Klagshamn</w:t>
      </w:r>
    </w:p>
    <w:p>
      <w:pPr>
        <w:jc w:val="center"/>
        <w:spacing w:after="0" w:line="235" w:lineRule="auto"/>
        <w:rPr>
          <w:sz w:val="20"/>
          <w:szCs w:val="20"/>
          <w:color w:val="auto"/>
        </w:rPr>
      </w:pPr>
      <w:r>
        <w:rPr>
          <w:rFonts w:ascii="Calibri" w:cs="Calibri" w:eastAsia="Calibri" w:hAnsi="Calibri"/>
          <w:sz w:val="18"/>
          <w:szCs w:val="18"/>
          <w:color w:val="auto"/>
        </w:rPr>
        <w:t>Sverige (SE)</w:t>
      </w:r>
    </w:p>
    <w:p>
      <w:pPr>
        <w:spacing w:after="0" w:line="2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BK</w:t>
      </w:r>
      <w:r>
        <w:rPr>
          <w:rFonts w:ascii="Verdana" w:cs="Verdana" w:eastAsia="Verdana" w:hAnsi="Verdana"/>
          <w:sz w:val="18"/>
          <w:szCs w:val="18"/>
          <w:color w:val="auto"/>
        </w:rPr>
        <w:t>”</w:t>
      </w:r>
      <w:r>
        <w:rPr>
          <w:rFonts w:ascii="Calibri" w:cs="Calibri" w:eastAsia="Calibri" w:hAnsi="Calibri"/>
          <w:sz w:val="18"/>
          <w:szCs w:val="18"/>
          <w:color w:val="auto"/>
        </w:rPr>
        <w:t xml:space="preserve"> )</w:t>
      </w:r>
    </w:p>
    <w:p>
      <w:pPr>
        <w:spacing w:after="0" w:line="22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 xml:space="preserve">(jointly the </w:t>
      </w:r>
      <w:r>
        <w:rPr>
          <w:rFonts w:ascii="Calibri" w:cs="Calibri" w:eastAsia="Calibri" w:hAnsi="Calibri"/>
          <w:sz w:val="18"/>
          <w:szCs w:val="18"/>
          <w:b w:val="1"/>
          <w:bCs w:val="1"/>
          <w:color w:val="auto"/>
        </w:rPr>
        <w:t>"Partes</w:t>
      </w:r>
      <w:r>
        <w:rPr>
          <w:rFonts w:ascii="Calibri" w:cs="Calibri" w:eastAsia="Calibri" w:hAnsi="Calibri"/>
          <w:sz w:val="18"/>
          <w:szCs w:val="18"/>
          <w:color w:val="auto"/>
        </w:rPr>
        <w:t xml:space="preserve">" or individually the </w:t>
      </w:r>
      <w:r>
        <w:rPr>
          <w:rFonts w:ascii="Verdana" w:cs="Verdana" w:eastAsia="Verdana" w:hAnsi="Verdana"/>
          <w:sz w:val="18"/>
          <w:szCs w:val="18"/>
          <w:color w:val="auto"/>
        </w:rPr>
        <w:t>“</w:t>
      </w:r>
      <w:r>
        <w:rPr>
          <w:rFonts w:ascii="Calibri" w:cs="Calibri" w:eastAsia="Calibri" w:hAnsi="Calibri"/>
          <w:sz w:val="18"/>
          <w:szCs w:val="18"/>
          <w:b w:val="1"/>
          <w:bCs w:val="1"/>
          <w:color w:val="auto"/>
        </w:rPr>
        <w:t>Party</w:t>
      </w:r>
      <w:r>
        <w:rPr>
          <w:rFonts w:ascii="Verdana" w:cs="Verdana" w:eastAsia="Verdana" w:hAnsi="Verdana"/>
          <w:sz w:val="18"/>
          <w:szCs w:val="18"/>
          <w:color w:val="auto"/>
        </w:rPr>
        <w:t>”</w:t>
      </w:r>
      <w:r>
        <w:rPr>
          <w:rFonts w:ascii="Calibri" w:cs="Calibri" w:eastAsia="Calibri" w:hAnsi="Calibri"/>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20" w:hanging="912"/>
        <w:spacing w:after="0"/>
        <w:tabs>
          <w:tab w:leader="none" w:pos="920" w:val="left"/>
        </w:tabs>
        <w:numPr>
          <w:ilvl w:val="0"/>
          <w:numId w:val="3"/>
        </w:numPr>
        <w:rPr>
          <w:rFonts w:ascii="Calibri" w:cs="Calibri" w:eastAsia="Calibri" w:hAnsi="Calibri"/>
          <w:sz w:val="18"/>
          <w:szCs w:val="18"/>
          <w:color w:val="auto"/>
        </w:rPr>
      </w:pPr>
      <w:r>
        <w:rPr>
          <w:rFonts w:ascii="Calibri" w:cs="Calibri" w:eastAsia="Calibri" w:hAnsi="Calibri"/>
          <w:sz w:val="18"/>
          <w:szCs w:val="18"/>
          <w:b w:val="1"/>
          <w:bCs w:val="1"/>
          <w:color w:val="auto"/>
        </w:rPr>
        <w:t>Terminaton of employment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1.1</w:t>
            </w:r>
          </w:p>
        </w:tc>
        <w:tc>
          <w:tcPr>
            <w:tcW w:w="9340" w:type="dxa"/>
            <w:vAlign w:val="bottom"/>
          </w:tcPr>
          <w:p>
            <w:pPr>
              <w:ind w:left="340"/>
              <w:spacing w:after="0"/>
              <w:rPr>
                <w:sz w:val="20"/>
                <w:szCs w:val="20"/>
                <w:color w:val="auto"/>
              </w:rPr>
            </w:pPr>
            <w:r>
              <w:rPr>
                <w:rFonts w:ascii="Calibri" w:cs="Calibri" w:eastAsia="Calibri" w:hAnsi="Calibri"/>
                <w:sz w:val="18"/>
                <w:szCs w:val="18"/>
                <w:color w:val="auto"/>
              </w:rPr>
              <w:t>Efectve as of 1 October 2015, BK was employed by the Company as CFO on the terms and conditons set out in a service</w:t>
            </w:r>
          </w:p>
        </w:tc>
      </w:tr>
      <w:tr>
        <w:trPr>
          <w:trHeight w:val="235"/>
        </w:trPr>
        <w:tc>
          <w:tcPr>
            <w:tcW w:w="580" w:type="dxa"/>
            <w:vAlign w:val="bottom"/>
          </w:tcPr>
          <w:p>
            <w:pPr>
              <w:spacing w:after="0"/>
              <w:rPr>
                <w:sz w:val="20"/>
                <w:szCs w:val="20"/>
                <w:color w:val="auto"/>
              </w:rPr>
            </w:pPr>
          </w:p>
        </w:tc>
        <w:tc>
          <w:tcPr>
            <w:tcW w:w="9340" w:type="dxa"/>
            <w:vAlign w:val="bottom"/>
          </w:tcPr>
          <w:p>
            <w:pPr>
              <w:ind w:left="340"/>
              <w:spacing w:after="0"/>
              <w:rPr>
                <w:sz w:val="20"/>
                <w:szCs w:val="20"/>
                <w:color w:val="auto"/>
              </w:rPr>
            </w:pPr>
            <w:r>
              <w:rPr>
                <w:rFonts w:ascii="Calibri" w:cs="Calibri" w:eastAsia="Calibri" w:hAnsi="Calibri"/>
                <w:sz w:val="18"/>
                <w:szCs w:val="18"/>
                <w:color w:val="auto"/>
              </w:rPr>
              <w:t xml:space="preserve">agreement dated 21 January 2016 (the </w:t>
            </w:r>
            <w:r>
              <w:rPr>
                <w:rFonts w:ascii="Times New Roman" w:cs="Times New Roman" w:eastAsia="Times New Roman" w:hAnsi="Times New Roman"/>
                <w:sz w:val="18"/>
                <w:szCs w:val="18"/>
                <w:color w:val="auto"/>
              </w:rPr>
              <w:t>“</w:t>
            </w:r>
            <w:r>
              <w:rPr>
                <w:rFonts w:ascii="Calibri" w:cs="Calibri" w:eastAsia="Calibri" w:hAnsi="Calibri"/>
                <w:sz w:val="18"/>
                <w:szCs w:val="18"/>
                <w:b w:val="1"/>
                <w:bCs w:val="1"/>
                <w:color w:val="auto"/>
              </w:rPr>
              <w:t>Service Agreement</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and as an integral part of this employment, BK has served as</w:t>
            </w:r>
          </w:p>
        </w:tc>
      </w:tr>
      <w:tr>
        <w:trPr>
          <w:trHeight w:val="234"/>
        </w:trPr>
        <w:tc>
          <w:tcPr>
            <w:tcW w:w="580" w:type="dxa"/>
            <w:vAlign w:val="bottom"/>
          </w:tcPr>
          <w:p>
            <w:pPr>
              <w:spacing w:after="0"/>
              <w:rPr>
                <w:sz w:val="20"/>
                <w:szCs w:val="20"/>
                <w:color w:val="auto"/>
              </w:rPr>
            </w:pPr>
          </w:p>
        </w:tc>
        <w:tc>
          <w:tcPr>
            <w:tcW w:w="9340" w:type="dxa"/>
            <w:vAlign w:val="bottom"/>
          </w:tcPr>
          <w:p>
            <w:pPr>
              <w:ind w:left="340"/>
              <w:spacing w:after="0"/>
              <w:rPr>
                <w:sz w:val="20"/>
                <w:szCs w:val="20"/>
                <w:color w:val="auto"/>
              </w:rPr>
            </w:pPr>
            <w:r>
              <w:rPr>
                <w:rFonts w:ascii="Calibri" w:cs="Calibri" w:eastAsia="Calibri" w:hAnsi="Calibri"/>
                <w:sz w:val="18"/>
                <w:szCs w:val="18"/>
                <w:color w:val="auto"/>
              </w:rPr>
              <w:t xml:space="preserve">chairman of the Company`s board of directors (the </w:t>
            </w:r>
            <w:r>
              <w:rPr>
                <w:rFonts w:ascii="Times New Roman" w:cs="Times New Roman" w:eastAsia="Times New Roman" w:hAnsi="Times New Roman"/>
                <w:sz w:val="18"/>
                <w:szCs w:val="18"/>
                <w:color w:val="auto"/>
              </w:rPr>
              <w:t>“</w:t>
            </w:r>
            <w:r>
              <w:rPr>
                <w:rFonts w:ascii="Calibri" w:cs="Calibri" w:eastAsia="Calibri" w:hAnsi="Calibri"/>
                <w:sz w:val="18"/>
                <w:szCs w:val="18"/>
                <w:b w:val="1"/>
                <w:bCs w:val="1"/>
                <w:color w:val="auto"/>
              </w:rPr>
              <w:t>Board</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since 12 May 2022.</w:t>
            </w:r>
          </w:p>
        </w:tc>
      </w:tr>
      <w:tr>
        <w:trPr>
          <w:trHeight w:val="422"/>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1.2</w:t>
            </w:r>
          </w:p>
        </w:tc>
        <w:tc>
          <w:tcPr>
            <w:tcW w:w="9340" w:type="dxa"/>
            <w:vAlign w:val="bottom"/>
          </w:tcPr>
          <w:p>
            <w:pPr>
              <w:ind w:left="340"/>
              <w:spacing w:after="0"/>
              <w:rPr>
                <w:sz w:val="20"/>
                <w:szCs w:val="20"/>
                <w:color w:val="auto"/>
              </w:rPr>
            </w:pPr>
            <w:r>
              <w:rPr>
                <w:rFonts w:ascii="Calibri" w:cs="Calibri" w:eastAsia="Calibri" w:hAnsi="Calibri"/>
                <w:sz w:val="18"/>
                <w:szCs w:val="18"/>
                <w:color w:val="auto"/>
              </w:rPr>
              <w:t>As BK has expressed his wish to contnue his work life as an independent consultant through his private company,</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Investeringsselskabet GH ApS (cvr.nr. 31767520), the Partes have agreed that BK will resign from his employment with the</w:t>
            </w:r>
          </w:p>
        </w:tc>
      </w:tr>
      <w:tr>
        <w:trPr>
          <w:trHeight w:val="240"/>
        </w:trPr>
        <w:tc>
          <w:tcPr>
            <w:tcW w:w="580" w:type="dxa"/>
            <w:vAlign w:val="bottom"/>
          </w:tcPr>
          <w:p>
            <w:pPr>
              <w:spacing w:after="0"/>
              <w:rPr>
                <w:sz w:val="20"/>
                <w:szCs w:val="20"/>
                <w:color w:val="auto"/>
              </w:rPr>
            </w:pPr>
          </w:p>
        </w:tc>
        <w:tc>
          <w:tcPr>
            <w:tcW w:w="9340" w:type="dxa"/>
            <w:vAlign w:val="bottom"/>
          </w:tcPr>
          <w:p>
            <w:pPr>
              <w:ind w:left="340"/>
              <w:spacing w:after="0"/>
              <w:rPr>
                <w:sz w:val="20"/>
                <w:szCs w:val="20"/>
                <w:color w:val="auto"/>
              </w:rPr>
            </w:pPr>
            <w:r>
              <w:rPr>
                <w:rFonts w:ascii="Calibri" w:cs="Calibri" w:eastAsia="Calibri" w:hAnsi="Calibri"/>
                <w:sz w:val="18"/>
                <w:szCs w:val="18"/>
                <w:color w:val="auto"/>
              </w:rPr>
              <w:t xml:space="preserve">Company on 31 July 2024 (the </w:t>
            </w:r>
            <w:r>
              <w:rPr>
                <w:rFonts w:ascii="Times New Roman" w:cs="Times New Roman" w:eastAsia="Times New Roman" w:hAnsi="Times New Roman"/>
                <w:sz w:val="18"/>
                <w:szCs w:val="18"/>
                <w:color w:val="auto"/>
              </w:rPr>
              <w:t>“</w:t>
            </w:r>
            <w:r>
              <w:rPr>
                <w:rFonts w:ascii="Calibri" w:cs="Calibri" w:eastAsia="Calibri" w:hAnsi="Calibri"/>
                <w:sz w:val="18"/>
                <w:szCs w:val="18"/>
                <w:b w:val="1"/>
                <w:bCs w:val="1"/>
                <w:color w:val="auto"/>
              </w:rPr>
              <w:t>Efectve Date of Terminaton</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w:t>
            </w:r>
          </w:p>
        </w:tc>
      </w:tr>
      <w:tr>
        <w:trPr>
          <w:trHeight w:val="422"/>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1.3</w:t>
            </w:r>
          </w:p>
        </w:tc>
        <w:tc>
          <w:tcPr>
            <w:tcW w:w="9340" w:type="dxa"/>
            <w:vAlign w:val="bottom"/>
          </w:tcPr>
          <w:p>
            <w:pPr>
              <w:ind w:left="340"/>
              <w:spacing w:after="0"/>
              <w:rPr>
                <w:sz w:val="20"/>
                <w:szCs w:val="20"/>
                <w:color w:val="auto"/>
              </w:rPr>
            </w:pPr>
            <w:r>
              <w:rPr>
                <w:rFonts w:ascii="Calibri" w:cs="Calibri" w:eastAsia="Calibri" w:hAnsi="Calibri"/>
                <w:sz w:val="18"/>
                <w:szCs w:val="18"/>
                <w:color w:val="auto"/>
              </w:rPr>
              <w:t>The Company`s US-based parent company, Y-mAbs Therapeutcs, Inc., a Delaware corporaton, has expressed its interest in</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contractng with Investeringsselskabet GH ApS/BK as fnancial advisor post the Efectve Date of Terminaton and BK has</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expressed the interest in such afliaton.</w:t>
            </w:r>
          </w:p>
        </w:tc>
      </w:tr>
      <w:tr>
        <w:trPr>
          <w:trHeight w:val="432"/>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1.4</w:t>
            </w:r>
          </w:p>
        </w:tc>
        <w:tc>
          <w:tcPr>
            <w:tcW w:w="9340" w:type="dxa"/>
            <w:vAlign w:val="bottom"/>
          </w:tcPr>
          <w:p>
            <w:pPr>
              <w:ind w:left="340"/>
              <w:spacing w:after="0"/>
              <w:rPr>
                <w:sz w:val="20"/>
                <w:szCs w:val="20"/>
                <w:color w:val="auto"/>
              </w:rPr>
            </w:pPr>
            <w:r>
              <w:rPr>
                <w:rFonts w:ascii="Calibri" w:cs="Calibri" w:eastAsia="Calibri" w:hAnsi="Calibri"/>
                <w:sz w:val="18"/>
                <w:szCs w:val="18"/>
                <w:color w:val="auto"/>
              </w:rPr>
              <w:t>Negatons of the terms and conditons applying to such afliaton shall be set out in a separate Consultancy Agreement</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w w:val="99"/>
              </w:rPr>
              <w:t>exclusively between Y-mAbs Therapeutcs, Inc. and Investeringsselskabet GH ApS and shall be of no concern of the Company</w:t>
            </w:r>
          </w:p>
        </w:tc>
      </w:tr>
    </w:tbl>
    <w:p>
      <w:pPr>
        <w:spacing w:after="0" w:line="1" w:lineRule="exact"/>
        <w:rPr>
          <w:sz w:val="20"/>
          <w:szCs w:val="20"/>
          <w:color w:val="auto"/>
        </w:rPr>
      </w:pPr>
    </w:p>
    <w:p>
      <w:pPr>
        <w:ind w:left="920"/>
        <w:spacing w:after="0" w:line="256" w:lineRule="auto"/>
        <w:rPr>
          <w:sz w:val="20"/>
          <w:szCs w:val="20"/>
          <w:color w:val="auto"/>
        </w:rPr>
      </w:pPr>
      <w:r>
        <w:rPr>
          <w:rFonts w:ascii="Calibri" w:cs="Calibri" w:eastAsia="Calibri" w:hAnsi="Calibri"/>
          <w:sz w:val="18"/>
          <w:szCs w:val="18"/>
          <w:color w:val="auto"/>
        </w:rPr>
        <w:t xml:space="preserve">or have any impact on the employment relatonship between the Company and BK and/or the terms of cessaton set out in this separaton agreement (the </w:t>
      </w:r>
      <w:r>
        <w:rPr>
          <w:rFonts w:ascii="Times New Roman" w:cs="Times New Roman" w:eastAsia="Times New Roman" w:hAnsi="Times New Roman"/>
          <w:sz w:val="18"/>
          <w:szCs w:val="18"/>
          <w:color w:val="auto"/>
        </w:rPr>
        <w:t>“</w:t>
      </w:r>
      <w:r>
        <w:rPr>
          <w:rFonts w:ascii="Calibri" w:cs="Calibri" w:eastAsia="Calibri" w:hAnsi="Calibri"/>
          <w:sz w:val="18"/>
          <w:szCs w:val="18"/>
          <w:b w:val="1"/>
          <w:bCs w:val="1"/>
          <w:color w:val="auto"/>
        </w:rPr>
        <w:t>Agreement</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5" w:name="page6"/>
    <w:bookmarkEnd w:id="5"/>
    <w:p>
      <w:pPr>
        <w:ind w:left="920" w:hanging="917"/>
        <w:spacing w:after="0" w:line="235" w:lineRule="auto"/>
        <w:tabs>
          <w:tab w:leader="none" w:pos="900" w:val="left"/>
        </w:tabs>
        <w:rPr>
          <w:sz w:val="20"/>
          <w:szCs w:val="20"/>
          <w:color w:val="auto"/>
        </w:rPr>
      </w:pPr>
      <w:r>
        <w:rPr>
          <w:rFonts w:ascii="Calibri" w:cs="Calibri" w:eastAsia="Calibri" w:hAnsi="Calibri"/>
          <w:sz w:val="18"/>
          <w:szCs w:val="18"/>
          <w:color w:val="auto"/>
        </w:rPr>
        <w:t>1.5</w:t>
      </w:r>
      <w:r>
        <w:rPr>
          <w:sz w:val="20"/>
          <w:szCs w:val="20"/>
          <w:color w:val="auto"/>
        </w:rPr>
        <w:tab/>
      </w:r>
      <w:r>
        <w:rPr>
          <w:rFonts w:ascii="Calibri" w:cs="Calibri" w:eastAsia="Calibri" w:hAnsi="Calibri"/>
          <w:sz w:val="18"/>
          <w:szCs w:val="18"/>
          <w:color w:val="auto"/>
        </w:rPr>
        <w:t>All maters relatng to the cessaton of BK`s employment relatonship with the Company is as further set out in this Agreement.</w:t>
      </w:r>
    </w:p>
    <w:p>
      <w:pPr>
        <w:spacing w:after="0" w:line="213" w:lineRule="exact"/>
        <w:rPr>
          <w:sz w:val="20"/>
          <w:szCs w:val="20"/>
          <w:color w:val="auto"/>
        </w:rPr>
      </w:pPr>
    </w:p>
    <w:p>
      <w:pPr>
        <w:ind w:left="920" w:hanging="912"/>
        <w:spacing w:after="0"/>
        <w:tabs>
          <w:tab w:leader="none" w:pos="920" w:val="left"/>
        </w:tabs>
        <w:numPr>
          <w:ilvl w:val="0"/>
          <w:numId w:val="4"/>
        </w:numPr>
        <w:rPr>
          <w:rFonts w:ascii="Calibri" w:cs="Calibri" w:eastAsia="Calibri" w:hAnsi="Calibri"/>
          <w:sz w:val="18"/>
          <w:szCs w:val="18"/>
          <w:color w:val="auto"/>
        </w:rPr>
      </w:pPr>
      <w:r>
        <w:rPr>
          <w:rFonts w:ascii="Calibri" w:cs="Calibri" w:eastAsia="Calibri" w:hAnsi="Calibri"/>
          <w:sz w:val="18"/>
          <w:szCs w:val="18"/>
          <w:b w:val="1"/>
          <w:bCs w:val="1"/>
          <w:color w:val="auto"/>
        </w:rPr>
        <w:t>Work dutes untl the Efectve Date of Terminaton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2.1</w:t>
            </w:r>
          </w:p>
        </w:tc>
        <w:tc>
          <w:tcPr>
            <w:tcW w:w="9340" w:type="dxa"/>
            <w:vAlign w:val="bottom"/>
            <w:gridSpan w:val="3"/>
          </w:tcPr>
          <w:p>
            <w:pPr>
              <w:ind w:left="340"/>
              <w:spacing w:after="0"/>
              <w:rPr>
                <w:sz w:val="20"/>
                <w:szCs w:val="20"/>
                <w:color w:val="auto"/>
              </w:rPr>
            </w:pPr>
            <w:r>
              <w:rPr>
                <w:rFonts w:ascii="Calibri" w:cs="Calibri" w:eastAsia="Calibri" w:hAnsi="Calibri"/>
                <w:sz w:val="18"/>
                <w:szCs w:val="18"/>
                <w:color w:val="auto"/>
                <w:w w:val="98"/>
              </w:rPr>
              <w:t>BK is duly informed that the Company has already initated the process of recruitng a new employee to take over the positon</w:t>
            </w:r>
          </w:p>
        </w:tc>
      </w:tr>
      <w:tr>
        <w:trPr>
          <w:trHeight w:val="216"/>
        </w:trPr>
        <w:tc>
          <w:tcPr>
            <w:tcW w:w="580" w:type="dxa"/>
            <w:vAlign w:val="bottom"/>
          </w:tcPr>
          <w:p>
            <w:pPr>
              <w:spacing w:after="0"/>
              <w:rPr>
                <w:sz w:val="18"/>
                <w:szCs w:val="18"/>
                <w:color w:val="auto"/>
              </w:rPr>
            </w:pPr>
          </w:p>
        </w:tc>
        <w:tc>
          <w:tcPr>
            <w:tcW w:w="9340" w:type="dxa"/>
            <w:vAlign w:val="bottom"/>
            <w:gridSpan w:val="3"/>
          </w:tcPr>
          <w:p>
            <w:pPr>
              <w:ind w:left="340"/>
              <w:spacing w:after="0" w:line="216" w:lineRule="exact"/>
              <w:rPr>
                <w:sz w:val="20"/>
                <w:szCs w:val="20"/>
                <w:color w:val="auto"/>
              </w:rPr>
            </w:pPr>
            <w:r>
              <w:rPr>
                <w:rFonts w:ascii="Calibri" w:cs="Calibri" w:eastAsia="Calibri" w:hAnsi="Calibri"/>
                <w:sz w:val="18"/>
                <w:szCs w:val="18"/>
                <w:color w:val="auto"/>
              </w:rPr>
              <w:t>as CFO, and that currently there is a candidate identfed for the positon. Against this background, BK will contnue his usual</w:t>
            </w:r>
          </w:p>
        </w:tc>
      </w:tr>
      <w:tr>
        <w:trPr>
          <w:trHeight w:val="216"/>
        </w:trPr>
        <w:tc>
          <w:tcPr>
            <w:tcW w:w="580" w:type="dxa"/>
            <w:vAlign w:val="bottom"/>
          </w:tcPr>
          <w:p>
            <w:pPr>
              <w:spacing w:after="0"/>
              <w:rPr>
                <w:sz w:val="18"/>
                <w:szCs w:val="18"/>
                <w:color w:val="auto"/>
              </w:rPr>
            </w:pPr>
          </w:p>
        </w:tc>
        <w:tc>
          <w:tcPr>
            <w:tcW w:w="9340" w:type="dxa"/>
            <w:vAlign w:val="bottom"/>
            <w:gridSpan w:val="3"/>
          </w:tcPr>
          <w:p>
            <w:pPr>
              <w:ind w:left="340"/>
              <w:spacing w:after="0" w:line="216" w:lineRule="exact"/>
              <w:rPr>
                <w:sz w:val="20"/>
                <w:szCs w:val="20"/>
                <w:color w:val="auto"/>
              </w:rPr>
            </w:pPr>
            <w:r>
              <w:rPr>
                <w:rFonts w:ascii="Calibri" w:cs="Calibri" w:eastAsia="Calibri" w:hAnsi="Calibri"/>
                <w:sz w:val="18"/>
                <w:szCs w:val="18"/>
                <w:color w:val="auto"/>
              </w:rPr>
              <w:t>work untl the right candidate has been onboarded.</w:t>
            </w:r>
          </w:p>
        </w:tc>
      </w:tr>
      <w:tr>
        <w:trPr>
          <w:trHeight w:val="451"/>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2.2</w:t>
            </w:r>
          </w:p>
        </w:tc>
        <w:tc>
          <w:tcPr>
            <w:tcW w:w="9340" w:type="dxa"/>
            <w:vAlign w:val="bottom"/>
            <w:gridSpan w:val="3"/>
          </w:tcPr>
          <w:p>
            <w:pPr>
              <w:ind w:left="340"/>
              <w:spacing w:after="0"/>
              <w:rPr>
                <w:sz w:val="20"/>
                <w:szCs w:val="20"/>
                <w:color w:val="auto"/>
              </w:rPr>
            </w:pPr>
            <w:r>
              <w:rPr>
                <w:rFonts w:ascii="Calibri" w:cs="Calibri" w:eastAsia="Calibri" w:hAnsi="Calibri"/>
                <w:sz w:val="18"/>
                <w:szCs w:val="18"/>
                <w:color w:val="auto"/>
              </w:rPr>
              <w:t xml:space="preserve">With efect from the date on which the new CFO commences his employment with the Company (the </w:t>
            </w:r>
            <w:r>
              <w:rPr>
                <w:rFonts w:ascii="Times New Roman" w:cs="Times New Roman" w:eastAsia="Times New Roman" w:hAnsi="Times New Roman"/>
                <w:sz w:val="18"/>
                <w:szCs w:val="18"/>
                <w:color w:val="auto"/>
              </w:rPr>
              <w:t>“</w:t>
            </w:r>
            <w:r>
              <w:rPr>
                <w:rFonts w:ascii="Calibri" w:cs="Calibri" w:eastAsia="Calibri" w:hAnsi="Calibri"/>
                <w:sz w:val="18"/>
                <w:szCs w:val="18"/>
                <w:b w:val="1"/>
                <w:bCs w:val="1"/>
                <w:color w:val="auto"/>
              </w:rPr>
              <w:t>Commencement</w:t>
            </w:r>
          </w:p>
        </w:tc>
      </w:tr>
      <w:tr>
        <w:trPr>
          <w:trHeight w:val="225"/>
        </w:trPr>
        <w:tc>
          <w:tcPr>
            <w:tcW w:w="580" w:type="dxa"/>
            <w:vAlign w:val="bottom"/>
          </w:tcPr>
          <w:p>
            <w:pPr>
              <w:spacing w:after="0"/>
              <w:rPr>
                <w:sz w:val="19"/>
                <w:szCs w:val="19"/>
                <w:color w:val="auto"/>
              </w:rPr>
            </w:pPr>
          </w:p>
        </w:tc>
        <w:tc>
          <w:tcPr>
            <w:tcW w:w="9340" w:type="dxa"/>
            <w:vAlign w:val="bottom"/>
            <w:gridSpan w:val="3"/>
          </w:tcPr>
          <w:p>
            <w:pPr>
              <w:ind w:left="340"/>
              <w:spacing w:after="0"/>
              <w:rPr>
                <w:sz w:val="20"/>
                <w:szCs w:val="20"/>
                <w:color w:val="auto"/>
              </w:rPr>
            </w:pPr>
            <w:r>
              <w:rPr>
                <w:rFonts w:ascii="Calibri" w:cs="Calibri" w:eastAsia="Calibri" w:hAnsi="Calibri"/>
                <w:sz w:val="18"/>
                <w:szCs w:val="18"/>
                <w:b w:val="1"/>
                <w:bCs w:val="1"/>
                <w:color w:val="auto"/>
              </w:rPr>
              <w:t>Date</w:t>
            </w:r>
            <w:r>
              <w:rPr>
                <w:rFonts w:ascii="Times New Roman" w:cs="Times New Roman" w:eastAsia="Times New Roman" w:hAnsi="Times New Roman"/>
                <w:sz w:val="18"/>
                <w:szCs w:val="18"/>
                <w:color w:val="auto"/>
              </w:rPr>
              <w: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untl the Efectve Date of Terminaton, BK shall contnue to work, but with primary focus of assistng with the proper</w:t>
            </w:r>
          </w:p>
        </w:tc>
      </w:tr>
      <w:tr>
        <w:trPr>
          <w:trHeight w:val="215"/>
        </w:trPr>
        <w:tc>
          <w:tcPr>
            <w:tcW w:w="580" w:type="dxa"/>
            <w:vAlign w:val="bottom"/>
          </w:tcPr>
          <w:p>
            <w:pPr>
              <w:spacing w:after="0"/>
              <w:rPr>
                <w:sz w:val="18"/>
                <w:szCs w:val="18"/>
                <w:color w:val="auto"/>
              </w:rPr>
            </w:pPr>
          </w:p>
        </w:tc>
        <w:tc>
          <w:tcPr>
            <w:tcW w:w="9340" w:type="dxa"/>
            <w:vAlign w:val="bottom"/>
            <w:gridSpan w:val="3"/>
          </w:tcPr>
          <w:p>
            <w:pPr>
              <w:ind w:left="340"/>
              <w:spacing w:after="0" w:line="215" w:lineRule="exact"/>
              <w:rPr>
                <w:sz w:val="20"/>
                <w:szCs w:val="20"/>
                <w:color w:val="auto"/>
              </w:rPr>
            </w:pPr>
            <w:r>
              <w:rPr>
                <w:rFonts w:ascii="Calibri" w:cs="Calibri" w:eastAsia="Calibri" w:hAnsi="Calibri"/>
                <w:sz w:val="18"/>
                <w:szCs w:val="18"/>
                <w:color w:val="auto"/>
                <w:w w:val="98"/>
              </w:rPr>
              <w:t>onboarding of the new CFO including introducton to the Company's fnancial systems and hand-over of all uncompleted work</w:t>
            </w:r>
          </w:p>
        </w:tc>
      </w:tr>
      <w:tr>
        <w:trPr>
          <w:trHeight w:val="216"/>
        </w:trPr>
        <w:tc>
          <w:tcPr>
            <w:tcW w:w="580" w:type="dxa"/>
            <w:vAlign w:val="bottom"/>
          </w:tcPr>
          <w:p>
            <w:pPr>
              <w:spacing w:after="0"/>
              <w:rPr>
                <w:sz w:val="18"/>
                <w:szCs w:val="18"/>
                <w:color w:val="auto"/>
              </w:rPr>
            </w:pPr>
          </w:p>
        </w:tc>
        <w:tc>
          <w:tcPr>
            <w:tcW w:w="9340" w:type="dxa"/>
            <w:vAlign w:val="bottom"/>
            <w:gridSpan w:val="3"/>
          </w:tcPr>
          <w:p>
            <w:pPr>
              <w:ind w:left="340"/>
              <w:spacing w:after="0" w:line="216" w:lineRule="exact"/>
              <w:rPr>
                <w:sz w:val="20"/>
                <w:szCs w:val="20"/>
                <w:color w:val="auto"/>
              </w:rPr>
            </w:pPr>
            <w:r>
              <w:rPr>
                <w:rFonts w:ascii="Calibri" w:cs="Calibri" w:eastAsia="Calibri" w:hAnsi="Calibri"/>
                <w:sz w:val="18"/>
                <w:szCs w:val="18"/>
                <w:color w:val="auto"/>
              </w:rPr>
              <w:t>tasks.</w:t>
            </w:r>
          </w:p>
        </w:tc>
      </w:tr>
      <w:tr>
        <w:trPr>
          <w:trHeight w:val="432"/>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2.3</w:t>
            </w:r>
          </w:p>
        </w:tc>
        <w:tc>
          <w:tcPr>
            <w:tcW w:w="9340" w:type="dxa"/>
            <w:vAlign w:val="bottom"/>
            <w:gridSpan w:val="3"/>
          </w:tcPr>
          <w:p>
            <w:pPr>
              <w:ind w:left="340"/>
              <w:spacing w:after="0"/>
              <w:rPr>
                <w:sz w:val="20"/>
                <w:szCs w:val="20"/>
                <w:color w:val="auto"/>
              </w:rPr>
            </w:pPr>
            <w:r>
              <w:rPr>
                <w:rFonts w:ascii="Calibri" w:cs="Calibri" w:eastAsia="Calibri" w:hAnsi="Calibri"/>
                <w:sz w:val="18"/>
                <w:szCs w:val="18"/>
                <w:color w:val="auto"/>
              </w:rPr>
              <w:t>Untl otherwise decided BK shall remain as chairman of the Company`s Board, potentally also post the Efectve Date of</w:t>
            </w:r>
          </w:p>
        </w:tc>
      </w:tr>
      <w:tr>
        <w:trPr>
          <w:trHeight w:val="216"/>
        </w:trPr>
        <w:tc>
          <w:tcPr>
            <w:tcW w:w="580" w:type="dxa"/>
            <w:vAlign w:val="bottom"/>
          </w:tcPr>
          <w:p>
            <w:pPr>
              <w:spacing w:after="0"/>
              <w:rPr>
                <w:sz w:val="18"/>
                <w:szCs w:val="18"/>
                <w:color w:val="auto"/>
              </w:rPr>
            </w:pPr>
          </w:p>
        </w:tc>
        <w:tc>
          <w:tcPr>
            <w:tcW w:w="9340" w:type="dxa"/>
            <w:vAlign w:val="bottom"/>
            <w:gridSpan w:val="3"/>
          </w:tcPr>
          <w:p>
            <w:pPr>
              <w:ind w:left="340"/>
              <w:spacing w:after="0" w:line="216" w:lineRule="exact"/>
              <w:rPr>
                <w:sz w:val="20"/>
                <w:szCs w:val="20"/>
                <w:color w:val="auto"/>
              </w:rPr>
            </w:pPr>
            <w:r>
              <w:rPr>
                <w:rFonts w:ascii="Calibri" w:cs="Calibri" w:eastAsia="Calibri" w:hAnsi="Calibri"/>
                <w:sz w:val="18"/>
                <w:szCs w:val="18"/>
                <w:color w:val="auto"/>
              </w:rPr>
              <w:t>Terminaton.</w:t>
            </w:r>
          </w:p>
        </w:tc>
      </w:tr>
      <w:tr>
        <w:trPr>
          <w:trHeight w:val="401"/>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Calibri" w:cs="Calibri" w:eastAsia="Calibri" w:hAnsi="Calibri"/>
                <w:sz w:val="18"/>
                <w:szCs w:val="18"/>
                <w:color w:val="auto"/>
              </w:rPr>
              <w:t>Last working day and return of belongings to the Company.</w:t>
            </w: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443"/>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2.4</w:t>
            </w:r>
          </w:p>
        </w:tc>
        <w:tc>
          <w:tcPr>
            <w:tcW w:w="34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Calibri" w:cs="Calibri" w:eastAsia="Calibri" w:hAnsi="Calibri"/>
                <w:sz w:val="18"/>
                <w:szCs w:val="18"/>
                <w:color w:val="auto"/>
              </w:rPr>
              <w:t>BK`s last working day is Wednesday 31 July 2024, unless holiday is utlized up to the Efectve Date of Terminaton, cf. clause</w:t>
            </w:r>
          </w:p>
        </w:tc>
      </w:tr>
      <w:tr>
        <w:trPr>
          <w:trHeight w:val="216"/>
        </w:trPr>
        <w:tc>
          <w:tcPr>
            <w:tcW w:w="580" w:type="dxa"/>
            <w:vAlign w:val="bottom"/>
          </w:tcPr>
          <w:p>
            <w:pPr>
              <w:spacing w:after="0"/>
              <w:rPr>
                <w:sz w:val="18"/>
                <w:szCs w:val="18"/>
                <w:color w:val="auto"/>
              </w:rPr>
            </w:pPr>
          </w:p>
        </w:tc>
        <w:tc>
          <w:tcPr>
            <w:tcW w:w="9340" w:type="dxa"/>
            <w:vAlign w:val="bottom"/>
            <w:gridSpan w:val="3"/>
          </w:tcPr>
          <w:p>
            <w:pPr>
              <w:ind w:left="340"/>
              <w:spacing w:after="0" w:line="216" w:lineRule="exact"/>
              <w:rPr>
                <w:sz w:val="20"/>
                <w:szCs w:val="20"/>
                <w:color w:val="auto"/>
              </w:rPr>
            </w:pPr>
            <w:r>
              <w:rPr>
                <w:rFonts w:ascii="Calibri" w:cs="Calibri" w:eastAsia="Calibri" w:hAnsi="Calibri"/>
                <w:sz w:val="18"/>
                <w:szCs w:val="18"/>
                <w:color w:val="auto"/>
              </w:rPr>
              <w:t>5.1 below.</w:t>
            </w:r>
          </w:p>
        </w:tc>
      </w:tr>
      <w:tr>
        <w:trPr>
          <w:trHeight w:val="432"/>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2.5</w:t>
            </w:r>
          </w:p>
        </w:tc>
        <w:tc>
          <w:tcPr>
            <w:tcW w:w="9340" w:type="dxa"/>
            <w:vAlign w:val="bottom"/>
            <w:gridSpan w:val="3"/>
          </w:tcPr>
          <w:p>
            <w:pPr>
              <w:ind w:left="340"/>
              <w:spacing w:after="0"/>
              <w:rPr>
                <w:sz w:val="20"/>
                <w:szCs w:val="20"/>
                <w:color w:val="auto"/>
              </w:rPr>
            </w:pPr>
            <w:r>
              <w:rPr>
                <w:rFonts w:ascii="Calibri" w:cs="Calibri" w:eastAsia="Calibri" w:hAnsi="Calibri"/>
                <w:sz w:val="18"/>
                <w:szCs w:val="18"/>
                <w:color w:val="auto"/>
              </w:rPr>
              <w:t>On the last working day, BK shall return keys/access cards, laptop and any other IT-equipment, any other type of property</w:t>
            </w:r>
          </w:p>
        </w:tc>
      </w:tr>
      <w:tr>
        <w:trPr>
          <w:trHeight w:val="216"/>
        </w:trPr>
        <w:tc>
          <w:tcPr>
            <w:tcW w:w="580" w:type="dxa"/>
            <w:vAlign w:val="bottom"/>
          </w:tcPr>
          <w:p>
            <w:pPr>
              <w:spacing w:after="0"/>
              <w:rPr>
                <w:sz w:val="18"/>
                <w:szCs w:val="18"/>
                <w:color w:val="auto"/>
              </w:rPr>
            </w:pPr>
          </w:p>
        </w:tc>
        <w:tc>
          <w:tcPr>
            <w:tcW w:w="9340" w:type="dxa"/>
            <w:vAlign w:val="bottom"/>
            <w:gridSpan w:val="3"/>
          </w:tcPr>
          <w:p>
            <w:pPr>
              <w:ind w:left="340"/>
              <w:spacing w:after="0" w:line="216" w:lineRule="exact"/>
              <w:rPr>
                <w:sz w:val="20"/>
                <w:szCs w:val="20"/>
                <w:color w:val="auto"/>
              </w:rPr>
            </w:pPr>
            <w:r>
              <w:rPr>
                <w:rFonts w:ascii="Calibri" w:cs="Calibri" w:eastAsia="Calibri" w:hAnsi="Calibri"/>
                <w:sz w:val="18"/>
                <w:szCs w:val="18"/>
                <w:color w:val="auto"/>
                <w:w w:val="99"/>
              </w:rPr>
              <w:t>together with all documents (whether in physical or electronic form and including all copies) belonging to the Company and</w:t>
            </w:r>
          </w:p>
        </w:tc>
      </w:tr>
      <w:tr>
        <w:trPr>
          <w:trHeight w:val="216"/>
        </w:trPr>
        <w:tc>
          <w:tcPr>
            <w:tcW w:w="580" w:type="dxa"/>
            <w:vAlign w:val="bottom"/>
          </w:tcPr>
          <w:p>
            <w:pPr>
              <w:spacing w:after="0"/>
              <w:rPr>
                <w:sz w:val="18"/>
                <w:szCs w:val="18"/>
                <w:color w:val="auto"/>
              </w:rPr>
            </w:pPr>
          </w:p>
        </w:tc>
        <w:tc>
          <w:tcPr>
            <w:tcW w:w="9340" w:type="dxa"/>
            <w:vAlign w:val="bottom"/>
            <w:gridSpan w:val="3"/>
          </w:tcPr>
          <w:p>
            <w:pPr>
              <w:ind w:left="340"/>
              <w:spacing w:after="0" w:line="216" w:lineRule="exact"/>
              <w:rPr>
                <w:sz w:val="20"/>
                <w:szCs w:val="20"/>
                <w:color w:val="auto"/>
              </w:rPr>
            </w:pPr>
            <w:r>
              <w:rPr>
                <w:rFonts w:ascii="Calibri" w:cs="Calibri" w:eastAsia="Calibri" w:hAnsi="Calibri"/>
                <w:sz w:val="18"/>
                <w:szCs w:val="18"/>
                <w:color w:val="auto"/>
              </w:rPr>
              <w:t>being  in  BK`s  possession,  including,  but  not  limited  to,  internal  work  documents,  concepts,  and  business-related</w:t>
            </w:r>
          </w:p>
        </w:tc>
      </w:tr>
      <w:tr>
        <w:trPr>
          <w:trHeight w:val="216"/>
        </w:trPr>
        <w:tc>
          <w:tcPr>
            <w:tcW w:w="580" w:type="dxa"/>
            <w:vAlign w:val="bottom"/>
          </w:tcPr>
          <w:p>
            <w:pPr>
              <w:spacing w:after="0"/>
              <w:rPr>
                <w:sz w:val="18"/>
                <w:szCs w:val="18"/>
                <w:color w:val="auto"/>
              </w:rPr>
            </w:pPr>
          </w:p>
        </w:tc>
        <w:tc>
          <w:tcPr>
            <w:tcW w:w="9340" w:type="dxa"/>
            <w:vAlign w:val="bottom"/>
            <w:gridSpan w:val="3"/>
          </w:tcPr>
          <w:p>
            <w:pPr>
              <w:ind w:left="340"/>
              <w:spacing w:after="0" w:line="216" w:lineRule="exact"/>
              <w:rPr>
                <w:sz w:val="20"/>
                <w:szCs w:val="20"/>
                <w:color w:val="auto"/>
              </w:rPr>
            </w:pPr>
            <w:r>
              <w:rPr>
                <w:rFonts w:ascii="Calibri" w:cs="Calibri" w:eastAsia="Calibri" w:hAnsi="Calibri"/>
                <w:sz w:val="18"/>
                <w:szCs w:val="18"/>
                <w:color w:val="auto"/>
              </w:rPr>
              <w:t>correspondence.</w:t>
            </w:r>
          </w:p>
        </w:tc>
      </w:tr>
      <w:tr>
        <w:trPr>
          <w:trHeight w:val="432"/>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2.6</w:t>
            </w:r>
          </w:p>
        </w:tc>
        <w:tc>
          <w:tcPr>
            <w:tcW w:w="9340" w:type="dxa"/>
            <w:vAlign w:val="bottom"/>
            <w:gridSpan w:val="3"/>
          </w:tcPr>
          <w:p>
            <w:pPr>
              <w:ind w:left="340"/>
              <w:spacing w:after="0"/>
              <w:rPr>
                <w:sz w:val="20"/>
                <w:szCs w:val="20"/>
                <w:color w:val="auto"/>
              </w:rPr>
            </w:pPr>
            <w:r>
              <w:rPr>
                <w:rFonts w:ascii="Calibri" w:cs="Calibri" w:eastAsia="Calibri" w:hAnsi="Calibri"/>
                <w:sz w:val="18"/>
                <w:szCs w:val="18"/>
                <w:color w:val="auto"/>
              </w:rPr>
              <w:t>With respect to paid internet access at BK private address and payment of accident insurance for the beneft of BK, these</w:t>
            </w:r>
          </w:p>
        </w:tc>
      </w:tr>
      <w:tr>
        <w:trPr>
          <w:trHeight w:val="216"/>
        </w:trPr>
        <w:tc>
          <w:tcPr>
            <w:tcW w:w="580" w:type="dxa"/>
            <w:vAlign w:val="bottom"/>
          </w:tcPr>
          <w:p>
            <w:pPr>
              <w:spacing w:after="0"/>
              <w:rPr>
                <w:sz w:val="18"/>
                <w:szCs w:val="18"/>
                <w:color w:val="auto"/>
              </w:rPr>
            </w:pPr>
          </w:p>
        </w:tc>
        <w:tc>
          <w:tcPr>
            <w:tcW w:w="9340" w:type="dxa"/>
            <w:vAlign w:val="bottom"/>
            <w:gridSpan w:val="3"/>
          </w:tcPr>
          <w:p>
            <w:pPr>
              <w:ind w:left="340"/>
              <w:spacing w:after="0" w:line="216" w:lineRule="exact"/>
              <w:rPr>
                <w:sz w:val="20"/>
                <w:szCs w:val="20"/>
                <w:color w:val="auto"/>
              </w:rPr>
            </w:pPr>
            <w:r>
              <w:rPr>
                <w:rFonts w:ascii="Calibri" w:cs="Calibri" w:eastAsia="Calibri" w:hAnsi="Calibri"/>
                <w:sz w:val="18"/>
                <w:szCs w:val="18"/>
                <w:color w:val="auto"/>
              </w:rPr>
              <w:t>subscriptons will be terminated by the Company to expire efectve as from 1 August 2024.</w:t>
            </w:r>
          </w:p>
        </w:tc>
      </w:tr>
    </w:tbl>
    <w:p>
      <w:pPr>
        <w:spacing w:after="0" w:line="212" w:lineRule="exact"/>
        <w:rPr>
          <w:sz w:val="20"/>
          <w:szCs w:val="20"/>
          <w:color w:val="auto"/>
        </w:rPr>
      </w:pPr>
    </w:p>
    <w:p>
      <w:pPr>
        <w:ind w:left="920" w:hanging="912"/>
        <w:spacing w:after="0"/>
        <w:tabs>
          <w:tab w:leader="none" w:pos="920" w:val="left"/>
        </w:tabs>
        <w:numPr>
          <w:ilvl w:val="0"/>
          <w:numId w:val="5"/>
        </w:numPr>
        <w:rPr>
          <w:rFonts w:ascii="Calibri" w:cs="Calibri" w:eastAsia="Calibri" w:hAnsi="Calibri"/>
          <w:sz w:val="18"/>
          <w:szCs w:val="18"/>
          <w:color w:val="auto"/>
        </w:rPr>
      </w:pPr>
      <w:r>
        <w:rPr>
          <w:rFonts w:ascii="Calibri" w:cs="Calibri" w:eastAsia="Calibri" w:hAnsi="Calibri"/>
          <w:sz w:val="18"/>
          <w:szCs w:val="18"/>
          <w:b w:val="1"/>
          <w:bCs w:val="1"/>
          <w:color w:val="auto"/>
        </w:rPr>
        <w:t>Payment of cash compensaton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3.1</w:t>
            </w:r>
          </w:p>
        </w:tc>
        <w:tc>
          <w:tcPr>
            <w:tcW w:w="9340" w:type="dxa"/>
            <w:vAlign w:val="bottom"/>
          </w:tcPr>
          <w:p>
            <w:pPr>
              <w:ind w:left="340"/>
              <w:spacing w:after="0"/>
              <w:rPr>
                <w:sz w:val="20"/>
                <w:szCs w:val="20"/>
                <w:color w:val="auto"/>
              </w:rPr>
            </w:pPr>
            <w:r>
              <w:rPr>
                <w:rFonts w:ascii="Calibri" w:cs="Calibri" w:eastAsia="Calibri" w:hAnsi="Calibri"/>
                <w:sz w:val="18"/>
                <w:szCs w:val="18"/>
                <w:color w:val="auto"/>
              </w:rPr>
              <w:t>Up to and including the Efectve Date of Terminaton, BK will receive his usual monthly gross salary currently DKK 295,967.</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payable in arrears on or before the last working day of the month.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6" w:name="page7"/>
    <w:bookmarkEnd w:id="6"/>
    <w:p>
      <w:pPr>
        <w:ind w:left="920" w:right="7820" w:hanging="912"/>
        <w:spacing w:after="0" w:line="499" w:lineRule="auto"/>
        <w:tabs>
          <w:tab w:leader="none" w:pos="919" w:val="left"/>
        </w:tabs>
        <w:numPr>
          <w:ilvl w:val="0"/>
          <w:numId w:val="6"/>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Bonus and RSUs </w:t>
      </w:r>
      <w:r>
        <w:rPr>
          <w:rFonts w:ascii="Calibri" w:cs="Calibri" w:eastAsia="Calibri" w:hAnsi="Calibri"/>
          <w:sz w:val="17"/>
          <w:szCs w:val="17"/>
          <w:u w:val="single" w:color="auto"/>
          <w:color w:val="auto"/>
        </w:rPr>
        <w:t>Bonus 2023</w:t>
      </w: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250"/>
              <w:spacing w:after="0" w:line="216" w:lineRule="exact"/>
              <w:rPr>
                <w:sz w:val="20"/>
                <w:szCs w:val="20"/>
                <w:color w:val="auto"/>
              </w:rPr>
            </w:pPr>
            <w:r>
              <w:rPr>
                <w:rFonts w:ascii="Calibri" w:cs="Calibri" w:eastAsia="Calibri" w:hAnsi="Calibri"/>
                <w:sz w:val="18"/>
                <w:szCs w:val="18"/>
                <w:color w:val="auto"/>
                <w:w w:val="96"/>
              </w:rPr>
              <w:t>4.1</w:t>
            </w:r>
          </w:p>
        </w:tc>
        <w:tc>
          <w:tcPr>
            <w:tcW w:w="9340" w:type="dxa"/>
            <w:vAlign w:val="bottom"/>
            <w:gridSpan w:val="4"/>
          </w:tcPr>
          <w:p>
            <w:pPr>
              <w:ind w:left="340"/>
              <w:spacing w:after="0" w:line="216" w:lineRule="exact"/>
              <w:rPr>
                <w:sz w:val="20"/>
                <w:szCs w:val="20"/>
                <w:color w:val="auto"/>
              </w:rPr>
            </w:pPr>
            <w:r>
              <w:rPr>
                <w:rFonts w:ascii="Calibri" w:cs="Calibri" w:eastAsia="Calibri" w:hAnsi="Calibri"/>
                <w:sz w:val="18"/>
                <w:szCs w:val="18"/>
                <w:color w:val="auto"/>
              </w:rPr>
              <w:t>BK has already received full payment of bonus for FY-2023.</w:t>
            </w:r>
          </w:p>
        </w:tc>
      </w:tr>
      <w:tr>
        <w:trPr>
          <w:trHeight w:val="401"/>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0" w:type="dxa"/>
            <w:vAlign w:val="bottom"/>
            <w:gridSpan w:val="3"/>
          </w:tcPr>
          <w:p>
            <w:pPr>
              <w:spacing w:after="0"/>
              <w:rPr>
                <w:sz w:val="20"/>
                <w:szCs w:val="20"/>
                <w:color w:val="auto"/>
              </w:rPr>
            </w:pPr>
            <w:r>
              <w:rPr>
                <w:rFonts w:ascii="Calibri" w:cs="Calibri" w:eastAsia="Calibri" w:hAnsi="Calibri"/>
                <w:sz w:val="18"/>
                <w:szCs w:val="18"/>
                <w:color w:val="auto"/>
              </w:rPr>
              <w:t>Bonus 2024</w:t>
            </w: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443"/>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4.2</w:t>
            </w:r>
          </w:p>
        </w:tc>
        <w:tc>
          <w:tcPr>
            <w:tcW w:w="340" w:type="dxa"/>
            <w:vAlign w:val="bottom"/>
          </w:tcPr>
          <w:p>
            <w:pPr>
              <w:spacing w:after="0"/>
              <w:rPr>
                <w:sz w:val="24"/>
                <w:szCs w:val="24"/>
                <w:color w:val="auto"/>
              </w:rPr>
            </w:pPr>
          </w:p>
        </w:tc>
        <w:tc>
          <w:tcPr>
            <w:tcW w:w="9000" w:type="dxa"/>
            <w:vAlign w:val="bottom"/>
            <w:gridSpan w:val="3"/>
          </w:tcPr>
          <w:p>
            <w:pPr>
              <w:spacing w:after="0"/>
              <w:rPr>
                <w:sz w:val="20"/>
                <w:szCs w:val="20"/>
                <w:color w:val="auto"/>
              </w:rPr>
            </w:pPr>
            <w:r>
              <w:rPr>
                <w:rFonts w:ascii="Calibri" w:cs="Calibri" w:eastAsia="Calibri" w:hAnsi="Calibri"/>
                <w:sz w:val="18"/>
                <w:szCs w:val="18"/>
                <w:color w:val="auto"/>
              </w:rPr>
              <w:t>The Partes have agreed that BK shall receive a fxed amount of DKK 1,035,886.67 (gross) in full and fnal setlement of</w:t>
            </w:r>
          </w:p>
        </w:tc>
      </w:tr>
      <w:tr>
        <w:trPr>
          <w:trHeight w:val="216"/>
        </w:trPr>
        <w:tc>
          <w:tcPr>
            <w:tcW w:w="580" w:type="dxa"/>
            <w:vAlign w:val="bottom"/>
          </w:tcPr>
          <w:p>
            <w:pPr>
              <w:spacing w:after="0"/>
              <w:rPr>
                <w:sz w:val="18"/>
                <w:szCs w:val="18"/>
                <w:color w:val="auto"/>
              </w:rPr>
            </w:pPr>
          </w:p>
        </w:tc>
        <w:tc>
          <w:tcPr>
            <w:tcW w:w="9340" w:type="dxa"/>
            <w:vAlign w:val="bottom"/>
            <w:gridSpan w:val="4"/>
          </w:tcPr>
          <w:p>
            <w:pPr>
              <w:ind w:left="340"/>
              <w:spacing w:after="0" w:line="216" w:lineRule="exact"/>
              <w:rPr>
                <w:sz w:val="20"/>
                <w:szCs w:val="20"/>
                <w:color w:val="auto"/>
              </w:rPr>
            </w:pPr>
            <w:r>
              <w:rPr>
                <w:rFonts w:ascii="Calibri" w:cs="Calibri" w:eastAsia="Calibri" w:hAnsi="Calibri"/>
                <w:sz w:val="18"/>
                <w:szCs w:val="18"/>
                <w:color w:val="auto"/>
              </w:rPr>
              <w:t>prorated bonus for FY-2024. The bonus shall be paid out end of July 2024.</w:t>
            </w:r>
          </w:p>
        </w:tc>
      </w:tr>
      <w:tr>
        <w:trPr>
          <w:trHeight w:val="432"/>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4.3</w:t>
            </w:r>
          </w:p>
        </w:tc>
        <w:tc>
          <w:tcPr>
            <w:tcW w:w="9340" w:type="dxa"/>
            <w:vAlign w:val="bottom"/>
            <w:gridSpan w:val="4"/>
          </w:tcPr>
          <w:p>
            <w:pPr>
              <w:ind w:left="340"/>
              <w:spacing w:after="0"/>
              <w:rPr>
                <w:sz w:val="20"/>
                <w:szCs w:val="20"/>
                <w:color w:val="auto"/>
              </w:rPr>
            </w:pPr>
            <w:r>
              <w:rPr>
                <w:rFonts w:ascii="Calibri" w:cs="Calibri" w:eastAsia="Calibri" w:hAnsi="Calibri"/>
                <w:sz w:val="18"/>
                <w:szCs w:val="18"/>
                <w:color w:val="auto"/>
              </w:rPr>
              <w:t>By signing this Agreement BK confrms that any and all bonus payments relatve to his employment with the Company have</w:t>
            </w:r>
          </w:p>
        </w:tc>
      </w:tr>
      <w:tr>
        <w:trPr>
          <w:trHeight w:val="216"/>
        </w:trPr>
        <w:tc>
          <w:tcPr>
            <w:tcW w:w="580" w:type="dxa"/>
            <w:vAlign w:val="bottom"/>
          </w:tcPr>
          <w:p>
            <w:pPr>
              <w:spacing w:after="0"/>
              <w:rPr>
                <w:sz w:val="18"/>
                <w:szCs w:val="18"/>
                <w:color w:val="auto"/>
              </w:rPr>
            </w:pPr>
          </w:p>
        </w:tc>
        <w:tc>
          <w:tcPr>
            <w:tcW w:w="9340" w:type="dxa"/>
            <w:vAlign w:val="bottom"/>
            <w:gridSpan w:val="4"/>
          </w:tcPr>
          <w:p>
            <w:pPr>
              <w:ind w:left="340"/>
              <w:spacing w:after="0" w:line="216" w:lineRule="exact"/>
              <w:rPr>
                <w:sz w:val="20"/>
                <w:szCs w:val="20"/>
                <w:color w:val="auto"/>
              </w:rPr>
            </w:pPr>
            <w:r>
              <w:rPr>
                <w:rFonts w:ascii="Calibri" w:cs="Calibri" w:eastAsia="Calibri" w:hAnsi="Calibri"/>
                <w:sz w:val="18"/>
                <w:szCs w:val="18"/>
                <w:color w:val="auto"/>
              </w:rPr>
              <w:t>been setled in full.</w:t>
            </w:r>
          </w:p>
        </w:tc>
      </w:tr>
      <w:tr>
        <w:trPr>
          <w:trHeight w:val="402"/>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0" w:type="dxa"/>
            <w:vAlign w:val="bottom"/>
            <w:gridSpan w:val="3"/>
          </w:tcPr>
          <w:p>
            <w:pPr>
              <w:spacing w:after="0"/>
              <w:rPr>
                <w:sz w:val="20"/>
                <w:szCs w:val="20"/>
                <w:color w:val="auto"/>
              </w:rPr>
            </w:pPr>
            <w:r>
              <w:rPr>
                <w:rFonts w:ascii="Calibri" w:cs="Calibri" w:eastAsia="Calibri" w:hAnsi="Calibri"/>
                <w:sz w:val="18"/>
                <w:szCs w:val="18"/>
                <w:color w:val="auto"/>
              </w:rPr>
              <w:t>Equity - Stock optons and RSUs</w:t>
            </w: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443"/>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4.4</w:t>
            </w:r>
          </w:p>
        </w:tc>
        <w:tc>
          <w:tcPr>
            <w:tcW w:w="340" w:type="dxa"/>
            <w:vAlign w:val="bottom"/>
          </w:tcPr>
          <w:p>
            <w:pPr>
              <w:spacing w:after="0"/>
              <w:rPr>
                <w:sz w:val="24"/>
                <w:szCs w:val="24"/>
                <w:color w:val="auto"/>
              </w:rPr>
            </w:pPr>
          </w:p>
        </w:tc>
        <w:tc>
          <w:tcPr>
            <w:tcW w:w="9000" w:type="dxa"/>
            <w:vAlign w:val="bottom"/>
            <w:gridSpan w:val="3"/>
          </w:tcPr>
          <w:p>
            <w:pPr>
              <w:spacing w:after="0"/>
              <w:rPr>
                <w:sz w:val="20"/>
                <w:szCs w:val="20"/>
                <w:color w:val="auto"/>
              </w:rPr>
            </w:pPr>
            <w:r>
              <w:rPr>
                <w:rFonts w:ascii="Calibri" w:cs="Calibri" w:eastAsia="Calibri" w:hAnsi="Calibri"/>
                <w:sz w:val="18"/>
                <w:szCs w:val="18"/>
                <w:color w:val="auto"/>
                <w:w w:val="98"/>
              </w:rPr>
              <w:t>Equity grants provided to BK will be treated in accordance with the terms and conditons of the 2015 Equity Incentve Plan and</w:t>
            </w:r>
          </w:p>
        </w:tc>
      </w:tr>
      <w:tr>
        <w:trPr>
          <w:trHeight w:val="216"/>
        </w:trPr>
        <w:tc>
          <w:tcPr>
            <w:tcW w:w="580" w:type="dxa"/>
            <w:vAlign w:val="bottom"/>
          </w:tcPr>
          <w:p>
            <w:pPr>
              <w:spacing w:after="0"/>
              <w:rPr>
                <w:sz w:val="18"/>
                <w:szCs w:val="18"/>
                <w:color w:val="auto"/>
              </w:rPr>
            </w:pPr>
          </w:p>
        </w:tc>
        <w:tc>
          <w:tcPr>
            <w:tcW w:w="9340" w:type="dxa"/>
            <w:vAlign w:val="bottom"/>
            <w:gridSpan w:val="4"/>
          </w:tcPr>
          <w:p>
            <w:pPr>
              <w:ind w:left="340"/>
              <w:spacing w:after="0" w:line="216" w:lineRule="exact"/>
              <w:rPr>
                <w:sz w:val="20"/>
                <w:szCs w:val="20"/>
                <w:color w:val="auto"/>
              </w:rPr>
            </w:pPr>
            <w:r>
              <w:rPr>
                <w:rFonts w:ascii="Calibri" w:cs="Calibri" w:eastAsia="Calibri" w:hAnsi="Calibri"/>
                <w:sz w:val="18"/>
                <w:szCs w:val="18"/>
                <w:color w:val="auto"/>
              </w:rPr>
              <w:t>2018 Equity Incentve Plan (as applicable) and the applicable Stock Opton &amp; RSU Agreements &amp; Stock Opton &amp; RSU Grant</w:t>
            </w:r>
          </w:p>
        </w:tc>
      </w:tr>
      <w:tr>
        <w:trPr>
          <w:trHeight w:val="216"/>
        </w:trPr>
        <w:tc>
          <w:tcPr>
            <w:tcW w:w="580" w:type="dxa"/>
            <w:vAlign w:val="bottom"/>
          </w:tcPr>
          <w:p>
            <w:pPr>
              <w:spacing w:after="0"/>
              <w:rPr>
                <w:sz w:val="18"/>
                <w:szCs w:val="18"/>
                <w:color w:val="auto"/>
              </w:rPr>
            </w:pPr>
          </w:p>
        </w:tc>
        <w:tc>
          <w:tcPr>
            <w:tcW w:w="9340" w:type="dxa"/>
            <w:vAlign w:val="bottom"/>
            <w:gridSpan w:val="4"/>
          </w:tcPr>
          <w:p>
            <w:pPr>
              <w:ind w:left="340"/>
              <w:spacing w:after="0" w:line="216" w:lineRule="exact"/>
              <w:rPr>
                <w:sz w:val="20"/>
                <w:szCs w:val="20"/>
                <w:color w:val="auto"/>
              </w:rPr>
            </w:pPr>
            <w:r>
              <w:rPr>
                <w:rFonts w:ascii="Calibri" w:cs="Calibri" w:eastAsia="Calibri" w:hAnsi="Calibri"/>
                <w:sz w:val="18"/>
                <w:szCs w:val="18"/>
                <w:color w:val="auto"/>
                <w:w w:val="97"/>
              </w:rPr>
              <w:t>Notces. Equity granted to BK before September 28, 2022, will contnue to vest and become exercisable in accordance with the</w:t>
            </w:r>
          </w:p>
        </w:tc>
      </w:tr>
      <w:tr>
        <w:trPr>
          <w:trHeight w:val="216"/>
        </w:trPr>
        <w:tc>
          <w:tcPr>
            <w:tcW w:w="580" w:type="dxa"/>
            <w:vAlign w:val="bottom"/>
          </w:tcPr>
          <w:p>
            <w:pPr>
              <w:spacing w:after="0"/>
              <w:rPr>
                <w:sz w:val="18"/>
                <w:szCs w:val="18"/>
                <w:color w:val="auto"/>
              </w:rPr>
            </w:pPr>
          </w:p>
        </w:tc>
        <w:tc>
          <w:tcPr>
            <w:tcW w:w="9340" w:type="dxa"/>
            <w:vAlign w:val="bottom"/>
            <w:gridSpan w:val="4"/>
          </w:tcPr>
          <w:p>
            <w:pPr>
              <w:ind w:left="340"/>
              <w:spacing w:after="0" w:line="216" w:lineRule="exact"/>
              <w:rPr>
                <w:sz w:val="20"/>
                <w:szCs w:val="20"/>
                <w:color w:val="auto"/>
              </w:rPr>
            </w:pPr>
            <w:r>
              <w:rPr>
                <w:rFonts w:ascii="Calibri" w:cs="Calibri" w:eastAsia="Calibri" w:hAnsi="Calibri"/>
                <w:sz w:val="18"/>
                <w:szCs w:val="18"/>
                <w:color w:val="auto"/>
                <w:w w:val="99"/>
              </w:rPr>
              <w:t>applicable vestng schedule and, further, that upon the occurrence of an event consttutng a Change of Control (as defned in</w:t>
            </w:r>
          </w:p>
        </w:tc>
      </w:tr>
      <w:tr>
        <w:trPr>
          <w:trHeight w:val="216"/>
        </w:trPr>
        <w:tc>
          <w:tcPr>
            <w:tcW w:w="580" w:type="dxa"/>
            <w:vAlign w:val="bottom"/>
          </w:tcPr>
          <w:p>
            <w:pPr>
              <w:spacing w:after="0"/>
              <w:rPr>
                <w:sz w:val="18"/>
                <w:szCs w:val="18"/>
                <w:color w:val="auto"/>
              </w:rPr>
            </w:pPr>
          </w:p>
        </w:tc>
        <w:tc>
          <w:tcPr>
            <w:tcW w:w="9340" w:type="dxa"/>
            <w:vAlign w:val="bottom"/>
            <w:gridSpan w:val="4"/>
          </w:tcPr>
          <w:p>
            <w:pPr>
              <w:ind w:left="340"/>
              <w:spacing w:after="0" w:line="216" w:lineRule="exact"/>
              <w:rPr>
                <w:sz w:val="20"/>
                <w:szCs w:val="20"/>
                <w:color w:val="auto"/>
              </w:rPr>
            </w:pPr>
            <w:r>
              <w:rPr>
                <w:rFonts w:ascii="Calibri" w:cs="Calibri" w:eastAsia="Calibri" w:hAnsi="Calibri"/>
                <w:sz w:val="18"/>
                <w:szCs w:val="18"/>
                <w:color w:val="auto"/>
                <w:w w:val="98"/>
              </w:rPr>
              <w:t>the 2015 Equity Incentve Plan and 2018 Equity Incentve Plan), such equity may become exercisable in full. Exercise shall take</w:t>
            </w:r>
          </w:p>
        </w:tc>
      </w:tr>
    </w:tbl>
    <w:p>
      <w:pPr>
        <w:spacing w:after="0" w:line="1" w:lineRule="exact"/>
        <w:rPr>
          <w:sz w:val="20"/>
          <w:szCs w:val="20"/>
          <w:color w:val="auto"/>
        </w:rPr>
      </w:pPr>
    </w:p>
    <w:p>
      <w:pPr>
        <w:jc w:val="both"/>
        <w:ind w:left="920"/>
        <w:spacing w:after="0" w:line="235" w:lineRule="auto"/>
        <w:rPr>
          <w:sz w:val="20"/>
          <w:szCs w:val="20"/>
          <w:color w:val="auto"/>
        </w:rPr>
      </w:pPr>
      <w:r>
        <w:rPr>
          <w:rFonts w:ascii="Calibri" w:cs="Calibri" w:eastAsia="Calibri" w:hAnsi="Calibri"/>
          <w:sz w:val="18"/>
          <w:szCs w:val="18"/>
          <w:color w:val="auto"/>
        </w:rPr>
        <w:t>place in accordance with the general terms and conditons regarding vestng and exercise of stock optons. Equity granted to BK on September 28, 2022, or later, that has not already vested, will vest through July 31, 2025, and any equity that will not vest as of July 31, 2025 will beforfeited as of July 31, 2024 without payment of any consideraton therefor.</w:t>
      </w:r>
    </w:p>
    <w:p>
      <w:pPr>
        <w:spacing w:after="0" w:line="214" w:lineRule="exact"/>
        <w:rPr>
          <w:sz w:val="20"/>
          <w:szCs w:val="20"/>
          <w:color w:val="auto"/>
        </w:rPr>
      </w:pPr>
    </w:p>
    <w:p>
      <w:pPr>
        <w:ind w:left="920" w:hanging="912"/>
        <w:spacing w:after="0"/>
        <w:tabs>
          <w:tab w:leader="none" w:pos="920" w:val="left"/>
        </w:tabs>
        <w:numPr>
          <w:ilvl w:val="0"/>
          <w:numId w:val="7"/>
        </w:numPr>
        <w:rPr>
          <w:rFonts w:ascii="Calibri" w:cs="Calibri" w:eastAsia="Calibri" w:hAnsi="Calibri"/>
          <w:sz w:val="18"/>
          <w:szCs w:val="18"/>
          <w:color w:val="auto"/>
        </w:rPr>
      </w:pPr>
      <w:r>
        <w:rPr>
          <w:rFonts w:ascii="Calibri" w:cs="Calibri" w:eastAsia="Calibri" w:hAnsi="Calibri"/>
          <w:sz w:val="18"/>
          <w:szCs w:val="18"/>
          <w:b w:val="1"/>
          <w:bCs w:val="1"/>
          <w:color w:val="auto"/>
        </w:rPr>
        <w:t>Holiday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5.1</w:t>
            </w:r>
          </w:p>
        </w:tc>
        <w:tc>
          <w:tcPr>
            <w:tcW w:w="9340" w:type="dxa"/>
            <w:vAlign w:val="bottom"/>
          </w:tcPr>
          <w:p>
            <w:pPr>
              <w:ind w:left="340"/>
              <w:spacing w:after="0"/>
              <w:rPr>
                <w:sz w:val="20"/>
                <w:szCs w:val="20"/>
                <w:color w:val="auto"/>
              </w:rPr>
            </w:pPr>
            <w:r>
              <w:rPr>
                <w:rFonts w:ascii="Calibri" w:cs="Calibri" w:eastAsia="Calibri" w:hAnsi="Calibri"/>
                <w:sz w:val="18"/>
                <w:szCs w:val="18"/>
                <w:color w:val="auto"/>
              </w:rPr>
              <w:t>Any and all non-utlized holidays accrued in the calendar year 2024 shall be utlized before the Efectve Date of Terminaton</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and placing hereof shall be agreed beforehand with CEO, Michael Rossi.</w:t>
            </w:r>
          </w:p>
        </w:tc>
      </w:tr>
      <w:tr>
        <w:trPr>
          <w:trHeight w:val="432"/>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5.2</w:t>
            </w:r>
          </w:p>
        </w:tc>
        <w:tc>
          <w:tcPr>
            <w:tcW w:w="9340" w:type="dxa"/>
            <w:vAlign w:val="bottom"/>
          </w:tcPr>
          <w:p>
            <w:pPr>
              <w:ind w:left="340"/>
              <w:spacing w:after="0"/>
              <w:rPr>
                <w:sz w:val="20"/>
                <w:szCs w:val="20"/>
                <w:color w:val="auto"/>
              </w:rPr>
            </w:pPr>
            <w:r>
              <w:rPr>
                <w:rFonts w:ascii="Calibri" w:cs="Calibri" w:eastAsia="Calibri" w:hAnsi="Calibri"/>
                <w:sz w:val="18"/>
                <w:szCs w:val="18"/>
                <w:color w:val="auto"/>
              </w:rPr>
              <w:t>BK shall not be enttled to receive any cash compensaton for accrued holiday not utlized on or before the Efectve Date of</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Terminaton.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7" w:name="page8"/>
    <w:bookmarkEnd w:id="7"/>
    <w:p>
      <w:pPr>
        <w:ind w:left="920" w:hanging="912"/>
        <w:spacing w:after="0"/>
        <w:tabs>
          <w:tab w:leader="none" w:pos="920" w:val="left"/>
        </w:tabs>
        <w:numPr>
          <w:ilvl w:val="0"/>
          <w:numId w:val="8"/>
        </w:numPr>
        <w:rPr>
          <w:rFonts w:ascii="Calibri" w:cs="Calibri" w:eastAsia="Calibri" w:hAnsi="Calibri"/>
          <w:sz w:val="18"/>
          <w:szCs w:val="18"/>
          <w:color w:val="auto"/>
        </w:rPr>
      </w:pPr>
      <w:r>
        <w:rPr>
          <w:rFonts w:ascii="Calibri" w:cs="Calibri" w:eastAsia="Calibri" w:hAnsi="Calibri"/>
          <w:sz w:val="18"/>
          <w:szCs w:val="18"/>
          <w:b w:val="1"/>
          <w:bCs w:val="1"/>
          <w:color w:val="auto"/>
        </w:rPr>
        <w:t>Duty of confdentality and trade secrets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6.1</w:t>
            </w:r>
          </w:p>
        </w:tc>
        <w:tc>
          <w:tcPr>
            <w:tcW w:w="9340" w:type="dxa"/>
            <w:vAlign w:val="bottom"/>
          </w:tcPr>
          <w:p>
            <w:pPr>
              <w:ind w:left="340"/>
              <w:spacing w:after="0"/>
              <w:rPr>
                <w:sz w:val="20"/>
                <w:szCs w:val="20"/>
                <w:color w:val="auto"/>
              </w:rPr>
            </w:pPr>
            <w:r>
              <w:rPr>
                <w:rFonts w:ascii="Calibri" w:cs="Calibri" w:eastAsia="Calibri" w:hAnsi="Calibri"/>
                <w:sz w:val="18"/>
                <w:szCs w:val="18"/>
                <w:color w:val="auto"/>
              </w:rPr>
              <w:t>BK is legally obligated to observe strict confdentality both during the employment well as afer the Efectve Date of</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Terminaton with respect to all aspects of the Company including its actvites, practces and business dealings and relatons.</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w w:val="98"/>
              </w:rPr>
              <w:t>BK shall further on a contnuous basis adhere to all rules, regulatons, internal policies, and guidelines issued by the Company.</w:t>
            </w:r>
          </w:p>
        </w:tc>
      </w:tr>
      <w:tr>
        <w:trPr>
          <w:trHeight w:val="432"/>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6.2</w:t>
            </w:r>
          </w:p>
        </w:tc>
        <w:tc>
          <w:tcPr>
            <w:tcW w:w="9340" w:type="dxa"/>
            <w:vAlign w:val="bottom"/>
          </w:tcPr>
          <w:p>
            <w:pPr>
              <w:ind w:left="340"/>
              <w:spacing w:after="0"/>
              <w:rPr>
                <w:sz w:val="20"/>
                <w:szCs w:val="20"/>
                <w:color w:val="auto"/>
              </w:rPr>
            </w:pPr>
            <w:r>
              <w:rPr>
                <w:rFonts w:ascii="Calibri" w:cs="Calibri" w:eastAsia="Calibri" w:hAnsi="Calibri"/>
                <w:sz w:val="18"/>
                <w:szCs w:val="18"/>
                <w:color w:val="auto"/>
              </w:rPr>
              <w:t>For the sake of clarity, it is noted that the duty of confdentality does not in any way restrict BK from revealing such</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confdental informaton to Y-mAbs Therapeutcs, Inc., in connecton with Investeringsselskabet GH ApS`s  performance of</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consultancy services to Y-mAbs Therapeutcs, Inc., in accordance with the separate consultancy agreement, cf. clause 1.4</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above.</w:t>
            </w:r>
          </w:p>
        </w:tc>
      </w:tr>
      <w:tr>
        <w:trPr>
          <w:trHeight w:val="432"/>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6.3</w:t>
            </w:r>
          </w:p>
        </w:tc>
        <w:tc>
          <w:tcPr>
            <w:tcW w:w="9340" w:type="dxa"/>
            <w:vAlign w:val="bottom"/>
          </w:tcPr>
          <w:p>
            <w:pPr>
              <w:ind w:left="340"/>
              <w:spacing w:after="0"/>
              <w:rPr>
                <w:sz w:val="20"/>
                <w:szCs w:val="20"/>
                <w:color w:val="auto"/>
              </w:rPr>
            </w:pPr>
            <w:r>
              <w:rPr>
                <w:rFonts w:ascii="Calibri" w:cs="Calibri" w:eastAsia="Calibri" w:hAnsi="Calibri"/>
                <w:sz w:val="18"/>
                <w:szCs w:val="18"/>
                <w:color w:val="auto"/>
              </w:rPr>
              <w:t>The duty of confdentality also applies to all material, including, but not limited to informaton relatng to customers and</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w w:val="99"/>
              </w:rPr>
              <w:t>prices, marketng material, patents, know-how, sofware, strategies and concepts, technical drawings, formulas, and models,</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regardless of the form or medium in which it exists.</w:t>
            </w:r>
          </w:p>
        </w:tc>
      </w:tr>
      <w:tr>
        <w:trPr>
          <w:trHeight w:val="432"/>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6.4</w:t>
            </w:r>
          </w:p>
        </w:tc>
        <w:tc>
          <w:tcPr>
            <w:tcW w:w="9340" w:type="dxa"/>
            <w:vAlign w:val="bottom"/>
          </w:tcPr>
          <w:p>
            <w:pPr>
              <w:ind w:left="340"/>
              <w:spacing w:after="0"/>
              <w:rPr>
                <w:sz w:val="20"/>
                <w:szCs w:val="20"/>
                <w:color w:val="auto"/>
              </w:rPr>
            </w:pPr>
            <w:r>
              <w:rPr>
                <w:rFonts w:ascii="Calibri" w:cs="Calibri" w:eastAsia="Calibri" w:hAnsi="Calibri"/>
                <w:sz w:val="18"/>
                <w:szCs w:val="18"/>
                <w:color w:val="auto"/>
                <w:w w:val="98"/>
              </w:rPr>
              <w:t>As part of BK`s duty of loyalty and confdentality BK shall refrain from making any statements or representatons, or otherwise</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communicate in writng, orally or otherwise, or take any acton that may, directly or indirectly, disparage or be damaging to</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the Company. Failure to meet these obligatons will consttute a material breach of BK`s obligatons and may, depending on</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the circumstances, enttle the Company to rescind the employment.</w:t>
            </w:r>
          </w:p>
        </w:tc>
      </w:tr>
      <w:tr>
        <w:trPr>
          <w:trHeight w:val="432"/>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6.5</w:t>
            </w:r>
          </w:p>
        </w:tc>
        <w:tc>
          <w:tcPr>
            <w:tcW w:w="9340" w:type="dxa"/>
            <w:vAlign w:val="bottom"/>
          </w:tcPr>
          <w:p>
            <w:pPr>
              <w:ind w:left="340"/>
              <w:spacing w:after="0"/>
              <w:rPr>
                <w:sz w:val="20"/>
                <w:szCs w:val="20"/>
                <w:color w:val="auto"/>
              </w:rPr>
            </w:pPr>
            <w:r>
              <w:rPr>
                <w:rFonts w:ascii="Calibri" w:cs="Calibri" w:eastAsia="Calibri" w:hAnsi="Calibri"/>
                <w:sz w:val="18"/>
                <w:szCs w:val="18"/>
                <w:color w:val="auto"/>
              </w:rPr>
              <w:t>In additon, BK must observe the rules of the Danish Marketng Practces Act (secton 3 in partcular), and the Danish Act on</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Trade Secrets (secton 4 in partcular).</w:t>
            </w:r>
          </w:p>
        </w:tc>
      </w:tr>
    </w:tbl>
    <w:p>
      <w:pPr>
        <w:spacing w:after="0" w:line="212" w:lineRule="exact"/>
        <w:rPr>
          <w:sz w:val="20"/>
          <w:szCs w:val="20"/>
          <w:color w:val="auto"/>
        </w:rPr>
      </w:pPr>
    </w:p>
    <w:p>
      <w:pPr>
        <w:ind w:left="920" w:hanging="912"/>
        <w:spacing w:after="0"/>
        <w:tabs>
          <w:tab w:leader="none" w:pos="920"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color w:val="auto"/>
        </w:rPr>
        <w:t>IT systems, e-mail account and social media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7.1</w:t>
            </w:r>
          </w:p>
        </w:tc>
        <w:tc>
          <w:tcPr>
            <w:tcW w:w="9340" w:type="dxa"/>
            <w:vAlign w:val="bottom"/>
          </w:tcPr>
          <w:p>
            <w:pPr>
              <w:ind w:left="340"/>
              <w:spacing w:after="0"/>
              <w:rPr>
                <w:sz w:val="20"/>
                <w:szCs w:val="20"/>
                <w:color w:val="auto"/>
              </w:rPr>
            </w:pPr>
            <w:r>
              <w:rPr>
                <w:rFonts w:ascii="Calibri" w:cs="Calibri" w:eastAsia="Calibri" w:hAnsi="Calibri"/>
                <w:sz w:val="18"/>
                <w:szCs w:val="18"/>
                <w:color w:val="auto"/>
                <w:w w:val="99"/>
              </w:rPr>
              <w:t>BK</w:t>
            </w:r>
            <w:r>
              <w:rPr>
                <w:rFonts w:ascii="Times New Roman" w:cs="Times New Roman" w:eastAsia="Times New Roman" w:hAnsi="Times New Roman"/>
                <w:sz w:val="18"/>
                <w:szCs w:val="18"/>
                <w:color w:val="auto"/>
                <w:w w:val="99"/>
              </w:rPr>
              <w:t>’</w:t>
            </w:r>
            <w:r>
              <w:rPr>
                <w:rFonts w:ascii="Calibri" w:cs="Calibri" w:eastAsia="Calibri" w:hAnsi="Calibri"/>
                <w:sz w:val="18"/>
                <w:szCs w:val="18"/>
                <w:color w:val="auto"/>
                <w:w w:val="99"/>
              </w:rPr>
              <w:t>s access to the Company</w:t>
            </w:r>
            <w:r>
              <w:rPr>
                <w:rFonts w:ascii="Times New Roman" w:cs="Times New Roman" w:eastAsia="Times New Roman" w:hAnsi="Times New Roman"/>
                <w:sz w:val="18"/>
                <w:szCs w:val="18"/>
                <w:color w:val="auto"/>
                <w:w w:val="99"/>
              </w:rPr>
              <w:t>’</w:t>
            </w:r>
            <w:r>
              <w:rPr>
                <w:rFonts w:ascii="Calibri" w:cs="Calibri" w:eastAsia="Calibri" w:hAnsi="Calibri"/>
                <w:sz w:val="18"/>
                <w:szCs w:val="18"/>
                <w:color w:val="auto"/>
                <w:w w:val="99"/>
              </w:rPr>
              <w:t>s IT systems and BK</w:t>
            </w:r>
            <w:r>
              <w:rPr>
                <w:rFonts w:ascii="Times New Roman" w:cs="Times New Roman" w:eastAsia="Times New Roman" w:hAnsi="Times New Roman"/>
                <w:sz w:val="18"/>
                <w:szCs w:val="18"/>
                <w:color w:val="auto"/>
                <w:w w:val="99"/>
              </w:rPr>
              <w:t>’</w:t>
            </w:r>
            <w:r>
              <w:rPr>
                <w:rFonts w:ascii="Calibri" w:cs="Calibri" w:eastAsia="Calibri" w:hAnsi="Calibri"/>
                <w:sz w:val="18"/>
                <w:szCs w:val="18"/>
                <w:color w:val="auto"/>
                <w:w w:val="99"/>
              </w:rPr>
              <w:t>s Company e-mail account will be closed on or before 31 July 2024. E-mails</w:t>
            </w:r>
          </w:p>
        </w:tc>
      </w:tr>
      <w:tr>
        <w:trPr>
          <w:trHeight w:val="225"/>
        </w:trPr>
        <w:tc>
          <w:tcPr>
            <w:tcW w:w="580" w:type="dxa"/>
            <w:vAlign w:val="bottom"/>
          </w:tcPr>
          <w:p>
            <w:pPr>
              <w:spacing w:after="0"/>
              <w:rPr>
                <w:sz w:val="19"/>
                <w:szCs w:val="19"/>
                <w:color w:val="auto"/>
              </w:rPr>
            </w:pPr>
          </w:p>
        </w:tc>
        <w:tc>
          <w:tcPr>
            <w:tcW w:w="9340" w:type="dxa"/>
            <w:vAlign w:val="bottom"/>
          </w:tcPr>
          <w:p>
            <w:pPr>
              <w:ind w:left="340"/>
              <w:spacing w:after="0"/>
              <w:rPr>
                <w:sz w:val="20"/>
                <w:szCs w:val="20"/>
                <w:color w:val="auto"/>
              </w:rPr>
            </w:pPr>
            <w:r>
              <w:rPr>
                <w:rFonts w:ascii="Calibri" w:cs="Calibri" w:eastAsia="Calibri" w:hAnsi="Calibri"/>
                <w:sz w:val="18"/>
                <w:szCs w:val="18"/>
                <w:color w:val="auto"/>
              </w:rPr>
              <w:t>received on BK</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s Company e-mail account will be accessed only by the Company`s management and relevant employees</w:t>
            </w:r>
          </w:p>
        </w:tc>
      </w:tr>
      <w:tr>
        <w:trPr>
          <w:trHeight w:val="215"/>
        </w:trPr>
        <w:tc>
          <w:tcPr>
            <w:tcW w:w="580" w:type="dxa"/>
            <w:vAlign w:val="bottom"/>
          </w:tcPr>
          <w:p>
            <w:pPr>
              <w:spacing w:after="0"/>
              <w:rPr>
                <w:sz w:val="18"/>
                <w:szCs w:val="18"/>
                <w:color w:val="auto"/>
              </w:rPr>
            </w:pPr>
          </w:p>
        </w:tc>
        <w:tc>
          <w:tcPr>
            <w:tcW w:w="9340" w:type="dxa"/>
            <w:vAlign w:val="bottom"/>
          </w:tcPr>
          <w:p>
            <w:pPr>
              <w:ind w:left="340"/>
              <w:spacing w:after="0" w:line="215" w:lineRule="exact"/>
              <w:rPr>
                <w:sz w:val="20"/>
                <w:szCs w:val="20"/>
                <w:color w:val="auto"/>
              </w:rPr>
            </w:pPr>
            <w:r>
              <w:rPr>
                <w:rFonts w:ascii="Calibri" w:cs="Calibri" w:eastAsia="Calibri" w:hAnsi="Calibri"/>
                <w:sz w:val="18"/>
                <w:szCs w:val="18"/>
                <w:color w:val="auto"/>
              </w:rPr>
              <w:t>having a justfable business need for this access. BK`s work e-mail account may have an autoreply set-up.</w:t>
            </w:r>
          </w:p>
        </w:tc>
      </w:tr>
      <w:tr>
        <w:trPr>
          <w:trHeight w:val="432"/>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7.2</w:t>
            </w:r>
          </w:p>
        </w:tc>
        <w:tc>
          <w:tcPr>
            <w:tcW w:w="9340" w:type="dxa"/>
            <w:vAlign w:val="bottom"/>
          </w:tcPr>
          <w:p>
            <w:pPr>
              <w:ind w:left="340"/>
              <w:spacing w:after="0"/>
              <w:rPr>
                <w:sz w:val="20"/>
                <w:szCs w:val="20"/>
                <w:color w:val="auto"/>
              </w:rPr>
            </w:pPr>
            <w:r>
              <w:rPr>
                <w:rFonts w:ascii="Calibri" w:cs="Calibri" w:eastAsia="Calibri" w:hAnsi="Calibri"/>
                <w:sz w:val="18"/>
                <w:szCs w:val="18"/>
                <w:color w:val="auto"/>
                <w:w w:val="99"/>
              </w:rPr>
              <w:t>It rests upon BK to ensure that any profles etc., on social media and network services are changed no later than the Efectve</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Date of Terminaton, to refect the fact that he no longer has any employment relaton to the Company.</w:t>
            </w:r>
          </w:p>
        </w:tc>
      </w:tr>
    </w:tbl>
    <w:p>
      <w:pPr>
        <w:spacing w:after="0" w:line="212" w:lineRule="exact"/>
        <w:rPr>
          <w:sz w:val="20"/>
          <w:szCs w:val="20"/>
          <w:color w:val="auto"/>
        </w:rPr>
      </w:pPr>
    </w:p>
    <w:p>
      <w:pPr>
        <w:ind w:left="920" w:hanging="912"/>
        <w:spacing w:after="0"/>
        <w:tabs>
          <w:tab w:leader="none" w:pos="920" w:val="left"/>
        </w:tabs>
        <w:numPr>
          <w:ilvl w:val="0"/>
          <w:numId w:val="10"/>
        </w:numPr>
        <w:rPr>
          <w:rFonts w:ascii="Calibri" w:cs="Calibri" w:eastAsia="Calibri" w:hAnsi="Calibri"/>
          <w:sz w:val="18"/>
          <w:szCs w:val="18"/>
          <w:color w:val="auto"/>
        </w:rPr>
      </w:pPr>
      <w:r>
        <w:rPr>
          <w:rFonts w:ascii="Calibri" w:cs="Calibri" w:eastAsia="Calibri" w:hAnsi="Calibri"/>
          <w:sz w:val="18"/>
          <w:szCs w:val="18"/>
          <w:b w:val="1"/>
          <w:bCs w:val="1"/>
          <w:color w:val="auto"/>
        </w:rPr>
        <w:t>Public statements and confdentality relatve to the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jc w:val="right"/>
              <w:ind w:right="250"/>
              <w:spacing w:after="0"/>
              <w:rPr>
                <w:sz w:val="20"/>
                <w:szCs w:val="20"/>
                <w:color w:val="auto"/>
              </w:rPr>
            </w:pPr>
            <w:r>
              <w:rPr>
                <w:rFonts w:ascii="Calibri" w:cs="Calibri" w:eastAsia="Calibri" w:hAnsi="Calibri"/>
                <w:sz w:val="18"/>
                <w:szCs w:val="18"/>
                <w:color w:val="auto"/>
                <w:w w:val="96"/>
              </w:rPr>
              <w:t>8.1</w:t>
            </w:r>
          </w:p>
        </w:tc>
        <w:tc>
          <w:tcPr>
            <w:tcW w:w="9340" w:type="dxa"/>
            <w:vAlign w:val="bottom"/>
          </w:tcPr>
          <w:p>
            <w:pPr>
              <w:ind w:left="340"/>
              <w:spacing w:after="0"/>
              <w:rPr>
                <w:sz w:val="20"/>
                <w:szCs w:val="20"/>
                <w:color w:val="auto"/>
              </w:rPr>
            </w:pPr>
            <w:r>
              <w:rPr>
                <w:rFonts w:ascii="Calibri" w:cs="Calibri" w:eastAsia="Calibri" w:hAnsi="Calibri"/>
                <w:sz w:val="18"/>
                <w:szCs w:val="18"/>
                <w:color w:val="auto"/>
                <w:w w:val="98"/>
              </w:rPr>
              <w:t>The Company will see to that all statements, if any (internal as well as external), informing of terminaton of the employment</w:t>
            </w:r>
          </w:p>
        </w:tc>
      </w:tr>
      <w:tr>
        <w:trPr>
          <w:trHeight w:val="216"/>
        </w:trPr>
        <w:tc>
          <w:tcPr>
            <w:tcW w:w="580" w:type="dxa"/>
            <w:vAlign w:val="bottom"/>
          </w:tcPr>
          <w:p>
            <w:pPr>
              <w:spacing w:after="0"/>
              <w:rPr>
                <w:sz w:val="18"/>
                <w:szCs w:val="18"/>
                <w:color w:val="auto"/>
              </w:rPr>
            </w:pPr>
          </w:p>
        </w:tc>
        <w:tc>
          <w:tcPr>
            <w:tcW w:w="9340" w:type="dxa"/>
            <w:vAlign w:val="bottom"/>
          </w:tcPr>
          <w:p>
            <w:pPr>
              <w:ind w:left="340"/>
              <w:spacing w:after="0" w:line="216" w:lineRule="exact"/>
              <w:rPr>
                <w:sz w:val="20"/>
                <w:szCs w:val="20"/>
                <w:color w:val="auto"/>
              </w:rPr>
            </w:pPr>
            <w:r>
              <w:rPr>
                <w:rFonts w:ascii="Calibri" w:cs="Calibri" w:eastAsia="Calibri" w:hAnsi="Calibri"/>
                <w:sz w:val="18"/>
                <w:szCs w:val="18"/>
                <w:color w:val="auto"/>
              </w:rPr>
              <w:t>are announced/published. The Company decides discretonally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8" w:name="page9"/>
    <w:bookmarkEnd w:id="8"/>
    <w:p>
      <w:pPr>
        <w:ind w:left="920"/>
        <w:spacing w:after="0" w:line="235" w:lineRule="auto"/>
        <w:rPr>
          <w:sz w:val="20"/>
          <w:szCs w:val="20"/>
          <w:color w:val="auto"/>
        </w:rPr>
      </w:pPr>
      <w:r>
        <w:rPr>
          <w:rFonts w:ascii="Calibri" w:cs="Calibri" w:eastAsia="Calibri" w:hAnsi="Calibri"/>
          <w:sz w:val="18"/>
          <w:szCs w:val="18"/>
          <w:color w:val="auto"/>
        </w:rPr>
        <w:t>the wording of the statements, provided always that the wording is kept in a respectul tone and duly considers the interest of both Partes in a fair and balanced way.</w:t>
      </w:r>
    </w:p>
    <w:p>
      <w:pPr>
        <w:spacing w:after="0" w:line="213" w:lineRule="exact"/>
        <w:rPr>
          <w:sz w:val="20"/>
          <w:szCs w:val="20"/>
          <w:color w:val="auto"/>
        </w:rPr>
      </w:pPr>
    </w:p>
    <w:p>
      <w:pPr>
        <w:ind w:left="920" w:hanging="912"/>
        <w:spacing w:after="0"/>
        <w:tabs>
          <w:tab w:leader="none" w:pos="920" w:val="left"/>
        </w:tabs>
        <w:numPr>
          <w:ilvl w:val="0"/>
          <w:numId w:val="11"/>
        </w:numPr>
        <w:rPr>
          <w:rFonts w:ascii="Calibri" w:cs="Calibri" w:eastAsia="Calibri" w:hAnsi="Calibri"/>
          <w:sz w:val="18"/>
          <w:szCs w:val="18"/>
          <w:color w:val="auto"/>
        </w:rPr>
      </w:pPr>
      <w:r>
        <w:rPr>
          <w:rFonts w:ascii="Calibri" w:cs="Calibri" w:eastAsia="Calibri" w:hAnsi="Calibri"/>
          <w:sz w:val="18"/>
          <w:szCs w:val="18"/>
          <w:b w:val="1"/>
          <w:bCs w:val="1"/>
          <w:color w:val="auto"/>
        </w:rPr>
        <w:t>Tax</w:t>
      </w:r>
    </w:p>
    <w:p>
      <w:pPr>
        <w:spacing w:after="0" w:line="212" w:lineRule="exact"/>
        <w:rPr>
          <w:sz w:val="20"/>
          <w:szCs w:val="20"/>
          <w:color w:val="auto"/>
        </w:rPr>
      </w:pPr>
    </w:p>
    <w:p>
      <w:pPr>
        <w:spacing w:after="0"/>
        <w:tabs>
          <w:tab w:leader="none" w:pos="900" w:val="left"/>
        </w:tabs>
        <w:rPr>
          <w:sz w:val="20"/>
          <w:szCs w:val="20"/>
          <w:color w:val="auto"/>
        </w:rPr>
      </w:pPr>
      <w:r>
        <w:rPr>
          <w:rFonts w:ascii="Calibri" w:cs="Calibri" w:eastAsia="Calibri" w:hAnsi="Calibri"/>
          <w:sz w:val="18"/>
          <w:szCs w:val="18"/>
          <w:color w:val="auto"/>
        </w:rPr>
        <w:t>9.1</w:t>
      </w:r>
      <w:r>
        <w:rPr>
          <w:sz w:val="20"/>
          <w:szCs w:val="20"/>
          <w:color w:val="auto"/>
        </w:rPr>
        <w:tab/>
      </w:r>
      <w:r>
        <w:rPr>
          <w:rFonts w:ascii="Calibri" w:cs="Calibri" w:eastAsia="Calibri" w:hAnsi="Calibri"/>
          <w:sz w:val="17"/>
          <w:szCs w:val="17"/>
          <w:color w:val="auto"/>
        </w:rPr>
        <w:t>The tax implicatons for BK of this Agreement are of no concern to the Company.</w:t>
      </w:r>
    </w:p>
    <w:p>
      <w:pPr>
        <w:spacing w:after="0" w:line="212" w:lineRule="exact"/>
        <w:rPr>
          <w:sz w:val="20"/>
          <w:szCs w:val="20"/>
          <w:color w:val="auto"/>
        </w:rPr>
      </w:pPr>
    </w:p>
    <w:p>
      <w:pPr>
        <w:ind w:left="920" w:hanging="912"/>
        <w:spacing w:after="0"/>
        <w:tabs>
          <w:tab w:leader="none" w:pos="920" w:val="left"/>
        </w:tabs>
        <w:numPr>
          <w:ilvl w:val="0"/>
          <w:numId w:val="12"/>
        </w:numPr>
        <w:rPr>
          <w:rFonts w:ascii="Calibri" w:cs="Calibri" w:eastAsia="Calibri" w:hAnsi="Calibri"/>
          <w:sz w:val="18"/>
          <w:szCs w:val="18"/>
          <w:color w:val="auto"/>
        </w:rPr>
      </w:pPr>
      <w:r>
        <w:rPr>
          <w:rFonts w:ascii="Calibri" w:cs="Calibri" w:eastAsia="Calibri" w:hAnsi="Calibri"/>
          <w:sz w:val="18"/>
          <w:szCs w:val="18"/>
          <w:b w:val="1"/>
          <w:bCs w:val="1"/>
          <w:color w:val="auto"/>
        </w:rPr>
        <w:t>Full and fnal setlement</w:t>
      </w:r>
    </w:p>
    <w:p>
      <w:pPr>
        <w:spacing w:after="0" w:line="217" w:lineRule="exact"/>
        <w:rPr>
          <w:sz w:val="20"/>
          <w:szCs w:val="20"/>
          <w:color w:val="auto"/>
        </w:rPr>
      </w:pPr>
    </w:p>
    <w:p>
      <w:pPr>
        <w:jc w:val="both"/>
        <w:ind w:left="920" w:hanging="917"/>
        <w:spacing w:after="0" w:line="238" w:lineRule="auto"/>
        <w:tabs>
          <w:tab w:leader="none" w:pos="900" w:val="left"/>
        </w:tabs>
        <w:rPr>
          <w:sz w:val="20"/>
          <w:szCs w:val="20"/>
          <w:color w:val="auto"/>
        </w:rPr>
      </w:pPr>
      <w:r>
        <w:rPr>
          <w:rFonts w:ascii="Calibri" w:cs="Calibri" w:eastAsia="Calibri" w:hAnsi="Calibri"/>
          <w:sz w:val="18"/>
          <w:szCs w:val="18"/>
          <w:color w:val="auto"/>
        </w:rPr>
        <w:t>10.1</w:t>
      </w:r>
      <w:r>
        <w:rPr>
          <w:sz w:val="20"/>
          <w:szCs w:val="20"/>
          <w:color w:val="auto"/>
        </w:rPr>
        <w:tab/>
      </w:r>
      <w:r>
        <w:rPr>
          <w:rFonts w:ascii="Calibri" w:cs="Calibri" w:eastAsia="Calibri" w:hAnsi="Calibri"/>
          <w:sz w:val="18"/>
          <w:szCs w:val="18"/>
          <w:color w:val="auto"/>
        </w:rPr>
        <w:t>This Agreement has been concluded subject to BK expressly agreeing that the Agreement refects a mutual agreement to setle fully and fnally all outstanding issues relatng to BK</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s employment with and separaton from the Company. The terms of this Agreement are thus in full and fnal setlement of all claims (if any), whether based on the Service Agreement, including any Addenda thereto, claims based on oral agreements or claims based on Danish employment law and/or general employment law principle.</w:t>
      </w:r>
    </w:p>
    <w:p>
      <w:pPr>
        <w:spacing w:after="0" w:line="215" w:lineRule="exact"/>
        <w:rPr>
          <w:sz w:val="20"/>
          <w:szCs w:val="20"/>
          <w:color w:val="auto"/>
        </w:rPr>
      </w:pPr>
    </w:p>
    <w:p>
      <w:pPr>
        <w:ind w:left="920" w:hanging="912"/>
        <w:spacing w:after="0"/>
        <w:tabs>
          <w:tab w:leader="none" w:pos="920" w:val="left"/>
        </w:tabs>
        <w:numPr>
          <w:ilvl w:val="0"/>
          <w:numId w:val="13"/>
        </w:numPr>
        <w:rPr>
          <w:rFonts w:ascii="Calibri" w:cs="Calibri" w:eastAsia="Calibri" w:hAnsi="Calibri"/>
          <w:sz w:val="18"/>
          <w:szCs w:val="18"/>
          <w:color w:val="auto"/>
        </w:rPr>
      </w:pPr>
      <w:r>
        <w:rPr>
          <w:rFonts w:ascii="Calibri" w:cs="Calibri" w:eastAsia="Calibri" w:hAnsi="Calibri"/>
          <w:sz w:val="18"/>
          <w:szCs w:val="18"/>
          <w:b w:val="1"/>
          <w:bCs w:val="1"/>
          <w:color w:val="auto"/>
        </w:rPr>
        <w:t>Governing Law and venue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 w:type="dxa"/>
            <w:vAlign w:val="bottom"/>
          </w:tcPr>
          <w:p>
            <w:pPr>
              <w:jc w:val="right"/>
              <w:ind w:right="210"/>
              <w:spacing w:after="0"/>
              <w:rPr>
                <w:sz w:val="20"/>
                <w:szCs w:val="20"/>
                <w:color w:val="auto"/>
              </w:rPr>
            </w:pPr>
            <w:r>
              <w:rPr>
                <w:rFonts w:ascii="Calibri" w:cs="Calibri" w:eastAsia="Calibri" w:hAnsi="Calibri"/>
                <w:sz w:val="18"/>
                <w:szCs w:val="18"/>
                <w:color w:val="auto"/>
                <w:w w:val="93"/>
              </w:rPr>
              <w:t>11.1</w:t>
            </w:r>
          </w:p>
        </w:tc>
        <w:tc>
          <w:tcPr>
            <w:tcW w:w="8620" w:type="dxa"/>
            <w:vAlign w:val="bottom"/>
          </w:tcPr>
          <w:p>
            <w:pPr>
              <w:ind w:left="300"/>
              <w:spacing w:after="0"/>
              <w:rPr>
                <w:sz w:val="20"/>
                <w:szCs w:val="20"/>
                <w:color w:val="auto"/>
              </w:rPr>
            </w:pPr>
            <w:r>
              <w:rPr>
                <w:rFonts w:ascii="Calibri" w:cs="Calibri" w:eastAsia="Calibri" w:hAnsi="Calibri"/>
                <w:sz w:val="18"/>
                <w:szCs w:val="18"/>
                <w:color w:val="auto"/>
              </w:rPr>
              <w:t>This Agreement is governed by Danish law.</w:t>
            </w:r>
          </w:p>
        </w:tc>
      </w:tr>
      <w:tr>
        <w:trPr>
          <w:trHeight w:val="432"/>
        </w:trPr>
        <w:tc>
          <w:tcPr>
            <w:tcW w:w="620" w:type="dxa"/>
            <w:vAlign w:val="bottom"/>
          </w:tcPr>
          <w:p>
            <w:pPr>
              <w:jc w:val="right"/>
              <w:ind w:right="210"/>
              <w:spacing w:after="0"/>
              <w:rPr>
                <w:sz w:val="20"/>
                <w:szCs w:val="20"/>
                <w:color w:val="auto"/>
              </w:rPr>
            </w:pPr>
            <w:r>
              <w:rPr>
                <w:rFonts w:ascii="Calibri" w:cs="Calibri" w:eastAsia="Calibri" w:hAnsi="Calibri"/>
                <w:sz w:val="18"/>
                <w:szCs w:val="18"/>
                <w:color w:val="auto"/>
                <w:w w:val="93"/>
              </w:rPr>
              <w:t>11.2</w:t>
            </w:r>
          </w:p>
        </w:tc>
        <w:tc>
          <w:tcPr>
            <w:tcW w:w="8620" w:type="dxa"/>
            <w:vAlign w:val="bottom"/>
          </w:tcPr>
          <w:p>
            <w:pPr>
              <w:ind w:left="300"/>
              <w:spacing w:after="0"/>
              <w:rPr>
                <w:sz w:val="20"/>
                <w:szCs w:val="20"/>
                <w:color w:val="auto"/>
              </w:rPr>
            </w:pPr>
            <w:r>
              <w:rPr>
                <w:rFonts w:ascii="Calibri" w:cs="Calibri" w:eastAsia="Calibri" w:hAnsi="Calibri"/>
                <w:sz w:val="18"/>
                <w:szCs w:val="18"/>
                <w:color w:val="auto"/>
                <w:w w:val="97"/>
              </w:rPr>
              <w:t>Any dispute arising from or in connecton with this Agreement shall be before Lyngby City Court as the agreed venue.</w:t>
            </w:r>
          </w:p>
        </w:tc>
      </w:tr>
    </w:tbl>
    <w:p>
      <w:pPr>
        <w:spacing w:after="0" w:line="212" w:lineRule="exact"/>
        <w:rPr>
          <w:sz w:val="20"/>
          <w:szCs w:val="20"/>
          <w:color w:val="auto"/>
        </w:rPr>
      </w:pPr>
    </w:p>
    <w:p>
      <w:pPr>
        <w:ind w:left="920" w:hanging="912"/>
        <w:spacing w:after="0"/>
        <w:tabs>
          <w:tab w:leader="none" w:pos="920" w:val="left"/>
        </w:tabs>
        <w:numPr>
          <w:ilvl w:val="0"/>
          <w:numId w:val="14"/>
        </w:numPr>
        <w:rPr>
          <w:rFonts w:ascii="Calibri" w:cs="Calibri" w:eastAsia="Calibri" w:hAnsi="Calibri"/>
          <w:sz w:val="18"/>
          <w:szCs w:val="18"/>
          <w:color w:val="auto"/>
        </w:rPr>
      </w:pPr>
      <w:r>
        <w:rPr>
          <w:rFonts w:ascii="Calibri" w:cs="Calibri" w:eastAsia="Calibri" w:hAnsi="Calibri"/>
          <w:sz w:val="18"/>
          <w:szCs w:val="18"/>
          <w:b w:val="1"/>
          <w:bCs w:val="1"/>
          <w:color w:val="auto"/>
        </w:rPr>
        <w:t>Counterparts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 w:type="dxa"/>
            <w:vAlign w:val="bottom"/>
          </w:tcPr>
          <w:p>
            <w:pPr>
              <w:jc w:val="right"/>
              <w:ind w:right="210"/>
              <w:spacing w:after="0"/>
              <w:rPr>
                <w:sz w:val="20"/>
                <w:szCs w:val="20"/>
                <w:color w:val="auto"/>
              </w:rPr>
            </w:pPr>
            <w:r>
              <w:rPr>
                <w:rFonts w:ascii="Calibri" w:cs="Calibri" w:eastAsia="Calibri" w:hAnsi="Calibri"/>
                <w:sz w:val="18"/>
                <w:szCs w:val="18"/>
                <w:color w:val="auto"/>
                <w:w w:val="93"/>
              </w:rPr>
              <w:t>12.1</w:t>
            </w:r>
          </w:p>
        </w:tc>
        <w:tc>
          <w:tcPr>
            <w:tcW w:w="9300" w:type="dxa"/>
            <w:vAlign w:val="bottom"/>
          </w:tcPr>
          <w:p>
            <w:pPr>
              <w:ind w:left="300"/>
              <w:spacing w:after="0"/>
              <w:rPr>
                <w:sz w:val="20"/>
                <w:szCs w:val="20"/>
                <w:color w:val="auto"/>
              </w:rPr>
            </w:pPr>
            <w:r>
              <w:rPr>
                <w:rFonts w:ascii="Calibri" w:cs="Calibri" w:eastAsia="Calibri" w:hAnsi="Calibri"/>
                <w:sz w:val="18"/>
                <w:szCs w:val="18"/>
                <w:color w:val="auto"/>
                <w:w w:val="98"/>
              </w:rPr>
              <w:t>This Agreement may be executed through electronic signature (DocuSign, Penneo or similar) or PDF-copies in any number of</w:t>
            </w:r>
          </w:p>
        </w:tc>
      </w:tr>
      <w:tr>
        <w:trPr>
          <w:trHeight w:val="216"/>
        </w:trPr>
        <w:tc>
          <w:tcPr>
            <w:tcW w:w="620" w:type="dxa"/>
            <w:vAlign w:val="bottom"/>
          </w:tcPr>
          <w:p>
            <w:pPr>
              <w:spacing w:after="0"/>
              <w:rPr>
                <w:sz w:val="18"/>
                <w:szCs w:val="18"/>
                <w:color w:val="auto"/>
              </w:rPr>
            </w:pPr>
          </w:p>
        </w:tc>
        <w:tc>
          <w:tcPr>
            <w:tcW w:w="9300" w:type="dxa"/>
            <w:vAlign w:val="bottom"/>
          </w:tcPr>
          <w:p>
            <w:pPr>
              <w:ind w:left="300"/>
              <w:spacing w:after="0" w:line="216" w:lineRule="exact"/>
              <w:rPr>
                <w:sz w:val="20"/>
                <w:szCs w:val="20"/>
                <w:color w:val="auto"/>
              </w:rPr>
            </w:pPr>
            <w:r>
              <w:rPr>
                <w:rFonts w:ascii="Calibri" w:cs="Calibri" w:eastAsia="Calibri" w:hAnsi="Calibri"/>
                <w:sz w:val="18"/>
                <w:szCs w:val="18"/>
                <w:color w:val="auto"/>
                <w:w w:val="99"/>
              </w:rPr>
              <w:t>counterparts, any of which need not contain the signature of more than one Party, but all such counterparts taken together</w:t>
            </w:r>
          </w:p>
        </w:tc>
      </w:tr>
      <w:tr>
        <w:trPr>
          <w:trHeight w:val="216"/>
        </w:trPr>
        <w:tc>
          <w:tcPr>
            <w:tcW w:w="620" w:type="dxa"/>
            <w:vAlign w:val="bottom"/>
          </w:tcPr>
          <w:p>
            <w:pPr>
              <w:spacing w:after="0"/>
              <w:rPr>
                <w:sz w:val="18"/>
                <w:szCs w:val="18"/>
                <w:color w:val="auto"/>
              </w:rPr>
            </w:pPr>
          </w:p>
        </w:tc>
        <w:tc>
          <w:tcPr>
            <w:tcW w:w="9300" w:type="dxa"/>
            <w:vAlign w:val="bottom"/>
          </w:tcPr>
          <w:p>
            <w:pPr>
              <w:ind w:left="300"/>
              <w:spacing w:after="0" w:line="216" w:lineRule="exact"/>
              <w:rPr>
                <w:sz w:val="20"/>
                <w:szCs w:val="20"/>
                <w:color w:val="auto"/>
              </w:rPr>
            </w:pPr>
            <w:r>
              <w:rPr>
                <w:rFonts w:ascii="Calibri" w:cs="Calibri" w:eastAsia="Calibri" w:hAnsi="Calibri"/>
                <w:sz w:val="18"/>
                <w:szCs w:val="18"/>
                <w:color w:val="auto"/>
              </w:rPr>
              <w:t>shall consttute one and the same instrument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0"/>
        </w:trPr>
        <w:tc>
          <w:tcPr>
            <w:tcW w:w="3300" w:type="dxa"/>
            <w:vAlign w:val="bottom"/>
            <w:gridSpan w:val="2"/>
          </w:tcPr>
          <w:p>
            <w:pPr>
              <w:spacing w:after="0"/>
              <w:rPr>
                <w:sz w:val="20"/>
                <w:szCs w:val="20"/>
                <w:color w:val="auto"/>
              </w:rPr>
            </w:pPr>
            <w:r>
              <w:rPr>
                <w:rFonts w:ascii="Calibri" w:cs="Calibri" w:eastAsia="Calibri" w:hAnsi="Calibri"/>
                <w:sz w:val="18"/>
                <w:szCs w:val="18"/>
                <w:color w:val="auto"/>
              </w:rPr>
              <w:t>Date: 16-Jul-2024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Calibri" w:cs="Calibri" w:eastAsia="Calibri" w:hAnsi="Calibri"/>
                <w:sz w:val="18"/>
                <w:szCs w:val="18"/>
                <w:color w:val="auto"/>
              </w:rPr>
              <w:t>Date: 18-Jul-2024</w:t>
            </w:r>
          </w:p>
        </w:tc>
        <w:tc>
          <w:tcPr>
            <w:tcW w:w="0" w:type="dxa"/>
            <w:vAlign w:val="bottom"/>
          </w:tcPr>
          <w:p>
            <w:pPr>
              <w:spacing w:after="0"/>
              <w:rPr>
                <w:sz w:val="1"/>
                <w:szCs w:val="1"/>
                <w:color w:val="auto"/>
              </w:rPr>
            </w:pPr>
          </w:p>
        </w:tc>
      </w:tr>
      <w:tr>
        <w:trPr>
          <w:trHeight w:val="432"/>
        </w:trPr>
        <w:tc>
          <w:tcPr>
            <w:tcW w:w="3300" w:type="dxa"/>
            <w:vAlign w:val="bottom"/>
            <w:gridSpan w:val="2"/>
          </w:tcPr>
          <w:p>
            <w:pPr>
              <w:spacing w:after="0"/>
              <w:rPr>
                <w:sz w:val="20"/>
                <w:szCs w:val="20"/>
                <w:color w:val="auto"/>
              </w:rPr>
            </w:pPr>
            <w:r>
              <w:rPr>
                <w:rFonts w:ascii="Calibri" w:cs="Calibri" w:eastAsia="Calibri" w:hAnsi="Calibri"/>
                <w:sz w:val="18"/>
                <w:szCs w:val="18"/>
                <w:color w:val="auto"/>
              </w:rPr>
              <w:t>On behalf of Y-mAbs Therapeutcs A/S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Calibri" w:cs="Calibri" w:eastAsia="Calibri" w:hAnsi="Calibri"/>
                <w:sz w:val="18"/>
                <w:szCs w:val="18"/>
                <w:color w:val="auto"/>
              </w:rPr>
              <w:t>On behalf of Y-mAbs Therapeutcs A/S</w:t>
            </w:r>
          </w:p>
        </w:tc>
        <w:tc>
          <w:tcPr>
            <w:tcW w:w="0" w:type="dxa"/>
            <w:vAlign w:val="bottom"/>
          </w:tcPr>
          <w:p>
            <w:pPr>
              <w:spacing w:after="0"/>
              <w:rPr>
                <w:sz w:val="1"/>
                <w:szCs w:val="1"/>
                <w:color w:val="auto"/>
              </w:rPr>
            </w:pPr>
          </w:p>
        </w:tc>
      </w:tr>
      <w:tr>
        <w:trPr>
          <w:trHeight w:val="648"/>
        </w:trPr>
        <w:tc>
          <w:tcPr>
            <w:tcW w:w="3300" w:type="dxa"/>
            <w:vAlign w:val="bottom"/>
            <w:gridSpan w:val="2"/>
          </w:tcPr>
          <w:p>
            <w:pPr>
              <w:spacing w:after="0"/>
              <w:rPr>
                <w:sz w:val="20"/>
                <w:szCs w:val="20"/>
                <w:color w:val="auto"/>
              </w:rPr>
            </w:pPr>
            <w:r>
              <w:rPr>
                <w:rFonts w:ascii="Calibri" w:cs="Calibri" w:eastAsia="Calibri" w:hAnsi="Calibri"/>
                <w:sz w:val="18"/>
                <w:szCs w:val="18"/>
                <w:color w:val="auto"/>
              </w:rPr>
              <w:t>/s/ Michael J. Rossi</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Calibri" w:cs="Calibri" w:eastAsia="Calibri" w:hAnsi="Calibri"/>
                <w:sz w:val="18"/>
                <w:szCs w:val="18"/>
                <w:color w:val="auto"/>
              </w:rPr>
              <w:t>/s/ Thomas Gad</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80" w:type="dxa"/>
            <w:vAlign w:val="bottom"/>
          </w:tcPr>
          <w:p>
            <w:pPr>
              <w:spacing w:after="0" w:line="208" w:lineRule="exact"/>
              <w:rPr>
                <w:sz w:val="20"/>
                <w:szCs w:val="20"/>
                <w:color w:val="auto"/>
              </w:rPr>
            </w:pPr>
            <w:r>
              <w:rPr>
                <w:rFonts w:ascii="Calibri" w:cs="Calibri" w:eastAsia="Calibri" w:hAnsi="Calibri"/>
                <w:sz w:val="18"/>
                <w:szCs w:val="18"/>
                <w:color w:val="auto"/>
              </w:rPr>
              <w:t>Michael J. Rossi, CEO</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gridSpan w:val="2"/>
          </w:tcPr>
          <w:p>
            <w:pPr>
              <w:spacing w:after="0" w:line="208" w:lineRule="exact"/>
              <w:rPr>
                <w:sz w:val="20"/>
                <w:szCs w:val="20"/>
                <w:color w:val="auto"/>
              </w:rPr>
            </w:pPr>
            <w:r>
              <w:rPr>
                <w:rFonts w:ascii="Calibri" w:cs="Calibri" w:eastAsia="Calibri" w:hAnsi="Calibri"/>
                <w:sz w:val="18"/>
                <w:szCs w:val="18"/>
                <w:color w:val="auto"/>
              </w:rPr>
              <w:t>Thomas Gad, member of the Board</w:t>
            </w:r>
          </w:p>
        </w:tc>
        <w:tc>
          <w:tcPr>
            <w:tcW w:w="0" w:type="dxa"/>
            <w:vAlign w:val="bottom"/>
          </w:tcPr>
          <w:p>
            <w:pPr>
              <w:spacing w:after="0"/>
              <w:rPr>
                <w:sz w:val="1"/>
                <w:szCs w:val="1"/>
                <w:color w:val="auto"/>
              </w:rPr>
            </w:pPr>
          </w:p>
        </w:tc>
      </w:tr>
      <w:tr>
        <w:trPr>
          <w:trHeight w:val="1058"/>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620" w:type="dxa"/>
            <w:vAlign w:val="bottom"/>
            <w:gridSpan w:val="4"/>
          </w:tcPr>
          <w:p>
            <w:pPr>
              <w:spacing w:after="0"/>
              <w:rPr>
                <w:sz w:val="20"/>
                <w:szCs w:val="20"/>
                <w:color w:val="auto"/>
              </w:rPr>
            </w:pPr>
            <w:r>
              <w:rPr>
                <w:rFonts w:ascii="Calibri" w:cs="Calibri" w:eastAsia="Calibri" w:hAnsi="Calibri"/>
                <w:sz w:val="18"/>
                <w:szCs w:val="18"/>
                <w:color w:val="auto"/>
              </w:rPr>
              <w:t>Date: 16-Jul-2024</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620" w:type="dxa"/>
            <w:vAlign w:val="bottom"/>
            <w:gridSpan w:val="4"/>
          </w:tcPr>
          <w:p>
            <w:pPr>
              <w:spacing w:after="0"/>
              <w:rPr>
                <w:sz w:val="20"/>
                <w:szCs w:val="20"/>
                <w:color w:val="auto"/>
              </w:rPr>
            </w:pPr>
            <w:r>
              <w:rPr>
                <w:rFonts w:ascii="Calibri" w:cs="Calibri" w:eastAsia="Calibri" w:hAnsi="Calibri"/>
                <w:sz w:val="18"/>
                <w:szCs w:val="18"/>
                <w:color w:val="auto"/>
              </w:rPr>
              <w:t>/s/ Bo Kruse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320" w:type="dxa"/>
            <w:vAlign w:val="bottom"/>
            <w:tcBorders>
              <w:bottom w:val="single" w:sz="8" w:color="auto"/>
            </w:tcBorders>
            <w:gridSpan w:val="3"/>
          </w:tcPr>
          <w:p>
            <w:pPr>
              <w:spacing w:after="0"/>
              <w:rPr>
                <w:sz w:val="2"/>
                <w:szCs w:val="2"/>
                <w:color w:val="auto"/>
              </w:rPr>
            </w:pPr>
          </w:p>
        </w:tc>
        <w:tc>
          <w:tcPr>
            <w:tcW w:w="33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320" w:type="dxa"/>
            <w:vAlign w:val="bottom"/>
            <w:gridSpan w:val="3"/>
          </w:tcPr>
          <w:p>
            <w:pPr>
              <w:spacing w:after="0" w:line="208" w:lineRule="exact"/>
              <w:rPr>
                <w:sz w:val="20"/>
                <w:szCs w:val="20"/>
                <w:color w:val="auto"/>
              </w:rPr>
            </w:pPr>
            <w:r>
              <w:rPr>
                <w:rFonts w:ascii="Calibri" w:cs="Calibri" w:eastAsia="Calibri" w:hAnsi="Calibri"/>
                <w:sz w:val="18"/>
                <w:szCs w:val="18"/>
                <w:color w:val="auto"/>
              </w:rPr>
              <w:t>Bo Kruse</w:t>
            </w: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42"/>
        </w:trPr>
        <w:tc>
          <w:tcPr>
            <w:tcW w:w="3300" w:type="dxa"/>
            <w:vAlign w:val="bottom"/>
            <w:gridSpan w:val="2"/>
          </w:tcPr>
          <w:p>
            <w:pPr>
              <w:spacing w:after="0"/>
              <w:rPr>
                <w:sz w:val="20"/>
                <w:szCs w:val="20"/>
                <w:color w:val="auto"/>
              </w:rPr>
            </w:pPr>
            <w:r>
              <w:rPr>
                <w:rFonts w:ascii="Calibri" w:cs="Calibri" w:eastAsia="Calibri" w:hAnsi="Calibri"/>
                <w:sz w:val="18"/>
                <w:szCs w:val="18"/>
                <w:color w:val="auto"/>
              </w:rPr>
              <w:t>Date: 17-Jul-2024</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Calibri" w:cs="Calibri" w:eastAsia="Calibri" w:hAnsi="Calibri"/>
                <w:sz w:val="18"/>
                <w:szCs w:val="18"/>
                <w:color w:val="auto"/>
              </w:rPr>
              <w:t>Date: 16-Jul-2024</w:t>
            </w:r>
          </w:p>
        </w:tc>
        <w:tc>
          <w:tcPr>
            <w:tcW w:w="0" w:type="dxa"/>
            <w:vAlign w:val="bottom"/>
          </w:tcPr>
          <w:p>
            <w:pPr>
              <w:spacing w:after="0"/>
              <w:rPr>
                <w:sz w:val="1"/>
                <w:szCs w:val="1"/>
                <w:color w:val="auto"/>
              </w:rPr>
            </w:pPr>
          </w:p>
        </w:tc>
      </w:tr>
      <w:tr>
        <w:trPr>
          <w:trHeight w:val="432"/>
        </w:trPr>
        <w:tc>
          <w:tcPr>
            <w:tcW w:w="9920" w:type="dxa"/>
            <w:vAlign w:val="bottom"/>
            <w:gridSpan w:val="6"/>
          </w:tcPr>
          <w:p>
            <w:pPr>
              <w:spacing w:after="0"/>
              <w:rPr>
                <w:sz w:val="20"/>
                <w:szCs w:val="20"/>
                <w:color w:val="auto"/>
              </w:rPr>
            </w:pPr>
            <w:r>
              <w:rPr>
                <w:rFonts w:ascii="Calibri" w:cs="Calibri" w:eastAsia="Calibri" w:hAnsi="Calibri"/>
                <w:sz w:val="18"/>
                <w:szCs w:val="18"/>
                <w:color w:val="auto"/>
              </w:rPr>
              <w:t>With its signature, Y-mAbs Therapeutcs, Inc. accedes to clauses 1.3, 1.4 and 4.4</w:t>
            </w:r>
          </w:p>
        </w:tc>
        <w:tc>
          <w:tcPr>
            <w:tcW w:w="0" w:type="dxa"/>
            <w:vAlign w:val="bottom"/>
          </w:tcPr>
          <w:p>
            <w:pPr>
              <w:spacing w:after="0"/>
              <w:rPr>
                <w:sz w:val="1"/>
                <w:szCs w:val="1"/>
                <w:color w:val="auto"/>
              </w:rPr>
            </w:pPr>
          </w:p>
        </w:tc>
      </w:tr>
      <w:tr>
        <w:trPr>
          <w:trHeight w:val="648"/>
        </w:trPr>
        <w:tc>
          <w:tcPr>
            <w:tcW w:w="3300" w:type="dxa"/>
            <w:vAlign w:val="bottom"/>
            <w:gridSpan w:val="2"/>
          </w:tcPr>
          <w:p>
            <w:pPr>
              <w:spacing w:after="0"/>
              <w:rPr>
                <w:sz w:val="20"/>
                <w:szCs w:val="20"/>
                <w:color w:val="auto"/>
              </w:rPr>
            </w:pPr>
            <w:r>
              <w:rPr>
                <w:rFonts w:ascii="Calibri" w:cs="Calibri" w:eastAsia="Calibri" w:hAnsi="Calibri"/>
                <w:sz w:val="18"/>
                <w:szCs w:val="18"/>
                <w:color w:val="auto"/>
              </w:rPr>
              <w:t>/s/ John LaRocca</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Calibri" w:cs="Calibri" w:eastAsia="Calibri" w:hAnsi="Calibri"/>
                <w:sz w:val="18"/>
                <w:szCs w:val="18"/>
                <w:color w:val="auto"/>
              </w:rPr>
              <w:t>/s/ Chris Naylor</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80" w:type="dxa"/>
            <w:vAlign w:val="bottom"/>
          </w:tcPr>
          <w:p>
            <w:pPr>
              <w:spacing w:after="0" w:line="208" w:lineRule="exact"/>
              <w:rPr>
                <w:sz w:val="20"/>
                <w:szCs w:val="20"/>
                <w:color w:val="auto"/>
              </w:rPr>
            </w:pPr>
            <w:r>
              <w:rPr>
                <w:rFonts w:ascii="Calibri" w:cs="Calibri" w:eastAsia="Calibri" w:hAnsi="Calibri"/>
                <w:sz w:val="18"/>
                <w:szCs w:val="18"/>
                <w:color w:val="auto"/>
              </w:rPr>
              <w:t>John LaRocca, General Counsel</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gridSpan w:val="2"/>
          </w:tcPr>
          <w:p>
            <w:pPr>
              <w:spacing w:after="0" w:line="208" w:lineRule="exact"/>
              <w:rPr>
                <w:sz w:val="20"/>
                <w:szCs w:val="20"/>
                <w:color w:val="auto"/>
              </w:rPr>
            </w:pPr>
            <w:r>
              <w:rPr>
                <w:rFonts w:ascii="Calibri" w:cs="Calibri" w:eastAsia="Calibri" w:hAnsi="Calibri"/>
                <w:sz w:val="18"/>
                <w:szCs w:val="18"/>
                <w:color w:val="auto"/>
              </w:rPr>
              <w:t>Chris Naylor, Head of HR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300" w:right="999" w:bottom="1440" w:gutter="0" w:footer="0" w:header="0"/>
        </w:sectPr>
      </w:pPr>
    </w:p>
    <w:bookmarkStart w:id="10" w:name="page11"/>
    <w:bookmarkEnd w:id="10"/>
    <w:p>
      <w:pPr>
        <w:jc w:val="right"/>
        <w:spacing w:after="0"/>
        <w:rPr>
          <w:sz w:val="20"/>
          <w:szCs w:val="20"/>
          <w:color w:val="auto"/>
        </w:rPr>
      </w:pPr>
      <w:r>
        <w:rPr>
          <w:rFonts w:ascii="Calibri" w:cs="Calibri" w:eastAsia="Calibri" w:hAnsi="Calibri"/>
          <w:sz w:val="18"/>
          <w:szCs w:val="18"/>
          <w:b w:val="1"/>
          <w:bCs w:val="1"/>
          <w:color w:val="auto"/>
        </w:rPr>
        <w:t>Exhibit 10.2</w:t>
      </w:r>
    </w:p>
    <w:p>
      <w:pPr>
        <w:spacing w:after="0" w:line="158"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auto"/>
        </w:rPr>
        <w:t>Consultancy agreement</w:t>
      </w:r>
    </w:p>
    <w:p>
      <w:pPr>
        <w:spacing w:after="0" w:line="200" w:lineRule="exact"/>
        <w:rPr>
          <w:sz w:val="20"/>
          <w:szCs w:val="20"/>
          <w:color w:val="auto"/>
        </w:rPr>
      </w:pPr>
    </w:p>
    <w:p>
      <w:pPr>
        <w:spacing w:after="0"/>
        <w:rPr>
          <w:sz w:val="20"/>
          <w:szCs w:val="20"/>
          <w:color w:val="auto"/>
        </w:rPr>
      </w:pPr>
      <w:r>
        <w:rPr>
          <w:rFonts w:ascii="Calibri" w:cs="Calibri" w:eastAsia="Calibri" w:hAnsi="Calibri"/>
          <w:sz w:val="18"/>
          <w:szCs w:val="18"/>
          <w:color w:val="auto"/>
        </w:rPr>
        <w:t>This consultancy agreement (the “</w:t>
      </w:r>
      <w:r>
        <w:rPr>
          <w:rFonts w:ascii="Calibri" w:cs="Calibri" w:eastAsia="Calibri" w:hAnsi="Calibri"/>
          <w:sz w:val="18"/>
          <w:szCs w:val="18"/>
          <w:b w:val="1"/>
          <w:bCs w:val="1"/>
          <w:color w:val="auto"/>
        </w:rPr>
        <w:t>Agreement</w:t>
      </w:r>
      <w:r>
        <w:rPr>
          <w:rFonts w:ascii="Calibri" w:cs="Calibri" w:eastAsia="Calibri" w:hAnsi="Calibri"/>
          <w:sz w:val="18"/>
          <w:szCs w:val="18"/>
          <w:color w:val="auto"/>
        </w:rPr>
        <w:t>”) has been made by and between:</w:t>
      </w:r>
    </w:p>
    <w:p>
      <w:pPr>
        <w:spacing w:after="0" w:line="177" w:lineRule="exact"/>
        <w:rPr>
          <w:sz w:val="20"/>
          <w:szCs w:val="20"/>
          <w:color w:val="auto"/>
        </w:rPr>
      </w:pPr>
    </w:p>
    <w:p>
      <w:pPr>
        <w:ind w:left="760" w:hanging="752"/>
        <w:spacing w:after="0" w:line="258" w:lineRule="auto"/>
        <w:tabs>
          <w:tab w:leader="none" w:pos="760"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Y-mAbs Therapeutcs, Inc., a company limited by shares incorporated in the United States under corporate registraton number 47-4619612 (the “</w:t>
      </w:r>
      <w:r>
        <w:rPr>
          <w:rFonts w:ascii="Calibri" w:cs="Calibri" w:eastAsia="Calibri" w:hAnsi="Calibri"/>
          <w:sz w:val="17"/>
          <w:szCs w:val="17"/>
          <w:b w:val="1"/>
          <w:bCs w:val="1"/>
          <w:color w:val="auto"/>
        </w:rPr>
        <w:t>Company</w:t>
      </w:r>
      <w:r>
        <w:rPr>
          <w:rFonts w:ascii="Calibri" w:cs="Calibri" w:eastAsia="Calibri" w:hAnsi="Calibri"/>
          <w:sz w:val="17"/>
          <w:szCs w:val="17"/>
          <w:color w:val="auto"/>
        </w:rPr>
        <w:t>”), with registered address at 230 Park Avenue, Suite 3350 New York, NY 10169, USA; and</w:t>
      </w:r>
    </w:p>
    <w:p>
      <w:pPr>
        <w:spacing w:after="0" w:line="161" w:lineRule="exact"/>
        <w:rPr>
          <w:rFonts w:ascii="Calibri" w:cs="Calibri" w:eastAsia="Calibri" w:hAnsi="Calibri"/>
          <w:sz w:val="17"/>
          <w:szCs w:val="17"/>
          <w:color w:val="auto"/>
        </w:rPr>
      </w:pPr>
    </w:p>
    <w:p>
      <w:pPr>
        <w:ind w:left="760" w:hanging="752"/>
        <w:spacing w:after="0" w:line="235" w:lineRule="auto"/>
        <w:tabs>
          <w:tab w:leader="none" w:pos="76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Investeringsselskabet GH ApS, a company limited by shares incorporated in Denmark under corporate registraton number 31767520 (the “</w:t>
      </w:r>
      <w:r>
        <w:rPr>
          <w:rFonts w:ascii="Calibri" w:cs="Calibri" w:eastAsia="Calibri" w:hAnsi="Calibri"/>
          <w:sz w:val="18"/>
          <w:szCs w:val="18"/>
          <w:b w:val="1"/>
          <w:bCs w:val="1"/>
          <w:color w:val="auto"/>
        </w:rPr>
        <w:t>Consultant</w:t>
      </w:r>
      <w:r>
        <w:rPr>
          <w:rFonts w:ascii="Calibri" w:cs="Calibri" w:eastAsia="Calibri" w:hAnsi="Calibri"/>
          <w:sz w:val="18"/>
          <w:szCs w:val="18"/>
          <w:color w:val="auto"/>
        </w:rPr>
        <w:t>”), with registered address at Orebyvej 43, 4990 Sakskøbing, Denmark;</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(each a “</w:t>
      </w:r>
      <w:r>
        <w:rPr>
          <w:rFonts w:ascii="Calibri" w:cs="Calibri" w:eastAsia="Calibri" w:hAnsi="Calibri"/>
          <w:sz w:val="18"/>
          <w:szCs w:val="18"/>
          <w:b w:val="1"/>
          <w:bCs w:val="1"/>
          <w:color w:val="auto"/>
        </w:rPr>
        <w:t>Party</w:t>
      </w:r>
      <w:r>
        <w:rPr>
          <w:rFonts w:ascii="Calibri" w:cs="Calibri" w:eastAsia="Calibri" w:hAnsi="Calibri"/>
          <w:sz w:val="18"/>
          <w:szCs w:val="18"/>
          <w:color w:val="auto"/>
        </w:rPr>
        <w:t>” and collectvely the “</w:t>
      </w:r>
      <w:r>
        <w:rPr>
          <w:rFonts w:ascii="Calibri" w:cs="Calibri" w:eastAsia="Calibri" w:hAnsi="Calibri"/>
          <w:sz w:val="18"/>
          <w:szCs w:val="18"/>
          <w:b w:val="1"/>
          <w:bCs w:val="1"/>
          <w:color w:val="auto"/>
        </w:rPr>
        <w:t>Partes</w:t>
      </w:r>
      <w:r>
        <w:rPr>
          <w:rFonts w:ascii="Calibri" w:cs="Calibri" w:eastAsia="Calibri" w:hAnsi="Calibri"/>
          <w:sz w:val="18"/>
          <w:szCs w:val="18"/>
          <w:color w:val="auto"/>
        </w:rPr>
        <w:t>”).</w:t>
      </w:r>
    </w:p>
    <w:p>
      <w:pPr>
        <w:spacing w:after="0" w:line="172" w:lineRule="exact"/>
        <w:rPr>
          <w:sz w:val="20"/>
          <w:szCs w:val="20"/>
          <w:color w:val="auto"/>
        </w:rPr>
      </w:pPr>
    </w:p>
    <w:p>
      <w:pPr>
        <w:ind w:left="760" w:hanging="752"/>
        <w:spacing w:after="0"/>
        <w:tabs>
          <w:tab w:leader="none" w:pos="760" w:val="left"/>
        </w:tabs>
        <w:numPr>
          <w:ilvl w:val="0"/>
          <w:numId w:val="1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BACKGROUND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0" w:type="dxa"/>
            <w:vAlign w:val="bottom"/>
          </w:tcPr>
          <w:p>
            <w:pPr>
              <w:jc w:val="right"/>
              <w:ind w:right="170"/>
              <w:spacing w:after="0"/>
              <w:rPr>
                <w:sz w:val="20"/>
                <w:szCs w:val="20"/>
                <w:color w:val="auto"/>
              </w:rPr>
            </w:pPr>
            <w:r>
              <w:rPr>
                <w:rFonts w:ascii="Calibri" w:cs="Calibri" w:eastAsia="Calibri" w:hAnsi="Calibri"/>
                <w:sz w:val="18"/>
                <w:szCs w:val="18"/>
                <w:color w:val="auto"/>
                <w:w w:val="96"/>
              </w:rPr>
              <w:t>1.1</w:t>
            </w:r>
          </w:p>
        </w:tc>
        <w:tc>
          <w:tcPr>
            <w:tcW w:w="9420" w:type="dxa"/>
            <w:vAlign w:val="bottom"/>
          </w:tcPr>
          <w:p>
            <w:pPr>
              <w:ind w:left="260"/>
              <w:spacing w:after="0"/>
              <w:rPr>
                <w:sz w:val="20"/>
                <w:szCs w:val="20"/>
                <w:color w:val="auto"/>
              </w:rPr>
            </w:pPr>
            <w:r>
              <w:rPr>
                <w:rFonts w:ascii="Calibri" w:cs="Calibri" w:eastAsia="Calibri" w:hAnsi="Calibri"/>
                <w:sz w:val="18"/>
                <w:szCs w:val="18"/>
                <w:color w:val="auto"/>
                <w:w w:val="99"/>
              </w:rPr>
              <w:t>The Company is a commercial-stage biopharmaceutcal company focused on the development and commercializaton of novel</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rPr>
              <w:t>radioimmunotherapy and antbody-based therapeutc products for the treatment of cancer.</w:t>
            </w:r>
          </w:p>
        </w:tc>
      </w:tr>
      <w:tr>
        <w:trPr>
          <w:trHeight w:val="391"/>
        </w:trPr>
        <w:tc>
          <w:tcPr>
            <w:tcW w:w="500" w:type="dxa"/>
            <w:vAlign w:val="bottom"/>
          </w:tcPr>
          <w:p>
            <w:pPr>
              <w:jc w:val="right"/>
              <w:ind w:right="170"/>
              <w:spacing w:after="0"/>
              <w:rPr>
                <w:sz w:val="20"/>
                <w:szCs w:val="20"/>
                <w:color w:val="auto"/>
              </w:rPr>
            </w:pPr>
            <w:r>
              <w:rPr>
                <w:rFonts w:ascii="Calibri" w:cs="Calibri" w:eastAsia="Calibri" w:hAnsi="Calibri"/>
                <w:sz w:val="18"/>
                <w:szCs w:val="18"/>
                <w:color w:val="auto"/>
                <w:w w:val="96"/>
              </w:rPr>
              <w:t>1.2</w:t>
            </w:r>
          </w:p>
        </w:tc>
        <w:tc>
          <w:tcPr>
            <w:tcW w:w="9420" w:type="dxa"/>
            <w:vAlign w:val="bottom"/>
          </w:tcPr>
          <w:p>
            <w:pPr>
              <w:ind w:left="260"/>
              <w:spacing w:after="0"/>
              <w:rPr>
                <w:sz w:val="20"/>
                <w:szCs w:val="20"/>
                <w:color w:val="auto"/>
              </w:rPr>
            </w:pPr>
            <w:r>
              <w:rPr>
                <w:rFonts w:ascii="Calibri" w:cs="Calibri" w:eastAsia="Calibri" w:hAnsi="Calibri"/>
                <w:sz w:val="18"/>
                <w:szCs w:val="18"/>
                <w:color w:val="auto"/>
              </w:rPr>
              <w:t>The Company requires specifc competence in relaton to Financial Operatons and Corporate Governance under a transitory</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rPr>
              <w:t>period. The Consultant has the relevant and necessary qualifcatons, experience and abilites to provide the services that the</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rPr>
              <w:t>Company requires.</w:t>
            </w:r>
          </w:p>
        </w:tc>
      </w:tr>
      <w:tr>
        <w:trPr>
          <w:trHeight w:val="392"/>
        </w:trPr>
        <w:tc>
          <w:tcPr>
            <w:tcW w:w="500" w:type="dxa"/>
            <w:vAlign w:val="bottom"/>
          </w:tcPr>
          <w:p>
            <w:pPr>
              <w:jc w:val="right"/>
              <w:ind w:right="170"/>
              <w:spacing w:after="0"/>
              <w:rPr>
                <w:sz w:val="20"/>
                <w:szCs w:val="20"/>
                <w:color w:val="auto"/>
              </w:rPr>
            </w:pPr>
            <w:r>
              <w:rPr>
                <w:rFonts w:ascii="Calibri" w:cs="Calibri" w:eastAsia="Calibri" w:hAnsi="Calibri"/>
                <w:sz w:val="18"/>
                <w:szCs w:val="18"/>
                <w:color w:val="auto"/>
                <w:w w:val="96"/>
              </w:rPr>
              <w:t>1.3</w:t>
            </w:r>
          </w:p>
        </w:tc>
        <w:tc>
          <w:tcPr>
            <w:tcW w:w="9420" w:type="dxa"/>
            <w:vAlign w:val="bottom"/>
          </w:tcPr>
          <w:p>
            <w:pPr>
              <w:ind w:left="260"/>
              <w:spacing w:after="0"/>
              <w:rPr>
                <w:sz w:val="20"/>
                <w:szCs w:val="20"/>
                <w:color w:val="auto"/>
              </w:rPr>
            </w:pPr>
            <w:r>
              <w:rPr>
                <w:rFonts w:ascii="Calibri" w:cs="Calibri" w:eastAsia="Calibri" w:hAnsi="Calibri"/>
                <w:sz w:val="18"/>
                <w:szCs w:val="18"/>
                <w:color w:val="auto"/>
              </w:rPr>
              <w:t>The Company wishes to hire the Consultant to provide consultng services for the Company.</w:t>
            </w:r>
          </w:p>
        </w:tc>
      </w:tr>
      <w:tr>
        <w:trPr>
          <w:trHeight w:val="391"/>
        </w:trPr>
        <w:tc>
          <w:tcPr>
            <w:tcW w:w="500" w:type="dxa"/>
            <w:vAlign w:val="bottom"/>
          </w:tcPr>
          <w:p>
            <w:pPr>
              <w:jc w:val="right"/>
              <w:ind w:right="170"/>
              <w:spacing w:after="0"/>
              <w:rPr>
                <w:sz w:val="20"/>
                <w:szCs w:val="20"/>
                <w:color w:val="auto"/>
              </w:rPr>
            </w:pPr>
            <w:r>
              <w:rPr>
                <w:rFonts w:ascii="Calibri" w:cs="Calibri" w:eastAsia="Calibri" w:hAnsi="Calibri"/>
                <w:sz w:val="18"/>
                <w:szCs w:val="18"/>
                <w:color w:val="auto"/>
                <w:w w:val="96"/>
              </w:rPr>
              <w:t>1.4</w:t>
            </w:r>
          </w:p>
        </w:tc>
        <w:tc>
          <w:tcPr>
            <w:tcW w:w="9420" w:type="dxa"/>
            <w:vAlign w:val="bottom"/>
          </w:tcPr>
          <w:p>
            <w:pPr>
              <w:ind w:left="260"/>
              <w:spacing w:after="0"/>
              <w:rPr>
                <w:sz w:val="20"/>
                <w:szCs w:val="20"/>
                <w:color w:val="auto"/>
              </w:rPr>
            </w:pPr>
            <w:r>
              <w:rPr>
                <w:rFonts w:ascii="Calibri" w:cs="Calibri" w:eastAsia="Calibri" w:hAnsi="Calibri"/>
                <w:sz w:val="18"/>
                <w:szCs w:val="18"/>
                <w:color w:val="auto"/>
              </w:rPr>
              <w:t>In light of the aforementoned, the Partes have agreed to enter into this Agreement for the Consultant’s future provision of</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rPr>
              <w:t>consultng services.</w:t>
            </w:r>
          </w:p>
        </w:tc>
      </w:tr>
    </w:tbl>
    <w:p>
      <w:pPr>
        <w:spacing w:after="0" w:line="172" w:lineRule="exact"/>
        <w:rPr>
          <w:sz w:val="20"/>
          <w:szCs w:val="20"/>
          <w:color w:val="auto"/>
        </w:rPr>
      </w:pPr>
    </w:p>
    <w:p>
      <w:pPr>
        <w:ind w:left="760" w:hanging="752"/>
        <w:spacing w:after="0"/>
        <w:tabs>
          <w:tab w:leader="none" w:pos="760" w:val="left"/>
        </w:tabs>
        <w:numPr>
          <w:ilvl w:val="0"/>
          <w:numId w:val="1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SERVICES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0" w:type="dxa"/>
            <w:vAlign w:val="bottom"/>
          </w:tcPr>
          <w:p>
            <w:pPr>
              <w:jc w:val="right"/>
              <w:ind w:right="170"/>
              <w:spacing w:after="0"/>
              <w:rPr>
                <w:sz w:val="20"/>
                <w:szCs w:val="20"/>
                <w:color w:val="auto"/>
              </w:rPr>
            </w:pPr>
            <w:r>
              <w:rPr>
                <w:rFonts w:ascii="Calibri" w:cs="Calibri" w:eastAsia="Calibri" w:hAnsi="Calibri"/>
                <w:sz w:val="18"/>
                <w:szCs w:val="18"/>
                <w:color w:val="auto"/>
                <w:w w:val="96"/>
              </w:rPr>
              <w:t>2.1</w:t>
            </w:r>
          </w:p>
        </w:tc>
        <w:tc>
          <w:tcPr>
            <w:tcW w:w="9420" w:type="dxa"/>
            <w:vAlign w:val="bottom"/>
          </w:tcPr>
          <w:p>
            <w:pPr>
              <w:ind w:left="260"/>
              <w:spacing w:after="0"/>
              <w:rPr>
                <w:sz w:val="20"/>
                <w:szCs w:val="20"/>
                <w:color w:val="auto"/>
              </w:rPr>
            </w:pPr>
            <w:r>
              <w:rPr>
                <w:rFonts w:ascii="Calibri" w:cs="Calibri" w:eastAsia="Calibri" w:hAnsi="Calibri"/>
                <w:sz w:val="18"/>
                <w:szCs w:val="18"/>
                <w:color w:val="auto"/>
                <w:w w:val="99"/>
              </w:rPr>
              <w:t>The Consultant shall provide specifc consultng services relatng to Financial Operatons and Corporate Governance and provide</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rPr>
              <w:t>telephone, video meetng and e-mail consultatons to the Company, each on a call-of basis (collectvely referred to as</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Services</w:t>
            </w:r>
            <w:r>
              <w:rPr>
                <w:rFonts w:ascii="Calibri" w:cs="Calibri" w:eastAsia="Calibri" w:hAnsi="Calibri"/>
                <w:sz w:val="18"/>
                <w:szCs w:val="18"/>
                <w:color w:val="auto"/>
              </w:rPr>
              <w:t>”).</w:t>
            </w:r>
          </w:p>
        </w:tc>
      </w:tr>
      <w:tr>
        <w:trPr>
          <w:trHeight w:val="391"/>
        </w:trPr>
        <w:tc>
          <w:tcPr>
            <w:tcW w:w="500" w:type="dxa"/>
            <w:vAlign w:val="bottom"/>
          </w:tcPr>
          <w:p>
            <w:pPr>
              <w:jc w:val="right"/>
              <w:ind w:right="170"/>
              <w:spacing w:after="0"/>
              <w:rPr>
                <w:sz w:val="20"/>
                <w:szCs w:val="20"/>
                <w:color w:val="auto"/>
              </w:rPr>
            </w:pPr>
            <w:r>
              <w:rPr>
                <w:rFonts w:ascii="Calibri" w:cs="Calibri" w:eastAsia="Calibri" w:hAnsi="Calibri"/>
                <w:sz w:val="18"/>
                <w:szCs w:val="18"/>
                <w:color w:val="auto"/>
                <w:w w:val="96"/>
              </w:rPr>
              <w:t>2.2</w:t>
            </w:r>
          </w:p>
        </w:tc>
        <w:tc>
          <w:tcPr>
            <w:tcW w:w="9420" w:type="dxa"/>
            <w:vAlign w:val="bottom"/>
          </w:tcPr>
          <w:p>
            <w:pPr>
              <w:ind w:left="260"/>
              <w:spacing w:after="0"/>
              <w:rPr>
                <w:sz w:val="20"/>
                <w:szCs w:val="20"/>
                <w:color w:val="auto"/>
              </w:rPr>
            </w:pPr>
            <w:r>
              <w:rPr>
                <w:rFonts w:ascii="Calibri" w:cs="Calibri" w:eastAsia="Calibri" w:hAnsi="Calibri"/>
                <w:sz w:val="18"/>
                <w:szCs w:val="18"/>
                <w:color w:val="auto"/>
              </w:rPr>
              <w:t>The Services shall be performed by Bo Kruse at the Consultant. The Consultant is only enttled to have someone else perform</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rPr>
              <w:t>the Services with the Company’s prior writen consent. The Consultant is fully liable for any sub-contractor, including sub-</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rPr>
              <w:t>contractor’s work results and intellectual property rights.</w:t>
            </w:r>
          </w:p>
        </w:tc>
      </w:tr>
      <w:tr>
        <w:trPr>
          <w:trHeight w:val="391"/>
        </w:trPr>
        <w:tc>
          <w:tcPr>
            <w:tcW w:w="500" w:type="dxa"/>
            <w:vAlign w:val="bottom"/>
          </w:tcPr>
          <w:p>
            <w:pPr>
              <w:jc w:val="right"/>
              <w:ind w:right="170"/>
              <w:spacing w:after="0"/>
              <w:rPr>
                <w:sz w:val="20"/>
                <w:szCs w:val="20"/>
                <w:color w:val="auto"/>
              </w:rPr>
            </w:pPr>
            <w:r>
              <w:rPr>
                <w:rFonts w:ascii="Calibri" w:cs="Calibri" w:eastAsia="Calibri" w:hAnsi="Calibri"/>
                <w:sz w:val="18"/>
                <w:szCs w:val="18"/>
                <w:color w:val="auto"/>
                <w:w w:val="96"/>
              </w:rPr>
              <w:t>2.3</w:t>
            </w:r>
          </w:p>
        </w:tc>
        <w:tc>
          <w:tcPr>
            <w:tcW w:w="9420" w:type="dxa"/>
            <w:vAlign w:val="bottom"/>
          </w:tcPr>
          <w:p>
            <w:pPr>
              <w:ind w:left="260"/>
              <w:spacing w:after="0"/>
              <w:rPr>
                <w:sz w:val="20"/>
                <w:szCs w:val="20"/>
                <w:color w:val="auto"/>
              </w:rPr>
            </w:pPr>
            <w:r>
              <w:rPr>
                <w:rFonts w:ascii="Calibri" w:cs="Calibri" w:eastAsia="Calibri" w:hAnsi="Calibri"/>
                <w:sz w:val="18"/>
                <w:szCs w:val="18"/>
                <w:color w:val="auto"/>
                <w:w w:val="99"/>
              </w:rPr>
              <w:t>The Consultant shall perform the Services in the manner and at tmes as agreed upon by the Partes from tme to tme, provided</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rPr>
              <w:t>that the Consultant shall use best eforts to be available for consultatons as soon as possible upon the Company’s request.</w:t>
            </w:r>
          </w:p>
        </w:tc>
      </w:tr>
      <w:tr>
        <w:trPr>
          <w:trHeight w:val="391"/>
        </w:trPr>
        <w:tc>
          <w:tcPr>
            <w:tcW w:w="500" w:type="dxa"/>
            <w:vAlign w:val="bottom"/>
          </w:tcPr>
          <w:p>
            <w:pPr>
              <w:jc w:val="right"/>
              <w:ind w:right="170"/>
              <w:spacing w:after="0"/>
              <w:rPr>
                <w:sz w:val="20"/>
                <w:szCs w:val="20"/>
                <w:color w:val="auto"/>
              </w:rPr>
            </w:pPr>
            <w:r>
              <w:rPr>
                <w:rFonts w:ascii="Calibri" w:cs="Calibri" w:eastAsia="Calibri" w:hAnsi="Calibri"/>
                <w:sz w:val="18"/>
                <w:szCs w:val="18"/>
                <w:color w:val="auto"/>
                <w:w w:val="96"/>
              </w:rPr>
              <w:t>2.4</w:t>
            </w:r>
          </w:p>
        </w:tc>
        <w:tc>
          <w:tcPr>
            <w:tcW w:w="9420" w:type="dxa"/>
            <w:vAlign w:val="bottom"/>
          </w:tcPr>
          <w:p>
            <w:pPr>
              <w:ind w:left="260"/>
              <w:spacing w:after="0"/>
              <w:rPr>
                <w:sz w:val="20"/>
                <w:szCs w:val="20"/>
                <w:color w:val="auto"/>
              </w:rPr>
            </w:pPr>
            <w:r>
              <w:rPr>
                <w:rFonts w:ascii="Calibri" w:cs="Calibri" w:eastAsia="Calibri" w:hAnsi="Calibri"/>
                <w:sz w:val="18"/>
                <w:szCs w:val="18"/>
                <w:color w:val="auto"/>
              </w:rPr>
              <w:t>The Services shall be performed at the Consultant’s premises in Sweden, unless otherwise agreed between the Partes.</w:t>
            </w:r>
          </w:p>
        </w:tc>
      </w:tr>
      <w:tr>
        <w:trPr>
          <w:trHeight w:val="392"/>
        </w:trPr>
        <w:tc>
          <w:tcPr>
            <w:tcW w:w="500" w:type="dxa"/>
            <w:vAlign w:val="bottom"/>
          </w:tcPr>
          <w:p>
            <w:pPr>
              <w:jc w:val="right"/>
              <w:ind w:right="170"/>
              <w:spacing w:after="0"/>
              <w:rPr>
                <w:sz w:val="20"/>
                <w:szCs w:val="20"/>
                <w:color w:val="auto"/>
              </w:rPr>
            </w:pPr>
            <w:r>
              <w:rPr>
                <w:rFonts w:ascii="Calibri" w:cs="Calibri" w:eastAsia="Calibri" w:hAnsi="Calibri"/>
                <w:sz w:val="18"/>
                <w:szCs w:val="18"/>
                <w:color w:val="auto"/>
                <w:w w:val="96"/>
              </w:rPr>
              <w:t>2.5</w:t>
            </w:r>
          </w:p>
        </w:tc>
        <w:tc>
          <w:tcPr>
            <w:tcW w:w="9420" w:type="dxa"/>
            <w:vAlign w:val="bottom"/>
          </w:tcPr>
          <w:p>
            <w:pPr>
              <w:ind w:left="260"/>
              <w:spacing w:after="0"/>
              <w:rPr>
                <w:sz w:val="20"/>
                <w:szCs w:val="20"/>
                <w:color w:val="auto"/>
              </w:rPr>
            </w:pPr>
            <w:r>
              <w:rPr>
                <w:rFonts w:ascii="Calibri" w:cs="Calibri" w:eastAsia="Calibri" w:hAnsi="Calibri"/>
                <w:sz w:val="18"/>
                <w:szCs w:val="18"/>
                <w:color w:val="auto"/>
                <w:w w:val="98"/>
              </w:rPr>
              <w:t>The Consultant warrants that the Services will be performed in a professional and workmanlike manner and in compliance with</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w w:val="98"/>
              </w:rPr>
              <w:t>all applicable laws and regulatons in the industry, as well as in accordance with the terms in this Agreement. The Consultant is,</w:t>
            </w:r>
          </w:p>
        </w:tc>
      </w:tr>
    </w:tbl>
    <w:p>
      <w:pPr>
        <w:spacing w:after="0" w:line="1" w:lineRule="exact"/>
        <w:rPr>
          <w:sz w:val="20"/>
          <w:szCs w:val="20"/>
          <w:color w:val="auto"/>
        </w:rPr>
      </w:pPr>
    </w:p>
    <w:p>
      <w:pPr>
        <w:ind w:left="760" w:right="20"/>
        <w:spacing w:after="0" w:line="235" w:lineRule="auto"/>
        <w:rPr>
          <w:sz w:val="20"/>
          <w:szCs w:val="20"/>
          <w:color w:val="auto"/>
        </w:rPr>
      </w:pPr>
      <w:r>
        <w:rPr>
          <w:rFonts w:ascii="Calibri" w:cs="Calibri" w:eastAsia="Calibri" w:hAnsi="Calibri"/>
          <w:sz w:val="18"/>
          <w:szCs w:val="18"/>
          <w:color w:val="auto"/>
        </w:rPr>
        <w:t>in relaton to the Company, independently responsible for the performance of the Services in every way. The Consultant is therefore free to organize and perform the Services, within the limits of this Agreement, as the Consultant sees 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1" w:name="page12"/>
    <w:bookmarkEnd w:id="11"/>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2.6</w:t>
      </w:r>
      <w:r>
        <w:rPr>
          <w:sz w:val="20"/>
          <w:szCs w:val="20"/>
          <w:color w:val="auto"/>
        </w:rPr>
        <w:tab/>
      </w:r>
      <w:r>
        <w:rPr>
          <w:rFonts w:ascii="Calibri" w:cs="Calibri" w:eastAsia="Calibri" w:hAnsi="Calibri"/>
          <w:sz w:val="18"/>
          <w:szCs w:val="18"/>
          <w:color w:val="auto"/>
        </w:rPr>
        <w:t>The Consultant shall during the performance of the Services contnuously and to a reasonable extent keep the Company informed about the performance of the Services and allow the Company full insight into all maters related to the Services. When the Services (or parts thereof) have been completed, the Consultant shall, as instructed by the Company, provide to the Company all documents, material and other informaton relatng to the Services, including a report of work conducted and results according to agreed formats.</w:t>
      </w:r>
    </w:p>
    <w:p>
      <w:pPr>
        <w:spacing w:after="0" w:line="180"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2.7</w:t>
      </w:r>
      <w:r>
        <w:rPr>
          <w:sz w:val="20"/>
          <w:szCs w:val="20"/>
          <w:color w:val="auto"/>
        </w:rPr>
        <w:tab/>
      </w:r>
      <w:r>
        <w:rPr>
          <w:rFonts w:ascii="Calibri" w:cs="Calibri" w:eastAsia="Calibri" w:hAnsi="Calibri"/>
          <w:sz w:val="18"/>
          <w:szCs w:val="18"/>
          <w:color w:val="auto"/>
        </w:rPr>
        <w:t>The Consultant undertakes to carry out the Services as an independent contractor in relaton to the Company and the Consultant will, at its own cost, provide mobile phone, computer and other technical equipment typically necessary to efectvely perform the Services. The Company may provide hardware for security purposes. This Agreement does not create any employment, partnership or similar relatonship between the Partes.</w:t>
      </w:r>
    </w:p>
    <w:p>
      <w:pPr>
        <w:spacing w:after="0" w:line="179"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2.8</w:t>
      </w:r>
      <w:r>
        <w:rPr>
          <w:sz w:val="20"/>
          <w:szCs w:val="20"/>
          <w:color w:val="auto"/>
        </w:rPr>
        <w:tab/>
      </w:r>
      <w:r>
        <w:rPr>
          <w:rFonts w:ascii="Calibri" w:cs="Calibri" w:eastAsia="Calibri" w:hAnsi="Calibri"/>
          <w:sz w:val="18"/>
          <w:szCs w:val="18"/>
          <w:color w:val="auto"/>
        </w:rPr>
        <w:t>During the term of the Agreement, the Consultant shall make Bo Kruse reasonably available to the Company to assist with any litgaton or other legal proceedings involving maters arising from his tme as an employee of the Company including without limitaton, assistance with discovery, providing depositon or other testmony and providing such other assistance as the Company reasonably requests.</w:t>
      </w:r>
    </w:p>
    <w:p>
      <w:pPr>
        <w:spacing w:after="0" w:line="174" w:lineRule="exact"/>
        <w:rPr>
          <w:sz w:val="20"/>
          <w:szCs w:val="20"/>
          <w:color w:val="auto"/>
        </w:rPr>
      </w:pPr>
    </w:p>
    <w:p>
      <w:pPr>
        <w:ind w:left="760" w:hanging="752"/>
        <w:spacing w:after="0"/>
        <w:tabs>
          <w:tab w:leader="none" w:pos="760" w:val="left"/>
        </w:tabs>
        <w:numPr>
          <w:ilvl w:val="0"/>
          <w:numId w:val="18"/>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OTHER ASSIGNMENTS AND CONFLICT OF INTERESTS</w:t>
      </w:r>
    </w:p>
    <w:p>
      <w:pPr>
        <w:spacing w:after="0" w:line="177"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3.1</w:t>
      </w:r>
      <w:r>
        <w:rPr>
          <w:sz w:val="20"/>
          <w:szCs w:val="20"/>
          <w:color w:val="auto"/>
        </w:rPr>
        <w:tab/>
      </w:r>
      <w:r>
        <w:rPr>
          <w:rFonts w:ascii="Calibri" w:cs="Calibri" w:eastAsia="Calibri" w:hAnsi="Calibri"/>
          <w:sz w:val="18"/>
          <w:szCs w:val="18"/>
          <w:color w:val="auto"/>
        </w:rPr>
        <w:t>For the duraton of the Agreement, the Consultant shall have the right to provide services to other principals, unless such services and/or assignments are in breach of this Agreement, or may otherwise prejudicially afect the Consultant’s possibilites to fulfl its obligatons toward the Company pursuant to this Agreement or in any other way harm the Company’s business. If the Consultant is considering taking on assignments for a compettor of the Company, the Consultant must always inform the Company before commencing such assignments.</w:t>
      </w:r>
    </w:p>
    <w:p>
      <w:pPr>
        <w:spacing w:after="0" w:line="180"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3.2</w:t>
      </w:r>
      <w:r>
        <w:rPr>
          <w:sz w:val="20"/>
          <w:szCs w:val="20"/>
          <w:color w:val="auto"/>
        </w:rPr>
        <w:tab/>
      </w:r>
      <w:r>
        <w:rPr>
          <w:rFonts w:ascii="Calibri" w:cs="Calibri" w:eastAsia="Calibri" w:hAnsi="Calibri"/>
          <w:sz w:val="18"/>
          <w:szCs w:val="18"/>
          <w:color w:val="auto"/>
        </w:rPr>
        <w:t>Notwithstanding Clause 3.1, the Consultant shall act loyally towards the Company and ensure the Company’s interests during the performance of the Services. If the Consultant identfes a risk of a confict of interest between the Company and the Consultant or in relaton to other services performed by the Consultant, such a confict of interest shall be notfed to the Company immediately.</w:t>
      </w:r>
    </w:p>
    <w:p>
      <w:pPr>
        <w:spacing w:after="0" w:line="174" w:lineRule="exact"/>
        <w:rPr>
          <w:sz w:val="20"/>
          <w:szCs w:val="20"/>
          <w:color w:val="auto"/>
        </w:rPr>
      </w:pPr>
    </w:p>
    <w:p>
      <w:pPr>
        <w:ind w:left="760" w:hanging="752"/>
        <w:spacing w:after="0"/>
        <w:tabs>
          <w:tab w:leader="none" w:pos="760" w:val="left"/>
        </w:tabs>
        <w:numPr>
          <w:ilvl w:val="0"/>
          <w:numId w:val="1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FEE AND INVOICING</w:t>
      </w:r>
    </w:p>
    <w:p>
      <w:pPr>
        <w:spacing w:after="0" w:line="172"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18"/>
          <w:szCs w:val="18"/>
          <w:color w:val="auto"/>
        </w:rPr>
        <w:t>4.1</w:t>
      </w:r>
      <w:r>
        <w:rPr>
          <w:sz w:val="20"/>
          <w:szCs w:val="20"/>
          <w:color w:val="auto"/>
        </w:rPr>
        <w:tab/>
      </w:r>
      <w:r>
        <w:rPr>
          <w:rFonts w:ascii="Calibri" w:cs="Calibri" w:eastAsia="Calibri" w:hAnsi="Calibri"/>
          <w:sz w:val="18"/>
          <w:szCs w:val="18"/>
          <w:color w:val="auto"/>
        </w:rPr>
        <w:t>For the performance of the Services, the Company shall pay the Consultant a fxed monthly fee amountng to DKK 295,967.</w:t>
      </w:r>
    </w:p>
    <w:p>
      <w:pPr>
        <w:ind w:left="760"/>
        <w:spacing w:after="0" w:line="235" w:lineRule="auto"/>
        <w:rPr>
          <w:sz w:val="20"/>
          <w:szCs w:val="20"/>
          <w:color w:val="auto"/>
        </w:rPr>
      </w:pPr>
      <w:r>
        <w:rPr>
          <w:rFonts w:ascii="Calibri" w:cs="Calibri" w:eastAsia="Calibri" w:hAnsi="Calibri"/>
          <w:sz w:val="18"/>
          <w:szCs w:val="18"/>
          <w:color w:val="auto"/>
        </w:rPr>
        <w:t>excluding VAT.</w:t>
      </w:r>
    </w:p>
    <w:p>
      <w:pPr>
        <w:spacing w:after="0" w:line="177"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4.2</w:t>
      </w:r>
      <w:r>
        <w:rPr>
          <w:sz w:val="20"/>
          <w:szCs w:val="20"/>
          <w:color w:val="auto"/>
        </w:rPr>
        <w:tab/>
      </w:r>
      <w:r>
        <w:rPr>
          <w:rFonts w:ascii="Calibri" w:cs="Calibri" w:eastAsia="Calibri" w:hAnsi="Calibri"/>
          <w:sz w:val="18"/>
          <w:szCs w:val="18"/>
          <w:color w:val="auto"/>
        </w:rPr>
        <w:t>The Consultant is further enttled to compensaton for necessary, pre-approved and verifed expenses relatng to the performance of the Services, such as travel expenses for physical meetngs requested by the Company. The expenses shall be verifed with receipt and/or other documentaton.</w:t>
      </w:r>
    </w:p>
    <w:p>
      <w:pPr>
        <w:spacing w:after="0" w:line="178"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4.3</w:t>
      </w:r>
      <w:r>
        <w:rPr>
          <w:sz w:val="20"/>
          <w:szCs w:val="20"/>
          <w:color w:val="auto"/>
        </w:rPr>
        <w:tab/>
      </w:r>
      <w:r>
        <w:rPr>
          <w:rFonts w:ascii="Calibri" w:cs="Calibri" w:eastAsia="Calibri" w:hAnsi="Calibri"/>
          <w:sz w:val="18"/>
          <w:szCs w:val="18"/>
          <w:color w:val="auto"/>
        </w:rPr>
        <w:t>The Consultant shall invoice the Company on a monthly basis in arrears. Invoices shall be paid net 30 days from date of invoice by the Company. Penalty interest is paid in accordance with law.</w:t>
      </w:r>
    </w:p>
    <w:p>
      <w:pPr>
        <w:spacing w:after="0" w:line="172" w:lineRule="exact"/>
        <w:rPr>
          <w:sz w:val="20"/>
          <w:szCs w:val="20"/>
          <w:color w:val="auto"/>
        </w:rPr>
      </w:pPr>
    </w:p>
    <w:p>
      <w:pPr>
        <w:ind w:left="760" w:hanging="752"/>
        <w:spacing w:after="0"/>
        <w:tabs>
          <w:tab w:leader="none" w:pos="760" w:val="left"/>
        </w:tabs>
        <w:numPr>
          <w:ilvl w:val="0"/>
          <w:numId w:val="2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TAX REGISTRATIONS</w:t>
      </w:r>
    </w:p>
    <w:p>
      <w:pPr>
        <w:spacing w:after="0" w:line="177"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5.1</w:t>
      </w:r>
      <w:r>
        <w:rPr>
          <w:sz w:val="20"/>
          <w:szCs w:val="20"/>
          <w:color w:val="auto"/>
        </w:rPr>
        <w:tab/>
      </w:r>
      <w:r>
        <w:rPr>
          <w:rFonts w:ascii="Calibri" w:cs="Calibri" w:eastAsia="Calibri" w:hAnsi="Calibri"/>
          <w:sz w:val="18"/>
          <w:szCs w:val="18"/>
          <w:color w:val="auto"/>
        </w:rPr>
        <w:t xml:space="preserve">The Consultant confrms that the Consultant is registered for Swedish F-tax </w:t>
      </w:r>
      <w:r>
        <w:rPr>
          <w:rFonts w:ascii="Calibri" w:cs="Calibri" w:eastAsia="Calibri" w:hAnsi="Calibri"/>
          <w:sz w:val="18"/>
          <w:szCs w:val="18"/>
          <w:i w:val="1"/>
          <w:iCs w:val="1"/>
          <w:color w:val="auto"/>
        </w:rPr>
        <w:t>(</w:t>
      </w:r>
      <w:r>
        <w:rPr>
          <w:rFonts w:ascii="Calibri" w:cs="Calibri" w:eastAsia="Calibri" w:hAnsi="Calibri"/>
          <w:sz w:val="18"/>
          <w:szCs w:val="18"/>
          <w:color w:val="auto"/>
        </w:rPr>
        <w:t>Sw</w:t>
      </w:r>
      <w:r>
        <w:rPr>
          <w:rFonts w:ascii="Calibri" w:cs="Calibri" w:eastAsia="Calibri" w:hAnsi="Calibri"/>
          <w:sz w:val="18"/>
          <w:szCs w:val="18"/>
          <w:i w:val="1"/>
          <w:iCs w:val="1"/>
          <w:color w:val="auto"/>
        </w:rPr>
        <w:t>. F-skat</w:t>
      </w:r>
      <w:r>
        <w:rPr>
          <w:rFonts w:ascii="Calibri" w:cs="Calibri" w:eastAsia="Calibri" w:hAnsi="Calibri"/>
          <w:sz w:val="18"/>
          <w:szCs w:val="18"/>
          <w:color w:val="auto"/>
        </w:rPr>
        <w:t>) and undertakes to remain so for the entre duraton of this Agreement. The Consultant shall upon request provide the Company with writen evidence of such current and valid registraton.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0"/>
        </w:trPr>
        <w:tc>
          <w:tcPr>
            <w:tcW w:w="500" w:type="dxa"/>
            <w:vAlign w:val="bottom"/>
          </w:tcPr>
          <w:p>
            <w:pPr>
              <w:jc w:val="right"/>
              <w:ind w:right="170"/>
              <w:spacing w:after="0"/>
              <w:rPr>
                <w:sz w:val="20"/>
                <w:szCs w:val="20"/>
                <w:color w:val="auto"/>
              </w:rPr>
            </w:pPr>
            <w:r>
              <w:rPr>
                <w:rFonts w:ascii="Calibri" w:cs="Calibri" w:eastAsia="Calibri" w:hAnsi="Calibri"/>
                <w:sz w:val="18"/>
                <w:szCs w:val="18"/>
                <w:color w:val="auto"/>
                <w:w w:val="96"/>
              </w:rPr>
              <w:t>5.2</w:t>
            </w:r>
          </w:p>
        </w:tc>
        <w:tc>
          <w:tcPr>
            <w:tcW w:w="9420" w:type="dxa"/>
            <w:vAlign w:val="bottom"/>
          </w:tcPr>
          <w:p>
            <w:pPr>
              <w:ind w:left="260"/>
              <w:spacing w:after="0"/>
              <w:rPr>
                <w:sz w:val="20"/>
                <w:szCs w:val="20"/>
                <w:color w:val="auto"/>
              </w:rPr>
            </w:pPr>
            <w:r>
              <w:rPr>
                <w:rFonts w:ascii="Calibri" w:cs="Calibri" w:eastAsia="Calibri" w:hAnsi="Calibri"/>
                <w:sz w:val="18"/>
                <w:szCs w:val="18"/>
                <w:color w:val="auto"/>
                <w:w w:val="97"/>
              </w:rPr>
              <w:t>The Consultant is solely responsible for the payment of all statutory taxes and fees for the Consultant’s employees that perform</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rPr>
              <w:t>the Services.</w:t>
            </w:r>
          </w:p>
        </w:tc>
      </w:tr>
      <w:tr>
        <w:trPr>
          <w:trHeight w:val="392"/>
        </w:trPr>
        <w:tc>
          <w:tcPr>
            <w:tcW w:w="500" w:type="dxa"/>
            <w:vAlign w:val="bottom"/>
          </w:tcPr>
          <w:p>
            <w:pPr>
              <w:jc w:val="right"/>
              <w:ind w:right="170"/>
              <w:spacing w:after="0"/>
              <w:rPr>
                <w:sz w:val="20"/>
                <w:szCs w:val="20"/>
                <w:color w:val="auto"/>
              </w:rPr>
            </w:pPr>
            <w:r>
              <w:rPr>
                <w:rFonts w:ascii="Calibri" w:cs="Calibri" w:eastAsia="Calibri" w:hAnsi="Calibri"/>
                <w:sz w:val="18"/>
                <w:szCs w:val="18"/>
                <w:color w:val="auto"/>
                <w:w w:val="96"/>
              </w:rPr>
              <w:t>5.3</w:t>
            </w:r>
          </w:p>
        </w:tc>
        <w:tc>
          <w:tcPr>
            <w:tcW w:w="9420" w:type="dxa"/>
            <w:vAlign w:val="bottom"/>
          </w:tcPr>
          <w:p>
            <w:pPr>
              <w:ind w:left="260"/>
              <w:spacing w:after="0"/>
              <w:rPr>
                <w:sz w:val="20"/>
                <w:szCs w:val="20"/>
                <w:color w:val="auto"/>
              </w:rPr>
            </w:pPr>
            <w:r>
              <w:rPr>
                <w:rFonts w:ascii="Calibri" w:cs="Calibri" w:eastAsia="Calibri" w:hAnsi="Calibri"/>
                <w:sz w:val="18"/>
                <w:szCs w:val="18"/>
                <w:color w:val="auto"/>
              </w:rPr>
              <w:t>If the Company is imposed by an ofcial decision to pay a tax, fee or tax surcharge on the  compensaton paid for the Services,</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w w:val="97"/>
              </w:rPr>
              <w:t>the Consultant shall on demand indemnify the Company and hold the Company harmless from such tax, fee or tax surcharge. In</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rPr>
              <w:t>such case, the Company is enttled to deduct the amount of such tax, fee or tax surcharge from any amount due to the</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rPr>
              <w:t>Consultant under this Agreement.</w:t>
            </w:r>
          </w:p>
        </w:tc>
      </w:tr>
    </w:tbl>
    <w:p>
      <w:pPr>
        <w:spacing w:after="0" w:line="172" w:lineRule="exact"/>
        <w:rPr>
          <w:sz w:val="20"/>
          <w:szCs w:val="20"/>
          <w:color w:val="auto"/>
        </w:rPr>
      </w:pPr>
    </w:p>
    <w:p>
      <w:pPr>
        <w:ind w:left="760" w:hanging="752"/>
        <w:spacing w:after="0"/>
        <w:tabs>
          <w:tab w:leader="none" w:pos="760" w:val="left"/>
        </w:tabs>
        <w:numPr>
          <w:ilvl w:val="0"/>
          <w:numId w:val="21"/>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LIABILITY AND INSURANCE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0" w:type="dxa"/>
            <w:vAlign w:val="bottom"/>
          </w:tcPr>
          <w:p>
            <w:pPr>
              <w:jc w:val="right"/>
              <w:ind w:right="170"/>
              <w:spacing w:after="0"/>
              <w:rPr>
                <w:sz w:val="20"/>
                <w:szCs w:val="20"/>
                <w:color w:val="auto"/>
              </w:rPr>
            </w:pPr>
            <w:r>
              <w:rPr>
                <w:rFonts w:ascii="Calibri" w:cs="Calibri" w:eastAsia="Calibri" w:hAnsi="Calibri"/>
                <w:sz w:val="18"/>
                <w:szCs w:val="18"/>
                <w:color w:val="auto"/>
                <w:w w:val="96"/>
              </w:rPr>
              <w:t>6.1</w:t>
            </w:r>
          </w:p>
        </w:tc>
        <w:tc>
          <w:tcPr>
            <w:tcW w:w="9420" w:type="dxa"/>
            <w:vAlign w:val="bottom"/>
          </w:tcPr>
          <w:p>
            <w:pPr>
              <w:ind w:left="260"/>
              <w:spacing w:after="0"/>
              <w:rPr>
                <w:sz w:val="20"/>
                <w:szCs w:val="20"/>
                <w:color w:val="auto"/>
              </w:rPr>
            </w:pPr>
            <w:r>
              <w:rPr>
                <w:rFonts w:ascii="Calibri" w:cs="Calibri" w:eastAsia="Calibri" w:hAnsi="Calibri"/>
                <w:sz w:val="18"/>
                <w:szCs w:val="18"/>
                <w:color w:val="auto"/>
                <w:w w:val="97"/>
              </w:rPr>
              <w:t>The Consultant shall during the term of this Agreement and for minimum one year thereafer maintain an adequate professional</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rPr>
              <w:t>liability insurance, to cover possible liability for damages towards the Company or third party. The Consultant is obliged to</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rPr>
              <w:t>provide a copy of the Consultant’s current insurance leter at the Company’s request.</w:t>
            </w:r>
          </w:p>
        </w:tc>
      </w:tr>
      <w:tr>
        <w:trPr>
          <w:trHeight w:val="392"/>
        </w:trPr>
        <w:tc>
          <w:tcPr>
            <w:tcW w:w="500" w:type="dxa"/>
            <w:vAlign w:val="bottom"/>
          </w:tcPr>
          <w:p>
            <w:pPr>
              <w:jc w:val="right"/>
              <w:ind w:right="170"/>
              <w:spacing w:after="0"/>
              <w:rPr>
                <w:sz w:val="20"/>
                <w:szCs w:val="20"/>
                <w:color w:val="auto"/>
              </w:rPr>
            </w:pPr>
            <w:r>
              <w:rPr>
                <w:rFonts w:ascii="Calibri" w:cs="Calibri" w:eastAsia="Calibri" w:hAnsi="Calibri"/>
                <w:sz w:val="18"/>
                <w:szCs w:val="18"/>
                <w:color w:val="auto"/>
                <w:w w:val="96"/>
              </w:rPr>
              <w:t>6.2</w:t>
            </w:r>
          </w:p>
        </w:tc>
        <w:tc>
          <w:tcPr>
            <w:tcW w:w="9420" w:type="dxa"/>
            <w:vAlign w:val="bottom"/>
          </w:tcPr>
          <w:p>
            <w:pPr>
              <w:ind w:left="260"/>
              <w:spacing w:after="0"/>
              <w:rPr>
                <w:sz w:val="20"/>
                <w:szCs w:val="20"/>
                <w:color w:val="auto"/>
              </w:rPr>
            </w:pPr>
            <w:r>
              <w:rPr>
                <w:rFonts w:ascii="Calibri" w:cs="Calibri" w:eastAsia="Calibri" w:hAnsi="Calibri"/>
                <w:sz w:val="18"/>
                <w:szCs w:val="18"/>
                <w:color w:val="auto"/>
              </w:rPr>
              <w:t>The Consultant shall have liability for and shall indemnify the Company and any group company or afliated company for any</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rPr>
              <w:t>loss, liability, costs (including reasonable legal costs), damages or expenses arising from any breach of the terms of this</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w w:val="97"/>
              </w:rPr>
              <w:t>Agreement including any negligent or reckless act, omission or default in the performance of the Services, by the Consultant, the</w:t>
            </w:r>
          </w:p>
        </w:tc>
      </w:tr>
      <w:tr>
        <w:trPr>
          <w:trHeight w:val="216"/>
        </w:trPr>
        <w:tc>
          <w:tcPr>
            <w:tcW w:w="500" w:type="dxa"/>
            <w:vAlign w:val="bottom"/>
          </w:tcPr>
          <w:p>
            <w:pPr>
              <w:spacing w:after="0"/>
              <w:rPr>
                <w:sz w:val="18"/>
                <w:szCs w:val="18"/>
                <w:color w:val="auto"/>
              </w:rPr>
            </w:pPr>
          </w:p>
        </w:tc>
        <w:tc>
          <w:tcPr>
            <w:tcW w:w="9420" w:type="dxa"/>
            <w:vAlign w:val="bottom"/>
          </w:tcPr>
          <w:p>
            <w:pPr>
              <w:ind w:left="260"/>
              <w:spacing w:after="0" w:line="216" w:lineRule="exact"/>
              <w:rPr>
                <w:sz w:val="20"/>
                <w:szCs w:val="20"/>
                <w:color w:val="auto"/>
              </w:rPr>
            </w:pPr>
            <w:r>
              <w:rPr>
                <w:rFonts w:ascii="Calibri" w:cs="Calibri" w:eastAsia="Calibri" w:hAnsi="Calibri"/>
                <w:sz w:val="18"/>
                <w:szCs w:val="18"/>
                <w:color w:val="auto"/>
              </w:rPr>
              <w:t>Consultants employees or other that the Consultant is responsible for.</w:t>
            </w:r>
          </w:p>
        </w:tc>
      </w:tr>
    </w:tbl>
    <w:p>
      <w:pPr>
        <w:spacing w:after="0" w:line="172" w:lineRule="exact"/>
        <w:rPr>
          <w:sz w:val="20"/>
          <w:szCs w:val="20"/>
          <w:color w:val="auto"/>
        </w:rPr>
      </w:pPr>
    </w:p>
    <w:p>
      <w:pPr>
        <w:ind w:left="760" w:hanging="752"/>
        <w:spacing w:after="0"/>
        <w:tabs>
          <w:tab w:leader="none" w:pos="760" w:val="left"/>
        </w:tabs>
        <w:numPr>
          <w:ilvl w:val="0"/>
          <w:numId w:val="22"/>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RIGHT TO RESULTS</w:t>
      </w:r>
    </w:p>
    <w:p>
      <w:pPr>
        <w:spacing w:after="0" w:line="177"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7.1</w:t>
      </w:r>
      <w:r>
        <w:rPr>
          <w:sz w:val="20"/>
          <w:szCs w:val="20"/>
          <w:color w:val="auto"/>
        </w:rPr>
        <w:tab/>
      </w:r>
      <w:r>
        <w:rPr>
          <w:rFonts w:ascii="Calibri" w:cs="Calibri" w:eastAsia="Calibri" w:hAnsi="Calibri"/>
          <w:sz w:val="18"/>
          <w:szCs w:val="18"/>
          <w:color w:val="auto"/>
        </w:rPr>
        <w:t>The results of the Services (the “</w:t>
      </w:r>
      <w:r>
        <w:rPr>
          <w:rFonts w:ascii="Calibri" w:cs="Calibri" w:eastAsia="Calibri" w:hAnsi="Calibri"/>
          <w:sz w:val="18"/>
          <w:szCs w:val="18"/>
          <w:b w:val="1"/>
          <w:bCs w:val="1"/>
          <w:color w:val="auto"/>
        </w:rPr>
        <w:t>Results</w:t>
      </w:r>
      <w:r>
        <w:rPr>
          <w:rFonts w:ascii="Calibri" w:cs="Calibri" w:eastAsia="Calibri" w:hAnsi="Calibri"/>
          <w:sz w:val="18"/>
          <w:szCs w:val="18"/>
          <w:color w:val="auto"/>
        </w:rPr>
        <w:t>”) in this Agreement refers to all results generated in connecton with the Services and any intellectual property rights atributable thereto, including but not limited to know-how, inventons, trademarks, copyright, source code, rights in databases, design, demo-material etc., and any other documentaton and sofware.</w:t>
      </w:r>
    </w:p>
    <w:p>
      <w:pPr>
        <w:spacing w:after="0" w:line="178"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7.2</w:t>
      </w:r>
      <w:r>
        <w:rPr>
          <w:sz w:val="20"/>
          <w:szCs w:val="20"/>
          <w:color w:val="auto"/>
        </w:rPr>
        <w:tab/>
      </w:r>
      <w:r>
        <w:rPr>
          <w:rFonts w:ascii="Calibri" w:cs="Calibri" w:eastAsia="Calibri" w:hAnsi="Calibri"/>
          <w:sz w:val="18"/>
          <w:szCs w:val="18"/>
          <w:color w:val="auto"/>
        </w:rPr>
        <w:t>To the extent possible by law, the Consultant hereby transfers to the Company the ownership of the Results produced by the Consultant in the performance of the Services or otherwise in connecton with this Agreement, whereby the Company shall have the right to freely adjust, disclose, use, transfer, grant rights and licenses in or to, and change the same, apply for patent of or in any other way have disposal over the Result, as well as register intellectual property that entrely or partly has arisen in connecton with the Services. The Consultant further waives, as far as is legally possible, its right to be listed as the originator when producing copies of works and when works are made available to the public. The Partes agree that the Result in its entrety shall accrue to the Company completely without compensaton to the Consultant in additon to what is stated in Clause 4 (</w:t>
      </w:r>
      <w:r>
        <w:rPr>
          <w:rFonts w:ascii="Calibri" w:cs="Calibri" w:eastAsia="Calibri" w:hAnsi="Calibri"/>
          <w:sz w:val="18"/>
          <w:szCs w:val="18"/>
          <w:i w:val="1"/>
          <w:iCs w:val="1"/>
          <w:color w:val="auto"/>
        </w:rPr>
        <w:t>Fee and invoicing</w:t>
      </w:r>
      <w:r>
        <w:rPr>
          <w:rFonts w:ascii="Calibri" w:cs="Calibri" w:eastAsia="Calibri" w:hAnsi="Calibri"/>
          <w:sz w:val="18"/>
          <w:szCs w:val="18"/>
          <w:color w:val="auto"/>
        </w:rPr>
        <w:t>) above.</w:t>
      </w:r>
    </w:p>
    <w:p>
      <w:pPr>
        <w:spacing w:after="0" w:line="182"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7.3</w:t>
      </w:r>
      <w:r>
        <w:rPr>
          <w:sz w:val="20"/>
          <w:szCs w:val="20"/>
          <w:color w:val="auto"/>
        </w:rPr>
        <w:tab/>
      </w:r>
      <w:r>
        <w:rPr>
          <w:rFonts w:ascii="Calibri" w:cs="Calibri" w:eastAsia="Calibri" w:hAnsi="Calibri"/>
          <w:sz w:val="18"/>
          <w:szCs w:val="18"/>
          <w:color w:val="auto"/>
        </w:rPr>
        <w:t>Unless there is a writen agreement between the Partes to the contrary, the Consultant guarantees that the Results have been produced exclusively for the Company and that no part of the Results infringes (whether in use, transfer, lease or other disposal) any intellectual property rights belonging to a third party.</w:t>
      </w:r>
    </w:p>
    <w:p>
      <w:pPr>
        <w:spacing w:after="0" w:line="178" w:lineRule="exact"/>
        <w:rPr>
          <w:sz w:val="20"/>
          <w:szCs w:val="20"/>
          <w:color w:val="auto"/>
        </w:rPr>
      </w:pPr>
    </w:p>
    <w:p>
      <w:pPr>
        <w:jc w:val="both"/>
        <w:ind w:left="760" w:hanging="755"/>
        <w:spacing w:after="0" w:line="252" w:lineRule="auto"/>
        <w:tabs>
          <w:tab w:leader="none" w:pos="740" w:val="left"/>
        </w:tabs>
        <w:rPr>
          <w:sz w:val="20"/>
          <w:szCs w:val="20"/>
          <w:color w:val="auto"/>
        </w:rPr>
      </w:pPr>
      <w:r>
        <w:rPr>
          <w:rFonts w:ascii="Calibri" w:cs="Calibri" w:eastAsia="Calibri" w:hAnsi="Calibri"/>
          <w:sz w:val="18"/>
          <w:szCs w:val="18"/>
          <w:color w:val="auto"/>
        </w:rPr>
        <w:t>7.4</w:t>
      </w:r>
      <w:r>
        <w:rPr>
          <w:sz w:val="20"/>
          <w:szCs w:val="20"/>
          <w:color w:val="auto"/>
        </w:rPr>
        <w:tab/>
      </w:r>
      <w:r>
        <w:rPr>
          <w:rFonts w:ascii="Calibri" w:cs="Calibri" w:eastAsia="Calibri" w:hAnsi="Calibri"/>
          <w:sz w:val="17"/>
          <w:szCs w:val="17"/>
          <w:color w:val="auto"/>
        </w:rPr>
        <w:t>The Consultant warrants that its employees undertake a corresponding transfer of Results as set out above, that is legally binding and enforceable on behalf of the Consultant. In the event the Consultant (afer the Company’s writen consent) assigns or uses any sub-contractor for the performance of the Services, the Consultant warrants that such sub-contractor undertakes a corresponding transfer of Results as set out above, that is legally binding and enforceable on behalf of the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3" w:name="page14"/>
    <w:bookmarkEnd w:id="13"/>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7.5</w:t>
      </w:r>
      <w:r>
        <w:rPr>
          <w:sz w:val="20"/>
          <w:szCs w:val="20"/>
          <w:color w:val="auto"/>
        </w:rPr>
        <w:tab/>
      </w:r>
      <w:r>
        <w:rPr>
          <w:rFonts w:ascii="Calibri" w:cs="Calibri" w:eastAsia="Calibri" w:hAnsi="Calibri"/>
          <w:sz w:val="18"/>
          <w:szCs w:val="18"/>
          <w:color w:val="auto"/>
        </w:rPr>
        <w:t>In additon to the foregoing, the Consultant and Bo Kruse acknowledge that Bo Kruse shall remain subject to the terms of the Company’s Insider Trading Policy and that the terms of the Confdentality and Inventon Assignment Policy into which he entered with the Company shall remain in full force and efect.</w:t>
      </w:r>
    </w:p>
    <w:p>
      <w:pPr>
        <w:spacing w:after="0" w:line="173" w:lineRule="exact"/>
        <w:rPr>
          <w:sz w:val="20"/>
          <w:szCs w:val="20"/>
          <w:color w:val="auto"/>
        </w:rPr>
      </w:pPr>
    </w:p>
    <w:p>
      <w:pPr>
        <w:ind w:left="760" w:hanging="752"/>
        <w:spacing w:after="0"/>
        <w:tabs>
          <w:tab w:leader="none" w:pos="760" w:val="left"/>
        </w:tabs>
        <w:numPr>
          <w:ilvl w:val="0"/>
          <w:numId w:val="2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CONFIDENTIALITY</w:t>
      </w:r>
    </w:p>
    <w:p>
      <w:pPr>
        <w:spacing w:after="0" w:line="177" w:lineRule="exact"/>
        <w:rPr>
          <w:sz w:val="20"/>
          <w:szCs w:val="20"/>
          <w:color w:val="auto"/>
        </w:rPr>
      </w:pPr>
    </w:p>
    <w:p>
      <w:pPr>
        <w:jc w:val="both"/>
        <w:ind w:left="760" w:right="20" w:hanging="755"/>
        <w:spacing w:after="0" w:line="235" w:lineRule="auto"/>
        <w:tabs>
          <w:tab w:leader="none" w:pos="740" w:val="left"/>
        </w:tabs>
        <w:rPr>
          <w:sz w:val="20"/>
          <w:szCs w:val="20"/>
          <w:color w:val="auto"/>
        </w:rPr>
      </w:pPr>
      <w:r>
        <w:rPr>
          <w:rFonts w:ascii="Calibri" w:cs="Calibri" w:eastAsia="Calibri" w:hAnsi="Calibri"/>
          <w:sz w:val="18"/>
          <w:szCs w:val="18"/>
          <w:color w:val="auto"/>
        </w:rPr>
        <w:t>8.1</w:t>
      </w:r>
      <w:r>
        <w:rPr>
          <w:sz w:val="20"/>
          <w:szCs w:val="20"/>
          <w:color w:val="auto"/>
        </w:rPr>
        <w:tab/>
      </w:r>
      <w:r>
        <w:rPr>
          <w:rFonts w:ascii="Calibri" w:cs="Calibri" w:eastAsia="Calibri" w:hAnsi="Calibri"/>
          <w:sz w:val="18"/>
          <w:szCs w:val="18"/>
          <w:color w:val="auto"/>
        </w:rPr>
        <w:t>The content of this Agreement shall be kept strictly confdental and not be disclosed to any third party without the prior writen consent of the other Party (such consent must not to be unreasonably withheld).</w:t>
      </w:r>
    </w:p>
    <w:p>
      <w:pPr>
        <w:spacing w:after="0" w:line="177"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8.2</w:t>
      </w:r>
      <w:r>
        <w:rPr>
          <w:sz w:val="20"/>
          <w:szCs w:val="20"/>
          <w:color w:val="auto"/>
        </w:rPr>
        <w:tab/>
      </w:r>
      <w:r>
        <w:rPr>
          <w:rFonts w:ascii="Calibri" w:cs="Calibri" w:eastAsia="Calibri" w:hAnsi="Calibri"/>
          <w:sz w:val="18"/>
          <w:szCs w:val="18"/>
          <w:color w:val="auto"/>
        </w:rPr>
        <w:t>For the purposes of this Agreement, “</w:t>
      </w:r>
      <w:r>
        <w:rPr>
          <w:rFonts w:ascii="Calibri" w:cs="Calibri" w:eastAsia="Calibri" w:hAnsi="Calibri"/>
          <w:sz w:val="18"/>
          <w:szCs w:val="18"/>
          <w:b w:val="1"/>
          <w:bCs w:val="1"/>
          <w:color w:val="auto"/>
        </w:rPr>
        <w:t>Confdental Informaton</w:t>
      </w:r>
      <w:r>
        <w:rPr>
          <w:rFonts w:ascii="Calibri" w:cs="Calibri" w:eastAsia="Calibri" w:hAnsi="Calibri"/>
          <w:sz w:val="18"/>
          <w:szCs w:val="18"/>
          <w:color w:val="auto"/>
        </w:rPr>
        <w:t>” refers to all informaton relatng to the Company or its business which is not publicly available - whether oral or writen or in visual, electronic or tangible form, commercial or of any other kind, regardless if the informaton is documented or not, including trade secrets as defned in the Swedish Trade Secrets Act (2018:558), which has been disclosed or may be disclosed to the Consultant or which the Consultant has or may otherwise become aware of in connecton with the performance of the Services or otherwise in connecton with this Agreement.</w:t>
      </w:r>
    </w:p>
    <w:p>
      <w:pPr>
        <w:spacing w:after="0" w:line="180"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8.3</w:t>
      </w:r>
      <w:r>
        <w:rPr>
          <w:sz w:val="20"/>
          <w:szCs w:val="20"/>
          <w:color w:val="auto"/>
        </w:rPr>
        <w:tab/>
      </w:r>
      <w:r>
        <w:rPr>
          <w:rFonts w:ascii="Calibri" w:cs="Calibri" w:eastAsia="Calibri" w:hAnsi="Calibri"/>
          <w:sz w:val="18"/>
          <w:szCs w:val="18"/>
          <w:color w:val="auto"/>
        </w:rPr>
        <w:t>The Consultant undertakes not to gain unauthorised access to, use or disclose any Confdental Informaton related to (i) the Company or any group company, or (ii) the Company’s clients and suppliers, and to ensure that any employees, consultants and directors of the Consultant complies with the same confdentality.</w:t>
      </w:r>
    </w:p>
    <w:p>
      <w:pPr>
        <w:spacing w:after="0" w:line="178"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8.4</w:t>
      </w:r>
      <w:r>
        <w:rPr>
          <w:sz w:val="20"/>
          <w:szCs w:val="20"/>
          <w:color w:val="auto"/>
        </w:rPr>
        <w:tab/>
      </w:r>
      <w:r>
        <w:rPr>
          <w:rFonts w:ascii="Calibri" w:cs="Calibri" w:eastAsia="Calibri" w:hAnsi="Calibri"/>
          <w:sz w:val="18"/>
          <w:szCs w:val="18"/>
          <w:color w:val="auto"/>
        </w:rPr>
        <w:t>The confdentality obligaton pursuant to the provisions set forth above applies without limitaton in tme, i.e. also for the period afer this Agreement has been terminated or ceased.</w:t>
      </w:r>
    </w:p>
    <w:p>
      <w:pPr>
        <w:spacing w:after="0" w:line="177"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8.5</w:t>
      </w:r>
      <w:r>
        <w:rPr>
          <w:sz w:val="20"/>
          <w:szCs w:val="20"/>
          <w:color w:val="auto"/>
        </w:rPr>
        <w:tab/>
      </w:r>
      <w:r>
        <w:rPr>
          <w:rFonts w:ascii="Calibri" w:cs="Calibri" w:eastAsia="Calibri" w:hAnsi="Calibri"/>
          <w:sz w:val="18"/>
          <w:szCs w:val="18"/>
          <w:color w:val="auto"/>
        </w:rPr>
        <w:t>In the event of any breach by the Consultant of the confdentality provisions set forth above or the Clause 7 (</w:t>
      </w:r>
      <w:r>
        <w:rPr>
          <w:rFonts w:ascii="Calibri" w:cs="Calibri" w:eastAsia="Calibri" w:hAnsi="Calibri"/>
          <w:sz w:val="18"/>
          <w:szCs w:val="18"/>
          <w:i w:val="1"/>
          <w:iCs w:val="1"/>
          <w:color w:val="auto"/>
        </w:rPr>
        <w:t>Right to results</w:t>
      </w:r>
      <w:r>
        <w:rPr>
          <w:rFonts w:ascii="Calibri" w:cs="Calibri" w:eastAsia="Calibri" w:hAnsi="Calibri"/>
          <w:sz w:val="18"/>
          <w:szCs w:val="18"/>
          <w:color w:val="auto"/>
        </w:rPr>
        <w:t>), the Consultant shall pay liquidated damages to the Company corresponding to six (6) tmes the monthly fee paid for the Services. The payment of liquidated damages shall not afect the Company’s right to enforce other sanctons due to the breach, or to demand additonal compensaton if the actual damage exceeds the compensaton for the damages.</w:t>
      </w:r>
    </w:p>
    <w:p>
      <w:pPr>
        <w:spacing w:after="0" w:line="179"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8.6</w:t>
      </w:r>
      <w:r>
        <w:rPr>
          <w:sz w:val="20"/>
          <w:szCs w:val="20"/>
          <w:color w:val="auto"/>
        </w:rPr>
        <w:tab/>
      </w:r>
      <w:r>
        <w:rPr>
          <w:rFonts w:ascii="Calibri" w:cs="Calibri" w:eastAsia="Calibri" w:hAnsi="Calibri"/>
          <w:sz w:val="18"/>
          <w:szCs w:val="18"/>
          <w:color w:val="auto"/>
        </w:rPr>
        <w:t>In the event the Consultant (afer the Company’s writen consent) assigns or uses any sub-contractor for the performance of the Services, the Consultant shall procure that such sub-contractor undertakes a corresponding confdentality undertaking as set out in this Clause 8 (</w:t>
      </w:r>
      <w:r>
        <w:rPr>
          <w:rFonts w:ascii="Calibri" w:cs="Calibri" w:eastAsia="Calibri" w:hAnsi="Calibri"/>
          <w:sz w:val="18"/>
          <w:szCs w:val="18"/>
          <w:i w:val="1"/>
          <w:iCs w:val="1"/>
          <w:color w:val="auto"/>
        </w:rPr>
        <w:t>Confdentality</w:t>
      </w:r>
      <w:r>
        <w:rPr>
          <w:rFonts w:ascii="Calibri" w:cs="Calibri" w:eastAsia="Calibri" w:hAnsi="Calibri"/>
          <w:sz w:val="18"/>
          <w:szCs w:val="18"/>
          <w:color w:val="auto"/>
        </w:rPr>
        <w:t>).</w:t>
      </w:r>
    </w:p>
    <w:p>
      <w:pPr>
        <w:spacing w:after="0" w:line="173" w:lineRule="exact"/>
        <w:rPr>
          <w:sz w:val="20"/>
          <w:szCs w:val="20"/>
          <w:color w:val="auto"/>
        </w:rPr>
      </w:pPr>
    </w:p>
    <w:p>
      <w:pPr>
        <w:ind w:left="760" w:hanging="752"/>
        <w:spacing w:after="0"/>
        <w:tabs>
          <w:tab w:leader="none" w:pos="760" w:val="left"/>
        </w:tabs>
        <w:numPr>
          <w:ilvl w:val="0"/>
          <w:numId w:val="2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CONTRACT PERIOD AND TERMINATION</w:t>
      </w:r>
    </w:p>
    <w:p>
      <w:pPr>
        <w:spacing w:after="0" w:line="177" w:lineRule="exact"/>
        <w:rPr>
          <w:sz w:val="20"/>
          <w:szCs w:val="20"/>
          <w:color w:val="auto"/>
        </w:rPr>
      </w:pPr>
    </w:p>
    <w:p>
      <w:pPr>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9.1</w:t>
      </w:r>
      <w:r>
        <w:rPr>
          <w:sz w:val="20"/>
          <w:szCs w:val="20"/>
          <w:color w:val="auto"/>
        </w:rPr>
        <w:tab/>
      </w:r>
      <w:r>
        <w:rPr>
          <w:rFonts w:ascii="Calibri" w:cs="Calibri" w:eastAsia="Calibri" w:hAnsi="Calibri"/>
          <w:sz w:val="18"/>
          <w:szCs w:val="18"/>
          <w:color w:val="auto"/>
        </w:rPr>
        <w:t>This Agreement shall commence on 1 August 2024 and shall remain in full force and efect for one (1) year. The Agreement cannot be terminated during the one (1) year period, unless:</w:t>
      </w:r>
    </w:p>
    <w:p>
      <w:pPr>
        <w:spacing w:after="0" w:line="177" w:lineRule="exact"/>
        <w:rPr>
          <w:sz w:val="20"/>
          <w:szCs w:val="20"/>
          <w:color w:val="auto"/>
        </w:rPr>
      </w:pPr>
    </w:p>
    <w:p>
      <w:pPr>
        <w:jc w:val="both"/>
        <w:ind w:left="1260" w:hanging="496"/>
        <w:spacing w:after="0" w:line="235" w:lineRule="auto"/>
        <w:tabs>
          <w:tab w:leader="none" w:pos="126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the other Party should commit or permit a material breach or non-performance of material importance to the other Party and should fail to remedy such material breach or non-performance within two (2) weeks afer receipt of writen notce; or</w:t>
      </w:r>
    </w:p>
    <w:p>
      <w:pPr>
        <w:spacing w:after="0" w:line="178" w:lineRule="exact"/>
        <w:rPr>
          <w:rFonts w:ascii="Calibri" w:cs="Calibri" w:eastAsia="Calibri" w:hAnsi="Calibri"/>
          <w:sz w:val="18"/>
          <w:szCs w:val="18"/>
          <w:color w:val="auto"/>
        </w:rPr>
      </w:pPr>
    </w:p>
    <w:p>
      <w:pPr>
        <w:ind w:left="1260" w:hanging="496"/>
        <w:spacing w:after="0" w:line="235" w:lineRule="auto"/>
        <w:tabs>
          <w:tab w:leader="none" w:pos="126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the other Party suspends payments, enters into liquidaton, is pettoned or fles for bankruptcy, initates compositon proceedings or company reconstructon or is otherwise considered as insolvent,</w:t>
      </w:r>
    </w:p>
    <w:p>
      <w:pPr>
        <w:spacing w:after="0" w:line="172" w:lineRule="exact"/>
        <w:rPr>
          <w:sz w:val="20"/>
          <w:szCs w:val="20"/>
          <w:color w:val="auto"/>
        </w:rPr>
      </w:pPr>
    </w:p>
    <w:p>
      <w:pPr>
        <w:ind w:left="780"/>
        <w:spacing w:after="0"/>
        <w:rPr>
          <w:sz w:val="20"/>
          <w:szCs w:val="20"/>
          <w:color w:val="auto"/>
        </w:rPr>
      </w:pPr>
      <w:r>
        <w:rPr>
          <w:rFonts w:ascii="Calibri" w:cs="Calibri" w:eastAsia="Calibri" w:hAnsi="Calibri"/>
          <w:sz w:val="18"/>
          <w:szCs w:val="18"/>
          <w:color w:val="auto"/>
        </w:rPr>
        <w:t>in which case the Agreement can be terminated without notce.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 w:name="page15"/>
    <w:bookmarkEnd w:id="14"/>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9.2</w:t>
      </w:r>
      <w:r>
        <w:rPr>
          <w:sz w:val="20"/>
          <w:szCs w:val="20"/>
          <w:color w:val="auto"/>
        </w:rPr>
        <w:tab/>
      </w:r>
      <w:r>
        <w:rPr>
          <w:rFonts w:ascii="Calibri" w:cs="Calibri" w:eastAsia="Calibri" w:hAnsi="Calibri"/>
          <w:sz w:val="18"/>
          <w:szCs w:val="18"/>
          <w:color w:val="auto"/>
        </w:rPr>
        <w:t>No later than one (1) week afer the terminaton of this Agreement or at the earlier tme that the Consultant is separated from the Service – regardless of the reason for this – the Consultant will promptly return to the Company all documents and all other informaton the Consultant has in possession such as market informaton, business plans, codes, memoirs etc. and (if so requested by the Company) delete any electronical copies of such documents held in the possession of the Consultant. The Consultant is not allowed to withhold from the Company such documents or such informaton.</w:t>
      </w:r>
    </w:p>
    <w:p>
      <w:pPr>
        <w:spacing w:after="0" w:line="175" w:lineRule="exact"/>
        <w:rPr>
          <w:sz w:val="20"/>
          <w:szCs w:val="20"/>
          <w:color w:val="auto"/>
        </w:rPr>
      </w:pPr>
    </w:p>
    <w:p>
      <w:pPr>
        <w:ind w:left="760" w:hanging="752"/>
        <w:spacing w:after="0"/>
        <w:tabs>
          <w:tab w:leader="none" w:pos="760" w:val="left"/>
        </w:tabs>
        <w:numPr>
          <w:ilvl w:val="0"/>
          <w:numId w:val="2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PERSONAL DATA ETC.</w:t>
      </w:r>
    </w:p>
    <w:p>
      <w:pPr>
        <w:spacing w:after="0" w:line="176" w:lineRule="exact"/>
        <w:rPr>
          <w:rFonts w:ascii="Calibri" w:cs="Calibri" w:eastAsia="Calibri" w:hAnsi="Calibri"/>
          <w:sz w:val="18"/>
          <w:szCs w:val="18"/>
          <w:b w:val="1"/>
          <w:bCs w:val="1"/>
          <w:color w:val="auto"/>
        </w:rPr>
      </w:pPr>
    </w:p>
    <w:p>
      <w:pPr>
        <w:jc w:val="both"/>
        <w:ind w:left="780"/>
        <w:spacing w:after="0" w:line="235" w:lineRule="auto"/>
        <w:rPr>
          <w:rFonts w:ascii="Calibri" w:cs="Calibri" w:eastAsia="Calibri" w:hAnsi="Calibri"/>
          <w:sz w:val="18"/>
          <w:szCs w:val="18"/>
          <w:b w:val="1"/>
          <w:bCs w:val="1"/>
          <w:color w:val="auto"/>
        </w:rPr>
      </w:pPr>
      <w:r>
        <w:rPr>
          <w:rFonts w:ascii="Calibri" w:cs="Calibri" w:eastAsia="Calibri" w:hAnsi="Calibri"/>
          <w:sz w:val="18"/>
          <w:szCs w:val="18"/>
          <w:color w:val="auto"/>
        </w:rPr>
        <w:t>The Partes agree that this Agreement may involve the Partes’ processing of personal informaton related to the other Party, such as contact informaton to and names of employees. The Partes are separate data controllers for each of their processing of the other Party’s personal informaton.</w:t>
      </w:r>
    </w:p>
    <w:p>
      <w:pPr>
        <w:spacing w:after="0" w:line="173" w:lineRule="exact"/>
        <w:rPr>
          <w:rFonts w:ascii="Calibri" w:cs="Calibri" w:eastAsia="Calibri" w:hAnsi="Calibri"/>
          <w:sz w:val="18"/>
          <w:szCs w:val="18"/>
          <w:b w:val="1"/>
          <w:bCs w:val="1"/>
          <w:color w:val="auto"/>
        </w:rPr>
      </w:pPr>
    </w:p>
    <w:p>
      <w:pPr>
        <w:ind w:left="760" w:hanging="752"/>
        <w:spacing w:after="0"/>
        <w:tabs>
          <w:tab w:leader="none" w:pos="760" w:val="left"/>
        </w:tabs>
        <w:numPr>
          <w:ilvl w:val="0"/>
          <w:numId w:val="2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MISCELLANEOUS</w:t>
      </w:r>
    </w:p>
    <w:p>
      <w:pPr>
        <w:spacing w:after="0" w:line="177"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11.1</w:t>
      </w:r>
      <w:r>
        <w:rPr>
          <w:sz w:val="20"/>
          <w:szCs w:val="20"/>
          <w:color w:val="auto"/>
        </w:rPr>
        <w:tab/>
      </w:r>
      <w:r>
        <w:rPr>
          <w:rFonts w:ascii="Calibri" w:cs="Calibri" w:eastAsia="Calibri" w:hAnsi="Calibri"/>
          <w:sz w:val="18"/>
          <w:szCs w:val="18"/>
          <w:color w:val="auto"/>
        </w:rPr>
        <w:t>This Agreement consttutes the complete and exclusive agreement between the Partes concerning the subject mater and supersedes all previous and contemporaneous agreements and understandings, writen or oral, concerning the subject mater described herein.</w:t>
      </w:r>
    </w:p>
    <w:p>
      <w:pPr>
        <w:spacing w:after="0" w:line="178" w:lineRule="exact"/>
        <w:rPr>
          <w:sz w:val="20"/>
          <w:szCs w:val="20"/>
          <w:color w:val="auto"/>
        </w:rPr>
      </w:pPr>
    </w:p>
    <w:p>
      <w:pPr>
        <w:jc w:val="both"/>
        <w:ind w:left="760" w:right="20" w:hanging="755"/>
        <w:spacing w:after="0" w:line="235" w:lineRule="auto"/>
        <w:tabs>
          <w:tab w:leader="none" w:pos="740" w:val="left"/>
        </w:tabs>
        <w:rPr>
          <w:sz w:val="20"/>
          <w:szCs w:val="20"/>
          <w:color w:val="auto"/>
        </w:rPr>
      </w:pPr>
      <w:r>
        <w:rPr>
          <w:rFonts w:ascii="Calibri" w:cs="Calibri" w:eastAsia="Calibri" w:hAnsi="Calibri"/>
          <w:sz w:val="18"/>
          <w:szCs w:val="18"/>
          <w:color w:val="auto"/>
        </w:rPr>
        <w:t>11.2</w:t>
      </w:r>
      <w:r>
        <w:rPr>
          <w:sz w:val="20"/>
          <w:szCs w:val="20"/>
          <w:color w:val="auto"/>
        </w:rPr>
        <w:tab/>
      </w:r>
      <w:r>
        <w:rPr>
          <w:rFonts w:ascii="Calibri" w:cs="Calibri" w:eastAsia="Calibri" w:hAnsi="Calibri"/>
          <w:sz w:val="18"/>
          <w:szCs w:val="18"/>
          <w:color w:val="auto"/>
        </w:rPr>
        <w:t>The failure of either Party to enforce its rights under this Agreement at any tme for any period shall not be construed as a waiver of such right.</w:t>
      </w:r>
    </w:p>
    <w:p>
      <w:pPr>
        <w:spacing w:after="0" w:line="172"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18"/>
          <w:szCs w:val="18"/>
          <w:color w:val="auto"/>
        </w:rPr>
        <w:t>11.3</w:t>
      </w:r>
      <w:r>
        <w:rPr>
          <w:sz w:val="20"/>
          <w:szCs w:val="20"/>
          <w:color w:val="auto"/>
        </w:rPr>
        <w:tab/>
      </w:r>
      <w:r>
        <w:rPr>
          <w:rFonts w:ascii="Calibri" w:cs="Calibri" w:eastAsia="Calibri" w:hAnsi="Calibri"/>
          <w:sz w:val="17"/>
          <w:szCs w:val="17"/>
          <w:color w:val="auto"/>
        </w:rPr>
        <w:t>No changes or modifcatons or waivers to this Agreement will be efectve unless in writng and duly signed by both Partes.</w:t>
      </w:r>
    </w:p>
    <w:p>
      <w:pPr>
        <w:spacing w:after="0" w:line="177"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11.4</w:t>
      </w:r>
      <w:r>
        <w:rPr>
          <w:sz w:val="20"/>
          <w:szCs w:val="20"/>
          <w:color w:val="auto"/>
        </w:rPr>
        <w:tab/>
      </w:r>
      <w:r>
        <w:rPr>
          <w:rFonts w:ascii="Calibri" w:cs="Calibri" w:eastAsia="Calibri" w:hAnsi="Calibri"/>
          <w:sz w:val="18"/>
          <w:szCs w:val="18"/>
          <w:color w:val="auto"/>
        </w:rPr>
        <w:t>In the event that any provision of this Agreement is determined to confict with applicable law or is otherwise deemed as unenforceable, that provision shall be limited or eliminated to the minimum extent necessary so that this Agreement otherwise remain in full force and efect.</w:t>
      </w:r>
    </w:p>
    <w:p>
      <w:pPr>
        <w:spacing w:after="0" w:line="178"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11.5</w:t>
      </w:r>
      <w:r>
        <w:rPr>
          <w:sz w:val="20"/>
          <w:szCs w:val="20"/>
          <w:color w:val="auto"/>
        </w:rPr>
        <w:tab/>
      </w:r>
      <w:r>
        <w:rPr>
          <w:rFonts w:ascii="Calibri" w:cs="Calibri" w:eastAsia="Calibri" w:hAnsi="Calibri"/>
          <w:sz w:val="18"/>
          <w:szCs w:val="18"/>
          <w:color w:val="auto"/>
        </w:rPr>
        <w:t>This Agreement may be executed in one or more counterparts, each of which shall be deemed an original, but all of which together shall consttute one and the same agreement. Each Party consents to be bound by the electronic (e.g. scanned and emailed or made through an e-signing tool) signature of an authorized representatve of a Party to this Agreement.</w:t>
      </w:r>
    </w:p>
    <w:p>
      <w:pPr>
        <w:spacing w:after="0" w:line="173" w:lineRule="exact"/>
        <w:rPr>
          <w:sz w:val="20"/>
          <w:szCs w:val="20"/>
          <w:color w:val="auto"/>
        </w:rPr>
      </w:pPr>
    </w:p>
    <w:p>
      <w:pPr>
        <w:ind w:left="760" w:hanging="752"/>
        <w:spacing w:after="0"/>
        <w:tabs>
          <w:tab w:leader="none" w:pos="760" w:val="left"/>
        </w:tabs>
        <w:numPr>
          <w:ilvl w:val="0"/>
          <w:numId w:val="2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DISPUTES AND GOVERNING LAW</w:t>
      </w:r>
    </w:p>
    <w:p>
      <w:pPr>
        <w:spacing w:after="0" w:line="172"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18"/>
          <w:szCs w:val="18"/>
          <w:color w:val="auto"/>
        </w:rPr>
        <w:t>12.1</w:t>
      </w:r>
      <w:r>
        <w:rPr>
          <w:sz w:val="20"/>
          <w:szCs w:val="20"/>
          <w:color w:val="auto"/>
        </w:rPr>
        <w:tab/>
      </w:r>
      <w:r>
        <w:rPr>
          <w:rFonts w:ascii="Calibri" w:cs="Calibri" w:eastAsia="Calibri" w:hAnsi="Calibri"/>
          <w:sz w:val="17"/>
          <w:szCs w:val="17"/>
          <w:color w:val="auto"/>
        </w:rPr>
        <w:t>This Agreement shall be governed by and construed in accordance with Danish law.</w:t>
      </w:r>
    </w:p>
    <w:p>
      <w:pPr>
        <w:spacing w:after="0" w:line="177"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12.2</w:t>
      </w:r>
      <w:r>
        <w:rPr>
          <w:sz w:val="20"/>
          <w:szCs w:val="20"/>
          <w:color w:val="auto"/>
        </w:rPr>
        <w:tab/>
      </w:r>
      <w:r>
        <w:rPr>
          <w:rFonts w:ascii="Calibri" w:cs="Calibri" w:eastAsia="Calibri" w:hAnsi="Calibri"/>
          <w:sz w:val="18"/>
          <w:szCs w:val="18"/>
          <w:color w:val="auto"/>
        </w:rPr>
        <w:t>Any dispute, controversy or claim arising out of, or in connecton with, this Agreement, or the breach, terminaton, or invalidity thereof, or any non-contractual obligatons arising out of or in connecton with this Agreement, shall be fnally setled by arbitraton administered by the Danish Insttute of Arbitraton in accordance with the Rules of Arbitraton adopted by the Board of the Danish Insttute of Arbitraton. The seat of arbitraton shall be Malmö, Sweden. The language to be used in the arbitral proceedings shall be English.</w:t>
      </w:r>
    </w:p>
    <w:p>
      <w:pPr>
        <w:spacing w:after="0" w:line="180" w:lineRule="exact"/>
        <w:rPr>
          <w:sz w:val="20"/>
          <w:szCs w:val="20"/>
          <w:color w:val="auto"/>
        </w:rPr>
      </w:pPr>
    </w:p>
    <w:p>
      <w:pPr>
        <w:jc w:val="both"/>
        <w:ind w:left="760" w:hanging="755"/>
        <w:spacing w:after="0" w:line="235" w:lineRule="auto"/>
        <w:tabs>
          <w:tab w:leader="none" w:pos="740" w:val="left"/>
        </w:tabs>
        <w:rPr>
          <w:sz w:val="20"/>
          <w:szCs w:val="20"/>
          <w:color w:val="auto"/>
        </w:rPr>
      </w:pPr>
      <w:r>
        <w:rPr>
          <w:rFonts w:ascii="Calibri" w:cs="Calibri" w:eastAsia="Calibri" w:hAnsi="Calibri"/>
          <w:sz w:val="18"/>
          <w:szCs w:val="18"/>
          <w:color w:val="auto"/>
        </w:rPr>
        <w:t>12.3</w:t>
      </w:r>
      <w:r>
        <w:rPr>
          <w:sz w:val="20"/>
          <w:szCs w:val="20"/>
          <w:color w:val="auto"/>
        </w:rPr>
        <w:tab/>
      </w:r>
      <w:r>
        <w:rPr>
          <w:rFonts w:ascii="Calibri" w:cs="Calibri" w:eastAsia="Calibri" w:hAnsi="Calibri"/>
          <w:sz w:val="18"/>
          <w:szCs w:val="18"/>
          <w:color w:val="auto"/>
        </w:rPr>
        <w:t>All arbitral proceedings conducted pursuant to Clause 12.2, all informaton disclosed and all documents submited or issued by or on behalf of any of the disputng Partes or the arbitrators in any such proceedings as well as all decisions and awards made or declared in the course of any such proceedings shall be kept strictly confdental and may not be used for any other purpose than these proceedings or the enforcement of any such decision or award nor be disclosed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 w:name="page16"/>
    <w:bookmarkEnd w:id="15"/>
    <w:p>
      <w:pPr>
        <w:ind w:left="320"/>
        <w:spacing w:after="0" w:line="235" w:lineRule="auto"/>
        <w:rPr>
          <w:sz w:val="20"/>
          <w:szCs w:val="20"/>
          <w:color w:val="auto"/>
        </w:rPr>
      </w:pPr>
      <w:r>
        <w:rPr>
          <w:rFonts w:ascii="Calibri" w:cs="Calibri" w:eastAsia="Calibri" w:hAnsi="Calibri"/>
          <w:sz w:val="18"/>
          <w:szCs w:val="18"/>
          <w:color w:val="auto"/>
        </w:rPr>
        <w:t>third party without the prior writen consent of the Party to which the informaton relates or, as regards to a decision or award, the prior writen consent of all the other disputng Partes.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195580</wp:posOffset>
            </wp:positionV>
            <wp:extent cx="15773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3700"/>
        <w:spacing w:after="0"/>
        <w:rPr>
          <w:sz w:val="20"/>
          <w:szCs w:val="20"/>
          <w:color w:val="auto"/>
        </w:rPr>
      </w:pPr>
      <w:r>
        <w:rPr>
          <w:rFonts w:ascii="Calibri" w:cs="Calibri" w:eastAsia="Calibri" w:hAnsi="Calibri"/>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16" w:name="page17"/>
    <w:bookmarkEnd w:id="16"/>
    <w:p>
      <w:pPr>
        <w:spacing w:after="0"/>
        <w:rPr>
          <w:sz w:val="20"/>
          <w:szCs w:val="20"/>
          <w:color w:val="auto"/>
        </w:rPr>
      </w:pPr>
      <w:r>
        <w:rPr>
          <w:rFonts w:ascii="Calibri" w:cs="Calibri" w:eastAsia="Calibri" w:hAnsi="Calibri"/>
          <w:sz w:val="17"/>
          <w:szCs w:val="17"/>
          <w:color w:val="auto"/>
        </w:rPr>
        <w:t>This Agreement is signed electronically and each Party will receive a signed counterpart by e-mail.</w:t>
      </w:r>
    </w:p>
    <w:p>
      <w:pPr>
        <w:sectPr>
          <w:pgSz w:w="11900" w:h="16838" w:orient="portrait"/>
          <w:cols w:equalWidth="0" w:num="1">
            <w:col w:w="9920"/>
          </w:cols>
          <w:pgMar w:left="980" w:top="117" w:right="999" w:bottom="1440" w:gutter="0" w:footer="0" w:header="0"/>
        </w:sectPr>
      </w:pPr>
    </w:p>
    <w:p>
      <w:pPr>
        <w:spacing w:after="0" w:line="179" w:lineRule="exact"/>
        <w:rPr>
          <w:sz w:val="20"/>
          <w:szCs w:val="20"/>
          <w:color w:val="auto"/>
        </w:rPr>
      </w:pPr>
    </w:p>
    <w:p>
      <w:pPr>
        <w:spacing w:after="0"/>
        <w:rPr>
          <w:sz w:val="20"/>
          <w:szCs w:val="20"/>
          <w:color w:val="auto"/>
        </w:rPr>
      </w:pPr>
      <w:r>
        <w:rPr>
          <w:rFonts w:ascii="Calibri" w:cs="Calibri" w:eastAsia="Calibri" w:hAnsi="Calibri"/>
          <w:sz w:val="18"/>
          <w:szCs w:val="18"/>
          <w:color w:val="auto"/>
        </w:rPr>
        <w:t>Date: 16-Jul-2024</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Y-MABS THERAPEUTICS,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color w:val="auto"/>
        </w:rPr>
        <w:t>/s/ Michael Rossi</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Michael Rossi -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30861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alibri" w:cs="Calibri" w:eastAsia="Calibri" w:hAnsi="Calibri"/>
          <w:sz w:val="18"/>
          <w:szCs w:val="18"/>
          <w:color w:val="auto"/>
        </w:rPr>
        <w:t>/s/ John LaRocca</w:t>
      </w:r>
    </w:p>
    <w:p>
      <w:pPr>
        <w:spacing w:after="0" w:line="15" w:lineRule="exact"/>
        <w:rPr>
          <w:sz w:val="20"/>
          <w:szCs w:val="20"/>
          <w:color w:val="auto"/>
        </w:rPr>
      </w:pPr>
    </w:p>
    <w:p>
      <w:pPr>
        <w:spacing w:after="0"/>
        <w:rPr>
          <w:sz w:val="20"/>
          <w:szCs w:val="20"/>
          <w:color w:val="auto"/>
        </w:rPr>
      </w:pPr>
      <w:r>
        <w:rPr>
          <w:rFonts w:ascii="Calibri" w:cs="Calibri" w:eastAsia="Calibri" w:hAnsi="Calibri"/>
          <w:sz w:val="17"/>
          <w:szCs w:val="17"/>
          <w:color w:val="auto"/>
        </w:rPr>
        <w:t>John LaRocca –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-125730</wp:posOffset>
            </wp:positionV>
            <wp:extent cx="30861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Date: 16-Jul-2024</w:t>
      </w:r>
    </w:p>
    <w:p>
      <w:pPr>
        <w:spacing w:after="0" w:line="136" w:lineRule="exact"/>
        <w:rPr>
          <w:sz w:val="20"/>
          <w:szCs w:val="20"/>
          <w:color w:val="auto"/>
        </w:rPr>
      </w:pPr>
    </w:p>
    <w:p>
      <w:pPr>
        <w:spacing w:after="0"/>
        <w:rPr>
          <w:sz w:val="20"/>
          <w:szCs w:val="20"/>
          <w:color w:val="auto"/>
        </w:rPr>
      </w:pPr>
      <w:r>
        <w:rPr>
          <w:rFonts w:ascii="Calibri" w:cs="Calibri" w:eastAsia="Calibri" w:hAnsi="Calibri"/>
          <w:sz w:val="17"/>
          <w:szCs w:val="17"/>
          <w:color w:val="auto"/>
        </w:rPr>
        <w:t>INVESTERINGSSELSKABET GH APS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alibri" w:cs="Calibri" w:eastAsia="Calibri" w:hAnsi="Calibri"/>
          <w:sz w:val="18"/>
          <w:szCs w:val="18"/>
          <w:color w:val="auto"/>
        </w:rPr>
        <w:t>/s/ Bo Kruse</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Bo Kruse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077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070" w:lineRule="exact"/>
        <w:rPr>
          <w:sz w:val="20"/>
          <w:szCs w:val="20"/>
          <w:color w:val="auto"/>
        </w:rPr>
      </w:pPr>
    </w:p>
    <w:p>
      <w:pPr>
        <w:sectPr>
          <w:pgSz w:w="11900" w:h="16838" w:orient="portrait"/>
          <w:cols w:equalWidth="0" w:num="2">
            <w:col w:w="4360" w:space="720"/>
            <w:col w:w="4840"/>
          </w:cols>
          <w:pgMar w:left="980" w:top="117" w:right="99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Personal commitment</w:t>
      </w:r>
    </w:p>
    <w:p>
      <w:pPr>
        <w:spacing w:after="0" w:line="190"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undersigned, who performs the Services or parts of the Services, hereby undertakes to personally comply with and be bound by the undertakings in this Agreement in Clause 7 (</w:t>
      </w:r>
      <w:r>
        <w:rPr>
          <w:rFonts w:ascii="Calibri" w:cs="Calibri" w:eastAsia="Calibri" w:hAnsi="Calibri"/>
          <w:sz w:val="18"/>
          <w:szCs w:val="18"/>
          <w:i w:val="1"/>
          <w:iCs w:val="1"/>
          <w:color w:val="auto"/>
        </w:rPr>
        <w:t>Right to results</w:t>
      </w:r>
      <w:r>
        <w:rPr>
          <w:rFonts w:ascii="Calibri" w:cs="Calibri" w:eastAsia="Calibri" w:hAnsi="Calibri"/>
          <w:sz w:val="18"/>
          <w:szCs w:val="18"/>
          <w:color w:val="auto"/>
        </w:rPr>
        <w:t>), Clause 8 (</w:t>
      </w:r>
      <w:r>
        <w:rPr>
          <w:rFonts w:ascii="Calibri" w:cs="Calibri" w:eastAsia="Calibri" w:hAnsi="Calibri"/>
          <w:sz w:val="18"/>
          <w:szCs w:val="18"/>
          <w:i w:val="1"/>
          <w:iCs w:val="1"/>
          <w:color w:val="auto"/>
        </w:rPr>
        <w:t>Confdentality</w:t>
      </w:r>
      <w:r>
        <w:rPr>
          <w:rFonts w:ascii="Calibri" w:cs="Calibri" w:eastAsia="Calibri" w:hAnsi="Calibri"/>
          <w:sz w:val="18"/>
          <w:szCs w:val="18"/>
          <w:color w:val="auto"/>
        </w:rPr>
        <w:t>) and Clause 12 (</w:t>
      </w:r>
      <w:r>
        <w:rPr>
          <w:rFonts w:ascii="Calibri" w:cs="Calibri" w:eastAsia="Calibri" w:hAnsi="Calibri"/>
          <w:sz w:val="18"/>
          <w:szCs w:val="18"/>
          <w:i w:val="1"/>
          <w:iCs w:val="1"/>
          <w:color w:val="auto"/>
        </w:rPr>
        <w:t>Disputes and governing law</w:t>
      </w:r>
      <w:r>
        <w:rPr>
          <w:rFonts w:ascii="Calibri" w:cs="Calibri" w:eastAsia="Calibri" w:hAnsi="Calibri"/>
          <w:sz w:val="18"/>
          <w:szCs w:val="18"/>
          <w:color w:val="auto"/>
        </w:rPr>
        <w:t>).</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color w:val="auto"/>
        </w:rPr>
        <w:t>Date: 16-Jul-2024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color w:val="auto"/>
        </w:rPr>
        <w:t>/s/ Bo Kruse</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Bo Kruse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29229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decimal"/>
      <w:start w:val="10"/>
    </w:lvl>
  </w:abstractNum>
  <w:abstractNum w:abstractNumId="12">
    <w:nsid w:val="62BBD95A"/>
    <w:multiLevelType w:val="hybridMultilevel"/>
    <w:lvl w:ilvl="0">
      <w:lvlJc w:val="left"/>
      <w:lvlText w:val="%1."/>
      <w:numFmt w:val="decimal"/>
      <w:start w:val="11"/>
    </w:lvl>
  </w:abstractNum>
  <w:abstractNum w:abstractNumId="13">
    <w:nsid w:val="436C6125"/>
    <w:multiLevelType w:val="hybridMultilevel"/>
    <w:lvl w:ilvl="0">
      <w:lvlJc w:val="left"/>
      <w:lvlText w:val="%1."/>
      <w:numFmt w:val="decimal"/>
      <w:start w:val="12"/>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2"/>
    </w:lvl>
  </w:abstractNum>
  <w:abstractNum w:abstractNumId="17">
    <w:nsid w:val="2443A858"/>
    <w:multiLevelType w:val="hybridMultilevel"/>
    <w:lvl w:ilvl="0">
      <w:lvlJc w:val="left"/>
      <w:lvlText w:val="%1."/>
      <w:numFmt w:val="decimal"/>
      <w:start w:val="3"/>
    </w:lvl>
  </w:abstractNum>
  <w:abstractNum w:abstractNumId="18">
    <w:nsid w:val="2D1D5AE9"/>
    <w:multiLevelType w:val="hybridMultilevel"/>
    <w:lvl w:ilvl="0">
      <w:lvlJc w:val="left"/>
      <w:lvlText w:val="%1."/>
      <w:numFmt w:val="decimal"/>
      <w:start w:val="4"/>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decimal"/>
      <w:start w:val="6"/>
    </w:lvl>
  </w:abstractNum>
  <w:abstractNum w:abstractNumId="21">
    <w:nsid w:val="8EDBDAB"/>
    <w:multiLevelType w:val="hybridMultilevel"/>
    <w:lvl w:ilvl="0">
      <w:lvlJc w:val="left"/>
      <w:lvlText w:val="%1."/>
      <w:numFmt w:val="decimal"/>
      <w:start w:val="7"/>
    </w:lvl>
  </w:abstractNum>
  <w:abstractNum w:abstractNumId="22">
    <w:nsid w:val="79838CB2"/>
    <w:multiLevelType w:val="hybridMultilevel"/>
    <w:lvl w:ilvl="0">
      <w:lvlJc w:val="left"/>
      <w:lvlText w:val="%1."/>
      <w:numFmt w:val="decimal"/>
      <w:start w:val="8"/>
    </w:lvl>
  </w:abstractNum>
  <w:abstractNum w:abstractNumId="23">
    <w:nsid w:val="4353D0CD"/>
    <w:multiLevelType w:val="hybridMultilevel"/>
    <w:lvl w:ilvl="0">
      <w:lvlJc w:val="left"/>
      <w:lvlText w:val="%1."/>
      <w:numFmt w:val="decimal"/>
      <w:start w:val="9"/>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0"/>
    </w:lvl>
  </w:abstractNum>
  <w:abstractNum w:abstractNumId="26">
    <w:nsid w:val="54E49EB4"/>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2024-07-19T15:32:11Z</dcterms:created>
  <dcterms:modified xsi:type="dcterms:W3CDTF">2024-07-19T15:32:11Z</dcterms:modified>
</cp:coreProperties>
</file>