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308610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37" w:lineRule="exact"/>
        <w:rPr>
          <w:sz w:val="24"/>
          <w:szCs w:val="24"/>
          <w:color w:val="auto"/>
        </w:rPr>
      </w:pPr>
    </w:p>
    <w:p>
      <w:pPr>
        <w:ind w:left="4060" w:right="3420" w:hanging="3746"/>
        <w:spacing w:after="0" w:line="363" w:lineRule="auto"/>
        <w:tabs>
          <w:tab w:leader="none" w:pos="636"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ANNUAL REPORT PURSUANT TO SECTION 13 OR 15(d) OF THE SECURITIES EXCHANGE ACT OF 1934 For the fiscal year ended December 31, 2024.</w:t>
      </w:r>
    </w:p>
    <w:p>
      <w:pPr>
        <w:spacing w:after="0" w:line="1" w:lineRule="exact"/>
        <w:rPr>
          <w:rFonts w:ascii="MS PGothic" w:cs="MS PGothic" w:eastAsia="MS PGothic" w:hAnsi="MS PGothic"/>
          <w:sz w:val="12"/>
          <w:szCs w:val="12"/>
          <w:color w:val="auto"/>
          <w:highlight w:val="black"/>
        </w:rPr>
      </w:pPr>
    </w:p>
    <w:p>
      <w:pPr>
        <w:ind w:left="5000"/>
        <w:spacing w:after="0"/>
        <w:rPr>
          <w:rFonts w:ascii="MS PGothic" w:cs="MS PGothic" w:eastAsia="MS PGothic" w:hAnsi="MS PGothic"/>
          <w:sz w:val="12"/>
          <w:szCs w:val="12"/>
          <w:color w:val="auto"/>
          <w:highlight w:val="black"/>
        </w:rPr>
      </w:pPr>
      <w:r>
        <w:rPr>
          <w:rFonts w:ascii="Times New Roman" w:cs="Times New Roman" w:eastAsia="Times New Roman" w:hAnsi="Times New Roman"/>
          <w:sz w:val="13"/>
          <w:szCs w:val="13"/>
          <w:b w:val="1"/>
          <w:bCs w:val="1"/>
          <w:color w:val="auto"/>
        </w:rPr>
        <w:t>OR</w:t>
      </w:r>
    </w:p>
    <w:p>
      <w:pPr>
        <w:spacing w:after="0" w:line="67" w:lineRule="exact"/>
        <w:rPr>
          <w:sz w:val="24"/>
          <w:szCs w:val="24"/>
          <w:color w:val="auto"/>
        </w:rPr>
      </w:pPr>
    </w:p>
    <w:p>
      <w:pPr>
        <w:ind w:left="640" w:hanging="326"/>
        <w:spacing w:after="0"/>
        <w:tabs>
          <w:tab w:leader="none" w:pos="640" w:val="left"/>
        </w:tabs>
        <w:numPr>
          <w:ilvl w:val="0"/>
          <w:numId w:val="2"/>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67" w:lineRule="exact"/>
        <w:rPr>
          <w:sz w:val="24"/>
          <w:szCs w:val="24"/>
          <w:color w:val="auto"/>
        </w:rPr>
      </w:pPr>
    </w:p>
    <w:p>
      <w:pPr>
        <w:ind w:left="3920"/>
        <w:spacing w:after="0"/>
        <w:tabs>
          <w:tab w:leader="none" w:pos="616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5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3"/>
          <w:szCs w:val="13"/>
          <w:b w:val="1"/>
          <w:bCs w:val="1"/>
          <w:color w:val="auto"/>
        </w:rPr>
        <w:t>Commission file number 001-38650</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Y-mAbs Therapeutics, Inc.</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p>
      <w:pPr>
        <w:spacing w:after="0" w:line="59" w:lineRule="exact"/>
        <w:rPr>
          <w:sz w:val="24"/>
          <w:szCs w:val="24"/>
          <w:color w:val="auto"/>
        </w:rPr>
      </w:pPr>
    </w:p>
    <w:tbl>
      <w:tblPr>
        <w:tblLayout w:type="fixed"/>
        <w:tblInd w:w="1460" w:type="dxa"/>
        <w:tblCellMar>
          <w:top w:w="0" w:type="dxa"/>
          <w:left w:w="0" w:type="dxa"/>
          <w:bottom w:w="0" w:type="dxa"/>
          <w:right w:w="0" w:type="dxa"/>
        </w:tblCellMar>
      </w:tblPr>
      <w:tr>
        <w:trPr>
          <w:trHeight w:val="149"/>
        </w:trPr>
        <w:tc>
          <w:tcPr>
            <w:tcW w:w="3960" w:type="dxa"/>
            <w:vAlign w:val="bottom"/>
          </w:tcPr>
          <w:p>
            <w:pPr>
              <w:jc w:val="center"/>
              <w:ind w:right="79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680" w:type="dxa"/>
            <w:vAlign w:val="bottom"/>
          </w:tcPr>
          <w:p>
            <w:pPr>
              <w:jc w:val="right"/>
              <w:ind w:right="557"/>
              <w:spacing w:after="0"/>
              <w:rPr>
                <w:sz w:val="20"/>
                <w:szCs w:val="20"/>
                <w:color w:val="auto"/>
              </w:rPr>
            </w:pPr>
            <w:r>
              <w:rPr>
                <w:rFonts w:ascii="Times New Roman" w:cs="Times New Roman" w:eastAsia="Times New Roman" w:hAnsi="Times New Roman"/>
                <w:sz w:val="13"/>
                <w:szCs w:val="13"/>
                <w:b w:val="1"/>
                <w:bCs w:val="1"/>
                <w:color w:val="auto"/>
              </w:rPr>
              <w:t>47-4619612</w:t>
            </w:r>
          </w:p>
        </w:tc>
      </w:tr>
      <w:tr>
        <w:trPr>
          <w:trHeight w:val="164"/>
        </w:trPr>
        <w:tc>
          <w:tcPr>
            <w:tcW w:w="3960" w:type="dxa"/>
            <w:vAlign w:val="bottom"/>
          </w:tcPr>
          <w:p>
            <w:pPr>
              <w:jc w:val="center"/>
              <w:ind w:right="797"/>
              <w:spacing w:after="0"/>
              <w:rPr>
                <w:sz w:val="20"/>
                <w:szCs w:val="20"/>
                <w:color w:val="auto"/>
              </w:rPr>
            </w:pPr>
            <w:r>
              <w:rPr>
                <w:rFonts w:ascii="Times New Roman" w:cs="Times New Roman" w:eastAsia="Times New Roman" w:hAnsi="Times New Roman"/>
                <w:sz w:val="13"/>
                <w:szCs w:val="13"/>
                <w:color w:val="auto"/>
                <w:w w:val="97"/>
              </w:rPr>
              <w:t>(State or Other Jurisdiction of Incorporation or Organization)</w:t>
            </w:r>
          </w:p>
        </w:tc>
        <w:tc>
          <w:tcPr>
            <w:tcW w:w="2680" w:type="dxa"/>
            <w:vAlign w:val="bottom"/>
          </w:tcPr>
          <w:p>
            <w:pPr>
              <w:jc w:val="center"/>
              <w:ind w:left="777"/>
              <w:spacing w:after="0"/>
              <w:rPr>
                <w:sz w:val="20"/>
                <w:szCs w:val="20"/>
                <w:color w:val="auto"/>
              </w:rPr>
            </w:pPr>
            <w:r>
              <w:rPr>
                <w:rFonts w:ascii="Times New Roman" w:cs="Times New Roman" w:eastAsia="Times New Roman" w:hAnsi="Times New Roman"/>
                <w:sz w:val="13"/>
                <w:szCs w:val="13"/>
                <w:color w:val="auto"/>
                <w:w w:val="97"/>
              </w:rPr>
              <w:t>(I.R.S. Employer Identification No.)</w:t>
            </w:r>
          </w:p>
        </w:tc>
      </w:tr>
      <w:tr>
        <w:trPr>
          <w:trHeight w:val="270"/>
        </w:trPr>
        <w:tc>
          <w:tcPr>
            <w:tcW w:w="3960" w:type="dxa"/>
            <w:vAlign w:val="bottom"/>
          </w:tcPr>
          <w:p>
            <w:pPr>
              <w:jc w:val="center"/>
              <w:ind w:right="777"/>
              <w:spacing w:after="0"/>
              <w:rPr>
                <w:sz w:val="20"/>
                <w:szCs w:val="20"/>
                <w:color w:val="auto"/>
              </w:rPr>
            </w:pPr>
            <w:r>
              <w:rPr>
                <w:rFonts w:ascii="Times New Roman" w:cs="Times New Roman" w:eastAsia="Times New Roman" w:hAnsi="Times New Roman"/>
                <w:sz w:val="13"/>
                <w:szCs w:val="13"/>
                <w:b w:val="1"/>
                <w:bCs w:val="1"/>
                <w:color w:val="auto"/>
                <w:w w:val="96"/>
              </w:rPr>
              <w:t>202 Carnegie Center, Suite 301 Princeton, NJ</w:t>
            </w:r>
          </w:p>
        </w:tc>
        <w:tc>
          <w:tcPr>
            <w:tcW w:w="2680" w:type="dxa"/>
            <w:vAlign w:val="bottom"/>
          </w:tcPr>
          <w:p>
            <w:pPr>
              <w:jc w:val="right"/>
              <w:ind w:right="697"/>
              <w:spacing w:after="0"/>
              <w:rPr>
                <w:sz w:val="20"/>
                <w:szCs w:val="20"/>
                <w:color w:val="auto"/>
              </w:rPr>
            </w:pPr>
            <w:r>
              <w:rPr>
                <w:rFonts w:ascii="Times New Roman" w:cs="Times New Roman" w:eastAsia="Times New Roman" w:hAnsi="Times New Roman"/>
                <w:sz w:val="13"/>
                <w:szCs w:val="13"/>
                <w:b w:val="1"/>
                <w:bCs w:val="1"/>
                <w:color w:val="auto"/>
              </w:rPr>
              <w:t>08540</w:t>
            </w:r>
          </w:p>
        </w:tc>
      </w:tr>
      <w:tr>
        <w:trPr>
          <w:trHeight w:val="270"/>
        </w:trPr>
        <w:tc>
          <w:tcPr>
            <w:tcW w:w="3960" w:type="dxa"/>
            <w:vAlign w:val="bottom"/>
          </w:tcPr>
          <w:p>
            <w:pPr>
              <w:jc w:val="center"/>
              <w:ind w:right="797"/>
              <w:spacing w:after="0"/>
              <w:rPr>
                <w:sz w:val="20"/>
                <w:szCs w:val="20"/>
                <w:color w:val="auto"/>
              </w:rPr>
            </w:pPr>
            <w:r>
              <w:rPr>
                <w:rFonts w:ascii="Times New Roman" w:cs="Times New Roman" w:eastAsia="Times New Roman" w:hAnsi="Times New Roman"/>
                <w:sz w:val="13"/>
                <w:szCs w:val="13"/>
                <w:color w:val="auto"/>
                <w:w w:val="97"/>
              </w:rPr>
              <w:t>(Address of Principal Executive Offices)</w:t>
            </w:r>
          </w:p>
        </w:tc>
        <w:tc>
          <w:tcPr>
            <w:tcW w:w="2680" w:type="dxa"/>
            <w:vAlign w:val="bottom"/>
          </w:tcPr>
          <w:p>
            <w:pPr>
              <w:jc w:val="center"/>
              <w:ind w:left="777"/>
              <w:spacing w:after="0"/>
              <w:rPr>
                <w:sz w:val="20"/>
                <w:szCs w:val="20"/>
                <w:color w:val="auto"/>
              </w:rPr>
            </w:pPr>
            <w:r>
              <w:rPr>
                <w:rFonts w:ascii="Times New Roman" w:cs="Times New Roman" w:eastAsia="Times New Roman" w:hAnsi="Times New Roman"/>
                <w:sz w:val="13"/>
                <w:szCs w:val="13"/>
                <w:color w:val="auto"/>
                <w:w w:val="97"/>
              </w:rPr>
              <w:t>(Zip Code)</w:t>
            </w:r>
          </w:p>
        </w:tc>
      </w:tr>
    </w:tbl>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 xml:space="preserve">Registrant’s telephone number, including area code </w:t>
      </w:r>
      <w:r>
        <w:rPr>
          <w:rFonts w:ascii="Times New Roman" w:cs="Times New Roman" w:eastAsia="Times New Roman" w:hAnsi="Times New Roman"/>
          <w:sz w:val="13"/>
          <w:szCs w:val="13"/>
          <w:b w:val="1"/>
          <w:bCs w:val="1"/>
          <w:color w:val="auto"/>
        </w:rPr>
        <w:t>(646)-885-8505</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37" w:lineRule="exact"/>
        <w:rPr>
          <w:sz w:val="24"/>
          <w:szCs w:val="24"/>
          <w:color w:val="auto"/>
        </w:rPr>
      </w:pPr>
    </w:p>
    <w:tbl>
      <w:tblPr>
        <w:tblLayout w:type="fixed"/>
        <w:tblInd w:w="1020" w:type="dxa"/>
        <w:tblCellMar>
          <w:top w:w="0" w:type="dxa"/>
          <w:left w:w="0" w:type="dxa"/>
          <w:bottom w:w="0" w:type="dxa"/>
          <w:right w:w="0" w:type="dxa"/>
        </w:tblCellMar>
      </w:tblPr>
      <w:tr>
        <w:trPr>
          <w:trHeight w:val="137"/>
        </w:trPr>
        <w:tc>
          <w:tcPr>
            <w:tcW w:w="34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Title of each class:</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3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182"/>
        </w:trPr>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$0.0001 par value</w:t>
            </w:r>
          </w:p>
        </w:tc>
        <w:tc>
          <w:tcPr>
            <w:tcW w:w="120" w:type="dxa"/>
            <w:vAlign w:val="bottom"/>
          </w:tcPr>
          <w:p>
            <w:pPr>
              <w:spacing w:after="0"/>
              <w:rPr>
                <w:sz w:val="15"/>
                <w:szCs w:val="15"/>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YMAB</w:t>
            </w:r>
          </w:p>
        </w:tc>
        <w:tc>
          <w:tcPr>
            <w:tcW w:w="140" w:type="dxa"/>
            <w:vAlign w:val="bottom"/>
          </w:tcPr>
          <w:p>
            <w:pPr>
              <w:spacing w:after="0"/>
              <w:rPr>
                <w:sz w:val="15"/>
                <w:szCs w:val="15"/>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Securities registered pursuant to Section 12(g) of the Act:</w:t>
      </w:r>
    </w:p>
    <w:p>
      <w:pPr>
        <w:spacing w:after="0" w:line="5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3"/>
          <w:szCs w:val="13"/>
          <w:b w:val="1"/>
          <w:bCs w:val="1"/>
          <w:color w:val="auto"/>
        </w:rPr>
        <w:t>NONE</w:t>
      </w:r>
    </w:p>
    <w:p>
      <w:pPr>
        <w:spacing w:after="0" w:line="6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3"/>
          <w:szCs w:val="13"/>
          <w:b w:val="1"/>
          <w:bCs w:val="1"/>
          <w:color w:val="auto"/>
        </w:rPr>
        <w:t>(Title of class)</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p>
      <w:pPr>
        <w:spacing w:after="0" w:line="92" w:lineRule="exact"/>
        <w:rPr>
          <w:sz w:val="24"/>
          <w:szCs w:val="24"/>
          <w:color w:val="auto"/>
        </w:rPr>
      </w:pPr>
    </w:p>
    <w:p>
      <w:pPr>
        <w:ind w:left="4640"/>
        <w:spacing w:after="0" w:line="150" w:lineRule="exact"/>
        <w:tabs>
          <w:tab w:leader="none" w:pos="518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w:t>
      </w:r>
    </w:p>
    <w:p>
      <w:pPr>
        <w:spacing w:after="0" w:line="92" w:lineRule="exact"/>
        <w:rPr>
          <w:sz w:val="24"/>
          <w:szCs w:val="24"/>
          <w:color w:val="auto"/>
        </w:rPr>
      </w:pPr>
    </w:p>
    <w:p>
      <w:pPr>
        <w:ind w:left="4640"/>
        <w:spacing w:after="0" w:line="150" w:lineRule="exact"/>
        <w:tabs>
          <w:tab w:leader="none" w:pos="518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95" w:lineRule="exact"/>
        <w:rPr>
          <w:sz w:val="24"/>
          <w:szCs w:val="24"/>
          <w:color w:val="auto"/>
        </w:rPr>
      </w:pPr>
    </w:p>
    <w:p>
      <w:pPr>
        <w:ind w:right="300"/>
        <w:spacing w:after="0"/>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1" w:lineRule="exact"/>
        <w:rPr>
          <w:sz w:val="24"/>
          <w:szCs w:val="24"/>
          <w:color w:val="auto"/>
        </w:rPr>
      </w:pPr>
    </w:p>
    <w:p>
      <w:pPr>
        <w:jc w:val="center"/>
        <w:ind w:right="20"/>
        <w:spacing w:after="0" w:line="150" w:lineRule="exact"/>
        <w:tabs>
          <w:tab w:leader="none" w:pos="18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95" w:lineRule="exact"/>
        <w:rPr>
          <w:sz w:val="24"/>
          <w:szCs w:val="24"/>
          <w:color w:val="auto"/>
        </w:rPr>
      </w:pPr>
    </w:p>
    <w:p>
      <w:pPr>
        <w:ind w:right="100"/>
        <w:spacing w:after="0"/>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77" w:lineRule="exact"/>
        <w:rPr>
          <w:sz w:val="24"/>
          <w:szCs w:val="24"/>
          <w:color w:val="auto"/>
        </w:rPr>
      </w:pPr>
    </w:p>
    <w:p>
      <w:pPr>
        <w:jc w:val="center"/>
        <w:ind w:right="20"/>
        <w:spacing w:after="0" w:line="150" w:lineRule="exact"/>
        <w:tabs>
          <w:tab w:leader="none" w:pos="18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95" w:lineRule="exact"/>
        <w:rPr>
          <w:sz w:val="24"/>
          <w:szCs w:val="24"/>
          <w:color w:val="auto"/>
        </w:rPr>
      </w:pPr>
    </w:p>
    <w:p>
      <w:pPr>
        <w:ind w:right="8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4" w:lineRule="exact"/>
        <w:rPr>
          <w:sz w:val="24"/>
          <w:szCs w:val="24"/>
          <w:color w:val="auto"/>
        </w:rPr>
      </w:pPr>
    </w:p>
    <w:p>
      <w:pPr>
        <w:ind w:left="420"/>
        <w:spacing w:after="0" w:line="150" w:lineRule="exact"/>
        <w:tabs>
          <w:tab w:leader="none" w:pos="2500" w:val="left"/>
          <w:tab w:leader="none" w:pos="4140" w:val="left"/>
          <w:tab w:leader="none" w:pos="6000" w:val="left"/>
          <w:tab w:leader="none" w:pos="8280" w:val="left"/>
        </w:tabs>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Smaller reporting company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95" w:lineRule="exact"/>
        <w:rPr>
          <w:sz w:val="24"/>
          <w:szCs w:val="24"/>
          <w:color w:val="auto"/>
        </w:rPr>
      </w:pPr>
    </w:p>
    <w:p>
      <w:pPr>
        <w:ind w:right="36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8" w:lineRule="exact"/>
        <w:rPr>
          <w:sz w:val="24"/>
          <w:szCs w:val="24"/>
          <w:color w:val="auto"/>
        </w:rPr>
      </w:pPr>
    </w:p>
    <w:p>
      <w:pPr>
        <w:ind w:right="6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8" w:lineRule="exact"/>
        <w:rPr>
          <w:sz w:val="24"/>
          <w:szCs w:val="24"/>
          <w:color w:val="auto"/>
        </w:rPr>
      </w:pPr>
    </w:p>
    <w:p>
      <w:pPr>
        <w:ind w:right="480"/>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32" w:lineRule="exact"/>
        <w:rPr>
          <w:sz w:val="24"/>
          <w:szCs w:val="24"/>
          <w:color w:val="auto"/>
        </w:rPr>
      </w:pPr>
    </w:p>
    <w:p>
      <w:pPr>
        <w:ind w:right="20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Act).</w:t>
      </w:r>
    </w:p>
    <w:p>
      <w:pPr>
        <w:spacing w:after="0" w:line="65" w:lineRule="exact"/>
        <w:rPr>
          <w:sz w:val="24"/>
          <w:szCs w:val="24"/>
          <w:color w:val="auto"/>
        </w:rPr>
      </w:pPr>
    </w:p>
    <w:p>
      <w:pPr>
        <w:ind w:left="4640"/>
        <w:spacing w:after="0" w:line="150" w:lineRule="exact"/>
        <w:tabs>
          <w:tab w:leader="none" w:pos="518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95" w:lineRule="exact"/>
        <w:rPr>
          <w:sz w:val="24"/>
          <w:szCs w:val="24"/>
          <w:color w:val="auto"/>
        </w:rPr>
      </w:pPr>
    </w:p>
    <w:p>
      <w:pPr>
        <w:jc w:val="both"/>
        <w:ind w:firstLine="648"/>
        <w:spacing w:after="0" w:line="232" w:lineRule="auto"/>
        <w:rPr>
          <w:sz w:val="20"/>
          <w:szCs w:val="20"/>
          <w:color w:val="auto"/>
        </w:rPr>
      </w:pPr>
      <w:r>
        <w:rPr>
          <w:rFonts w:ascii="Times New Roman" w:cs="Times New Roman" w:eastAsia="Times New Roman" w:hAnsi="Times New Roman"/>
          <w:sz w:val="13"/>
          <w:szCs w:val="13"/>
          <w:color w:val="auto"/>
        </w:rPr>
        <w:t>As of June 30, 2024 the aggregate market value of the common stock held by non-affiliates of the registrant, based on the closing price of a share of common stock as reported by the Nasdaq Global Select Market on such date, was approximately $450 million. This calculation does not reflect a determination that certain persons are affiliates of the registrant for any other purpose. The number of outstanding shares of the registrant’s common stock as of February 25, 2025 was 45,218,177.</w:t>
      </w:r>
    </w:p>
    <w:p>
      <w:pPr>
        <w:spacing w:after="0" w:line="50"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5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2"/>
          <w:szCs w:val="12"/>
          <w:color w:val="auto"/>
        </w:rPr>
        <w:t>Portions of the Registrant’s Definitive Proxy Statement relating to the 2025 Annual Meeting of Stockholders, which will be filed with the Securities and Exchange Commission within 120</w:t>
      </w:r>
    </w:p>
    <w:p>
      <w:pPr>
        <w:spacing w:after="0" w:line="51" w:lineRule="exact"/>
        <w:rPr>
          <w:sz w:val="24"/>
          <w:szCs w:val="24"/>
          <w:color w:val="auto"/>
        </w:rPr>
      </w:pPr>
    </w:p>
    <w:p>
      <w:pPr>
        <w:ind w:right="40"/>
        <w:spacing w:after="0" w:line="283" w:lineRule="auto"/>
        <w:rPr>
          <w:sz w:val="20"/>
          <w:szCs w:val="20"/>
          <w:color w:val="auto"/>
        </w:rPr>
      </w:pPr>
      <w:r>
        <w:rPr>
          <w:rFonts w:ascii="Times New Roman" w:cs="Times New Roman" w:eastAsia="Times New Roman" w:hAnsi="Times New Roman"/>
          <w:sz w:val="13"/>
          <w:szCs w:val="13"/>
          <w:color w:val="auto"/>
        </w:rPr>
        <w:t>days after the end of the Registrant’s fiscal year ended December 31, 2024 are incorporated by reference into Part III of this Annual Report on Form 10-K. With the exception of the portions of the 2025 Proxy Statement expressly incorporated into this Annual Report on Form 10-K by reference, such document shall not be deemed to constitute part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456565</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27940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70485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00"/>
          </w:cols>
          <w:pgMar w:left="840" w:top="661" w:right="85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0" w:type="dxa"/>
            <w:vAlign w:val="bottom"/>
            <w:gridSpan w:val="12"/>
          </w:tcPr>
          <w:p>
            <w:pPr>
              <w:ind w:left="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46"/>
        </w:trPr>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Page</w:t>
            </w:r>
          </w:p>
        </w:tc>
      </w:tr>
      <w:tr>
        <w:trPr>
          <w:trHeight w:val="391"/>
        </w:trPr>
        <w:tc>
          <w:tcPr>
            <w:tcW w:w="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1"/>
              </w:rPr>
              <w:t>PART I</w:t>
            </w:r>
          </w:p>
        </w:tc>
        <w:tc>
          <w:tcPr>
            <w:tcW w:w="28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2"/>
        </w:trPr>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1.</w:t>
            </w:r>
          </w:p>
        </w:tc>
        <w:tc>
          <w:tcPr>
            <w:tcW w:w="74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Business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160" w:type="dxa"/>
            <w:vAlign w:val="bottom"/>
          </w:tcPr>
          <w:p>
            <w:pPr>
              <w:spacing w:after="0"/>
              <w:rPr>
                <w:sz w:val="17"/>
                <w:szCs w:val="17"/>
                <w:color w:val="auto"/>
              </w:rPr>
            </w:pPr>
          </w:p>
        </w:tc>
        <w:tc>
          <w:tcPr>
            <w:tcW w:w="7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1B.</w:t>
            </w:r>
          </w:p>
        </w:tc>
        <w:tc>
          <w:tcPr>
            <w:tcW w:w="160" w:type="dxa"/>
            <w:vAlign w:val="bottom"/>
          </w:tcPr>
          <w:p>
            <w:pPr>
              <w:spacing w:after="0"/>
              <w:rPr>
                <w:sz w:val="17"/>
                <w:szCs w:val="17"/>
                <w:color w:val="auto"/>
              </w:rPr>
            </w:pPr>
          </w:p>
        </w:tc>
        <w:tc>
          <w:tcPr>
            <w:tcW w:w="7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r>
      <w:tr>
        <w:trPr>
          <w:trHeight w:val="196"/>
        </w:trPr>
        <w:tc>
          <w:tcPr>
            <w:tcW w:w="6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1C.</w:t>
            </w:r>
          </w:p>
        </w:tc>
        <w:tc>
          <w:tcPr>
            <w:tcW w:w="160" w:type="dxa"/>
            <w:vAlign w:val="bottom"/>
          </w:tcPr>
          <w:p>
            <w:pPr>
              <w:spacing w:after="0"/>
              <w:rPr>
                <w:sz w:val="17"/>
                <w:szCs w:val="17"/>
                <w:color w:val="auto"/>
              </w:rPr>
            </w:pPr>
          </w:p>
        </w:tc>
        <w:tc>
          <w:tcPr>
            <w:tcW w:w="204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5400" w:type="dxa"/>
            <w:vAlign w:val="bottom"/>
            <w:gridSpan w:val="1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r>
      <w:tr>
        <w:trPr>
          <w:trHeight w:val="196"/>
        </w:trPr>
        <w:tc>
          <w:tcPr>
            <w:tcW w:w="58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240" w:type="dxa"/>
            <w:vAlign w:val="bottom"/>
            <w:gridSpan w:val="2"/>
          </w:tcPr>
          <w:p>
            <w:pPr>
              <w:spacing w:after="0"/>
              <w:rPr>
                <w:sz w:val="17"/>
                <w:szCs w:val="17"/>
                <w:color w:val="auto"/>
              </w:rPr>
            </w:pPr>
          </w:p>
        </w:tc>
        <w:tc>
          <w:tcPr>
            <w:tcW w:w="10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6440" w:type="dxa"/>
            <w:vAlign w:val="bottom"/>
            <w:gridSpan w:val="17"/>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5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86"/>
              </w:rPr>
              <w:t>PART II</w:t>
            </w:r>
          </w:p>
        </w:tc>
        <w:tc>
          <w:tcPr>
            <w:tcW w:w="24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2"/>
        </w:trPr>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5.</w:t>
            </w:r>
          </w:p>
        </w:tc>
        <w:tc>
          <w:tcPr>
            <w:tcW w:w="74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w:t>
            </w:r>
          </w:p>
        </w:tc>
        <w:tc>
          <w:tcPr>
            <w:tcW w:w="640" w:type="dxa"/>
            <w:vAlign w:val="bottom"/>
          </w:tcPr>
          <w:p>
            <w:pPr>
              <w:spacing w:after="0"/>
              <w:rPr>
                <w:sz w:val="24"/>
                <w:szCs w:val="24"/>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32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Securities</w:t>
            </w:r>
          </w:p>
        </w:tc>
        <w:tc>
          <w:tcPr>
            <w:tcW w:w="12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r>
      <w:tr>
        <w:trPr>
          <w:trHeight w:val="196"/>
        </w:trPr>
        <w:tc>
          <w:tcPr>
            <w:tcW w:w="8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7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6720" w:type="dxa"/>
            <w:vAlign w:val="bottom"/>
            <w:gridSpan w:val="19"/>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7.</w:t>
            </w:r>
          </w:p>
        </w:tc>
        <w:tc>
          <w:tcPr>
            <w:tcW w:w="7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7A.</w:t>
            </w:r>
          </w:p>
        </w:tc>
        <w:tc>
          <w:tcPr>
            <w:tcW w:w="160" w:type="dxa"/>
            <w:vAlign w:val="bottom"/>
          </w:tcPr>
          <w:p>
            <w:pPr>
              <w:spacing w:after="0"/>
              <w:rPr>
                <w:sz w:val="17"/>
                <w:szCs w:val="17"/>
                <w:color w:val="auto"/>
              </w:rPr>
            </w:pPr>
          </w:p>
        </w:tc>
        <w:tc>
          <w:tcPr>
            <w:tcW w:w="43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080" w:type="dxa"/>
            <w:vAlign w:val="bottom"/>
            <w:gridSpan w:val="7"/>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r>
      <w:tr>
        <w:trPr>
          <w:trHeight w:val="196"/>
        </w:trPr>
        <w:tc>
          <w:tcPr>
            <w:tcW w:w="8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8.</w:t>
            </w:r>
          </w:p>
        </w:tc>
        <w:tc>
          <w:tcPr>
            <w:tcW w:w="7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9.</w:t>
            </w:r>
          </w:p>
        </w:tc>
        <w:tc>
          <w:tcPr>
            <w:tcW w:w="7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168</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9A.</w:t>
            </w:r>
          </w:p>
        </w:tc>
        <w:tc>
          <w:tcPr>
            <w:tcW w:w="160" w:type="dxa"/>
            <w:vAlign w:val="bottom"/>
          </w:tcPr>
          <w:p>
            <w:pPr>
              <w:spacing w:after="0"/>
              <w:rPr>
                <w:sz w:val="17"/>
                <w:szCs w:val="17"/>
                <w:color w:val="auto"/>
              </w:rPr>
            </w:pPr>
          </w:p>
        </w:tc>
        <w:tc>
          <w:tcPr>
            <w:tcW w:w="7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169</w:t>
            </w:r>
          </w:p>
        </w:tc>
      </w:tr>
      <w:tr>
        <w:trPr>
          <w:trHeight w:val="196"/>
        </w:trPr>
        <w:tc>
          <w:tcPr>
            <w:tcW w:w="6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Item 9B.</w:t>
            </w:r>
          </w:p>
        </w:tc>
        <w:tc>
          <w:tcPr>
            <w:tcW w:w="160" w:type="dxa"/>
            <w:vAlign w:val="bottom"/>
          </w:tcPr>
          <w:p>
            <w:pPr>
              <w:spacing w:after="0"/>
              <w:rPr>
                <w:sz w:val="17"/>
                <w:szCs w:val="17"/>
                <w:color w:val="auto"/>
              </w:rPr>
            </w:pPr>
          </w:p>
        </w:tc>
        <w:tc>
          <w:tcPr>
            <w:tcW w:w="17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5680" w:type="dxa"/>
            <w:vAlign w:val="bottom"/>
            <w:gridSpan w:val="14"/>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169</w:t>
            </w: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9C</w:t>
            </w:r>
            <w:r>
              <w:rPr>
                <w:rFonts w:ascii="Times New Roman" w:cs="Times New Roman" w:eastAsia="Times New Roman" w:hAnsi="Times New Roman"/>
                <w:sz w:val="18"/>
                <w:szCs w:val="18"/>
                <w:color w:val="000000"/>
              </w:rPr>
              <w:t>.</w:t>
            </w:r>
          </w:p>
        </w:tc>
        <w:tc>
          <w:tcPr>
            <w:tcW w:w="7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169</w:t>
            </w: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6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0"/>
              </w:rPr>
              <w:t>PART III</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2"/>
        </w:trPr>
        <w:tc>
          <w:tcPr>
            <w:tcW w:w="5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89"/>
              </w:rPr>
              <w:t>Item 10.</w:t>
            </w:r>
          </w:p>
        </w:tc>
        <w:tc>
          <w:tcPr>
            <w:tcW w:w="240" w:type="dxa"/>
            <w:vAlign w:val="bottom"/>
            <w:gridSpan w:val="2"/>
          </w:tcPr>
          <w:p>
            <w:pPr>
              <w:spacing w:after="0"/>
              <w:rPr>
                <w:sz w:val="24"/>
                <w:szCs w:val="24"/>
                <w:color w:val="auto"/>
              </w:rPr>
            </w:pPr>
          </w:p>
        </w:tc>
        <w:tc>
          <w:tcPr>
            <w:tcW w:w="41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3340" w:type="dxa"/>
            <w:vAlign w:val="bottom"/>
            <w:gridSpan w:val="8"/>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196"/>
        </w:trPr>
        <w:tc>
          <w:tcPr>
            <w:tcW w:w="8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11.</w:t>
            </w:r>
          </w:p>
        </w:tc>
        <w:tc>
          <w:tcPr>
            <w:tcW w:w="7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170</w:t>
            </w: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5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12.</w:t>
            </w:r>
          </w:p>
        </w:tc>
        <w:tc>
          <w:tcPr>
            <w:tcW w:w="240" w:type="dxa"/>
            <w:vAlign w:val="bottom"/>
            <w:gridSpan w:val="2"/>
          </w:tcPr>
          <w:p>
            <w:pPr>
              <w:spacing w:after="0"/>
              <w:rPr>
                <w:sz w:val="17"/>
                <w:szCs w:val="17"/>
                <w:color w:val="auto"/>
              </w:rPr>
            </w:pPr>
          </w:p>
        </w:tc>
        <w:tc>
          <w:tcPr>
            <w:tcW w:w="7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170</w:t>
            </w:r>
          </w:p>
        </w:tc>
      </w:tr>
      <w:tr>
        <w:trPr>
          <w:trHeight w:val="196"/>
        </w:trPr>
        <w:tc>
          <w:tcPr>
            <w:tcW w:w="58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13.</w:t>
            </w:r>
          </w:p>
        </w:tc>
        <w:tc>
          <w:tcPr>
            <w:tcW w:w="240" w:type="dxa"/>
            <w:vAlign w:val="bottom"/>
            <w:gridSpan w:val="2"/>
          </w:tcPr>
          <w:p>
            <w:pPr>
              <w:spacing w:after="0"/>
              <w:rPr>
                <w:sz w:val="17"/>
                <w:szCs w:val="17"/>
                <w:color w:val="auto"/>
              </w:rPr>
            </w:pPr>
          </w:p>
        </w:tc>
        <w:tc>
          <w:tcPr>
            <w:tcW w:w="72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60" w:type="dxa"/>
            <w:vAlign w:val="bottom"/>
            <w:gridSpan w:val="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170</w:t>
            </w:r>
          </w:p>
        </w:tc>
      </w:tr>
      <w:tr>
        <w:trPr>
          <w:trHeight w:val="196"/>
        </w:trPr>
        <w:tc>
          <w:tcPr>
            <w:tcW w:w="5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14.</w:t>
            </w:r>
          </w:p>
        </w:tc>
        <w:tc>
          <w:tcPr>
            <w:tcW w:w="240" w:type="dxa"/>
            <w:vAlign w:val="bottom"/>
            <w:gridSpan w:val="2"/>
          </w:tcPr>
          <w:p>
            <w:pPr>
              <w:spacing w:after="0"/>
              <w:rPr>
                <w:sz w:val="17"/>
                <w:szCs w:val="17"/>
                <w:color w:val="auto"/>
              </w:rPr>
            </w:pPr>
          </w:p>
        </w:tc>
        <w:tc>
          <w:tcPr>
            <w:tcW w:w="286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Principal Accountant Fees and Services</w:t>
            </w:r>
          </w:p>
        </w:tc>
        <w:tc>
          <w:tcPr>
            <w:tcW w:w="2580" w:type="dxa"/>
            <w:vAlign w:val="bottom"/>
            <w:tcBorders>
              <w:top w:val="single" w:sz="8" w:color="0000EE"/>
            </w:tcBorders>
            <w:gridSpan w:val="6"/>
          </w:tcPr>
          <w:p>
            <w:pPr>
              <w:spacing w:after="0"/>
              <w:rPr>
                <w:sz w:val="17"/>
                <w:szCs w:val="17"/>
                <w:color w:val="auto"/>
              </w:rPr>
            </w:pPr>
          </w:p>
        </w:tc>
        <w:tc>
          <w:tcPr>
            <w:tcW w:w="2000" w:type="dxa"/>
            <w:vAlign w:val="bottom"/>
            <w:gridSpan w:val="5"/>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170</w:t>
            </w:r>
          </w:p>
        </w:tc>
      </w:tr>
      <w:tr>
        <w:trPr>
          <w:trHeight w:val="412"/>
        </w:trPr>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PART IV</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2"/>
        </w:trPr>
        <w:tc>
          <w:tcPr>
            <w:tcW w:w="5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89"/>
              </w:rPr>
              <w:t>Item 15.</w:t>
            </w: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Exhibits and Financial Statement Schedules</w:t>
            </w:r>
          </w:p>
        </w:tc>
        <w:tc>
          <w:tcPr>
            <w:tcW w:w="4280" w:type="dxa"/>
            <w:vAlign w:val="bottom"/>
            <w:gridSpan w:val="10"/>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196"/>
        </w:trPr>
        <w:tc>
          <w:tcPr>
            <w:tcW w:w="5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16.</w:t>
            </w:r>
          </w:p>
        </w:tc>
        <w:tc>
          <w:tcPr>
            <w:tcW w:w="240" w:type="dxa"/>
            <w:vAlign w:val="bottom"/>
            <w:gridSpan w:val="2"/>
          </w:tcPr>
          <w:p>
            <w:pPr>
              <w:spacing w:after="0"/>
              <w:rPr>
                <w:sz w:val="17"/>
                <w:szCs w:val="17"/>
                <w:color w:val="auto"/>
              </w:rPr>
            </w:pPr>
          </w:p>
        </w:tc>
        <w:tc>
          <w:tcPr>
            <w:tcW w:w="7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r>
      <w:tr>
        <w:trPr>
          <w:trHeight w:val="20"/>
        </w:trPr>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FORWARD LOOKING STATEMENTS</w:t>
      </w:r>
    </w:p>
    <w:p>
      <w:pPr>
        <w:spacing w:after="0" w:line="225"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This Annual Report on Form 10-K contains forward-looking statements within the meaning of the Private Securities Litigation Reform Act of 1995, about us and our industry that involve substantial risks and uncertainties. All statements, other than statements of historical facts, contained in this Annual Report on Form 10-K, including statements regarding our business strategy, future operations and results thereof, future financial position, future revenue, projected costs, prospects, current and prospective products, product approvals, research and development costs, current and prospective collaborations, timing and likelihood of success, plans and objectives of management, expected market growth and future results of current and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The words “anticipate,” “believe,” “continue,” “could,” “estimate,” “expect,” “contemplate,” “intend,” “may,” “might,” “plan,” “potential,” “predict,” “project,” “should,” “target,” “will,” “would” and similar expressions are intended to identify forward-looking statements, although not all forward-looking statements contain these identifying words.</w:t>
      </w:r>
    </w:p>
    <w:p>
      <w:pPr>
        <w:spacing w:after="0" w:line="17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 Item 1A, "Risk Factors" in this Annual Report on Form 10-K.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could differ materially and adversely from those anticipated or implied in the forward-looking statements.</w:t>
      </w:r>
    </w:p>
    <w:p>
      <w:pPr>
        <w:spacing w:after="0" w:line="187"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in the “Risk Factors” section, that could cause actual results or events to differ materially from the forward-looking statements that we make. Our forward-looking statements do not reflect the potential impact of any future acquisitions, mergers, dispositions, licensing agreements, collaborations, joint ventures or investments that we may make.</w:t>
      </w:r>
    </w:p>
    <w:p>
      <w:pPr>
        <w:spacing w:after="0" w:line="189"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on Form 10-K are made as of the date of this Annual Report on Form 10-K, and we undertake no obligation to publicly update or review any forward-looking statement, whether as a result of new information, future developments or otherwise, except as required by law.</w:t>
      </w:r>
    </w:p>
    <w:p>
      <w:pPr>
        <w:spacing w:after="0" w:line="176"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Unless expressly indicated or the context requires otherwise, the terms "Y-mAbs," "company," "we," "us," and "our" in this document refer to Y-mAbs Therapeutics, Inc., a Delaware corporation, and, where appropriate, the Company’s subsidiary.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SUMMARY OF RISK FACTORS</w:t>
      </w:r>
    </w:p>
    <w:p>
      <w:pPr>
        <w:spacing w:after="0" w:line="225" w:lineRule="exact"/>
        <w:rPr>
          <w:sz w:val="20"/>
          <w:szCs w:val="20"/>
          <w:color w:val="auto"/>
        </w:rPr>
      </w:pPr>
    </w:p>
    <w:p>
      <w:pPr>
        <w:ind w:left="60" w:right="499" w:firstLine="648"/>
        <w:spacing w:after="0" w:line="312" w:lineRule="auto"/>
        <w:rPr>
          <w:sz w:val="20"/>
          <w:szCs w:val="20"/>
          <w:color w:val="auto"/>
        </w:rPr>
      </w:pPr>
      <w:r>
        <w:rPr>
          <w:rFonts w:ascii="Times New Roman" w:cs="Times New Roman" w:eastAsia="Times New Roman" w:hAnsi="Times New Roman"/>
          <w:sz w:val="17"/>
          <w:szCs w:val="17"/>
          <w:color w:val="auto"/>
        </w:rPr>
        <w:t>Our business is subject to a number of risks, including risks that may prevent us from achieving our business objectives or may adversely affect our business, financial condition, results of operations, cash flows, and prospects.</w:t>
      </w:r>
    </w:p>
    <w:p>
      <w:pPr>
        <w:spacing w:after="0" w:line="1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These risks are discussed more fully below under “Risk Factors” and include, but are not limited to, the following:</w:t>
      </w:r>
    </w:p>
    <w:p>
      <w:pPr>
        <w:spacing w:after="0" w:line="237" w:lineRule="exact"/>
        <w:rPr>
          <w:sz w:val="20"/>
          <w:szCs w:val="20"/>
          <w:color w:val="auto"/>
        </w:rPr>
      </w:pPr>
    </w:p>
    <w:p>
      <w:pPr>
        <w:ind w:left="1100" w:right="139" w:hanging="388"/>
        <w:spacing w:after="0" w:line="261"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implement our business strategy, including our plans to expand the commercialization of DANYELZA® (naxitamab-gqgk), referred to as DANYELZA, and to develop, obtain regulatory approval of and commercialize our other product candidates based on our Self-Assembly DisAssembly Pretargeted Radio-immuno Therapy, or SADA PRIT, technology platform;</w:t>
      </w:r>
    </w:p>
    <w:p>
      <w:pPr>
        <w:spacing w:after="0" w:line="179" w:lineRule="exact"/>
        <w:rPr>
          <w:rFonts w:ascii="Times New Roman" w:cs="Times New Roman" w:eastAsia="Times New Roman" w:hAnsi="Times New Roman"/>
          <w:sz w:val="18"/>
          <w:szCs w:val="18"/>
          <w:color w:val="auto"/>
        </w:rPr>
      </w:pPr>
    </w:p>
    <w:p>
      <w:pPr>
        <w:ind w:left="1100" w:right="119" w:hanging="388"/>
        <w:spacing w:after="0" w:line="266"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rate and degree of market acceptance and clinical utility for DANYELZA or any current or future product candidates for which we may receive marketing approval may not be realized;</w:t>
      </w:r>
    </w:p>
    <w:p>
      <w:pPr>
        <w:spacing w:after="0" w:line="175" w:lineRule="exact"/>
        <w:rPr>
          <w:rFonts w:ascii="Times New Roman" w:cs="Times New Roman" w:eastAsia="Times New Roman" w:hAnsi="Times New Roman"/>
          <w:sz w:val="18"/>
          <w:szCs w:val="18"/>
          <w:color w:val="auto"/>
        </w:rPr>
      </w:pPr>
    </w:p>
    <w:p>
      <w:pPr>
        <w:ind w:left="1100" w:right="419" w:hanging="388"/>
        <w:spacing w:after="0" w:line="282"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marketing, expanding the indications for, and selling DANYELZA and any current or future product candidates for which we may receive marketing approval;</w:t>
      </w:r>
    </w:p>
    <w:p>
      <w:pPr>
        <w:spacing w:after="0" w:line="161" w:lineRule="exact"/>
        <w:rPr>
          <w:rFonts w:ascii="Times New Roman" w:cs="Times New Roman" w:eastAsia="Times New Roman" w:hAnsi="Times New Roman"/>
          <w:sz w:val="18"/>
          <w:szCs w:val="18"/>
          <w:color w:val="auto"/>
        </w:rPr>
      </w:pPr>
    </w:p>
    <w:p>
      <w:pPr>
        <w:ind w:left="1100" w:right="119" w:hanging="388"/>
        <w:spacing w:after="0" w:line="266"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pricing, coverage and reimbursement of, and the extent to which patient assistance programs are utilized for DANYELZA or other product candidates for which we may receive marketing approval may not be realized;</w:t>
      </w:r>
    </w:p>
    <w:p>
      <w:pPr>
        <w:spacing w:after="0" w:line="175" w:lineRule="exact"/>
        <w:rPr>
          <w:rFonts w:ascii="Times New Roman" w:cs="Times New Roman" w:eastAsia="Times New Roman" w:hAnsi="Times New Roman"/>
          <w:sz w:val="18"/>
          <w:szCs w:val="18"/>
          <w:color w:val="auto"/>
        </w:rPr>
      </w:pPr>
    </w:p>
    <w:p>
      <w:pPr>
        <w:ind w:left="1100" w:right="199" w:hanging="388"/>
        <w:spacing w:after="0" w:line="255"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depend on a small number of third-party contract manufacturing organizations, or CMOs, and expect it would be difficult to find suitable replacements for the complex and difficult manufacture of DANYELZA and our product candidates. The loss of any of these CMOs or the failure of any of them to meet their obligations to us could affect our ability to continue to sell DANYELZA or to develop our other product candidates in a timely manner. The anticipated transition of DANYELZA manufacturing to a new facility by our contract manufacturer may not be successful or completed in a timely manner to avoid production delays;</w:t>
      </w:r>
    </w:p>
    <w:p>
      <w:pPr>
        <w:spacing w:after="0" w:line="188" w:lineRule="exact"/>
        <w:rPr>
          <w:rFonts w:ascii="Times New Roman" w:cs="Times New Roman" w:eastAsia="Times New Roman" w:hAnsi="Times New Roman"/>
          <w:sz w:val="18"/>
          <w:szCs w:val="18"/>
          <w:color w:val="auto"/>
        </w:rPr>
      </w:pPr>
    </w:p>
    <w:p>
      <w:pPr>
        <w:ind w:left="1100" w:right="259" w:hanging="388"/>
        <w:spacing w:after="0" w:line="266"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SADA PRIT technology that we use has not been approved for commercial use by the U.S. Food and Drug Administration, or the FDA or any other regulatory authority and our clinical effort may not result in approval or marketable products;</w:t>
      </w:r>
    </w:p>
    <w:p>
      <w:pPr>
        <w:spacing w:after="0" w:line="175" w:lineRule="exact"/>
        <w:rPr>
          <w:rFonts w:ascii="Times New Roman" w:cs="Times New Roman" w:eastAsia="Times New Roman" w:hAnsi="Times New Roman"/>
          <w:sz w:val="18"/>
          <w:szCs w:val="18"/>
          <w:color w:val="auto"/>
        </w:rPr>
      </w:pPr>
    </w:p>
    <w:p>
      <w:pPr>
        <w:ind w:left="1100" w:right="159" w:hanging="388"/>
        <w:spacing w:after="0" w:line="261"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relationship and collaboration with clinical and academic institutions, in particular on our exclusive rights with Memorial Sloan Kettering Cancer Center, or MSK, and Massachusetts Institute of Technology, or MIT, under the 2015 MSK License Agreement (as amended), and under the 2020 SADA License Agreement;</w:t>
      </w:r>
    </w:p>
    <w:p>
      <w:pPr>
        <w:spacing w:after="0" w:line="179" w:lineRule="exact"/>
        <w:rPr>
          <w:rFonts w:ascii="Times New Roman" w:cs="Times New Roman" w:eastAsia="Times New Roman" w:hAnsi="Times New Roman"/>
          <w:sz w:val="18"/>
          <w:szCs w:val="18"/>
          <w:color w:val="auto"/>
        </w:rPr>
      </w:pPr>
    </w:p>
    <w:p>
      <w:pPr>
        <w:ind w:left="1100" w:right="359" w:hanging="388"/>
        <w:spacing w:after="0" w:line="266"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enter into collaborations or strategic partnerships for the development and commercialization of our product candidates and future operations, and the potential benefits of any such collaboration or partnership may not be realized;</w:t>
      </w:r>
    </w:p>
    <w:p>
      <w:pPr>
        <w:spacing w:after="0" w:line="175" w:lineRule="exact"/>
        <w:rPr>
          <w:rFonts w:ascii="Times New Roman" w:cs="Times New Roman" w:eastAsia="Times New Roman" w:hAnsi="Times New Roman"/>
          <w:sz w:val="18"/>
          <w:szCs w:val="18"/>
          <w:color w:val="auto"/>
        </w:rPr>
      </w:pPr>
    </w:p>
    <w:p>
      <w:pPr>
        <w:ind w:left="1100" w:right="179" w:hanging="388"/>
        <w:spacing w:after="0" w:line="282"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commercial value of any of our product candidates, including antibody constructs based on the SADA PRIT technology platform, may not be realized;</w:t>
      </w:r>
    </w:p>
    <w:p>
      <w:pPr>
        <w:spacing w:after="0" w:line="161" w:lineRule="exact"/>
        <w:rPr>
          <w:rFonts w:ascii="Times New Roman" w:cs="Times New Roman" w:eastAsia="Times New Roman" w:hAnsi="Times New Roman"/>
          <w:sz w:val="18"/>
          <w:szCs w:val="18"/>
          <w:color w:val="auto"/>
        </w:rPr>
      </w:pPr>
    </w:p>
    <w:p>
      <w:pPr>
        <w:ind w:left="1100" w:right="159" w:hanging="388"/>
        <w:spacing w:after="0" w:line="258"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our ongoing and future clinical trials whether conducted by us or by any of our collaborators, including the initiation of these trials, the pace of enrollment, the completion of enrollment, the availability of data from, and the outcome of, these trials, and expectations with respect to regulatory submissions and potential regulatory approvals, may not be realized, or may not delivered in accordance with our expected timelines;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00" w:right="159" w:hanging="388"/>
        <w:spacing w:after="0" w:line="277" w:lineRule="auto"/>
        <w:tabs>
          <w:tab w:leader="none" w:pos="11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pre-clinical studies and early clinical trials related to radioimmunotherapy, or RIT may not be predictive of the success of later clinical trials. Interim results of a clinical trial do not necessarily predict final results, and the results of our clinical trials may not satisfy the requirements of the FDA or comparable foreign regulatory authorities, and if an adverse safety issue, clinical hold or other adverse finding occurs in one of our clinical trials, such event could adversely affect clinical trials of our other product candidates;</w:t>
      </w:r>
    </w:p>
    <w:p>
      <w:pPr>
        <w:spacing w:after="0" w:line="167" w:lineRule="exact"/>
        <w:rPr>
          <w:rFonts w:ascii="Times New Roman" w:cs="Times New Roman" w:eastAsia="Times New Roman" w:hAnsi="Times New Roman"/>
          <w:sz w:val="17"/>
          <w:szCs w:val="17"/>
          <w:color w:val="auto"/>
        </w:rPr>
      </w:pPr>
    </w:p>
    <w:p>
      <w:pPr>
        <w:ind w:left="1100" w:right="279" w:hanging="388"/>
        <w:spacing w:after="0" w:line="282"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timing of and our ability to obtain and maintain regulatory, marketing and reimbursement approvals for our product candidates may not be realized;</w:t>
      </w:r>
    </w:p>
    <w:p>
      <w:pPr>
        <w:spacing w:after="0" w:line="161" w:lineRule="exact"/>
        <w:rPr>
          <w:rFonts w:ascii="Times New Roman" w:cs="Times New Roman" w:eastAsia="Times New Roman" w:hAnsi="Times New Roman"/>
          <w:sz w:val="18"/>
          <w:szCs w:val="18"/>
          <w:color w:val="auto"/>
        </w:rPr>
      </w:pPr>
    </w:p>
    <w:p>
      <w:pPr>
        <w:ind w:left="1100" w:right="259" w:hanging="388"/>
        <w:spacing w:after="0" w:line="282"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establish and maintain sufficiently broad protection of the intellectual property rights covering our product candidates and technology;</w:t>
      </w:r>
    </w:p>
    <w:p>
      <w:pPr>
        <w:spacing w:after="0" w:line="161" w:lineRule="exact"/>
        <w:rPr>
          <w:rFonts w:ascii="Times New Roman" w:cs="Times New Roman" w:eastAsia="Times New Roman" w:hAnsi="Times New Roman"/>
          <w:sz w:val="18"/>
          <w:szCs w:val="18"/>
          <w:color w:val="auto"/>
        </w:rPr>
      </w:pPr>
    </w:p>
    <w:p>
      <w:pPr>
        <w:ind w:left="1100" w:right="79" w:hanging="388"/>
        <w:spacing w:after="0" w:line="266"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 laws and regulations, and we may be unable to comply with healthcare laws and regulations in the United States and any applicable foreign countries, including, without limitation, those applying to the marketing and sale of pharmaceutical products;</w:t>
      </w:r>
    </w:p>
    <w:p>
      <w:pPr>
        <w:spacing w:after="0" w:line="175" w:lineRule="exact"/>
        <w:rPr>
          <w:rFonts w:ascii="Times New Roman" w:cs="Times New Roman" w:eastAsia="Times New Roman" w:hAnsi="Times New Roman"/>
          <w:sz w:val="18"/>
          <w:szCs w:val="18"/>
          <w:color w:val="auto"/>
        </w:rPr>
      </w:pPr>
    </w:p>
    <w:p>
      <w:pPr>
        <w:ind w:left="1100" w:right="299" w:hanging="388"/>
        <w:spacing w:after="0" w:line="282"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identify and develop additional product candidates and technologies with significant commercial potential;</w:t>
      </w:r>
    </w:p>
    <w:p>
      <w:pPr>
        <w:spacing w:after="0" w:line="161" w:lineRule="exact"/>
        <w:rPr>
          <w:rFonts w:ascii="Times New Roman" w:cs="Times New Roman" w:eastAsia="Times New Roman" w:hAnsi="Times New Roman"/>
          <w:sz w:val="18"/>
          <w:szCs w:val="18"/>
          <w:color w:val="auto"/>
        </w:rPr>
      </w:pPr>
    </w:p>
    <w:p>
      <w:pPr>
        <w:ind w:left="1100" w:hanging="388"/>
        <w:spacing w:after="0"/>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integrate, manage and retain qualified personnel or key employees</w:t>
      </w:r>
    </w:p>
    <w:p>
      <w:pPr>
        <w:spacing w:after="0" w:line="225" w:lineRule="exact"/>
        <w:rPr>
          <w:rFonts w:ascii="Times New Roman" w:cs="Times New Roman" w:eastAsia="Times New Roman" w:hAnsi="Times New Roman"/>
          <w:sz w:val="18"/>
          <w:szCs w:val="18"/>
          <w:color w:val="auto"/>
        </w:rPr>
      </w:pPr>
    </w:p>
    <w:p>
      <w:pPr>
        <w:ind w:left="1100" w:right="179" w:hanging="388"/>
        <w:spacing w:after="0" w:line="282"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depend on third parties for a portion of our operations, and we may not be able to control their work as effectively as if we performed these functions ourselves;</w:t>
      </w:r>
    </w:p>
    <w:p>
      <w:pPr>
        <w:spacing w:after="0" w:line="161" w:lineRule="exact"/>
        <w:rPr>
          <w:rFonts w:ascii="Times New Roman" w:cs="Times New Roman" w:eastAsia="Times New Roman" w:hAnsi="Times New Roman"/>
          <w:sz w:val="18"/>
          <w:szCs w:val="18"/>
          <w:color w:val="auto"/>
        </w:rPr>
      </w:pPr>
    </w:p>
    <w:p>
      <w:pPr>
        <w:ind w:left="1100" w:right="179" w:hanging="388"/>
        <w:spacing w:after="0" w:line="266"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funding to finance our operations, complete the development and commercialization of our product and product candidates, and evaluate future product candidates, programs or other operations;</w:t>
      </w:r>
    </w:p>
    <w:p>
      <w:pPr>
        <w:spacing w:after="0" w:line="175" w:lineRule="exact"/>
        <w:rPr>
          <w:rFonts w:ascii="Times New Roman" w:cs="Times New Roman" w:eastAsia="Times New Roman" w:hAnsi="Times New Roman"/>
          <w:sz w:val="18"/>
          <w:szCs w:val="18"/>
          <w:color w:val="auto"/>
        </w:rPr>
      </w:pPr>
    </w:p>
    <w:p>
      <w:pPr>
        <w:ind w:left="1100" w:right="659" w:hanging="388"/>
        <w:spacing w:after="0" w:line="282"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price and other factors that are beyond our control may impact our ability to raise additional capital on favorable terms or at all;</w:t>
      </w:r>
    </w:p>
    <w:p>
      <w:pPr>
        <w:spacing w:after="0" w:line="161" w:lineRule="exact"/>
        <w:rPr>
          <w:rFonts w:ascii="Times New Roman" w:cs="Times New Roman" w:eastAsia="Times New Roman" w:hAnsi="Times New Roman"/>
          <w:sz w:val="18"/>
          <w:szCs w:val="18"/>
          <w:color w:val="auto"/>
        </w:rPr>
      </w:pPr>
    </w:p>
    <w:p>
      <w:pPr>
        <w:ind w:left="1100" w:right="179" w:hanging="388"/>
        <w:spacing w:after="0" w:line="266"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in an environment of rapid technological and scientific change, and there is a possibility that our competitors may achieve regulatory approval before us or develop therapies that are safer or more effective than ours;</w:t>
      </w:r>
    </w:p>
    <w:p>
      <w:pPr>
        <w:spacing w:after="0" w:line="175" w:lineRule="exact"/>
        <w:rPr>
          <w:rFonts w:ascii="Times New Roman" w:cs="Times New Roman" w:eastAsia="Times New Roman" w:hAnsi="Times New Roman"/>
          <w:sz w:val="18"/>
          <w:szCs w:val="18"/>
          <w:color w:val="auto"/>
        </w:rPr>
      </w:pPr>
    </w:p>
    <w:p>
      <w:pPr>
        <w:ind w:left="1100" w:right="439" w:hanging="388"/>
        <w:spacing w:after="0" w:line="266"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financial condition and results of operations have been and may in the future be adversely affected by health crises, macroeconomic conditions, uncertain global financial markets, supply-chain disruptions, and by geopolitical events;</w:t>
      </w:r>
    </w:p>
    <w:p>
      <w:pPr>
        <w:spacing w:after="0" w:line="175" w:lineRule="exact"/>
        <w:rPr>
          <w:rFonts w:ascii="Times New Roman" w:cs="Times New Roman" w:eastAsia="Times New Roman" w:hAnsi="Times New Roman"/>
          <w:sz w:val="18"/>
          <w:szCs w:val="18"/>
          <w:color w:val="auto"/>
        </w:rPr>
      </w:pPr>
    </w:p>
    <w:p>
      <w:pPr>
        <w:ind w:left="1100" w:right="179" w:hanging="388"/>
        <w:spacing w:after="0" w:line="266"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our business realignment strategy may not be realized, we may incur additional costs implementing it or other difficulties, and we may be unable to successfully run and manage the business effectively and efficiently;</w:t>
      </w:r>
    </w:p>
    <w:p>
      <w:pPr>
        <w:spacing w:after="0" w:line="175" w:lineRule="exact"/>
        <w:rPr>
          <w:rFonts w:ascii="Times New Roman" w:cs="Times New Roman" w:eastAsia="Times New Roman" w:hAnsi="Times New Roman"/>
          <w:sz w:val="18"/>
          <w:szCs w:val="18"/>
          <w:color w:val="auto"/>
        </w:rPr>
      </w:pPr>
    </w:p>
    <w:p>
      <w:pPr>
        <w:ind w:left="1100" w:right="199" w:hanging="388"/>
        <w:spacing w:after="0" w:line="266"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our financial performance, including our estimates regarding revenues, expenses, cash flow and capital expenditure requirements, may not be realized, and our estimates regarding how long our cash resources are expected to last, may be inaccurate; and</w:t>
      </w:r>
    </w:p>
    <w:p>
      <w:pPr>
        <w:spacing w:after="0" w:line="175" w:lineRule="exact"/>
        <w:rPr>
          <w:rFonts w:ascii="Times New Roman" w:cs="Times New Roman" w:eastAsia="Times New Roman" w:hAnsi="Times New Roman"/>
          <w:sz w:val="18"/>
          <w:szCs w:val="18"/>
          <w:color w:val="auto"/>
        </w:rPr>
      </w:pPr>
    </w:p>
    <w:p>
      <w:pPr>
        <w:ind w:left="1100" w:right="79" w:hanging="388"/>
        <w:spacing w:after="0" w:line="261"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to which we are a party could result in substantial damage or other adverse consequences to our business and may divert management’s time and attention from our business. Any litigation, including product liability claims, that is successful against us may result in the incurrence of substantial liability if our insurance is inadequate.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left="60" w:right="179" w:firstLine="648"/>
        <w:spacing w:after="0" w:line="281" w:lineRule="auto"/>
        <w:rPr>
          <w:sz w:val="20"/>
          <w:szCs w:val="20"/>
          <w:color w:val="auto"/>
        </w:rPr>
      </w:pPr>
      <w:r>
        <w:rPr>
          <w:rFonts w:ascii="Times New Roman" w:cs="Times New Roman" w:eastAsia="Times New Roman" w:hAnsi="Times New Roman"/>
          <w:sz w:val="17"/>
          <w:szCs w:val="17"/>
          <w:color w:val="auto"/>
        </w:rPr>
        <w:t>We are a commercial-stage biopharmaceutical company focused on the development and commercialization of novel radioimmunotherapy and antibody-based therapeutic products for the treatment of cancer. We are leveraging our proprietary radioimmunotherapy and antibody platforms, and our deep expertise in radioimmunotherapy and antibodies to develop a broad portfolio of innovative medicines, largely in the space of pre-targeted radio-isotope labeled therapeutics.</w:t>
      </w:r>
    </w:p>
    <w:p>
      <w:pPr>
        <w:spacing w:after="0" w:line="164"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Our mission is to become a global leader in developing better and safer radioimmunotherapy and antibody-based oncology therapies addressing clear unmet medical needs and, as such, have a transformational impact on the lives of patients. We intend to advance and expand our pipeline of therapeutic and diagnostic candidates into select adult and pediatric cancer indications either independently or in collaboration with potential partners.</w:t>
      </w:r>
    </w:p>
    <w:p>
      <w:pPr>
        <w:spacing w:after="0" w:line="180"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Our only approved drug DANYELZA (naxitamab gqgk) received accelerated approval by the U.S. Food and Drug Administration, or the FDA, in November 2020 for the treatment, in combination with Granulocyte Macrophage Colony Stimulating Factor, or GM-CSF, of pediatric patients one year of age and older and adult patients with relapsed or refractory, or R/R, high risk neuroblastoma, or HR NB, in the bone or bone marrow who have demonstrated a partial response, minor response, or stable disease to prior therapy. We are commercializing DANYELZA in the United States and began shipping in February 2021. In October 2024, we were granted a three-year extension of the U.S. patent covering DANYELZA with protection through February 2034.</w:t>
      </w:r>
    </w:p>
    <w:p>
      <w:pPr>
        <w:spacing w:after="0" w:line="18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DANYELZA in combination with GM-CSF has been evaluated in a Phase 2 clinical study in front-line high-risk neuroblastoma, or HR NB, for patients in the first complete remission, including those that did not undergo autologous stem cell transplant. DANYELZA plus GM-CSF in combination with chemoimmunotherapy (irinotecan + temozolamide) was also evaluated and shown to be effective in patients with refractory or multiple relapsed HR NB disease. DANYELZA is currently being evaluated in an ongoing pivotal-stage multicenter trial (Study 201), which is designed to satisfy the accelerated approval confirmatory study and post-marketing requirements of the FDA.</w:t>
      </w:r>
    </w:p>
    <w:p>
      <w:pPr>
        <w:spacing w:after="0" w:line="187"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On November 24, 2024 MSK published an abstract at Connective Tissue Oncology Society using DANYELZA Anti-Gd2 Antibody in an ISS multi-center osteosarcoma trial (Study 15-096). Per the results of this trial, the data missed the established end point of 12-month event free survival, or EFS, of 40%. The underlying EFS response rates were as follows:</w:t>
      </w:r>
    </w:p>
    <w:p>
      <w:pPr>
        <w:spacing w:after="0" w:line="180" w:lineRule="exact"/>
        <w:rPr>
          <w:sz w:val="20"/>
          <w:szCs w:val="20"/>
          <w:color w:val="auto"/>
        </w:rPr>
      </w:pPr>
    </w:p>
    <w:p>
      <w:pPr>
        <w:ind w:left="1380" w:hanging="331"/>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population 14 out of 39 patients – 12-month EFS: 36%</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2nd Complete Response, or CR: 37%</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3rd CR: 33%</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Looking into further association between 12-month EFS and GD2 expression</w:t>
      </w:r>
    </w:p>
    <w:p>
      <w:pPr>
        <w:spacing w:after="0" w:line="225" w:lineRule="exact"/>
        <w:rPr>
          <w:sz w:val="20"/>
          <w:szCs w:val="20"/>
          <w:color w:val="auto"/>
        </w:rPr>
      </w:pPr>
    </w:p>
    <w:p>
      <w:pPr>
        <w:ind w:left="1380" w:hanging="331"/>
        <w:spacing w:after="0"/>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of 16 GD2 positive patients (31%) were event free at 12 months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of 8 GD2 positive patients (50%) with 4+ staining intensity were event free at 12 months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believe that this data shows DANYELZA’s potential to serve a high unmet need within osteosarcoma where survival rates have shown little or no improvement in decades. With the current standard of care, 12-months EFS is typically approximately 20% (as reported in various published reports). We also believe that the data supporting the use of DANYELZA for targeting GD2 is very compelling and worth further development. We are considering the advancement of a diagnostic tool for GD2, which could prove to be a valuable tool for a potential pivotal trial in this or other GD2 related indications.</w:t>
      </w:r>
    </w:p>
    <w:p>
      <w:pPr>
        <w:spacing w:after="0" w:line="18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Our partner, the Beat Childhood Cancer Research Consortium, or BCC, is leading a multi-center Phase 2 trial evaluating naxitamab in combination with standard induction therapy for patients with newly diagnosed HR NB. Twenty-two sites are active with additional sites pending, 12 patients have been treated with recruitment ongoing. An amended protocol transitioning to a comparison with an external control is currently in process and being evaluated. We expect the trial to transition from a single-arm trial, to a comparative trial with an external control arm that reflects current standard of care for induction therapy with comparable patient population that is carefully selected and propensity score matched. The trial aim is to demonstrate superiority in complete response at the end of induction therapy in the naxitamab arm versus the standard of care.</w:t>
      </w:r>
    </w:p>
    <w:p>
      <w:pPr>
        <w:spacing w:after="0" w:line="192"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BCC is also conducting a Phase 2, non-randomized, trial evaluating naxitamab in combination with tipifarnib (farnesyltransferase inhibitor) in patients with relapsed/refractory HR NB. The study was initiated in December 2024, has one currently active site, but is expected to be multi-center with a target enrollment of 98 patients by 2030. The trial is utilizing commercial supply of naxitamab.</w:t>
      </w:r>
    </w:p>
    <w:p>
      <w:pPr>
        <w:spacing w:after="0" w:line="180" w:lineRule="exact"/>
        <w:rPr>
          <w:sz w:val="20"/>
          <w:szCs w:val="20"/>
          <w:color w:val="auto"/>
        </w:rPr>
      </w:pPr>
    </w:p>
    <w:p>
      <w:pPr>
        <w:ind w:left="60" w:right="219" w:firstLine="648"/>
        <w:spacing w:after="0" w:line="277" w:lineRule="auto"/>
        <w:rPr>
          <w:sz w:val="20"/>
          <w:szCs w:val="20"/>
          <w:color w:val="auto"/>
        </w:rPr>
      </w:pPr>
      <w:r>
        <w:rPr>
          <w:rFonts w:ascii="Times New Roman" w:cs="Times New Roman" w:eastAsia="Times New Roman" w:hAnsi="Times New Roman"/>
          <w:sz w:val="17"/>
          <w:szCs w:val="17"/>
          <w:color w:val="auto"/>
        </w:rPr>
        <w:t>In advanced breast cancer, we are partnering with the Ohio State University on a Phase 1b/2 trial investigating TGFβ natural killer, or NK cells, gemcitabine plus naxitamab in patients with GD2-positive, HER2-negative metastatic breast cancer. The recruiting for patients was initiated in the third quarter of 2024. Evaluation of dose-limiting toxicities with the combination of gemcitabine and NK cells, and the persistence of NK cells in the blood, will be followed by the addition of naxitamab. Upon the outcome of this trial, we may consider moving forward with a multi-center Phase 2 trial.</w:t>
      </w:r>
    </w:p>
    <w:p>
      <w:pPr>
        <w:spacing w:after="0" w:line="168"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In patients with GD2-positive refractory Ewing sarcoma, the Institute of Mother and Child in Poland is leading a randomized Phase 2 trial evaluating the efficacy and safety of naxitamab. This trial was initiated during the fourth quarter of 2023. Three patients have been treated in the naxitamab arm and recruitment is ongoing as of December 31, 2024. A total of 16 patients are expected in the naxitamab arm. The trial is expected to be completed in 2028.</w:t>
      </w:r>
    </w:p>
    <w:p>
      <w:pPr>
        <w:spacing w:after="0" w:line="18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In addition, we are in discussions with the MD Anderson Cancer Center to initiate a multi-center Phase 1/2 study with a Phase 1 run-in, that seeks to test the hypothesis that the addition of naxitamab to current standard of care will increase the objective response rate in patients with metastatic Triple Negative Breast Cancer who have received at least one prior line of systemic therapy for metastatic disease. The study, which is anticipated to start in the first quarter of 2026, is anticipated to further inform us on a future Phase 2 program in Triple Negative Breast Cancer.</w:t>
      </w:r>
    </w:p>
    <w:p>
      <w:pPr>
        <w:spacing w:after="0" w:line="183"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We are using our proprietary SADA PRIT technology platform to advance a series of antibody constructs, using a two-step pre-targeting approach. The antibody fragments bind to the tumor before a radioactive payload is subsequently injected. The aim is specifically to deliver the radioactive payload to the tumor while minimizing exposure to normal tissue as indicated in non-clinical studies.</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GD2-SADA for potential use in GD2-positive solid tumors is our first SADA PRIT construct, and we had our first clinical patient dosed in April 2023 in our Phase 1, dose-escalation, single-arm, open-label, non-randomized, multicenter trial for the treatment of certain solid tumor cancers, including small cell lung cancer, sarcoma, malignant melanoma and adult neuroblastoma. The latest patient cohort, cohort 6, started to dose patients in the fourth quarter of 2024, and has expanded to include patients with HR NB (above 16 years of age). We continue to maintain the seven active treatment sites we had in place as of December 31, 2024. Patients dosed with the GD2-SADA protein have not experienced dose limiting toxicities or treatment related serious adverse events. Based on the SPECT/CT scans performed, we believe that we have demonstrated proof of concept for GD2-SADA by demonstrating that the GD2-SADA molecules can find and bind to tumors and that the radionuclide targets the SADA molecules. We have completed cohorts 1 to 5, using a radioactive payload up to 200 mCi and a two to five days interval between the SADA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protein and the payload. The initial blood pharmacokinetic (“PK”) profile of the construct in these patients dosed with the 0.3 mg/kg, 1 mg/kg and 3 mg/kg of protein appears to match our pre-clinical models in terms of clearance data, and the blood PK profiles from patients are comparable and supportive of the current dose interval of two to five days. Further, we plan to submit an IND to the FDA for a Phase 1 multicenter study of GD2-SADA for the potential treatment of pediatric neuroblastoma in the first half of 2025, pending results from the 1001 study Part A.</w:t>
      </w:r>
    </w:p>
    <w:p>
      <w:pPr>
        <w:spacing w:after="0" w:line="183"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are currently enrolling and evaluating patients for our CD38-SADA construct for the treatment of patients with relapsed or refractory Non-Hodgkin Lymphoma, or NHL. We believe the SADA PRIT technology could potentially improve the efficacy of immunological therapeutics, e.g., naked monoclonal antibodies, in tumors that have not historically demonstrated meaningful responses to immunological agents.</w:t>
      </w:r>
    </w:p>
    <w:p>
      <w:pPr>
        <w:spacing w:after="0" w:line="180" w:lineRule="exact"/>
        <w:rPr>
          <w:sz w:val="20"/>
          <w:szCs w:val="20"/>
          <w:color w:val="auto"/>
        </w:rPr>
      </w:pPr>
    </w:p>
    <w:p>
      <w:pPr>
        <w:ind w:left="60" w:right="219" w:firstLine="648"/>
        <w:spacing w:after="0" w:line="236" w:lineRule="auto"/>
        <w:rPr>
          <w:sz w:val="20"/>
          <w:szCs w:val="20"/>
          <w:color w:val="auto"/>
        </w:rPr>
      </w:pPr>
      <w:r>
        <w:rPr>
          <w:rFonts w:ascii="Times New Roman" w:cs="Times New Roman" w:eastAsia="Times New Roman" w:hAnsi="Times New Roman"/>
          <w:sz w:val="18"/>
          <w:szCs w:val="18"/>
          <w:color w:val="auto"/>
        </w:rPr>
        <w:t xml:space="preserve">In January 2023, following receipt of a complete response letter in November 2022 from the FDA for our Biologics License Application, or BLA, for radiolabeled </w:t>
      </w:r>
      <w:r>
        <w:rPr>
          <w:rFonts w:ascii="Times New Roman" w:cs="Times New Roman" w:eastAsia="Times New Roman" w:hAnsi="Times New Roman"/>
          <w:sz w:val="26"/>
          <w:szCs w:val="26"/>
          <w:color w:val="auto"/>
          <w:vertAlign w:val="superscript"/>
        </w:rPr>
        <w:t>131</w:t>
      </w:r>
      <w:r>
        <w:rPr>
          <w:rFonts w:ascii="Times New Roman" w:cs="Times New Roman" w:eastAsia="Times New Roman" w:hAnsi="Times New Roman"/>
          <w:sz w:val="18"/>
          <w:szCs w:val="18"/>
          <w:color w:val="auto"/>
        </w:rPr>
        <w:t>I-omburtamab for central nervous system leptomeningeal metastases, or CNS-LM, we deprioritized our radiolabeled omburtamab development program for CNS-LM, which was ultimately stopped in November 2024 in connection with an amendment to our license agreement with MSK. In addition, we have also deprioritized other pipeline programs, including activities relating to the GD2-GD3 Vaccine and CD33 bispecific antibody constructs by delaying trial initiation and overall timelines as part of the restructuring plan.</w:t>
      </w:r>
    </w:p>
    <w:p>
      <w:pPr>
        <w:spacing w:after="0" w:line="20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January 2025, we announced a business realignment plan designed to optimize our operations by aligning dedicated internal resources to two business units, with the goal of increasing operational flexibility and speed, and accelerating clinical development within our radiopharmaceutical platform. Pursuant to the plan, the Company now has two business units, one that is focused on expanding market access to DANYELZA and progressing the clinical and commercial development of naxitamab in other indications and for potential label expansion, and another that is focused on progressing the radiopharmaceutical platform, including the SADA PRIT technology platform and our early-stage pipeline, with a shared general administrative function. In connection with this business realignment, the Company expects a reduction in its current workforce by up to approximately 13% which we expect will be completed in late 2025.</w:t>
      </w:r>
    </w:p>
    <w:p>
      <w:pPr>
        <w:spacing w:after="0" w:line="192"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As summarized in the graphic below, we are advancing development of a focused clinical pipeline of novel radioimmunotherapy and antibody-based therapeutic candidates aimed at improving the lives of patients afflicted with a variety of cancers: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123190</wp:posOffset>
            </wp:positionV>
            <wp:extent cx="5554980" cy="19970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54980" cy="19970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2326640</wp:posOffset>
            </wp:positionV>
            <wp:extent cx="14141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00" w:right="79" w:hanging="250"/>
        <w:spacing w:after="0" w:line="227" w:lineRule="auto"/>
        <w:tabs>
          <w:tab w:leader="none" w:pos="3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DANYELZA received accelerated approval from the FDA in November 2020. Pivotal registration studies supporting the BLA submission, comprised of Study 12-230 measuring pharmacokinetic, toxicity and efficacy and an additional pivotal multicenter Phase 2 study, Study 201, designed to prove comparability between study sites using a current good manufacturing practices, or cGMP, commercial manufacturer. Study 201 has also been designed to satisfy the confirmatory study and post-marketing requirements set by the FDA.</w:t>
      </w:r>
    </w:p>
    <w:p>
      <w:pPr>
        <w:ind w:left="300" w:hanging="250"/>
        <w:spacing w:after="0"/>
        <w:tabs>
          <w:tab w:leader="none" w:pos="3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Initial study represents pediatric and young adult patients with ages ranging from 1 to 40 years.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 of Active INDs</w:t>
      </w:r>
    </w:p>
    <w:p>
      <w:pPr>
        <w:spacing w:after="0" w:line="270"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our product candidates, date of the initial submission of the IND to the FDA, as well as the current sponsor, the subject matter and the status of each such IND.</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Subject Matter</w:t>
            </w:r>
          </w:p>
        </w:tc>
        <w:tc>
          <w:tcPr>
            <w:tcW w:w="2160" w:type="dxa"/>
            <w:vAlign w:val="bottom"/>
          </w:tcPr>
          <w:p>
            <w:pPr>
              <w:spacing w:after="0"/>
              <w:rPr>
                <w:sz w:val="16"/>
                <w:szCs w:val="16"/>
                <w:color w:val="auto"/>
              </w:rPr>
            </w:pPr>
          </w:p>
        </w:tc>
      </w:tr>
      <w:tr>
        <w:trPr>
          <w:trHeight w:val="247"/>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Product Candidate</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Initial Submission</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Sponsor</w:t>
            </w:r>
          </w:p>
        </w:tc>
        <w:tc>
          <w:tcPr>
            <w:tcW w:w="200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of IND</w:t>
            </w:r>
          </w:p>
        </w:tc>
        <w:tc>
          <w:tcPr>
            <w:tcW w:w="216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Current Status</w:t>
            </w:r>
          </w:p>
        </w:tc>
      </w:tr>
      <w:tr>
        <w:trPr>
          <w:trHeight w:val="189"/>
        </w:trPr>
        <w:tc>
          <w:tcPr>
            <w:tcW w:w="1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DANYELZA</w:t>
            </w:r>
          </w:p>
        </w:tc>
        <w:tc>
          <w:tcPr>
            <w:tcW w:w="2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14, 2011</w:t>
            </w:r>
          </w:p>
        </w:tc>
        <w:tc>
          <w:tcPr>
            <w:tcW w:w="2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MSK</w:t>
            </w:r>
          </w:p>
        </w:tc>
        <w:tc>
          <w:tcPr>
            <w:tcW w:w="18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NB and other GD2-positive</w:t>
            </w:r>
          </w:p>
        </w:tc>
        <w:tc>
          <w:tcPr>
            <w:tcW w:w="18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Clinical trials completed</w:t>
            </w:r>
          </w:p>
        </w:tc>
      </w:tr>
      <w:tr>
        <w:trPr>
          <w:trHeight w:val="216"/>
        </w:trPr>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tumors</w:t>
            </w:r>
          </w:p>
        </w:tc>
        <w:tc>
          <w:tcPr>
            <w:tcW w:w="2160" w:type="dxa"/>
            <w:vAlign w:val="bottom"/>
            <w:shd w:val="clear" w:color="auto" w:fill="CCEEFF"/>
          </w:tcPr>
          <w:p>
            <w:pPr>
              <w:spacing w:after="0"/>
              <w:rPr>
                <w:sz w:val="18"/>
                <w:szCs w:val="18"/>
                <w:color w:val="auto"/>
              </w:rPr>
            </w:pPr>
          </w:p>
        </w:tc>
      </w:tr>
      <w:tr>
        <w:trPr>
          <w:trHeight w:val="203"/>
        </w:trPr>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DANYELZA</w:t>
            </w: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5, 2017</w:t>
            </w:r>
          </w:p>
        </w:tc>
        <w:tc>
          <w:tcPr>
            <w:tcW w:w="122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6"/>
                <w:szCs w:val="16"/>
                <w:color w:val="auto"/>
              </w:rPr>
              <w:t>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mAbs</w:t>
            </w: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Pediatric NB</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Clinical trials ongoing</w:t>
            </w:r>
          </w:p>
        </w:tc>
      </w:tr>
      <w:tr>
        <w:trPr>
          <w:trHeight w:val="203"/>
        </w:trPr>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DANYELZA</w:t>
            </w: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August 31, 2022</w:t>
            </w: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BCC</w:t>
            </w: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Pediatric NB</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Clinical trials ongoing</w:t>
            </w:r>
          </w:p>
        </w:tc>
      </w:tr>
      <w:tr>
        <w:trPr>
          <w:trHeight w:val="203"/>
        </w:trPr>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189"/>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DANYELZA</w:t>
            </w: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16, 2024</w:t>
            </w: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Ohio State</w:t>
            </w: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Breast Cancer</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Clinical trials ongoing</w:t>
            </w:r>
          </w:p>
        </w:tc>
      </w:tr>
      <w:tr>
        <w:trPr>
          <w:trHeight w:val="203"/>
        </w:trPr>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University</w:t>
            </w:r>
          </w:p>
        </w:tc>
        <w:tc>
          <w:tcPr>
            <w:tcW w:w="1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r>
      <w:tr>
        <w:trPr>
          <w:trHeight w:val="210"/>
        </w:trPr>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(OSU)</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08"/>
        </w:trPr>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03"/>
        </w:trPr>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189"/>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DANYELZA</w:t>
            </w: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28, 2023</w:t>
            </w: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Institute of</w:t>
            </w: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Ewing Sarcoma</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Clinical trials ongoing</w:t>
            </w:r>
          </w:p>
        </w:tc>
      </w:tr>
      <w:tr>
        <w:trPr>
          <w:trHeight w:val="203"/>
        </w:trPr>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Mother and</w:t>
            </w:r>
          </w:p>
        </w:tc>
        <w:tc>
          <w:tcPr>
            <w:tcW w:w="1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r>
      <w:tr>
        <w:trPr>
          <w:trHeight w:val="216"/>
        </w:trPr>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Child</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03"/>
        </w:trPr>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GD2-SADA</w:t>
            </w: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30, 2021</w:t>
            </w: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Y-mAbs</w:t>
            </w: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GD2-positive tumors solid</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Clinical trial ongoing</w:t>
            </w:r>
          </w:p>
        </w:tc>
      </w:tr>
      <w:tr>
        <w:trPr>
          <w:trHeight w:val="203"/>
        </w:trPr>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189"/>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CD38-SADA</w:t>
            </w: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15, 2023</w:t>
            </w: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Y-mAbs</w:t>
            </w: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Non-Hodgkin’s lymphoma</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Clinical trial ongoing</w:t>
            </w:r>
          </w:p>
        </w:tc>
      </w:tr>
      <w:tr>
        <w:trPr>
          <w:trHeight w:val="216"/>
        </w:trPr>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(NHL)</w:t>
            </w:r>
          </w:p>
        </w:tc>
        <w:tc>
          <w:tcPr>
            <w:tcW w:w="2160" w:type="dxa"/>
            <w:vAlign w:val="bottom"/>
            <w:shd w:val="clear" w:color="auto" w:fill="CCEEFF"/>
          </w:tcPr>
          <w:p>
            <w:pPr>
              <w:spacing w:after="0"/>
              <w:rPr>
                <w:sz w:val="18"/>
                <w:szCs w:val="18"/>
                <w:color w:val="auto"/>
              </w:rPr>
            </w:pPr>
          </w:p>
        </w:tc>
      </w:tr>
    </w:tbl>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MSK License Agreements</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have exclusive rights to MSK’s rights in all our current product candidates under our 2015 license agreement (as amended), or the MSK License Agreement, with MSK. The MSK License Agreement also provides us with non-exclusive access to technology that involves the creation of a novel human protein tag that can potentially dimerize, or link together, bispecific T-cell engagers, or BiTEs, which we refer to as the MULTI-TAG technology. We believe that our strong relationship with MSK, one of the world’s leading cancer treatment centers, and our access to certain of MSK’s technologies and substantial research capabilities affords us several competitive advantages. In addition, under a separate SADA License Agreement with MSK and MIT we have exclusive, worldwide, sublicensable license to certain patent and intellectual property rights developed by MSK and MIT to develop, make, and commercialize licensed products and to perform services for all therapeutic and diagnostic uses in the field of cancer diagnostics and cancer treatments using the SADA PRIT technology. For additional information on these agreements, see the section “</w:t>
      </w:r>
      <w:r>
        <w:rPr>
          <w:rFonts w:ascii="Times New Roman" w:cs="Times New Roman" w:eastAsia="Times New Roman" w:hAnsi="Times New Roman"/>
          <w:sz w:val="18"/>
          <w:szCs w:val="18"/>
          <w:i w:val="1"/>
          <w:iCs w:val="1"/>
          <w:color w:val="auto"/>
        </w:rPr>
        <w:t>Business—Intellectual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—MSK Agreements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Material Funding Activities</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Since our inception in April 2015, we have raised approximately $488.8 million through private placements of our securities, our initial public offering in September 2018 and our public offerings in November 2019 and February 2021. As of December 31, 2024, we had cash and cash equivalents of $67.2 million.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Our mission is to become a global leader in developing better and safer radioimmunotherapy and antibody-based oncology therapies addressing clear unmet medical needs and, as such, have a transformational impact on the lives of patients. We intend to advance and expand our pipeline of therapeutic and diagnostic candidates into select adult and pediatric cancer indications either independently or in collaboration with potential partners.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Key elements of our strategy to achieve this goal are:</w:t>
      </w:r>
    </w:p>
    <w:p>
      <w:pPr>
        <w:spacing w:after="0" w:line="221" w:lineRule="exact"/>
        <w:rPr>
          <w:sz w:val="20"/>
          <w:szCs w:val="20"/>
          <w:color w:val="auto"/>
        </w:rPr>
      </w:pPr>
    </w:p>
    <w:p>
      <w:pPr>
        <w:ind w:left="1040" w:right="99" w:hanging="315"/>
        <w:spacing w:after="0" w:line="253"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Independently commercialize DANYELZA in indications and territories where we believe we can maximize value. </w:t>
      </w:r>
      <w:r>
        <w:rPr>
          <w:rFonts w:ascii="Times New Roman" w:cs="Times New Roman" w:eastAsia="Times New Roman" w:hAnsi="Times New Roman"/>
          <w:sz w:val="18"/>
          <w:szCs w:val="18"/>
          <w:color w:val="auto"/>
        </w:rPr>
        <w:t>On November 25, 2020, DANYELZA received accelerated approval by the FDA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expedited regulatory pathway and priority review under the BTD granted in 2018. We initiated commercialization of DANYELZA in the United States following the FDA approval. In the United States, we commercialize DANYELZA independently focusing on already-identified key treatment centers, as well as educating doctors, patients and payors about DANYELZA and its current and potential future indications to drive acceptance and uptake. We believe that we will need to engage a small number of physician specialists for training regarding the appropriate administration and use of DANYELZA. The sales call points for DANYELZA in the United States are highly concentrated and generally addressable by a small commercial organization, which we believe allows us to cost-effectively maintain our own commercial capability. Finally, we have already, and we intend to further form in the future commercial and development collaborations in territories that we believe may be better served by the resources of local specialists or larger biopharmaceutical companies.</w:t>
      </w:r>
    </w:p>
    <w:p>
      <w:pPr>
        <w:spacing w:after="0" w:line="187" w:lineRule="exact"/>
        <w:rPr>
          <w:rFonts w:ascii="Times New Roman" w:cs="Times New Roman" w:eastAsia="Times New Roman" w:hAnsi="Times New Roman"/>
          <w:sz w:val="18"/>
          <w:szCs w:val="18"/>
          <w:color w:val="auto"/>
        </w:rPr>
      </w:pPr>
    </w:p>
    <w:p>
      <w:pPr>
        <w:ind w:left="1040" w:right="159" w:hanging="315"/>
        <w:spacing w:after="0" w:line="256"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 the indications and target patient populations for our existing product candidates. </w:t>
      </w:r>
      <w:r>
        <w:rPr>
          <w:rFonts w:ascii="Times New Roman" w:cs="Times New Roman" w:eastAsia="Times New Roman" w:hAnsi="Times New Roman"/>
          <w:sz w:val="18"/>
          <w:szCs w:val="18"/>
          <w:color w:val="auto"/>
        </w:rPr>
        <w:t>Our goal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maximize the potential of our existing product candidates in areas where there is a significant unmet medical need by exploring additional indications, as well as expanding the target population within existing indications. For example, we are developing DANYELZA for the potential treatment of front-line and third-line NB and relapsed osteosarcoma and we intend to discuss our BLA strategy in these indications with the FDA. We believe that we may qualify for a supplemental BLA, or sBLA, in each of these indications assuming positive pivotal data.</w:t>
      </w:r>
    </w:p>
    <w:p>
      <w:pPr>
        <w:spacing w:after="0" w:line="182" w:lineRule="exact"/>
        <w:rPr>
          <w:rFonts w:ascii="Times New Roman" w:cs="Times New Roman" w:eastAsia="Times New Roman" w:hAnsi="Times New Roman"/>
          <w:sz w:val="18"/>
          <w:szCs w:val="18"/>
          <w:color w:val="auto"/>
        </w:rPr>
      </w:pPr>
    </w:p>
    <w:p>
      <w:pPr>
        <w:ind w:left="1040" w:right="459" w:hanging="315"/>
        <w:spacing w:after="0" w:line="259"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our novel SADA PRIT technology platform focusing on targets that we believe may offer potential substantial benefits over existing therapies. </w:t>
      </w:r>
      <w:r>
        <w:rPr>
          <w:rFonts w:ascii="Times New Roman" w:cs="Times New Roman" w:eastAsia="Times New Roman" w:hAnsi="Times New Roman"/>
          <w:sz w:val="18"/>
          <w:szCs w:val="18"/>
          <w:color w:val="auto"/>
        </w:rPr>
        <w:t>We are also advancing a series of SADA PRIT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constructs that we believe have the potential to allow for easy adaptation to different tumor targets and a variety of payloads. Our first two clinical trials are the GD2-SADA construct for the treatment of GD2-positive solid tumors and CD38-SADA for NHL.</w:t>
      </w:r>
    </w:p>
    <w:p>
      <w:pPr>
        <w:spacing w:after="0" w:line="179" w:lineRule="exact"/>
        <w:rPr>
          <w:rFonts w:ascii="Times New Roman" w:cs="Times New Roman" w:eastAsia="Times New Roman" w:hAnsi="Times New Roman"/>
          <w:sz w:val="18"/>
          <w:szCs w:val="18"/>
          <w:color w:val="auto"/>
        </w:rPr>
      </w:pPr>
    </w:p>
    <w:p>
      <w:pPr>
        <w:ind w:left="1040" w:right="99" w:hanging="315"/>
        <w:spacing w:after="0" w:line="253"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Leverage our relationships with leading academic and clinical institutions to develop additional product candidates. </w:t>
      </w:r>
      <w:r>
        <w:rPr>
          <w:rFonts w:ascii="Times New Roman" w:cs="Times New Roman" w:eastAsia="Times New Roman" w:hAnsi="Times New Roman"/>
          <w:sz w:val="18"/>
          <w:szCs w:val="18"/>
          <w:color w:val="auto"/>
        </w:rPr>
        <w:t>We intend to continue to partner with various leading cancer treatment centers, such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MSK and more recently, Children’s Oncology Group, or COG, for cancer treatments worldwide in various jurisdictions, to identify and develop additional product candidates. We believe that our relationship with the leading academic and clinical institutions, our access to several of their technologies and significant expertise in pediatric cancer care provides us with significant competitive advantages. For example, our Investigator Sponsored Master Clinical Trial Agreement, or the MCTA, with MSK provides us with ready access to patients for clinical trial enrollment, which is a significant advantage in rare disease drug development where patients are often hard to locate and recruit. We continue seeking collaboration opportunities with leading academic and clinical institutions in 2025 and future. We plan to leverage our strong relationship with leading academic and clinical institutions, and their expertise and research capabilities to augment our own capabilities in order to identify new product candidates for the treatment of cancers where there is a significant unmet medical need and no effective therapy currently available.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Current Approaches to the Treatment of Cancer</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Cancer Overview</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Cancer is a broad group of diseases in which cells divide and grow in an uncontrolled fashion, forming malignancies that can invade other parts of the body. Cancers can subsequently spread throughout the body by processes known as invasion and metastases. Cancer cells that arise in the lymphatic system and bone marrow, or BM, are referred to as hematological malignancies. Cancer cells that arise in other tissues or organs are referred to as solid tumors.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Cancer is a major public health problem in the United States and worldwide. The National Cancer Institute, or NCI, estimated that approximately 40.5% of all men and women in the United States will be diagnosed with some form of cancer during their lifetime (based on 2017-2019 data). An estimated 14,910 children and adolescents aged 0 to 19 will be diagnosed with cancer and 1,590 will die of the disease per NCI. According to the U.S. Centers for Disease Control, or CDC, cancer is currently the second leading cause of death in the United States and is expected to surpass heart disease as the leading cause of death in the next several years. Although progress has been made in the diagnosis and treatment of cancer, NCI estimates that approximately 2.0 million new cancer cases will be diagnosed in the United States and over 600,000 people will have died from cancer. Thus, there remains a significant need for novel and improved treatment options for cancer patients.</w:t>
      </w:r>
    </w:p>
    <w:p>
      <w:pPr>
        <w:spacing w:after="0" w:line="188"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Cancer treatment has traditionally included chemotherapy, hormone therapy, hyperthermia, immunotherapy, photodynamic therapy, radiation therapy, stem cell transplant, surgery, targeted therapy or a combination of these approaches. While small molecule chemotherapy agents and cytotoxic agents have demonstrated efficacy in treating certain types of cancers, they can also cause toxicities that may lead to life-threatening consequences, lower quality of life or untimely termination of treatment. Furthermore, these treatments are only partially effective in solid tumors, in part because the maximal achievable doses are limited by systemic toxicity, which consequently hinders the prospects of long-term remission in patients. Over the course of the last 20 years, cancer research and treatment has shifted to more targeted therapies, such as monoclonal antibodies, and to new fields, such as immuno-oncology, which is focused on enhancing antitumor immune responses.</w:t>
      </w:r>
    </w:p>
    <w:p>
      <w:pPr>
        <w:spacing w:after="0" w:line="188"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Advances in understanding the immune system’s role in treating cancer have established immunotherapy, or the practice of harnessing immune system functions to combat malignant cell growth, as an important treatment approach. Cancer immunotherapy began with treatments that nonspecifically activated the immune system and had limited efficacy and/or significant toxicity. In contrast, new immunotherapy treatments can activate specific, key immune cells, leading to improved targeting of cancer cells, efficacy, and safety.</w:t>
      </w:r>
    </w:p>
    <w:p>
      <w:pPr>
        <w:spacing w:after="0" w:line="183"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Cancer therapies are sometimes characterized as front-line, second-line, or third-line, and the FDA often approves new therapies initially only for third-line use. When cancer is detected early enough, front-line therapy is sometimes adequate to effectively treat the cancer or prolong life. Whenever front-line therapy, usually chemotherapy, radiation therapy, surgery, or a combination of these, proves unsuccessful, second-line therapy may be administered. Second-line therapies often consist of more chemotherapy, surgery, tumor-targeted therapies such as monoclonal antibodies and small molecules, or a combination of these. Third-line therapies can include bone marrow transplantation, antibody and small molecule targeted therapies, more invasive forms of surgery, and new technologies.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Immune System and Introduction to Antibodies</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immune system is often described as having two main branches—innate (non-specific) and adaptive (acquired) immunity. Together, they defend against invading pathogens such as viruses, parasites, and bacteria, and provide surveillance against cancers. The innate immune system is the initial response to an infection, and the response is the same every time regardless of prior exposure to the infectious agent. The adaptive immune system includes B-cells, which secrete antibodies and T-cells, which can be either helper T-cells, suppressor T-cells or cytotoxic T-cells.</w:t>
      </w:r>
    </w:p>
    <w:p>
      <w:pPr>
        <w:spacing w:after="0" w:line="183"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An antibody, also known as an IgG, is a large, Y-shaped protein produced mainly by plasma cells in response to foreign substances, such as viruses or cancer cells. Antibodies circulating in the bloodstream function by binding to the target or antigen they are generated to fight. The binding process involves a lock-and-key mechanism in which the paratope region of the antibody, analogous to a lock, binds to one particular epitope of a specific antigen, analogous to a key. This allows the antibody to bind to a specific antigen with precision, thereby attacking only its intended target.</w:t>
      </w:r>
    </w:p>
    <w:p>
      <w:pPr>
        <w:spacing w:after="0" w:line="183" w:lineRule="exact"/>
        <w:rPr>
          <w:sz w:val="20"/>
          <w:szCs w:val="20"/>
          <w:color w:val="auto"/>
        </w:rPr>
      </w:pPr>
    </w:p>
    <w:p>
      <w:pPr>
        <w:ind w:left="60" w:right="259" w:firstLine="648"/>
        <w:spacing w:after="0" w:line="276" w:lineRule="auto"/>
        <w:rPr>
          <w:sz w:val="20"/>
          <w:szCs w:val="20"/>
          <w:color w:val="auto"/>
        </w:rPr>
      </w:pPr>
      <w:r>
        <w:rPr>
          <w:rFonts w:ascii="Times New Roman" w:cs="Times New Roman" w:eastAsia="Times New Roman" w:hAnsi="Times New Roman"/>
          <w:sz w:val="17"/>
          <w:szCs w:val="17"/>
          <w:color w:val="auto"/>
        </w:rPr>
        <w:t>Different types of antibodies include: (i) Monoclonal Antibodies—laboratory-made antibodies typically derived from immune cells of mammals that have been immunized with a desired antigen and are all clones of a unique parent;</w:t>
      </w:r>
    </w:p>
    <w:p>
      <w:pPr>
        <w:spacing w:after="0" w:line="1" w:lineRule="exact"/>
        <w:rPr>
          <w:sz w:val="20"/>
          <w:szCs w:val="20"/>
          <w:color w:val="auto"/>
        </w:rPr>
      </w:pPr>
    </w:p>
    <w:p>
      <w:pPr>
        <w:ind w:left="60" w:right="519" w:hanging="10"/>
        <w:spacing w:after="0" w:line="273" w:lineRule="auto"/>
        <w:tabs>
          <w:tab w:leader="none" w:pos="32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Humanized/Chimeric Antibodies—antibodies with both mouse and human antibody proteins that are humanized (i.e., engineered to replace mouse components with more human components) to reduce the immune system response against antibodies identified as foreign (i.e., from a different species) in nature; (iii) Naked Monoclonal Antibodies— antibodies without any drug or radioactive material attached and which are the most common type of antibodies in</w:t>
      </w:r>
    </w:p>
    <w:p>
      <w:pPr>
        <w:sectPr>
          <w:pgSz w:w="11900" w:h="16838" w:orient="portrait"/>
          <w:cols w:equalWidth="0" w:num="1">
            <w:col w:w="9019"/>
          </w:cols>
          <w:pgMar w:left="1440" w:top="513"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treating cancer; (iv) Antibody Drug Conjugates, or ADCs—monoclonal antibodies that are joined to a chemotherapy drug, a radioactive particle or cancer cell killing agent, in which the monoclonal antibody is used as a homing device to deliver these substances directly to the cancer cell; and (v) Bispecific Antibodies, antibodies comprised of two different monoclonal antibody constructs, which allows the antibody to bind to two specific therapeutic targets at the same time, typically one target on the tumor cell and one target on an immune system cell.</w:t>
      </w:r>
    </w:p>
    <w:p>
      <w:pPr>
        <w:spacing w:after="0" w:line="183"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Antibodies may function through multiple mechanisms simultaneously, including binding to cancer cells and flagging for B-cells and T-cells to more easily detect the target, or delivering radiation treatment by acting as a vehicle to transfer small radioactive particles directly to the cancer cells and to minimize the effect of radiation on normal cells. Other mechanisms include triggering cell-membrane destruction, preventing cell growth or blood vessel growth, blocking immune system inhibitors, directly attacking cancer cells and delivering chemotherapy or binding cancer cells and immune cells simultaneously.</w:t>
      </w:r>
    </w:p>
    <w:p>
      <w:pPr>
        <w:spacing w:after="0" w:line="187"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Studies have shown that, as a drug class, antibodies have transformed oncology treatment and include some of the best-selling therapies on the biopharmaceutical market.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Product and Product Candidates</w:t>
      </w:r>
    </w:p>
    <w:p>
      <w:pPr>
        <w:spacing w:after="0" w:line="229"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We have one FDA-approved product, DANYELZA, and a pipeline of product candidates that primarily target clinically validated tumors that express GD2 and CD38, respectively.</w:t>
      </w:r>
    </w:p>
    <w:p>
      <w:pPr>
        <w:spacing w:after="0" w:line="162"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November 25, 2020, DANYELZA, was approved by the FDA, in combination with GM-CSF, for the treatment of pediatric patients 1 year of age and older and adult patients with relapsed or refractory HR NB in the bone or bone marrow who have demonstrated a partial response, minor response, or stable disease to prior therapy. We began to commercialize DANYELZA in the United States upon receipt of FDA approval in November 2020. DANYELZA is also in clinical development as a potential treatment for additional cancers.</w:t>
      </w:r>
    </w:p>
    <w:p>
      <w:pPr>
        <w:spacing w:after="0" w:line="183"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are using our proprietary SADA PRIT technology platform to advance a series of antibody constructs, where bispecific antibody fragments bind to a tumor before a radioactive payload is injected in a two-step approach. GD2-SADA for potential use in GD2-positive solid tumors is our first SADA PRIT construct. Our first clinical patient was treated in April 2023 in our Phase 1, dose-escalation, single-arm, open-label, non-randomized, multicenter trial, for the treatment of certain solid tumor cancers, including SCLC, sarcoma, malignant melanoma and adult neuroblastoma. We are currently enrolling and evaluating patients for CD38-SADA. We believe the SADA PRIT technology could potentially improve the efficacy of radiolabeled therapeutics in tumors that have not historically demonstrated meaningful response to radiolabeled agents.</w:t>
      </w:r>
    </w:p>
    <w:p>
      <w:pPr>
        <w:spacing w:after="0" w:line="192"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have exclusive worldwide commercial rights to DANYELZA and all of our current product candidates and we have granted commercialization partners certain exclusive rights to develop and commercialize DANYELZA in select territories, including Greater China, Israel, Latin America, Turkey, Japan, the Gulf Coast Countries in the Mediterranean and Persian Gulf, and certain Eastern European countries.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DANYELZA Overview</w:t>
      </w:r>
    </w:p>
    <w:p>
      <w:pPr>
        <w:spacing w:after="0" w:line="229"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DANYELZA, our only FDA approved product is a recombinant humanized immunoglobulin G, subtype 1k, or IgG1κ, monoclonal antibody, or mAb, that targets ganglioside GD2, which is highly expressed in various neuroectoderm derived tumors and sarcomas. DANYELZA received accelerated approval by the FDA in November 2020 for the treatment, in combination with GM CSF, of pediatric patients 1 year of age and older and adult patients with R/R high-risk NB in the bone or bone marrow who have demonstrated a partial response, minor response, or stable disease to prior therapy. We are commercializing DANYELZA in the United States and began shipping it in February 2021.</w:t>
      </w:r>
    </w:p>
    <w:p>
      <w:pPr>
        <w:spacing w:after="0" w:line="187" w:lineRule="exact"/>
        <w:rPr>
          <w:sz w:val="20"/>
          <w:szCs w:val="20"/>
          <w:color w:val="auto"/>
        </w:rPr>
      </w:pPr>
    </w:p>
    <w:p>
      <w:pPr>
        <w:ind w:left="60" w:right="259" w:firstLine="648"/>
        <w:spacing w:after="0" w:line="281" w:lineRule="auto"/>
        <w:rPr>
          <w:sz w:val="20"/>
          <w:szCs w:val="20"/>
          <w:color w:val="auto"/>
        </w:rPr>
      </w:pPr>
      <w:r>
        <w:rPr>
          <w:rFonts w:ascii="Times New Roman" w:cs="Times New Roman" w:eastAsia="Times New Roman" w:hAnsi="Times New Roman"/>
          <w:sz w:val="17"/>
          <w:szCs w:val="17"/>
          <w:color w:val="auto"/>
        </w:rPr>
        <w:t>The accelerated approval of DANYELZA is subject to certain post-marketing requirements and commitments, including a confirmatory post-marketing trial of clinical benefit, that must be completed in order to convert the Biologics License Application, or BLA, to full approval and prevent withdrawal of the license by the FDA. The confirmatory post-marketing clinical trial required by the FDA to verify and to further characterize the clinical benefit is our ongoing Study</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0" w:right="199"/>
        <w:spacing w:after="0" w:line="261" w:lineRule="auto"/>
        <w:rPr>
          <w:sz w:val="20"/>
          <w:szCs w:val="20"/>
          <w:color w:val="auto"/>
        </w:rPr>
      </w:pPr>
      <w:r>
        <w:rPr>
          <w:rFonts w:ascii="Times New Roman" w:cs="Times New Roman" w:eastAsia="Times New Roman" w:hAnsi="Times New Roman"/>
          <w:sz w:val="18"/>
          <w:szCs w:val="18"/>
          <w:color w:val="auto"/>
        </w:rPr>
        <w:t>201, which is designed to enroll a minimum of 80 evaluable patients and report overall rate of response, or ORR, duration of response, or DOR, progression free survival, or PFS, and overall survival, or OS. The ORR is the primary endpoint for the study, DOR is the secondary endpoint and PFS and OS are secondary endpoints in long-term follow-up. We anticipate completing the study no later than by March 31, 2027.</w:t>
      </w:r>
    </w:p>
    <w:p>
      <w:pPr>
        <w:spacing w:after="0" w:line="180"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In addition, DANYELZA is currently being studied in several ongoing clinical trials. These trials include: (i) Study 201, a pivotal-stage multicenter trial which is also designed to satisfy the confirmatory study and post marketing requirements by the FDA conducted by us; (ii) study 15-096, a Phase 2 clinical trial conducted by MSK for relapsed osteosarcoma; (iii) a phase 2 multi-center trial evaluating naxitamab in combination with standard induction therapy in patients with newly diagnosed HR NB conducted by BCC; (iv) an investigator sponsored Phase 1b/2 trial investigating TGFβ NKs, gemcitabine and naxitamab in patients with metastatic breast cancer at the Ohio State University.; (v) a randomized Phase 2 trial evaluating the efficacy and safety of naxitamab in patients with refractory Ewing sarcoma led by the Institute of Mother and Child in Poland; (vi) and a Phase 2, multi-center, non-randomized trial evaluating naxitamab in combination with tipifarnib (farnesyltransferase inhibitor) in patients with relapsed/refractory HR NB conducted by BCC. In addition, we are in discussions with the MD Anderson Cancer Center to initiate a multi-center Phase 1/2 study with a Phase 1 run-in, that seeks to test the hypothesis that the addition of naxitamab to current standard of care, will increase the objective response rate in patients with metastatic Triple Negative Breast Cancer who have received at least one prior line of systemic therapy for metastatic disease.</w:t>
      </w:r>
    </w:p>
    <w:p>
      <w:pPr>
        <w:spacing w:after="0" w:line="187"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In clinical studies, DANYELZA has been shown to cause serious infusion reactions including anaphylaxis, cardiac arrest, bronchospasm, stridor, and hypotension. The most common adverse events were mainly mild and moderate and included infusion-related reaction, pain, tachycardia, vomiting, cough, nausea, diarrhea, decreased appetite, hypertension, fatigue, erythema multiforme, peripheral neuropathy, urticaria, pyrexia, headache, edema, anxiety, localized edema and irritability. DANYELZA has been approved with a boxed warning for serious infusion reactions and neurotoxicity.</w:t>
      </w:r>
    </w:p>
    <w:p>
      <w:pPr>
        <w:spacing w:after="0" w:line="187" w:lineRule="exact"/>
        <w:rPr>
          <w:sz w:val="20"/>
          <w:szCs w:val="20"/>
          <w:color w:val="auto"/>
        </w:rPr>
      </w:pPr>
    </w:p>
    <w:p>
      <w:pPr>
        <w:ind w:left="60" w:right="219" w:firstLine="648"/>
        <w:spacing w:after="0" w:line="277" w:lineRule="auto"/>
        <w:rPr>
          <w:sz w:val="20"/>
          <w:szCs w:val="20"/>
          <w:color w:val="auto"/>
        </w:rPr>
      </w:pPr>
      <w:r>
        <w:rPr>
          <w:rFonts w:ascii="Times New Roman" w:cs="Times New Roman" w:eastAsia="Times New Roman" w:hAnsi="Times New Roman"/>
          <w:sz w:val="17"/>
          <w:szCs w:val="17"/>
          <w:color w:val="auto"/>
        </w:rPr>
        <w:t>In pediatric R/R HR NB, we believe that DANYELZA has multiple potential advantages over other GD2-targeting antibody-based therapies. In particular, the modest toxicity it exhibits allows for doses 2.5 times greater than the other GD2-targeting antibody-based therapies. DANYELZA also has a significantly shorter infusion time (approximately 30 to 60 minutes compared to 10 to 20 hours for other GD2-targeting antibody-based therapies being used in front-line therapy), which we believe is an important factor given that DANYELZA is administered in an outpatient setting.</w:t>
      </w:r>
    </w:p>
    <w:p>
      <w:pPr>
        <w:spacing w:after="0" w:line="168"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We believe DANYELZA has multiple potential advantages over other GD2 targeting antibody-based therapies. In particular, its toxicity profile allows for doses two and a half times greater than existing GD2 targeting antibody-based therapies. Unlike currently approved GD2 targeting therapies for NB, which require 10 to 20 hours of infusion and hospitalization for several days, DANYELZA is administered in approximately 30 to 60 minutes in an outpatient setting. We believe this significantly shorter administration time is an important advantage considering the overall pain associated with treatment.</w:t>
      </w:r>
    </w:p>
    <w:p>
      <w:pPr>
        <w:spacing w:after="0" w:line="187"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Other than DANYELZA, there are no FDA approved therapies for primary refractory or second line pediatric NB patients. DANYELZA has also received orphan drug designation, or ODD, and rare pediatric disease designation, or RPDD, from the FDA for the treatment of NB. In addition, DANYELZA has received breakthrough therapy designation, or BTD, in combination with GM CSF, for the treatment of HR NB refractory to initial therapy or with incomplete response to salvage therapy in patients greater than 12 months of age with persistent, refractory disease limited to bone marrow with or without evidence of concurrent bone involvement. In 2018, the European Commission granted orphan medicinal product designation for naxitamab for the treatment of NB, and in 2023, European Medicine Agency, or EMA agreed to the Company’s proposed Pediatric Investigation Plan, or PIP, for naxitamab.</w:t>
      </w:r>
    </w:p>
    <w:p>
      <w:pPr>
        <w:spacing w:after="0" w:line="192"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While our current clinical efforts for DANYELZA are focused on rare pediatric cancers, we believe that we can potentially expand its application to the treatment of adults with cancers that express GD2. We estimate that there were more than 200,000 new adult patients diagnosed with GD2 positive cancers in the United States in 2024.</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GD2 Overview</w:t>
      </w:r>
    </w:p>
    <w:p>
      <w:pPr>
        <w:spacing w:after="0" w:line="229"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We believe that monoclonal antibodies such as DANYELZA that target ganglioside GD2 are one of the most promising cancer immunotherapy approaches. Gangliosides, including GD2, GM2, GD3, NGcGM3 and OAcGD2, have been shown to be expressed at very high levels in tumor cells of several types of cancers.</w:t>
      </w:r>
    </w:p>
    <w:p>
      <w:pPr>
        <w:spacing w:after="0" w:line="176"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As a potential target molecule for anti-tumor therapy, GD2 has certain advantages when compared to other tumor associated gangliosides because it is highly expressed in tumor cells of several types of cancers and is not expressed at all, or expressed at very low levels, in normal cells. A National Cancer Institute pilot program for the prioritization of the most important cancer antigens ranks GD2 as number 12 out of 75 potential targets for cancer therapy based on therapeutic function, immunogenicity, role of the antigen in oncogenicity, specificity, expression level and percent of antigen-positive cells, stem cell expression, number of patients with antigen-positive cancers, number of antigenic epitopes, and cellular location of antigen expression. GD2 ranks as number six when compared to antigens that are directly targetable on the cell surface. Antibodies directed against GD2 have been shown to effectively induce cell death through a combination of both apoptosis and tumor cell necrosis in GD2-positive tumors.</w:t>
      </w:r>
    </w:p>
    <w:p>
      <w:pPr>
        <w:spacing w:after="0" w:line="1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GD2 Expression in Various Cancer Types</w:t>
      </w:r>
    </w:p>
    <w:p>
      <w:pPr>
        <w:spacing w:after="0" w:line="227"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Studies have shown that GD2 is highly expressed on neuroectoderm-derived tumors and sarcomas, including NB, retinoblastoma, melanoma, SCLC, brain tumors, osteosarcoma, rhabdomyosarcoma, Ewing’s sarcoma in children and adolescents, as well as liposarcoma, fibrosarcoma, leiomyosarcoma and other soft-tissue sarcomas in adults. These cancers have a high mortality rate ranging from 20-80% depending on the tumor type.</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believe there is a large market opportunity for the treatment of solid tumors that express GD2. Based on our own research and our review of published research, we believe GD2 expression occurs in approximately 60-100% of tumor samples from various cancer types, and in substantially all NB and osteosarcoma tumor samples (Cancer Molecular Targets and Therapeutics, Nazha et al., 2022: Disialoganglioside GD2 Expression in Solid Tumors and Role as a Target for Cancer Therapy). We estimate that there were more than 200,000 new patients diagnosed with GD2-positive cancer in the United States in 2017. While our clinical development efforts for DANYELZA are primarily focused on rare pediatric cancers, we believe we have the potential to expand DANYELZA’s application beyond pediatric cancers to the treatment of adults with cancers that express GD2. For example, we are supporting pre-clinical in-vitro and in-vivo studies evaluating the effect of naxitamab in breast cancer cells. In addition, we are supporting an investigator sponsored Phase 1b/2 study evaluating the combination of naxitamab, gemcitabine and NK cells in advanced breast cancer patients.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DANYELZA—mechanism of action</w:t>
      </w:r>
    </w:p>
    <w:p>
      <w:pPr>
        <w:spacing w:after="0" w:line="22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Our pre-clinical studies have shown that DANYELZA binds to GD2 molecules on tumor cells with high affinity and a slow off-rate, which indicates DANYELZA’s strong binding ability. In mice that have been transplanted with human NB tissue, DANYELZA demonstrated dose-dependent inhibition of tumor growth and generally increased survival. In vitro studies show that when DANYELZA binds to tumor cells, it induces tumor cell death through antibody dependent cell-mediated cytotoxicity and complement-dependent cytotoxicity. DANYELZA may also inhibit tumor cell migration through its inhibitory effect on GD2 molecules, which are involved in tumor cell adhesion and migration. In vitro studies also show that GM-CSF enhances the activity of DANYELZA in a dose-dependent manner and is therefore generally combined with DANYELZA in our clinical trials.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DANYELZA for the treatment of pediatric relapsed or refractory high-risk neuroblastoma</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On November 25, 2020 DANYELZA received accelerated approval by the FDA in the United States for treatment in combination with GM-CSF of high-risk R/R NB. This approval was based primarily on interim data from Study 201 and Study 12-230. In order to meet certain post-marketing commitments issued by the FDA, Study 201 with DANYELZA is currently still ongoing for pediatric R/R high-risk NB. The FDA has issued a post-marketing commitment to provide data on PFS, supporting the efficacy of the product. We have enrolled 109 patients and we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anticipate completing the study by March 31, 2027. We believe DANYELZA has multiple potential advantages over other GD2-targeting antibodies such as higher doses and administration on an outpatient basis.</w:t>
      </w:r>
    </w:p>
    <w:p>
      <w:pPr>
        <w:spacing w:after="0" w:line="162"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In our studies to date, DANYELZA has demonstrated a manageable safety profile, which allows for 2.5 times greater dosing as compared to other GD2-targeting antibody-based therapies. This results in fewer doses per cycle and a significantly shorter infusion time (approximately 30 to 60 minutes versus 10 to 20 hours for dinutuximab). Notably, since severe pain is one of the most common side effects of treatment with GD2-targeting antibody-based therapies, we believe that the ability to reduce infusion time to approximately 30 to 60 minutes is very important for patients and may result in a significant reduction in demand for pain medication such as morphine. These factors allow DANYELZA to be administered in an outpatient setting whereas other GD2-targeting antibody-based therapies require hospitalization that usually lasts for four days or more.</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Overview of Neuroblastoma</w:t>
      </w:r>
    </w:p>
    <w:p>
      <w:pPr>
        <w:spacing w:after="0" w:line="227" w:lineRule="exact"/>
        <w:rPr>
          <w:sz w:val="20"/>
          <w:szCs w:val="20"/>
          <w:color w:val="auto"/>
        </w:rPr>
      </w:pPr>
    </w:p>
    <w:p>
      <w:pPr>
        <w:ind w:left="60" w:right="179" w:firstLine="648"/>
        <w:spacing w:after="0" w:line="274" w:lineRule="auto"/>
        <w:rPr>
          <w:sz w:val="20"/>
          <w:szCs w:val="20"/>
          <w:color w:val="auto"/>
        </w:rPr>
      </w:pPr>
      <w:r>
        <w:rPr>
          <w:rFonts w:ascii="Times New Roman" w:cs="Times New Roman" w:eastAsia="Times New Roman" w:hAnsi="Times New Roman"/>
          <w:sz w:val="17"/>
          <w:szCs w:val="17"/>
          <w:color w:val="auto"/>
        </w:rPr>
        <w:t>NB is a rare and almost exclusively pediatric cancer that develops in the sympathetic nervous system, a network of nerves that carries messages from the brain throughout the body. It is the third most common childhood cancer, after leukemia and brain tumors, and is the most common solid extracranial tumor in children. NB is a life-threatening disease associated with poor long-term survival. It accounts for approximately six percent of all childhood cancers and approximately 15% of pediatric cancer deaths. Nearly 90% of patients with NB are diagnosed by age five and NB is very rare in people over the age of 10 years. The average age of children when they are diagnosed with NB is one to two years.</w:t>
      </w:r>
    </w:p>
    <w:p>
      <w:pPr>
        <w:spacing w:after="0" w:line="173"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The stage of NB, which describes how far the cancer has spread, is based on results of physical exams, imaging tests, and biopsies. The International Neuroblastoma Staging System stages the disease from Stage 1 to Stage 4. Other factors that also affect the prognosis of NB include age and amplification of MYCN oncogene.</w:t>
      </w:r>
    </w:p>
    <w:p>
      <w:pPr>
        <w:spacing w:after="0" w:line="176" w:lineRule="exact"/>
        <w:rPr>
          <w:sz w:val="20"/>
          <w:szCs w:val="20"/>
          <w:color w:val="auto"/>
        </w:rPr>
      </w:pPr>
    </w:p>
    <w:p>
      <w:pPr>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NB patients can also be placed into different risk groups from low, intermediate to high based on the stage and other prognostic factors. High-risk NB is defined as MYCN amplified Stage 2, 3, 4S and 4 in patients of any age and MYCN non amplified Stage 4 in patients over 18 months of age.</w:t>
      </w:r>
    </w:p>
    <w:p>
      <w:pPr>
        <w:spacing w:after="0" w:line="176"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It is estimated that approximately 700-800 children are diagnosed with HR NB in the United States each year (American Cancer Society, 2021: Key Statistics about Neuroblastoma). We believe the European market is at least one and a half times the size of the U.S. market and that there are approximately 1,050 patients diagnosed with high-risk NB in Europe each year. We believe the current addressable market for DANYELZA consists of approximately 960 new front-line HR NB patients each year and 675 primary or second-line eligible R/R NB pediatric patients each year, representing approximately 40% of all pediatric patients diagnosed with NB in the United States and Europe, combined. Moreover, based on the protocol we have developed with MSK, between treatment and maintenance therapy, we believe that typically patients will receive five to ten treatment cycles of DANYELZA, with each cycle consisting of three doses.</w:t>
      </w:r>
    </w:p>
    <w:p>
      <w:pPr>
        <w:spacing w:after="0" w:line="190" w:lineRule="exact"/>
        <w:rPr>
          <w:sz w:val="20"/>
          <w:szCs w:val="20"/>
          <w:color w:val="auto"/>
        </w:rPr>
      </w:pPr>
    </w:p>
    <w:p>
      <w:pPr>
        <w:ind w:left="700" w:right="199"/>
        <w:spacing w:after="0" w:line="284" w:lineRule="auto"/>
        <w:rPr>
          <w:sz w:val="20"/>
          <w:szCs w:val="20"/>
          <w:color w:val="auto"/>
        </w:rPr>
      </w:pPr>
      <w:r>
        <w:rPr>
          <w:rFonts w:ascii="Times New Roman" w:cs="Times New Roman" w:eastAsia="Times New Roman" w:hAnsi="Times New Roman"/>
          <w:sz w:val="18"/>
          <w:szCs w:val="18"/>
          <w:i w:val="1"/>
          <w:iCs w:val="1"/>
          <w:color w:val="auto"/>
        </w:rPr>
        <w:t>DANYELZA for Pediatric Relapsed or Refractory High-Risk Neuroblastoma—Current Treatment Landscape and Associated Limitations</w:t>
      </w:r>
    </w:p>
    <w:p>
      <w:pPr>
        <w:spacing w:after="0" w:line="16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Currently, front-line treatment for pediatric NB patients usually occurs in three stages: induction, consolidation, and maintenance. During the induction phase, patients receive chemotherapy, radiotherapy and possibly surgery to eliminate as much tumor tissue and as many tumor cells as possible. Commonly used agents for induction treatment include cisplatin, etoposide, doxorubicin, cyclophosphamide, and vincristine. Following surgery and/or radiotherapy, most patients enter into consolidation therapy with the goal of eliminating any residual tumor usually with single dose myeloablative agents (e.g. carboplatin-etoposide-melphalan) with stem cell support or an autologous stem cell transplant or repeated transplants with thiotepa-cyclophosphamide followed by cyclophosphamide, etoposide, and ranimustine. Many treatment centers also use immunotherapy as part of the consolidation stage of treatment. Relapse is a frequent occurrence after consolidation.</w:t>
      </w:r>
    </w:p>
    <w:p>
      <w:pPr>
        <w:spacing w:after="0" w:line="188"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Other than DANYELZA, there are no approved therapies in the United States for R/R NB in the bone or bone marrow. Other treatments typically include chemotherapy, radiotherapy and other experimental therapies.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In 2015, the FDA and the European Commission, approved Unituxin® (dinutuximab), a monoclonal GD2-targeting antibody developed by United Therapeutics Corporation, or United Therapeutics, and administered in combination with GM-CSF, interleukin-2, or IL-2, and isotretinoin, also known as 13-cis-retinoic acid, for the treatment of pediatric patients with high-risk NB who achieve at least a partial response, or PR, to prior front-line multiagent, multimodality therapy. The marketing authorization for Unituxin was voluntarily withdrawn by United Therapeutics in the European Union in 2017. In 2017 the European Commission approved Dinutuximab beta Apeiron (also known as dinutuximab beta, ch14.18/CHO, Isqette and currently being commercialized under the name Qarziba® in the European Union), a monoclonal GD2-targeting antibody, for the treatment of high-risk NB in patients aged 1 year and older, who have had some improvement with previous treatments or patients whose NB has not improved with other cancer treatments or has relapsed.</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DANYELZA for Pediatric Relapsed or Refractory High-Risk Neuroblastoma—Clinical Development Program</w:t>
      </w:r>
    </w:p>
    <w:p>
      <w:pPr>
        <w:spacing w:after="0" w:line="227" w:lineRule="exact"/>
        <w:rPr>
          <w:sz w:val="20"/>
          <w:szCs w:val="20"/>
          <w:color w:val="auto"/>
        </w:rPr>
      </w:pPr>
    </w:p>
    <w:p>
      <w:pPr>
        <w:jc w:val="both"/>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DANYELZA has been studied in several clinical trials for the treatment of pediatric R/R NB and other diseases, of which Study 201 and Study 15-096 are currently ongoing. The accelerated approval of DANYELZA by the FDA was based primarily on interim data from Study 201 and Study 12-230.</w:t>
      </w:r>
    </w:p>
    <w:p>
      <w:pPr>
        <w:spacing w:after="0" w:line="172"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Study 12-230: Phase 1/2 Study of Combination Therapy of Antibody Naxitamab with Granulocyte-Macrophage Colony-Stimulating Factor (GM-CSF) in Patients with Relapsed/Refractory High-Risk Neuroblastoma</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Phase 1 Portion of Study 12-230</w:t>
      </w:r>
    </w:p>
    <w:p>
      <w:pPr>
        <w:spacing w:after="0" w:line="225"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Phase 1 portion of Study 12-230 assessed dose escalation of intravenous, or IV, naxitamab (days one, three, five) in the presence of subcutaneous GM-CSF (days minus four through five). These three doses of naxitamab and 10 days of GM-CSF constituted a single treatment cycle. Patients who completed 4 cycles without PD were eligible to continue treatment for up to 24 months.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Phase 2 Portion of Study 12-230</w:t>
      </w:r>
    </w:p>
    <w:p>
      <w:pPr>
        <w:spacing w:after="0" w:line="225"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Study 12-230 protocol was amended in May 2016 to include an expansion Phase 2 portion. In October 2020, topline results from the first 71 patients (including 29 patients with no evidence of disease, or NED patients) in this Phase 2 study were presented, which continued to show response rates at the same levels as in the dose escalation part of the study with 13 of 15 evaluable, or 87% of, primary refractory patients responding and 7 of 23 evaluable, or 30% of, secondary refractory patients responding. For the Phase 2 part of the study, patients were eligible to continue treatment for up to 4 cycles after major clinical response was obtained again with a maximum treatment period of 24 months.</w:t>
      </w:r>
    </w:p>
    <w:p>
      <w:pPr>
        <w:spacing w:after="0" w:line="187" w:lineRule="exact"/>
        <w:rPr>
          <w:sz w:val="20"/>
          <w:szCs w:val="20"/>
          <w:color w:val="auto"/>
        </w:rPr>
      </w:pPr>
    </w:p>
    <w:p>
      <w:pPr>
        <w:ind w:left="60" w:right="339" w:firstLine="648"/>
        <w:spacing w:after="0" w:line="268" w:lineRule="auto"/>
        <w:rPr>
          <w:sz w:val="20"/>
          <w:szCs w:val="20"/>
          <w:color w:val="auto"/>
        </w:rPr>
      </w:pPr>
      <w:r>
        <w:rPr>
          <w:rFonts w:ascii="Times New Roman" w:cs="Times New Roman" w:eastAsia="Times New Roman" w:hAnsi="Times New Roman"/>
          <w:sz w:val="17"/>
          <w:szCs w:val="17"/>
          <w:color w:val="auto"/>
        </w:rPr>
        <w:t>The expansion Phase 2 single-arm portion of Study 12-230 was designed to assess the anti NB activity of naxitamab and GM-CSF in patients who presented with lesions that could be objectively measured and/or monitored by</w:t>
      </w:r>
    </w:p>
    <w:p>
      <w:pPr>
        <w:spacing w:after="0" w:line="1" w:lineRule="exact"/>
        <w:rPr>
          <w:sz w:val="20"/>
          <w:szCs w:val="20"/>
          <w:color w:val="auto"/>
        </w:rPr>
      </w:pPr>
    </w:p>
    <w:p>
      <w:pPr>
        <w:ind w:left="60" w:right="99"/>
        <w:spacing w:after="0" w:line="207" w:lineRule="auto"/>
        <w:rPr>
          <w:sz w:val="20"/>
          <w:szCs w:val="20"/>
          <w:color w:val="auto"/>
        </w:rPr>
      </w:pPr>
      <w:r>
        <w:rPr>
          <w:rFonts w:ascii="Times New Roman" w:cs="Times New Roman" w:eastAsia="Times New Roman" w:hAnsi="Times New Roman"/>
          <w:sz w:val="26"/>
          <w:szCs w:val="26"/>
          <w:color w:val="auto"/>
          <w:vertAlign w:val="superscript"/>
        </w:rPr>
        <w:t>123</w:t>
      </w:r>
      <w:r>
        <w:rPr>
          <w:rFonts w:ascii="Times New Roman" w:cs="Times New Roman" w:eastAsia="Times New Roman" w:hAnsi="Times New Roman"/>
          <w:sz w:val="18"/>
          <w:szCs w:val="18"/>
          <w:color w:val="auto"/>
        </w:rPr>
        <w:t xml:space="preserve">I-MIBG scans and who were deemed to have measurable disease and be eligible for response classification by the INRC classification incorporating </w:t>
      </w:r>
      <w:r>
        <w:rPr>
          <w:rFonts w:ascii="Times New Roman" w:cs="Times New Roman" w:eastAsia="Times New Roman" w:hAnsi="Times New Roman"/>
          <w:sz w:val="26"/>
          <w:szCs w:val="26"/>
          <w:color w:val="auto"/>
          <w:vertAlign w:val="superscript"/>
        </w:rPr>
        <w:t>123</w:t>
      </w:r>
      <w:r>
        <w:rPr>
          <w:rFonts w:ascii="Times New Roman" w:cs="Times New Roman" w:eastAsia="Times New Roman" w:hAnsi="Times New Roman"/>
          <w:sz w:val="18"/>
          <w:szCs w:val="18"/>
          <w:color w:val="auto"/>
        </w:rPr>
        <w:t>I-MIBG scans. These patients were classified as having evaluable disease and consisted of patients that were primary refractory patients or secondary refractory patients. Another group of patients included those with NED but with a high-risk of relapse.</w:t>
      </w:r>
    </w:p>
    <w:p>
      <w:pPr>
        <w:spacing w:after="0" w:line="19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Primary Objectives</w:t>
      </w:r>
    </w:p>
    <w:p>
      <w:pPr>
        <w:spacing w:after="0" w:line="227" w:lineRule="exact"/>
        <w:rPr>
          <w:sz w:val="20"/>
          <w:szCs w:val="20"/>
          <w:color w:val="auto"/>
        </w:rPr>
      </w:pPr>
    </w:p>
    <w:p>
      <w:pPr>
        <w:ind w:left="1040" w:right="379" w:hanging="315"/>
        <w:spacing w:after="0" w:line="312" w:lineRule="auto"/>
        <w:tabs>
          <w:tab w:leader="none" w:pos="10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Group 1: (NED patients) To assess the impact of naxitamab and GM-CSF on PFS in patients in greater than or equal to second CR/very good partial response, or VGPR, but at high-risk of another relapse.</w:t>
      </w:r>
    </w:p>
    <w:p>
      <w:pPr>
        <w:spacing w:after="0" w:line="139" w:lineRule="exact"/>
        <w:rPr>
          <w:rFonts w:ascii="Times New Roman" w:cs="Times New Roman" w:eastAsia="Times New Roman" w:hAnsi="Times New Roman"/>
          <w:sz w:val="17"/>
          <w:szCs w:val="17"/>
          <w:color w:val="auto"/>
        </w:rPr>
      </w:pPr>
    </w:p>
    <w:p>
      <w:pPr>
        <w:ind w:left="1040" w:right="99" w:hanging="315"/>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Group 2: To assess the activity of naxitamab and GM-CSF in patients who have primary refractory disease in the bone and BM by measuring response and by calculating PFS.</w:t>
      </w:r>
    </w:p>
    <w:p>
      <w:pPr>
        <w:spacing w:after="0" w:line="161" w:lineRule="exact"/>
        <w:rPr>
          <w:rFonts w:ascii="Times New Roman" w:cs="Times New Roman" w:eastAsia="Times New Roman" w:hAnsi="Times New Roman"/>
          <w:sz w:val="18"/>
          <w:szCs w:val="18"/>
          <w:color w:val="auto"/>
        </w:rPr>
      </w:pPr>
    </w:p>
    <w:p>
      <w:pPr>
        <w:ind w:left="1040" w:right="499" w:hanging="315"/>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Group 3: To assess the activity of naxitamab and GM-CSF in patients who have secondary refractory disease in the bone and BM by measuring response and by calculating PFS.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Secondary Objectives</w:t>
      </w:r>
    </w:p>
    <w:p>
      <w:pPr>
        <w:spacing w:after="0" w:line="227" w:lineRule="exact"/>
        <w:rPr>
          <w:sz w:val="20"/>
          <w:szCs w:val="20"/>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patients with primary refractory or relapsed disease (Groups 1 and 3):</w:t>
      </w:r>
    </w:p>
    <w:p>
      <w:pPr>
        <w:spacing w:after="0" w:line="225" w:lineRule="exact"/>
        <w:rPr>
          <w:sz w:val="20"/>
          <w:szCs w:val="20"/>
          <w:color w:val="auto"/>
        </w:rPr>
      </w:pPr>
    </w:p>
    <w:p>
      <w:pPr>
        <w:ind w:left="1700" w:hanging="327"/>
        <w:spacing w:after="0"/>
        <w:tabs>
          <w:tab w:leader="none" w:pos="1700" w:val="left"/>
        </w:tabs>
        <w:numPr>
          <w:ilvl w:val="1"/>
          <w:numId w:val="1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To evaluate the PFS from the start of hu3F8+GM-CSF treatment.</w:t>
      </w:r>
    </w:p>
    <w:p>
      <w:pPr>
        <w:spacing w:after="0" w:line="13" w:lineRule="exact"/>
        <w:rPr>
          <w:rFonts w:ascii="Courier New" w:cs="Courier New" w:eastAsia="Courier New" w:hAnsi="Courier New"/>
          <w:sz w:val="18"/>
          <w:szCs w:val="18"/>
          <w:color w:val="auto"/>
        </w:rPr>
      </w:pPr>
    </w:p>
    <w:p>
      <w:pPr>
        <w:ind w:left="1700" w:hanging="327"/>
        <w:spacing w:after="0" w:line="231" w:lineRule="auto"/>
        <w:tabs>
          <w:tab w:leader="none" w:pos="1700" w:val="left"/>
        </w:tabs>
        <w:numPr>
          <w:ilvl w:val="1"/>
          <w:numId w:val="1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To evaluate human anti-human antibody (HAHA).</w:t>
      </w:r>
    </w:p>
    <w:p>
      <w:pPr>
        <w:spacing w:after="0" w:line="198" w:lineRule="exact"/>
        <w:rPr>
          <w:rFonts w:ascii="Courier New" w:cs="Courier New" w:eastAsia="Courier New" w:hAnsi="Courier New"/>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patients with secondary refractory disease (Group 2):</w:t>
      </w:r>
    </w:p>
    <w:p>
      <w:pPr>
        <w:spacing w:after="0" w:line="225"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1"/>
          <w:numId w:val="1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To evaluate PFS from the start of hu3F8+GM-CSF treatment.</w:t>
      </w:r>
    </w:p>
    <w:p>
      <w:pPr>
        <w:spacing w:after="0" w:line="13" w:lineRule="exact"/>
        <w:rPr>
          <w:rFonts w:ascii="Courier New" w:cs="Courier New" w:eastAsia="Courier New" w:hAnsi="Courier New"/>
          <w:sz w:val="18"/>
          <w:szCs w:val="18"/>
          <w:color w:val="auto"/>
        </w:rPr>
      </w:pPr>
    </w:p>
    <w:p>
      <w:pPr>
        <w:ind w:left="1700" w:hanging="327"/>
        <w:spacing w:after="0" w:line="231" w:lineRule="auto"/>
        <w:tabs>
          <w:tab w:leader="none" w:pos="1700" w:val="left"/>
        </w:tabs>
        <w:numPr>
          <w:ilvl w:val="1"/>
          <w:numId w:val="1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Evaluate event free survival, or EFS, from the start of hu3F8+GM-CSF treatment.</w:t>
      </w:r>
    </w:p>
    <w:p>
      <w:pPr>
        <w:spacing w:after="0" w:line="198" w:lineRule="exact"/>
        <w:rPr>
          <w:rFonts w:ascii="Courier New" w:cs="Courier New" w:eastAsia="Courier New" w:hAnsi="Courier New"/>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patients: To evaluate the safety of naxitamab</w:t>
      </w:r>
    </w:p>
    <w:p>
      <w:pPr>
        <w:spacing w:after="0" w:line="2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Patient Population</w:t>
      </w:r>
    </w:p>
    <w:p>
      <w:pPr>
        <w:spacing w:after="0" w:line="227" w:lineRule="exact"/>
        <w:rPr>
          <w:sz w:val="20"/>
          <w:szCs w:val="20"/>
          <w:color w:val="auto"/>
        </w:rPr>
      </w:pPr>
    </w:p>
    <w:p>
      <w:pPr>
        <w:ind w:left="60" w:right="759" w:firstLine="648"/>
        <w:spacing w:after="0" w:line="282" w:lineRule="auto"/>
        <w:rPr>
          <w:sz w:val="20"/>
          <w:szCs w:val="20"/>
          <w:color w:val="auto"/>
        </w:rPr>
      </w:pPr>
      <w:r>
        <w:rPr>
          <w:rFonts w:ascii="Times New Roman" w:cs="Times New Roman" w:eastAsia="Times New Roman" w:hAnsi="Times New Roman"/>
          <w:sz w:val="18"/>
          <w:szCs w:val="18"/>
          <w:color w:val="auto"/>
        </w:rPr>
        <w:t>In addition to satisfying certain other criteria, patients were over one year of age and mainly children and adolescents.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Study 12-230 is now completed and the data is currently being evaluated and prepared for publication.</w:t>
      </w:r>
    </w:p>
    <w:p>
      <w:pPr>
        <w:spacing w:after="0" w:line="221"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Study 201: A Phase 2 Trial of Antibody Naxitamab and Granulocyte-Macrophage Colony-Stimulating Factor (GM-CSF) in High-Risk Neuroblastoma Patients with Primary or Secondary Refractory Osteomedullary Disease</w:t>
      </w:r>
    </w:p>
    <w:p>
      <w:pPr>
        <w:spacing w:after="0" w:line="159" w:lineRule="exact"/>
        <w:rPr>
          <w:sz w:val="20"/>
          <w:szCs w:val="20"/>
          <w:color w:val="auto"/>
        </w:rPr>
      </w:pPr>
    </w:p>
    <w:p>
      <w:pPr>
        <w:jc w:val="both"/>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Study 201 is a single-arm multi-center pivotal study using cGMP manufactured naxitamab, which commenced recruitment in the second quarter of 2018 and was the basis for the FDA’s accelerated approval of DANYELZA in 2020. We have enrolled 109 patients.</w:t>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Primary Objective</w:t>
      </w:r>
    </w:p>
    <w:p>
      <w:pPr>
        <w:spacing w:after="0" w:line="227" w:lineRule="exact"/>
        <w:rPr>
          <w:sz w:val="20"/>
          <w:szCs w:val="20"/>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the efficacy of IV naxitamab and GM-CSF.</w:t>
      </w:r>
    </w:p>
    <w:p>
      <w:pPr>
        <w:spacing w:after="0" w:line="2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Secondary Objectives</w:t>
      </w:r>
    </w:p>
    <w:p>
      <w:pPr>
        <w:spacing w:after="0" w:line="227" w:lineRule="exact"/>
        <w:rPr>
          <w:sz w:val="20"/>
          <w:szCs w:val="20"/>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the safety of IV naxitamab and GM-CSF.</w:t>
      </w:r>
    </w:p>
    <w:p>
      <w:pPr>
        <w:spacing w:after="0" w:line="225" w:lineRule="exact"/>
        <w:rPr>
          <w:rFonts w:ascii="Times New Roman" w:cs="Times New Roman" w:eastAsia="Times New Roman" w:hAnsi="Times New Roman"/>
          <w:sz w:val="18"/>
          <w:szCs w:val="18"/>
          <w:color w:val="auto"/>
        </w:rPr>
      </w:pPr>
    </w:p>
    <w:p>
      <w:pPr>
        <w:ind w:left="1040" w:right="57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the duration of response from the start of naxitamab and GM-CSF. Duration of response is defined as the length of time from patient response to patient death.</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PFS of naxitamab and GM-CSF.</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median OS at two years following naxitamab and GM-CSF.</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the pharmacokinetics of naxitamab and investigate the formation of HAHAs.</w:t>
      </w:r>
    </w:p>
    <w:p>
      <w:pPr>
        <w:spacing w:after="0" w:line="2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Patient Population</w:t>
      </w:r>
    </w:p>
    <w:p>
      <w:pPr>
        <w:spacing w:after="0" w:line="227" w:lineRule="exact"/>
        <w:rPr>
          <w:sz w:val="20"/>
          <w:szCs w:val="20"/>
          <w:color w:val="auto"/>
        </w:rPr>
      </w:pPr>
    </w:p>
    <w:p>
      <w:pPr>
        <w:ind w:left="60" w:right="339" w:firstLine="648"/>
        <w:spacing w:after="0" w:line="216" w:lineRule="auto"/>
        <w:rPr>
          <w:sz w:val="20"/>
          <w:szCs w:val="20"/>
          <w:color w:val="auto"/>
        </w:rPr>
      </w:pPr>
      <w:r>
        <w:rPr>
          <w:rFonts w:ascii="Times New Roman" w:cs="Times New Roman" w:eastAsia="Times New Roman" w:hAnsi="Times New Roman"/>
          <w:sz w:val="18"/>
          <w:szCs w:val="18"/>
          <w:color w:val="auto"/>
        </w:rPr>
        <w:t xml:space="preserve">In addition to satisfying certain other criteria, patients must have high-risk NB with primary or secondary refractory osteomedullary disease. Primary refractory disease is defined as no prior relapse but incomplete response to treatment in BM as documented by histology and/or </w:t>
      </w:r>
      <w:r>
        <w:rPr>
          <w:rFonts w:ascii="Times New Roman" w:cs="Times New Roman" w:eastAsia="Times New Roman" w:hAnsi="Times New Roman"/>
          <w:sz w:val="26"/>
          <w:szCs w:val="26"/>
          <w:color w:val="auto"/>
          <w:vertAlign w:val="superscript"/>
        </w:rPr>
        <w:t>123</w:t>
      </w:r>
      <w:r>
        <w:rPr>
          <w:rFonts w:ascii="Times New Roman" w:cs="Times New Roman" w:eastAsia="Times New Roman" w:hAnsi="Times New Roman"/>
          <w:sz w:val="18"/>
          <w:szCs w:val="18"/>
          <w:color w:val="auto"/>
        </w:rPr>
        <w:t xml:space="preserve">I-MIBG scan. Secondary refractory disease is defined as prior relapse and incomplete response to salvage therapy in BM as documented by histology and/or </w:t>
      </w:r>
      <w:r>
        <w:rPr>
          <w:rFonts w:ascii="Times New Roman" w:cs="Times New Roman" w:eastAsia="Times New Roman" w:hAnsi="Times New Roman"/>
          <w:sz w:val="26"/>
          <w:szCs w:val="26"/>
          <w:color w:val="auto"/>
          <w:vertAlign w:val="superscript"/>
        </w:rPr>
        <w:t>123</w:t>
      </w:r>
      <w:r>
        <w:rPr>
          <w:rFonts w:ascii="Times New Roman" w:cs="Times New Roman" w:eastAsia="Times New Roman" w:hAnsi="Times New Roman"/>
          <w:sz w:val="18"/>
          <w:szCs w:val="18"/>
          <w:color w:val="auto"/>
        </w:rPr>
        <w:t>I-MIBG scan. Patients must be older than one year of age.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Treatment Protocol</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Study 201 follows the same treatment protocol as described for Study 12-230 above.</w:t>
      </w:r>
    </w:p>
    <w:p>
      <w:pPr>
        <w:spacing w:after="0" w:line="225"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We initiated Study 201 with the objective of establishing the primary basis for our BLA, aiming to establish comparability of study population with Study 12-230 and to satisfy the post-marketing requirements outlined by the FDA. The FDA granted approval under the accelerated approval regulation. The post-marketing clinical trial required by the FDA to verify and to further characterize the clinical benefit is our ongoing Study 201, which aims to enroll a minimum of 80 evaluable patients with evaluable disease, with a minimal follow-up of 12 months from the onset of Complete Response/Partial Response, which is equivalent to at least a total 122 patients in Study 201. The study will report ORR, DOR, PFS and OS. The ORR is the primary endpoint for the study, DOR is the secondary endpoint, and PFS and OS are secondary endpoints in long-term follow-up. We have enrolled 109 patients, and we anticipate completing the study by March 31, 2027. The interim results from the BLA submission, and as per the label, showed that of the 22 patients included in the efficacy analysis, an ORR of 45% (95% CI: 24%, 68%) was observed with a Complete Response of 36% and a Partial response of 9%. The response rates were assessed in accordance with International Neuroblastoma Response Criteria, or INRC. Approximately 30% of responders demonstrated a DOR lasting at least 6 months, defined as the time from randomization to disease progression, or death, in patients who achieved completed or partial response. Among 25 patients involved in safety analysis who received DANYELZA in combination with GM-CSF, 12% were exposed for 6 months or longer and none were exposed for greater than one year. Serious adverse reactions were observed in 32% of patients receiving DANYELZA in combination with GM-GSF, including anaphylactic reaction (12%) and pain (8%). Permanent discontinuation of DANYELZA due to an adverse reaction occurred in 12% of patients. The interim results were published in </w:t>
      </w:r>
      <w:r>
        <w:rPr>
          <w:rFonts w:ascii="Times New Roman" w:cs="Times New Roman" w:eastAsia="Times New Roman" w:hAnsi="Times New Roman"/>
          <w:sz w:val="18"/>
          <w:szCs w:val="18"/>
          <w:i w:val="1"/>
          <w:iCs w:val="1"/>
          <w:color w:val="auto"/>
        </w:rPr>
        <w:t>Nature Communications</w:t>
      </w:r>
      <w:r>
        <w:rPr>
          <w:rFonts w:ascii="Times New Roman" w:cs="Times New Roman" w:eastAsia="Times New Roman" w:hAnsi="Times New Roman"/>
          <w:sz w:val="18"/>
          <w:szCs w:val="18"/>
          <w:color w:val="auto"/>
        </w:rPr>
        <w:t xml:space="preserve"> in February 2024.</w:t>
      </w:r>
    </w:p>
    <w:p>
      <w:pPr>
        <w:spacing w:after="0" w:line="188"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Study 17-251: Pilot Study of Naxitamab, Irinotecan/Temozolomide and Sargramostim (HITS) Chemoimmunotherapy for High-Risk Neuroblastoma</w:t>
      </w:r>
    </w:p>
    <w:p>
      <w:pPr>
        <w:spacing w:after="0" w:line="15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Study 17-251 was a single-arm pilot, Phase 2 study conducted at MSK focusing on high-risk R/R NB patients with soft-tissue disease. Patients received treatment combining naxitamab with irinotecan, temozolomide, and sargramostim, collectively referred to as HITS. A total of 38 patients completed enrollment at MSK. Additionally, 52 patients received treatment on a compassionate use basis at Hospital Sant Joan de Déu Barcelona, and their outcomes were amalgamated. The final patient was treated in the second quarter of 2021.</w:t>
      </w:r>
    </w:p>
    <w:p>
      <w:pPr>
        <w:spacing w:after="0" w:line="183"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Responses rates comprised Complete Response rate of 26%, Partial Response rate of 11%, mixed response rate of 9%, and stable disease rate of 27% (American Society of Clinical Oncology 2022 Abstract, Modak et. al). Objective Responses were observed in 64% of cases, with soft tissue uptake in 48% and skeletal MIBG uptake in 66%. Complete Response in bone marrow was evident in 57% of the patents. Response rates were assessed in accordance with INRC. Among patients who had previously been exposed to dinutuximab/immunotherapy, the Objective Response Rate to HITS treatment stood at 42%. Toxicities encompassed myelosuppression and diarrhea, anticipated with immunotherapy, as well as pain and hypertension, expected with naxitamab. Additionally, febrile neutropenia occurred in 4% of the patients. No unexpected toxicities exceeding grade 2 were recorded.</w:t>
      </w:r>
    </w:p>
    <w:p>
      <w:pPr>
        <w:spacing w:after="0" w:line="188"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Study 17-018: A Phase 2 Study sponsored by Beat Childhood Cancer Research Consortium investigating Naxitamab Added to Induction Therapy for Subjects with Newly Diagnosed High-Risk Neuroblastoma</w:t>
      </w:r>
    </w:p>
    <w:p>
      <w:pPr>
        <w:spacing w:after="0" w:line="159"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This investigator sponsored study is an ongoing multicenter clinical trial in subjects with newly diagnosed high-risk neuroblastoma to evaluate the efficacy and safety of administering naxitamab in combination with standard induction chemotherapy.</w:t>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Primary Objectives</w:t>
      </w:r>
    </w:p>
    <w:p>
      <w:pPr>
        <w:spacing w:after="0" w:line="227" w:lineRule="exact"/>
        <w:rPr>
          <w:sz w:val="20"/>
          <w:szCs w:val="20"/>
          <w:color w:val="auto"/>
        </w:rPr>
      </w:pPr>
    </w:p>
    <w:p>
      <w:pPr>
        <w:ind w:left="1040" w:right="119" w:hanging="315"/>
        <w:spacing w:after="0" w:line="266"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the VGPR(+) rate (VGPR + CR rate) to naxitamab with standard induction therapy for subjects with newly-diagnosed high-risk neuroblastoma according to the 1993 INRC Criteria and compare to relevant historical controls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Secondary Objectives</w:t>
      </w:r>
    </w:p>
    <w:p>
      <w:pPr>
        <w:spacing w:after="0" w:line="227" w:lineRule="exact"/>
        <w:rPr>
          <w:sz w:val="20"/>
          <w:szCs w:val="20"/>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objective response rate (ORR) to naxitamab with standard 5 cycle induction therapy</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the objective response rate (ORR) to naxitamab after 2 cycles of induction therapy</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event-free survival (EFS), and overall survival (OS)</w:t>
      </w:r>
    </w:p>
    <w:p>
      <w:pPr>
        <w:spacing w:after="0" w:line="225"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the response rate of naxitamab in combination with salvage chemotherapy in subjects who have a poor response (as defined as PR/MR/SD/NR) after 5 cycles of induction</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tolerability of naxitamab with standard induction therapy</w:t>
      </w:r>
    </w:p>
    <w:p>
      <w:pPr>
        <w:spacing w:after="0" w:line="225"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BCC has 22 active sites and has treated 12 patients with recruitment ongoing. It is expected the trial will transition from a single-arm trial to a comparative trial with an external control arm that reflects current standard of care for induction therapy with a comparable patient population that is carefully selected and propensity score matched. The aim for the trial is to demonstrate superiority in Complete Response at the end of induction therapy in the naxitamab arm versus the standard of care. The amended protocol for the transition to a comparison with an external control is currently being finalized.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DANYELZA for the Treatment of Relapsed Osteosarcoma</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Overview of Osteosarcoma</w:t>
      </w:r>
    </w:p>
    <w:p>
      <w:pPr>
        <w:spacing w:after="0" w:line="22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Osteosarcoma is the most commonly diagnosed primary malignancy of bone, particularly among children and adolescents. Each year, approximately 1,000 new patients are diagnosed with osteosarcoma in the United States (American Cancer Society, 2021: Key Statistics for Osteosarcoma; MDPI, Rathore et al., 2021: Pathogenesis and Current Treatment of Osteosarcoma: Perspectives for Future Therapies). We estimate that approximately 1,500 patients are diagnosed with osteosarcoma per year in Europe, assuming 3-4.5 cases per million population per year. (Nature Reviews Disease Primers, Beird et al, 2022: Osteosarcoma).</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DANYELZA for Relapsed Osteosarcoma—Current Treatment Landscape and Associated Limitations</w:t>
      </w:r>
    </w:p>
    <w:p>
      <w:pPr>
        <w:spacing w:after="0" w:line="227" w:lineRule="exact"/>
        <w:rPr>
          <w:sz w:val="20"/>
          <w:szCs w:val="20"/>
          <w:color w:val="auto"/>
        </w:rPr>
      </w:pPr>
    </w:p>
    <w:p>
      <w:pPr>
        <w:ind w:left="60" w:right="359" w:firstLine="648"/>
        <w:spacing w:after="0" w:line="258" w:lineRule="auto"/>
        <w:rPr>
          <w:sz w:val="20"/>
          <w:szCs w:val="20"/>
          <w:color w:val="auto"/>
        </w:rPr>
      </w:pPr>
      <w:r>
        <w:rPr>
          <w:rFonts w:ascii="Times New Roman" w:cs="Times New Roman" w:eastAsia="Times New Roman" w:hAnsi="Times New Roman"/>
          <w:sz w:val="18"/>
          <w:szCs w:val="18"/>
          <w:color w:val="auto"/>
        </w:rPr>
        <w:t>Current treatment options for recurrent osteosarcoma consist of surgery, chemotherapy, radiotherapy, or a combination of the three. The poor prognosis in recurrent osteosarcoma has been confirmed in several reports. Over the past three decades, attempts at improving the poor prognosis (additional chemo, biologic agents, etc.) for these patients have achieved little success. We believe at present, there are no novel compounds that have demonstrated activity in relapsed osteosarcoma and few therapeutic options exist for patients with relapsed disease.</w:t>
      </w:r>
    </w:p>
    <w:p>
      <w:pPr>
        <w:spacing w:after="0" w:line="1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DANYELZA for Relapsed Osteosarcoma—Clinical Development Program</w:t>
      </w:r>
    </w:p>
    <w:p>
      <w:pPr>
        <w:spacing w:after="0" w:line="223"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Study 15-096: A Phase 2 Study of Monoclonal Antibody Naxitamab with Granulocyte-Macrophage Colony-Stimulating Factor (GM-CSF) in the Treatment of Recurrent Osteosarcoma</w:t>
      </w:r>
    </w:p>
    <w:p>
      <w:pPr>
        <w:spacing w:after="0" w:line="159"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On November 24, 2024 MSK published an abstract at Connective Tissue Oncology Society using DANYELZA Anti-Gd2 Antibody in an ISS multi-center osteosarcoma trial (Study 15-096). Per the results of this trial, the data missed the established end point of 12-month event free survival, or EFS, of 40%. The underlying EFS response rates were as follows:</w:t>
      </w:r>
    </w:p>
    <w:p>
      <w:pPr>
        <w:spacing w:after="0" w:line="180" w:lineRule="exact"/>
        <w:rPr>
          <w:sz w:val="20"/>
          <w:szCs w:val="20"/>
          <w:color w:val="auto"/>
        </w:rPr>
      </w:pPr>
    </w:p>
    <w:p>
      <w:pPr>
        <w:ind w:left="1380" w:hanging="331"/>
        <w:spacing w:after="0"/>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population 14 out of 39 patients – 12-month EFS: 36%</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2nd CR: 37%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380" w:hanging="331"/>
        <w:spacing w:after="0"/>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3rd CR: 33%</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Looking into further association between 12-month EFS and GD2 expression</w:t>
      </w:r>
    </w:p>
    <w:p>
      <w:pPr>
        <w:spacing w:after="0" w:line="225" w:lineRule="exact"/>
        <w:rPr>
          <w:sz w:val="20"/>
          <w:szCs w:val="20"/>
          <w:color w:val="auto"/>
        </w:rPr>
      </w:pPr>
    </w:p>
    <w:p>
      <w:pPr>
        <w:ind w:left="1380" w:hanging="331"/>
        <w:spacing w:after="0"/>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of 16 GD2 positive patients (31%) were event free at 12 months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of 8 GD2 positive patients (50%) with 4+ staining intensity were event free at 12 months</w:t>
      </w:r>
    </w:p>
    <w:p>
      <w:pPr>
        <w:spacing w:after="0" w:line="225"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believe that this data shows DANYELZA’s potential to serve a high unmet need within osteosarcoma where survival rates have shown little or no improvement in decades. With the current standard of care, 12-months EFS is typically approximately 20% (as reported in various published reports). We also believe that the data supporting the use of DANYELZA for targeting GD2 is very compelling and worth further development. We are considering the advancement of a diagnostic tool for GD2, which could prove to be a valuable tool for a potential pivotal trial in this or other GD2 related indications.</w:t>
      </w:r>
    </w:p>
    <w:p>
      <w:pPr>
        <w:spacing w:after="0" w:line="183"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Study 205: A Global Randomized Pivotal Trial of Naxitamab Compared to Standard of Care in Patients with Pulmonary Only Recurrent Osteosarcoma</w:t>
      </w:r>
    </w:p>
    <w:p>
      <w:pPr>
        <w:spacing w:after="0" w:line="159"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Study 205 is a planned international multicenter randomized pivotal clinical study with naxitamab compared to Standard of Care in patients with pulmonary only recurrent osteosarcoma. Pending full evaluation of the 15-096 Study results, we will make determinations with respect to design of Study 205, and further development of naxitamab-based immunotherapy in patients with relapsed OS.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SADA PRIT Technology Platform</w:t>
      </w:r>
    </w:p>
    <w:p>
      <w:pPr>
        <w:spacing w:after="0" w:line="229"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SADA PRIT technology platform represents a two-step pre-targeting radioimmunotherapy. The radiation payload is encaged into a carrier molecule (DOTA) which in a non-clinical setting has been demonstrated specifically to bind to the DOTA binding domain of the SADA molecule. Such payload deliveries have been achieved in non-clinical </w:t>
      </w:r>
      <w:r>
        <w:rPr>
          <w:rFonts w:ascii="Times New Roman" w:cs="Times New Roman" w:eastAsia="Times New Roman" w:hAnsi="Times New Roman"/>
          <w:sz w:val="18"/>
          <w:szCs w:val="18"/>
          <w:i w:val="1"/>
          <w:iCs w:val="1"/>
          <w:color w:val="auto"/>
        </w:rPr>
        <w:t xml:space="preserve">in-vivo </w:t>
      </w:r>
      <w:r>
        <w:rPr>
          <w:rFonts w:ascii="Times New Roman" w:cs="Times New Roman" w:eastAsia="Times New Roman" w:hAnsi="Times New Roman"/>
          <w:sz w:val="18"/>
          <w:szCs w:val="18"/>
          <w:color w:val="auto"/>
        </w:rPr>
        <w:t>settings, where xenograft tumors have been shown to shrink or completely disappear, with less exposure to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tissues. No clearing agent was needed, and no significant toxicity to bone marrow, kidneys or liver tissues has been observed in the non-clinical settings. Based on non-clinical data, we believe that the SADA PRIT technology may allow for rapid clearance of the unbound compound, while maintaining target uptake, and thereby causing optimal tumor to normal tissue ratio. As SADA reflects a humanized protein structure, less immunogenicity is expected. In addition, the SADA PRIT technology appears to be modular, embracing a tumor-binding domain, a DOTA binding domain and a tetramerization domain. Hence, DOTA-modified radioactive payloads combined with different tumor-binding domains seems possible.</w:t>
      </w:r>
    </w:p>
    <w:p>
      <w:pPr>
        <w:spacing w:after="0" w:line="192" w:lineRule="exact"/>
        <w:rPr>
          <w:sz w:val="20"/>
          <w:szCs w:val="20"/>
          <w:color w:val="auto"/>
        </w:rPr>
      </w:pPr>
    </w:p>
    <w:p>
      <w:pPr>
        <w:ind w:left="60" w:right="79" w:firstLine="648"/>
        <w:spacing w:after="0" w:line="233" w:lineRule="auto"/>
        <w:rPr>
          <w:sz w:val="20"/>
          <w:szCs w:val="20"/>
          <w:color w:val="auto"/>
        </w:rPr>
      </w:pPr>
      <w:r>
        <w:rPr>
          <w:rFonts w:ascii="Times New Roman" w:cs="Times New Roman" w:eastAsia="Times New Roman" w:hAnsi="Times New Roman"/>
          <w:sz w:val="18"/>
          <w:szCs w:val="18"/>
          <w:color w:val="auto"/>
        </w:rPr>
        <w:t xml:space="preserve">We are advancing a series of antibody constructs based on the SADA PRIT technology, with the initial approach using </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Lu-DOTA as the radioactive payload (b-emitter). We have moved GD2-SADA and CD38-SADA into clinical development in Phase I clinical trials in the United States. We believe the SADA PRIT technology could potentially improve the efficacy of radiolabeled therapeutics in tumors that have not historically demonstrated meaningful responses to radiolabeled agents.</w:t>
      </w:r>
    </w:p>
    <w:p>
      <w:pPr>
        <w:spacing w:after="0" w:line="202"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GD2 SADA for potential use in GD2-positive solid tumors is our first SADA PRIT construct, and our first clinical patient dosed in April 2023 in our Phase 1, dose-escalation, single-arm, open-label, non-randomized, multicenter trial, for the treatment of certain solid tumor cancers, including SCLC, sarcomas, malignant melanoma and adult neuroblastoma. In addition, we are currently enrolling and evaluating patients for the CD38-SADA construct for the treatment of patients with relapsed or refractory NHL.</w:t>
      </w:r>
    </w:p>
    <w:p>
      <w:pPr>
        <w:spacing w:after="0" w:line="183" w:lineRule="exact"/>
        <w:rPr>
          <w:sz w:val="20"/>
          <w:szCs w:val="20"/>
          <w:color w:val="auto"/>
        </w:rPr>
      </w:pPr>
    </w:p>
    <w:p>
      <w:pPr>
        <w:ind w:left="60" w:right="739" w:firstLine="648"/>
        <w:spacing w:after="0" w:line="312" w:lineRule="auto"/>
        <w:rPr>
          <w:sz w:val="20"/>
          <w:szCs w:val="20"/>
          <w:color w:val="auto"/>
        </w:rPr>
      </w:pPr>
      <w:r>
        <w:rPr>
          <w:rFonts w:ascii="Times New Roman" w:cs="Times New Roman" w:eastAsia="Times New Roman" w:hAnsi="Times New Roman"/>
          <w:sz w:val="17"/>
          <w:szCs w:val="17"/>
          <w:color w:val="auto"/>
        </w:rPr>
        <w:t>We believe the SADA PRIT technology could potentially improve the safety and efficacy of radiolabeled therapeutics in tumors that have not historically demonstrated meaningful responses to radiolabeled agents.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GD2-SADA</w:t>
      </w:r>
    </w:p>
    <w:p>
      <w:pPr>
        <w:spacing w:after="0" w:line="229" w:lineRule="exact"/>
        <w:rPr>
          <w:sz w:val="20"/>
          <w:szCs w:val="20"/>
          <w:color w:val="auto"/>
        </w:rPr>
      </w:pPr>
    </w:p>
    <w:p>
      <w:pPr>
        <w:ind w:left="60" w:right="299" w:firstLine="648"/>
        <w:spacing w:after="0" w:line="256" w:lineRule="auto"/>
        <w:rPr>
          <w:sz w:val="20"/>
          <w:szCs w:val="20"/>
          <w:color w:val="auto"/>
        </w:rPr>
      </w:pPr>
      <w:r>
        <w:rPr>
          <w:rFonts w:ascii="Times New Roman" w:cs="Times New Roman" w:eastAsia="Times New Roman" w:hAnsi="Times New Roman"/>
          <w:sz w:val="18"/>
          <w:szCs w:val="18"/>
          <w:color w:val="auto"/>
        </w:rPr>
        <w:t>Our first SADA PRIT molecule to enter clinical development is GD2-SADA for potential use in GD2 positive solid tumors. The IND for GD2-SADA is open and we currently have seven clinical sites in the U.S are open for enrollment. The latest patient cohort, cohort 6, started to dose patients in the fourth quarter of 2024, and has expanded to include patients with HR NB (16 years of age or above). Further, we plan to submit an IND to the FDA for a Phase 1 multicenter study of GD2-SADA for the potential treatment of pediatric neuroblastoma in the first half of 2025, pending results from the 1001 study Part A described below.</w:t>
      </w:r>
    </w:p>
    <w:p>
      <w:pPr>
        <w:spacing w:after="0" w:line="187" w:lineRule="exact"/>
        <w:rPr>
          <w:sz w:val="20"/>
          <w:szCs w:val="20"/>
          <w:color w:val="auto"/>
        </w:rPr>
      </w:pPr>
    </w:p>
    <w:p>
      <w:pPr>
        <w:ind w:left="60" w:right="139" w:firstLine="648"/>
        <w:spacing w:after="0" w:line="233" w:lineRule="auto"/>
        <w:rPr>
          <w:sz w:val="20"/>
          <w:szCs w:val="20"/>
          <w:color w:val="auto"/>
        </w:rPr>
      </w:pPr>
      <w:r>
        <w:rPr>
          <w:rFonts w:ascii="Times New Roman" w:cs="Times New Roman" w:eastAsia="Times New Roman" w:hAnsi="Times New Roman"/>
          <w:sz w:val="18"/>
          <w:szCs w:val="18"/>
          <w:color w:val="auto"/>
        </w:rPr>
        <w:t xml:space="preserve">In the first human clinical Phase 1 trial (Study 1001), GD2-SADA is administered at various timepoints before administration of </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Lu-DOTA payload. The trial is composed of three serial parts. The first part addresses optimization of protein doses and spacing between SADA protein administration and payload administration. The second part addresses optimal, safe levels of payload delivery. In the third part, repeated exposures are investigated to monitor long-term safety signals.</w:t>
      </w:r>
    </w:p>
    <w:p>
      <w:pPr>
        <w:spacing w:after="0" w:line="202" w:lineRule="exact"/>
        <w:rPr>
          <w:sz w:val="20"/>
          <w:szCs w:val="20"/>
          <w:color w:val="auto"/>
        </w:rPr>
      </w:pPr>
    </w:p>
    <w:p>
      <w:pPr>
        <w:ind w:left="60" w:right="319" w:firstLine="648"/>
        <w:spacing w:after="0" w:line="289" w:lineRule="auto"/>
        <w:rPr>
          <w:sz w:val="20"/>
          <w:szCs w:val="20"/>
          <w:color w:val="auto"/>
        </w:rPr>
      </w:pPr>
      <w:r>
        <w:rPr>
          <w:rFonts w:ascii="Times New Roman" w:cs="Times New Roman" w:eastAsia="Times New Roman" w:hAnsi="Times New Roman"/>
          <w:sz w:val="17"/>
          <w:szCs w:val="17"/>
          <w:color w:val="auto"/>
        </w:rPr>
        <w:t>Patient populations to be exposed in Study 1001 include those patients with small cell lung cancer, or SCLC, melanoma, sarcomas and adult neuroblastoma. As of December 31, 2024, we have seven active treatment sites and have dosed 21 patients. We have completed dosing patients in cohorts 1 to 5, and are currently treating patients in cohort 6.</w:t>
      </w:r>
    </w:p>
    <w:p>
      <w:pPr>
        <w:spacing w:after="0" w:line="15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Overview of SCLC</w:t>
      </w:r>
    </w:p>
    <w:p>
      <w:pPr>
        <w:spacing w:after="0" w:line="227"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GD2 is highly expressed in SCLC. In addition, data for a radio-conjugated anti-GD2 monoclonal antibody (antibody 3F8, with similar scFv as GD2-SADA) demonstrated binding in 10 of 10 patients with SCLC. Lung cancer is the second most common cancer in both men and women, with an estimate of more than 200,000 new cases diagnosed annually in the United States. SCLC accounts for approximately 13% to 15% of all lung cancers. This high-grade neuroendocrine tumor is characterized by rapid growth and early development of metastases to both regional lymph nodes and distant sites, including the central nervous system. SCLC generally has a poor prognosis, and less than 5% of patients with extensive disease survive two years or more. Currently, the only approved first-line treatment approach for extensive disease, or ED, in SCLC is platinum-based chemotherapy with or without the addition of an immune checkpoint inhibitor. Second line therapies can include topotecan and lurbinectidin. There is no approved therapeutic agent for patients with progressive SCLC following second-line treatment.</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Overview of Sarcomas</w:t>
      </w:r>
    </w:p>
    <w:p>
      <w:pPr>
        <w:spacing w:after="0" w:line="227"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Sarcomas are a group of cancers which arise in the bones and connective tissue. GD2 is highly expressed in several sarcomas including osteosarcomas, soft tissue sarcomas, angiosarcomas and Ewing sarcoma. Patients with any of these types of sarcomas are eligible to be enrolled into Study 1001.</w:t>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Overview of osteosarcomas</w:t>
      </w:r>
    </w:p>
    <w:p>
      <w:pPr>
        <w:spacing w:after="0" w:line="227"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Osteosarcoma is the most common type of cancer that arises in bone, accounting for two-thirds of all bone cancer cases. Most osteosarcomas occur in children, adolescents, and young adults. The treatment approach has not changed significantly over the past three decades. Conventional treatment regimens typically include neoadjuvant chemotherapy (e.g., high-dose methotrexate, doxorubicin, cisplatin) followed by surgical resection and reconstruction (with the goal of limb salvage) and adjuvant chemotherapy.</w:t>
      </w:r>
    </w:p>
    <w:p>
      <w:pPr>
        <w:spacing w:after="0" w:line="1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Overview of soft tissue sarcoma</w:t>
      </w:r>
    </w:p>
    <w:p>
      <w:pPr>
        <w:spacing w:after="0" w:line="22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According to American Cancer Society, 2023: Key Statistics for Soft Tissue Sarcomas, the incidence of new soft tissue sarcomas is estimated to be approximately 13,590 in the United States in 2024. GD2 is highly expressed in soft tissue sarcomas. Treatment options include surgery, radiotherapy, chemotherapy, and tyrosine kinase inhibitors. Different therapeutic approaches targeting GD2 in sarcoma are in early clinical development. For patients with localized disease at diagnosis the 5-year survival rate is approximately 80%. However, this survival rate declines to only 15% for patients with metastatic disease.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Overview of angiosarcoma</w:t>
      </w:r>
    </w:p>
    <w:p>
      <w:pPr>
        <w:spacing w:after="0" w:line="227"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Angiosarcoma is an aggressive subtype of soft-tissue sarcoma. According to National Center for Biotechnology Information, Spiker et al., 2023: Angiosarcoma, it is rare, representing &lt;1% of soft-tissue sarcomas. The origin is the endothelial cell of blood or lymphatic vessels. It can affect any organ throughout the body, but the cutaneous form is the most common with the skin of the head and neck region, a frequent tumor location. Angiosarcoma can occur at any age, but the median age at diagnosis is 60-70 years. Treatment options include surgery, radiotherapy, chemotherapy, and tyrosine kinase inhibitors. The response to therapy is impacted location and size of the tumor, but generally the prognosis is poor with 5-year survival rates ranging from 12% to 35%.</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Overview of Ewing sarcoma</w:t>
      </w:r>
    </w:p>
    <w:p>
      <w:pPr>
        <w:spacing w:after="0" w:line="227" w:lineRule="exact"/>
        <w:rPr>
          <w:sz w:val="20"/>
          <w:szCs w:val="20"/>
          <w:color w:val="auto"/>
        </w:rPr>
      </w:pPr>
    </w:p>
    <w:p>
      <w:pPr>
        <w:ind w:left="60" w:right="339" w:firstLine="648"/>
        <w:spacing w:after="0" w:line="255" w:lineRule="auto"/>
        <w:rPr>
          <w:sz w:val="20"/>
          <w:szCs w:val="20"/>
          <w:color w:val="auto"/>
        </w:rPr>
      </w:pPr>
      <w:r>
        <w:rPr>
          <w:rFonts w:ascii="Times New Roman" w:cs="Times New Roman" w:eastAsia="Times New Roman" w:hAnsi="Times New Roman"/>
          <w:sz w:val="18"/>
          <w:szCs w:val="18"/>
          <w:color w:val="auto"/>
        </w:rPr>
        <w:t>Ewing sarcoma is a rare malignancy that occurs primarily in the bone or in the soft tissue around a bone. The tumor is most common in older children and adolescents, but it can occur at any age. According to American Cancer Society, 2021: Key Statistics for Ewing Tumors, Ewing sarcoma accounts for about 1% of all childhood cancers and approximately 200-250 children and adolescents in the United States are diagnosed with a tumor in the Ewing family of tumors each year. Treatment options include surgery, radiotherapy, chemotherapy, and tyrosine kinase inhibitors. The response to therapy is dependent on the stage of the tumor. The 5-year survival rates range from 81% for patients with localized disease to 38% for patients with metastatic disease.</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Overview of malignant melanoma</w:t>
      </w:r>
    </w:p>
    <w:p>
      <w:pPr>
        <w:spacing w:after="0" w:line="227"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GD2 is expressed in the majority of melanomas. Melanoma is an uncommon type of skin cancer that arises in the epidermis from melanocytes. According to Cancer Molecular Targets and Therapeutics, Nazha et al., 2020: Disialoganglioside GD2 Expression in Solid Tumors and Role as a Target for Cancer Therapy, melanoma accounts for approximately 1% of all skin cancers but accounts for approximately 75% of deaths from skin cancers. In one estimate, in 2024 by American Cancer Society, 2024: Key Statistics for Melanoma Skin Cancer, the incidence in the United States of newly diagnosed melanomas was approximately 101,000 and approximately 8,000 people were projected to die from melanoma in the United States.</w:t>
      </w:r>
    </w:p>
    <w:p>
      <w:pPr>
        <w:spacing w:after="0" w:line="18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Treatment is dependent on the extent of disease. Excision is the treatment for Stage 0 and Stage I melanomas. Sentinel lymph node biopsy, or SLNB, may be done for Stage I and Stage II disease. A positive SLNB may lead to adjuvant treatment with an immune checkpoint inhibitor or targeted drug therapy. Treatment for Stage III and Stage IV disease is based on the location and extent of disease. The primary tumor is usually excised, followed by adjuvant treatment with immune checkpoint inhibitors, high-dose interleukin-2 or targeted therapy drugs; and local treatments e.g. radiation. Immune checkpoint inhibitors include the anti-PD1 antibodies nivolumab, pembrolizumab, and the anti-CTLA-4 antibody, ipilimumab. Targeted therapies include treatments for melanoma with mutations in the BRAF gene, including vemurafenib, dabrafenib, and encorafenib. Chemotherapy may be used to treat refractory or recurrent Stage IV disease, most commonly temozolomide or Dacarbazine. Recurrent disease is treated in a similar manner to Stage IV disease.</w:t>
      </w:r>
    </w:p>
    <w:p>
      <w:pPr>
        <w:spacing w:after="0" w:line="184"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Study 1001; Phase 1 trial with GD2-SADA:177Lu-DOTA Complex, or GD2-SADA, in adult patients with recurrent or refractory metastatic solid tumors known to express GD2, including SLCA, sarcoma and malignant melanoma.</w:t>
      </w:r>
    </w:p>
    <w:p>
      <w:pPr>
        <w:spacing w:after="0" w:line="15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An estimated 60 participants will participate in the trial and we expect that this trial will initially run in the United States. The IND is open and we began activating clinical trial sites in the fourth quarter of 2022. The latest patient cohort, cohort 6, started to dose patients in the fourth quarter of 2024, and has expanded to include patients with HR NB (16 years of age or above).</w:t>
      </w:r>
    </w:p>
    <w:p>
      <w:pPr>
        <w:spacing w:after="0" w:line="180" w:lineRule="exact"/>
        <w:rPr>
          <w:sz w:val="20"/>
          <w:szCs w:val="20"/>
          <w:color w:val="auto"/>
        </w:rPr>
      </w:pPr>
    </w:p>
    <w:p>
      <w:pPr>
        <w:ind w:left="60" w:right="99" w:firstLine="648"/>
        <w:spacing w:after="0" w:line="233" w:lineRule="auto"/>
        <w:rPr>
          <w:sz w:val="20"/>
          <w:szCs w:val="20"/>
          <w:color w:val="auto"/>
        </w:rPr>
      </w:pPr>
      <w:r>
        <w:rPr>
          <w:rFonts w:ascii="Times New Roman" w:cs="Times New Roman" w:eastAsia="Times New Roman" w:hAnsi="Times New Roman"/>
          <w:sz w:val="18"/>
          <w:szCs w:val="18"/>
          <w:color w:val="auto"/>
        </w:rPr>
        <w:t xml:space="preserve">The trial is planned as a Phase 1 trial with three parts, A, B and C. Escalation in this trial will be based on a classical 3+3 trial design. Part A is a GD2-SADA dose escalation phase, in which patients will receive one treatment cycle. Part B is a </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Lu-DOTA dose escalation phase, in which patients will receive up to 2 treatment cycles. Part C is a repeated dosing phase where the doses determined in Part A and B will be administered. Patients will receive repeated treatment cycles with a maximum of 5 cycles.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Currently we are still in Part A and the trial is progressing. We had seven active sites by the end of 2024. We advanced through the first five cohorts and are currently dosing patients in cohort 6. We believe we have demonstrated proof of concept for the GD2-SADA by demonstrating that the SADA molecules can find and bind to tumors and that the radionuclide targets the SADA molecule as visualized on the SPECT/CT scans performed. It is important to note that these early data are not complete and are not necessarily indicative of the full results or ultimate success of the SADA development program trials.</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Primary Objectives</w:t>
      </w:r>
    </w:p>
    <w:p>
      <w:pPr>
        <w:spacing w:after="0" w:line="219" w:lineRule="exact"/>
        <w:rPr>
          <w:sz w:val="20"/>
          <w:szCs w:val="20"/>
          <w:color w:val="auto"/>
        </w:rPr>
      </w:pPr>
    </w:p>
    <w:p>
      <w:pPr>
        <w:ind w:left="1040" w:right="79" w:hanging="315"/>
        <w:spacing w:after="0" w:line="217"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determine the optimal, safe GD2-SADA protein dose and dosing interval between GD2-SADA and </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Lu-DOTA administrations</w:t>
      </w:r>
    </w:p>
    <w:p>
      <w:pPr>
        <w:spacing w:after="0" w:line="1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determine maximum tolerable activity of </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Lu-DOTA</w:t>
      </w:r>
    </w:p>
    <w:p>
      <w:pPr>
        <w:spacing w:after="0" w:line="14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DLTs (Part A and B)</w:t>
      </w:r>
    </w:p>
    <w:p>
      <w:pPr>
        <w:spacing w:after="0" w:line="225" w:lineRule="exact"/>
        <w:rPr>
          <w:rFonts w:ascii="Times New Roman" w:cs="Times New Roman" w:eastAsia="Times New Roman" w:hAnsi="Times New Roman"/>
          <w:sz w:val="18"/>
          <w:szCs w:val="18"/>
          <w:color w:val="auto"/>
        </w:rPr>
      </w:pPr>
    </w:p>
    <w:p>
      <w:pPr>
        <w:ind w:left="1040" w:right="75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cumulative toxicity signals and safety profile following repeated dosing and determine the recommended Phase 2 dose (RP2D)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CD38-SADA</w:t>
      </w:r>
    </w:p>
    <w:p>
      <w:pPr>
        <w:spacing w:after="0" w:line="229" w:lineRule="exact"/>
        <w:rPr>
          <w:sz w:val="20"/>
          <w:szCs w:val="20"/>
          <w:color w:val="auto"/>
        </w:rPr>
      </w:pPr>
    </w:p>
    <w:p>
      <w:pPr>
        <w:ind w:left="60" w:right="99" w:firstLine="648"/>
        <w:spacing w:after="0" w:line="230" w:lineRule="auto"/>
        <w:rPr>
          <w:sz w:val="20"/>
          <w:szCs w:val="20"/>
          <w:color w:val="auto"/>
        </w:rPr>
      </w:pPr>
      <w:r>
        <w:rPr>
          <w:rFonts w:ascii="Times New Roman" w:cs="Times New Roman" w:eastAsia="Times New Roman" w:hAnsi="Times New Roman"/>
          <w:sz w:val="18"/>
          <w:szCs w:val="18"/>
          <w:color w:val="auto"/>
        </w:rPr>
        <w:t>In October 2023, the IND for our CD38-SADA, our second SADA construct was cleared by the FDA. This trial is a first in human, dose-escalation, open-label, single-arm, multi-center trial (Study 1201) investigating the safety and tolerability of the CD38-SADA:</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Lu-DOTA Drug Complex in Relapsed or Refractory non-Hodgkin Lymphoma. We currently expect to dose the first patient in the first half of the year 2025.</w:t>
      </w:r>
    </w:p>
    <w:p>
      <w:pPr>
        <w:spacing w:after="0" w:line="198" w:lineRule="exact"/>
        <w:rPr>
          <w:sz w:val="20"/>
          <w:szCs w:val="20"/>
          <w:color w:val="auto"/>
        </w:rPr>
      </w:pPr>
    </w:p>
    <w:p>
      <w:pPr>
        <w:ind w:left="60" w:right="199" w:firstLine="648"/>
        <w:spacing w:after="0" w:line="230" w:lineRule="auto"/>
        <w:rPr>
          <w:sz w:val="20"/>
          <w:szCs w:val="20"/>
          <w:color w:val="auto"/>
        </w:rPr>
      </w:pPr>
      <w:r>
        <w:rPr>
          <w:rFonts w:ascii="Times New Roman" w:cs="Times New Roman" w:eastAsia="Times New Roman" w:hAnsi="Times New Roman"/>
          <w:sz w:val="18"/>
          <w:szCs w:val="18"/>
          <w:color w:val="auto"/>
        </w:rPr>
        <w:t xml:space="preserve">In the first in-human clinical Phase 1 trial (Study 1201), CD38-SADA will be administered at various timepoints before administration of </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Lu-DOTA payload. The trial will be composed of two serial parts. The first part addresses optimization of protein doses and spacing between SADA protein administration and payload administration. The second part seeks to identify the optimal and safe levels of the payload delivery.</w:t>
      </w:r>
    </w:p>
    <w:p>
      <w:pPr>
        <w:spacing w:after="0" w:line="1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Overview of malignant lymphoma:</w:t>
      </w:r>
    </w:p>
    <w:p>
      <w:pPr>
        <w:spacing w:after="0" w:line="227" w:lineRule="exact"/>
        <w:rPr>
          <w:sz w:val="20"/>
          <w:szCs w:val="20"/>
          <w:color w:val="auto"/>
        </w:rPr>
      </w:pPr>
    </w:p>
    <w:p>
      <w:pPr>
        <w:ind w:left="60" w:right="319" w:firstLine="648"/>
        <w:spacing w:after="0" w:line="255" w:lineRule="auto"/>
        <w:rPr>
          <w:sz w:val="20"/>
          <w:szCs w:val="20"/>
          <w:color w:val="auto"/>
        </w:rPr>
      </w:pPr>
      <w:r>
        <w:rPr>
          <w:rFonts w:ascii="Times New Roman" w:cs="Times New Roman" w:eastAsia="Times New Roman" w:hAnsi="Times New Roman"/>
          <w:sz w:val="18"/>
          <w:szCs w:val="18"/>
          <w:color w:val="auto"/>
        </w:rPr>
        <w:t>Malignant lymphoma represents a disease entity characterized by malignant transformation of the cells from lymphoid tissue. Historically, lymphomas have been divided into Hodgkin lymphoma and non-Hodgkin lymphoma, or NHL. The incidence of NHL in Western countries ranges from 10-12 per 100,000 persons while in Asia and Africa the incidence is 3-8 per 100,000 persons. In the U.S., an annual 80,470 new cases of NHL are estimated. The median age at diagnosis for most lymphomas is approximately 60-65 years, but NHL can occur at any age, including in children. In Western countries, malignant lymphoma originates from B cells in about 90% of cases and from T-cells in about 10% of cases and rarely from natural killer, or NK, cells.</w:t>
      </w:r>
    </w:p>
    <w:p>
      <w:pPr>
        <w:spacing w:after="0" w:line="189" w:lineRule="exact"/>
        <w:rPr>
          <w:sz w:val="20"/>
          <w:szCs w:val="20"/>
          <w:color w:val="auto"/>
        </w:rPr>
      </w:pPr>
    </w:p>
    <w:p>
      <w:pPr>
        <w:ind w:left="60" w:right="259" w:firstLine="648"/>
        <w:spacing w:after="0" w:line="256" w:lineRule="auto"/>
        <w:rPr>
          <w:sz w:val="20"/>
          <w:szCs w:val="20"/>
          <w:color w:val="auto"/>
        </w:rPr>
      </w:pPr>
      <w:r>
        <w:rPr>
          <w:rFonts w:ascii="Times New Roman" w:cs="Times New Roman" w:eastAsia="Times New Roman" w:hAnsi="Times New Roman"/>
          <w:sz w:val="18"/>
          <w:szCs w:val="18"/>
          <w:color w:val="auto"/>
        </w:rPr>
        <w:t>Therapy for lymphoma has predominantly been chemotherapy, often combination therapy. The introduction of immunotherapy with CD20-targeting monoclonal antibody rituximab for B cell lymphoma was one of the first immunotherapeutic approaches in cancer, which significantly improved the overall survival, or OS, especially in patients with diffuse large B cell lymphoma, or DLBCL, and follicular lymphoma, or FL. For T-cell lymphoma there have been limited treatment advances in the recent past. An immunotherapeutic approach, brentuximab vedotin, has been approved for a subset of T-cell lymphoma, namely relapsed CD30+ anaplastic large cell lymphoma.</w:t>
      </w:r>
    </w:p>
    <w:p>
      <w:pPr>
        <w:spacing w:after="0" w:line="187"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Lymphoma is known to be a radiosensitive tumor type. Curative radiation doses for patients with limited involvement at diagnosis are discussed to be much lower compared to curative doses for solid malignancies. However, most patients with NHL have disseminated disease at diagnosis limiting the use of external beam radiation to patients with NHL and bulky disease or as palliative therapy.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Study 1201; Phase 1, open-label, dose-escalation trial with CD38-SADA: 177 Lu-DOTA Drug Complex in Subjects with Relapsed or Refractory Non-Hodgkin Lymphoma</w:t>
      </w:r>
    </w:p>
    <w:p>
      <w:pPr>
        <w:spacing w:after="0" w:line="159" w:lineRule="exact"/>
        <w:rPr>
          <w:sz w:val="20"/>
          <w:szCs w:val="20"/>
          <w:color w:val="auto"/>
        </w:rPr>
      </w:pPr>
    </w:p>
    <w:p>
      <w:pPr>
        <w:ind w:left="60" w:right="139" w:firstLine="648"/>
        <w:spacing w:after="0" w:line="216" w:lineRule="auto"/>
        <w:rPr>
          <w:sz w:val="20"/>
          <w:szCs w:val="20"/>
          <w:color w:val="auto"/>
        </w:rPr>
      </w:pPr>
      <w:r>
        <w:rPr>
          <w:rFonts w:ascii="Times New Roman" w:cs="Times New Roman" w:eastAsia="Times New Roman" w:hAnsi="Times New Roman"/>
          <w:sz w:val="18"/>
          <w:szCs w:val="18"/>
          <w:color w:val="auto"/>
        </w:rPr>
        <w:t>Subjects with subtypes of B-cell and T-cell origin with CD38 positive tumor cells are eligible for the trial after having received at least two lines of therapy. We believe many eligible subjects have unmet need. The trial will investigate the safety of the CD38-SADA:</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 xml:space="preserve">Lu-DOTA drug complex at different doses of each of the 2 compounds (CD38-SADA and </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Lu-DOTA). An estimated 60 participants will participate in the trial and we expect that this trial will initially run in the United States. We are currently enrolling and evaluating patients.</w:t>
      </w:r>
    </w:p>
    <w:p>
      <w:pPr>
        <w:spacing w:after="0" w:line="1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Primary Objectives</w:t>
      </w:r>
    </w:p>
    <w:p>
      <w:pPr>
        <w:spacing w:after="0" w:line="219" w:lineRule="exact"/>
        <w:rPr>
          <w:sz w:val="20"/>
          <w:szCs w:val="20"/>
          <w:color w:val="auto"/>
        </w:rPr>
      </w:pPr>
    </w:p>
    <w:p>
      <w:pPr>
        <w:ind w:left="1040" w:right="679" w:hanging="315"/>
        <w:spacing w:after="0" w:line="217"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identify the optimal safe CD38-SADA dose, dosing interval and </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Lu-DOTA dose which enables demonstration of tumor imaging (Part A)</w:t>
      </w:r>
    </w:p>
    <w:p>
      <w:pPr>
        <w:spacing w:after="0" w:line="190" w:lineRule="exact"/>
        <w:rPr>
          <w:rFonts w:ascii="Times New Roman" w:cs="Times New Roman" w:eastAsia="Times New Roman" w:hAnsi="Times New Roman"/>
          <w:sz w:val="18"/>
          <w:szCs w:val="18"/>
          <w:color w:val="auto"/>
        </w:rPr>
      </w:pPr>
    </w:p>
    <w:p>
      <w:pPr>
        <w:ind w:left="1040" w:right="479" w:hanging="315"/>
        <w:spacing w:after="0" w:line="217"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determine the optimal tolerable activity of the </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Lu-DOTA dose and the CD38-SADA:</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Lu-DOTA Drug Complex dose (Part B)</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Omburtamab</w:t>
      </w:r>
    </w:p>
    <w:p>
      <w:pPr>
        <w:spacing w:after="0" w:line="229"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 xml:space="preserve">Omburtamab is a product candidate that we were developing as a potential treatment for patients with neuroblastoma who have developed central nervous system or leptomeningeal metastases. In November 2022 the FDA issued a complete response letter, or CRL, for the BLA for omburtamab and we subsequently deprioritized its development. In November 2024, we entered into an amendment with MSK where we agreed to return the licensed patent rights related to omburtamab, drug substance inventories and regulatory work products to MSK in order to facilitate the continued development of the project under MSK’s control and expense. We decided to stop developing a pharmaceutical product comprising the antibody omburtamab, </w:t>
      </w:r>
      <w:r>
        <w:rPr>
          <w:rFonts w:ascii="Times New Roman" w:cs="Times New Roman" w:eastAsia="Times New Roman" w:hAnsi="Times New Roman"/>
          <w:sz w:val="26"/>
          <w:szCs w:val="26"/>
          <w:color w:val="auto"/>
          <w:vertAlign w:val="superscript"/>
        </w:rPr>
        <w:t>131</w:t>
      </w:r>
      <w:r>
        <w:rPr>
          <w:rFonts w:ascii="Times New Roman" w:cs="Times New Roman" w:eastAsia="Times New Roman" w:hAnsi="Times New Roman"/>
          <w:sz w:val="18"/>
          <w:szCs w:val="18"/>
          <w:color w:val="auto"/>
        </w:rPr>
        <w:t xml:space="preserve">O-omburtamab and </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Lu-omburtamab-DTPA.</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Currently, we contract with third-party cGMP vendors for the manufacturing of our product candidates for pre-clinical studies, clinical trials and commercial supply. We do not currently own or operate any manufacturing facilities to produce clinical or commercial quantities of our product candidates. We currently have no plans to build our own clinical or commercial scale manufacturing capabilities. Although we rely on our cGMP manufacturers, we have personnel with substantial manufacturing experience to oversee our relationships with such manufacturers.</w:t>
      </w:r>
    </w:p>
    <w:p>
      <w:pPr>
        <w:spacing w:after="0" w:line="183"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Manufacturing clinical and commercial products is subject to extensive regulations that impose various procedural and documentation requirements, which govern record keeping, manufacturing processes and controls, personnel, quality control and quality assurance. Our vendors are required to comply with cGMP regulations, which are regulatory requirements enforced by the FDA and other regulatory bodies like the national competent authorities of EU Member States to assure proper design, monitoring and control of manufacturing processes and facilities for human pharmaceuticals. We have established an in-house quality assurance, or QA, function with a certified Qualified Person to perform final release of our product for both clinical and commercial supply.</w:t>
      </w:r>
    </w:p>
    <w:p>
      <w:pPr>
        <w:spacing w:after="0" w:line="189"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Our current product candidates are mainly manufactured based on well-established technology known from mAb products. These manufacturing processes involve the genetic engineering of a parental host cell line to isolate a cell that produces the target product. Once a cell line is isolated, a cell bank is produced under prescribed and documented conditions. The cell bank, preserved frozen, is tested, as required by regulations, to demonstrate that the engineered cell line is free from potentially harmful impurities and contaminants, such as viruses.</w:t>
      </w:r>
    </w:p>
    <w:p>
      <w:pPr>
        <w:spacing w:after="0" w:line="183"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drug substance is an active ingredient that is intended to furnish pharmacological activity or other direct effect in the diagnosis, cure, mitigation, treatment, or prevention of disease or to affect the structure or any function of the human body. The manufacturing process for the drug substance begins with the thaw of vials from the cell bank and growth of these cells in established media until sufficient cells are cultured to inoculate a production bioreactor. The cells in the production bioreactor are grown in chemical defined media and under controlled and monitored conditions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that stimulate the production of the antibody into the culture media. The production bioreactor is cultured for an established period and is then harvested by filtration to remove the cells from the culture media.</w:t>
      </w:r>
    </w:p>
    <w:p>
      <w:pPr>
        <w:spacing w:after="0" w:line="162"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The solution containing the product is purified through several steps to remove known process and product derived impurities. The technologies employed include ultrafiltration and column and membrane chromatography. Additional steps are performed to inactivate or remove viruses. The final step of the drug substance process adjusts the antibody concentration and produces the final formulation to be used for drug product production. The drug substance is tested to meet pre-established product specific release criteria for purity, potency and safety, and is then periodically tested to demonstrate stability upon storage as required by regulations. The drug substance is stored at prescribed temperatures, typically refrigerated or frozen.</w:t>
      </w:r>
    </w:p>
    <w:p>
      <w:pPr>
        <w:spacing w:after="0" w:line="18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drug product is produced by sterilization filtration of the drug substance solution, followed by aseptic filling into glass vials and then stoppered. The drug product is subjected to product specific release testing for purity, potency and safety according to pre-established specifications. Drug product lots are periodically tested to demonstrate stability over the established storage expiry period. The drug product is stored and shipped under temperature-controlled conditions, typically refrigerated, to sites designated for clinical trial testing, or eventually to commercial pharmaceutical logistics providers.</w:t>
      </w:r>
    </w:p>
    <w:p>
      <w:pPr>
        <w:spacing w:after="0" w:line="187"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DANYELZA is a recombinant humanized IgG1κ monoclonal antibody against GD2 expressed in Chinese Hamster Ovary, or CHO, cells. A one mL ampoule from the cell bank is used to establish material for seeding of 1,000 L fed batch bioreactor in chemical defined media with no animal derived component. After growth of the cells are completed the un-processed bulk from the bioreactor containing the DANYELZA drug substance undergoes clarification by filtration, and subsequent multi-step product purification. The DANYELZA drug substance is manufactured by Patheon Biologics B.V. in Groningen, Netherlands and the DANYELZA drug product is manufactured at Patheon Manufacturing Services LLC in Greenville, North Carolina, (both part of the Thermo Fisher Scientific Inc., group of companies) collectively Patheon/Thermo Fisher. All manufacturing activities are performed in compliance with cGMP regulations and no excipients of human or animal origin have been used. The DANYELZA drug product is filled in 10 mL ISO 10R glass vials and refrigerated. Patheon/Thermo Fisher has notified us that it intends to close its Greenville, North Carolina manufacturing facility in the second half of 2026 and transition its manufacturing activities to its site in Monza, Italy, where it expects to begin manufacturing the DANYELZA drug product, pending FDA approval of the facility. The FDA approval process for this type of manufacturing supplement usually takes 6 to 9 months. We cannot guarantee the FDA approval process for manufacturing of the DANYELZA drug product at Monza, Italy, facility will occur within the expected timeframe or at all.</w:t>
      </w:r>
    </w:p>
    <w:p>
      <w:pPr>
        <w:spacing w:after="0" w:line="196" w:lineRule="exact"/>
        <w:rPr>
          <w:sz w:val="20"/>
          <w:szCs w:val="20"/>
          <w:color w:val="auto"/>
        </w:rPr>
      </w:pPr>
    </w:p>
    <w:p>
      <w:pPr>
        <w:jc w:val="both"/>
        <w:ind w:left="60" w:right="459" w:firstLine="648"/>
        <w:spacing w:after="0" w:line="272" w:lineRule="auto"/>
        <w:rPr>
          <w:sz w:val="20"/>
          <w:szCs w:val="20"/>
          <w:color w:val="auto"/>
        </w:rPr>
      </w:pPr>
      <w:r>
        <w:rPr>
          <w:rFonts w:ascii="Times New Roman" w:cs="Times New Roman" w:eastAsia="Times New Roman" w:hAnsi="Times New Roman"/>
          <w:sz w:val="17"/>
          <w:szCs w:val="17"/>
          <w:color w:val="auto"/>
        </w:rPr>
        <w:t>We believe that Patheon/Thermo Fisher is, and after the transition of its manufacturing activities to its site in Monza, Italy, will be capable of producing sufficient quantities of drug product to support our clinical and commercial requirements for DANYELZA based on the anticipated timing of the transition provided by Patheon/Thermo Fisher.</w:t>
      </w:r>
    </w:p>
    <w:p>
      <w:pPr>
        <w:spacing w:after="0" w:line="2"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However, only the Greenville manufacturing facility is currently FDA approved to produce the DANYELZA drug product, and the Monza manufacturing facility may not receive FDA approval to produce DANYELZA on the expected timeline or at all. Should Patheon/Thermo Fisher be unable to successfully transition the manufacture of the DANYELZA drug product to its Monza site, we would be required to seek and then qualify another contract manufacturer to provide this drug product. Any such qualification process would likely result in a delay in such trials and loss of, or delayed, commercial sales. Additionally, we may be subject to higher production costs and tariffs as a result of this transfer.</w:t>
      </w:r>
    </w:p>
    <w:p>
      <w:pPr>
        <w:spacing w:after="0" w:line="190"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While we believe that Patheon/Thermo Fisher is capable of producing sufficient quantities of drug product to support our clinical and commercial supply for DANYELZA, we also believe that there are alternative third-party manufacturers that have similar capabilities that would be capable of providing sufficient quantities of drug product. However, should Patheon/Thermo Fisher not be able to provide sufficient quantities of drug product for our planned clinical trials or commercial sales, we would be required to seek and then qualify another contract manufacturer to provide this drug product, likely resulting in a delay in such trials and loss of, or delayed, commercial sales.</w:t>
      </w:r>
    </w:p>
    <w:p>
      <w:pPr>
        <w:spacing w:after="0" w:line="187"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The GD2-SADA and CD38-SADA are both tandem single-chain variable domain antibodies (scFvs) expressed in CHO cells. The drug substance is manufactured at Rentschler Biopharma SE, Laupheim, Germany, by cell culture in a</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fed batch bioreactor in chemically defined media with no animal derived component. After growth of the cells is completed the un-processed bulk from the bioreactor containing the GD2-SADA or CD38-SADA drug substance undergoes clarification by filtration, and subsequent multi-step product purification. The drug product is manufactured at Patheon/Thermo Fisher, Ferentino, Italy and is filled in 10 mL ISO 10R glass vials and refrigerated. The DOTA chemical is sourced as a GMP bulk product and is being filled into a sterile intermediate at Patheon/Thermo Fisher in Ferentino, Italy. Radiolabeling of the DOTA intermediate with Lu-177 is performed at ABX Advanced Biochemical Compounds – Biomedizinische Forschungsreagenzien GmbH, Radeberg, Germany, and final released product is delivered directly to clinical sites.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Commercialization Plan</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The sales call points for DANYELZA in the United States are highly concentrated. This enables us to effectively service our customers and call points with a small commercial organization.</w:t>
      </w:r>
    </w:p>
    <w:p>
      <w:pPr>
        <w:spacing w:after="0" w:line="162"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We have been making progress advancing the development of SADA PRIT technology initially with two product candidates, GD2-SADA and CD38-SADA, which are currently in the clinical trial stage. As the clinical trials continue and progress closer to commercialization, we anticipate growing marketing needs for SADA PRIT technology and relevant product candidates.</w:t>
      </w:r>
    </w:p>
    <w:p>
      <w:pPr>
        <w:spacing w:after="0" w:line="18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Our management team understands the complexity of rare oncological diseases and we believe we have the necessary expertise to be a true partner to patients, caregivers, and advocacy and healthcare teams leading to shared success. As we advance our product pipeline to address larger patient populations, we intend to expand our specialty sales force and continue the development of our organizational infrastructure to support the network of relevant hospitals, cancer centers, oncologists and other physicians as well as continue to provide support to patients, care givers and other healthcare providers. We plan to commercialize any potential future product candidates in the United States ourselves, and will continue to evaluate strategic collaborations in select territories in order to maximize the potential of our product and product candidates.</w:t>
      </w:r>
    </w:p>
    <w:p>
      <w:pPr>
        <w:spacing w:after="0" w:line="192"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As additional product candidates advance through our pipeline, our commercial plans may change. The size of the development programs, size of the target market, size of a commercial infrastructure, and manufacturing needs may all influence our strategies in the United States, the European Union and other parts of the world.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Commercialization Partnerships</w:t>
      </w:r>
    </w:p>
    <w:p>
      <w:pPr>
        <w:spacing w:after="0" w:line="22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After the approval of DANYELZA by the FDA, we entered a number of strategic collaborations in the form of partnerships with select companies to maximize the potential value for the Company. In November 2020, we entered into an exclusive license and distribution agreement for DANYELZA and omburtamab with Takeda Israel, a wholly owned subsidiary of Takeda Pharmaceutical Company Limited covering the State of Israel, West Bank and Gaza Strip. In September 2022, DANYELZA was approved for commercialization in Israel, and the product was launched in January 2024 in Israel. In December 2020, we entered into a distribution agreement for DANYELZA and omburtamab with Swixx BioPharma AG, or Swixx, for the Eastern European territories Bosnia &amp; Herzegovina, Bulgaria, Croatia, Czech Republic, Estonia, Hungary, Latvia, Lithuania, Poland, Romania, Russia, Serbia, Slovakia and Slovenia. In February 2025, we entered into an amendment to our agreement with Swixx to remove Russia from the covered territories. In December 2020, we entered into a license agreement for DANYELZA and omburtamab with SciClone Pharmaceuticals International Ltd., or SciClone, for Greater China, including Mainland China, Taiwan, Hong Kong and Macau. In July 2021, SciClone submitted a BLA for DANYELZA for the treatment of patients with R/R high-risk NB to the NMPA of China. The BLA was approved in December 2022, and DANYELZA was launched in June 2023 in China. In the second quarter of 2024, we received marketing authorization approval for DANYELZA in Hong Kong. In May 2021, we entered into an exclusive distribution agreement with Adium Pharma S.A., or Adium, to be the exclusive distributor in Latin America of DANYELZA and omburtamab. Adium submitted regulatory filings for DANYELZA in Brazil, Mexico and Columbia in 2022, and received approval for Brazil and Mexico in 2023. DANYELZA was launched in Brazil and Mexico in April 2024, In December 2022, we announced a distribution agreement with WEP Clinical Ltd., or WEP, in connection with an early access program for DANYELZA in Europe. In May 2024, we entered a distributor agreement with INPHARMUS İLAÇ SANAYİ TİCARET ANONİM ŞİRKETİ, or INPHARMUS, formerly TRPharm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for the named patient program distribution of DANYELZA in Turkey. In January 2025, we amended our agreement with INPHARMUS to extend the covered territories to include the Gulf Coast Countries in the Mediterranean and Persian Gulf. In October 2024, we announced a license agreement with Nobelpharma Co., Ltd., or Nobelpharma for the development and commercialization of DANYELZA in Japan.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The biotechnology and pharmaceutical industries generally, and the cancer drug sector specifically, are characterized by rapidly advancing technologies, evolving understanding of disease etiology, intense competition and a strong emphasis on intellectual property. While we believe that our product candidates and our knowledge and experience provide us with competitive advantages, we face substantial potential competition from many different sources, including large and specialty pharmaceutical and biotechnology companies, academic research institutions and governmental agencies and public and private research institutions.</w:t>
      </w:r>
    </w:p>
    <w:p>
      <w:pPr>
        <w:spacing w:after="0" w:line="18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addition to the current standard of care for patients, commercial and academic clinical trials are being pursued by a number of parties in the field of immunotherapy. Early results from these trials have fueled continued interest in immunotherapy, which is being pursued by several biotechnology companies as well as by large pharmaceutical companies. Many of our current or potential competitors, either alone or with their collaboration partners, have significantly greater financial resources and expertise in research and development, manufacturing, pre-clinical studies, conducting clinical trials,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92"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With respect to DANYELZA, which targets GD2-positive tumors, United Therapeutics Corporation, or United Therapeutics, has commercialized Unituxin® (dinutuximab), an antibody against GD2, in the United States, Canada and Japan. Although United Therapeutics has discontinued its efforts to investigate Unituxin®’s potential activity against adult cancerous tumors, it has maintained its efforts to develop a humanized version of Unituxin® and plans to develop Unituxin® within R/R NB. DANYELZA also faces competition from Qarziba® (dinutuximab beta) a similar antibody product against GD2 developed by Apeiron Biologics AG, or Apeiron. EUSA Pharma (UK) Ltd., or EUSA, has acquired global commercialization rights to Qarziba® (dinutuximab beta), and it is currently being commercialized in European Union and was approved by the European Commission to treat high-risk NB and R/R NB. In January 2020, EUSA and BeiGene Ltd., or BeiGene, announced an exclusive collaboration to commercialize Qarziba® in mainland China and in August 2021 EUSA and BeiGene announced that the China National Medical Products Administration, or NMPA, had granted Qarziba® (dinutuximab beta) conditional marketing approval for the treatment of high-risk NB and R/R NB. EUSA has previously announced plans to file for registration of dinutuximab beta in the United States for the treatment of R/R NB. EUSA was acquired by Recordati in March 2022. In addition, Renaissance Pharma Ltd in the United Kingdom announced in August 2023 a development program focused on Hu14.18, a humanized anti-GD2 monoclonal antibody, licensed from St. Jude Children’s Research Hospital for the treatment of newly diagnosed high-risk neuroblastoma. US WorldMeds received FDA approval of eflornithine hydrochloride, or DFMO, in December 2023 to reduce the risk of relapse in pediatric patients with high-risk neuroblastoma who have completed multiagent, multimodality therapy.</w:t>
      </w:r>
    </w:p>
    <w:p>
      <w:pPr>
        <w:spacing w:after="0" w:line="193"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SADA PRIT technology, where bispecific antibody fragments bind to the tumor before a radioactive payload is injected in a two-step approach faces competition from a range of companies developing comparable approaches, involving one-step, two-step or three-step models to bind antibody construct to the tumor and radiate the tumor. OncoOne Research &amp; Development GmbH, or OncoOne, is developing several constructs under their PreTarg-it® technology, which is a modular platform utilizing bispecific antibodies for delivery of payloads, where the bispecific antibody is first injected and accumulated on the tumor, while unbound antibodies are decomposed and excreted. Subsequently, a payload is administered through a second infusion and binds to the bispecific antibody in the tumor.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229" w:lineRule="exact"/>
        <w:rPr>
          <w:sz w:val="20"/>
          <w:szCs w:val="20"/>
          <w:color w:val="auto"/>
        </w:rPr>
      </w:pPr>
    </w:p>
    <w:p>
      <w:pPr>
        <w:ind w:left="60" w:right="359" w:firstLine="648"/>
        <w:spacing w:after="0" w:line="258" w:lineRule="auto"/>
        <w:rPr>
          <w:sz w:val="20"/>
          <w:szCs w:val="20"/>
          <w:color w:val="auto"/>
        </w:rPr>
      </w:pPr>
      <w:r>
        <w:rPr>
          <w:rFonts w:ascii="Times New Roman" w:cs="Times New Roman" w:eastAsia="Times New Roman" w:hAnsi="Times New Roman"/>
          <w:sz w:val="18"/>
          <w:szCs w:val="18"/>
          <w:color w:val="auto"/>
        </w:rPr>
        <w:t>The Company had product sales to certain customers that accounted for more than 10% of total net product revenue for the years ended December 31, 2024 and 2023, respectively. McKesson, Cardinal Health and Cencora accounted for 41%, 20% and 16%, respectively of the Company’s net product revenue for the year ended December 31, 2024. McKesson, Cencora, WEP and Cardinal Health accounted for 46%, 22%, 10% and 13%, respectively, of the Company’s net product revenue for the year ended December 31, 2023.</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Patent Portfolio</w:t>
      </w:r>
    </w:p>
    <w:p>
      <w:pPr>
        <w:spacing w:after="0" w:line="22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We strive to protect and enhance the proprietary technology, inventions, and improvements that we believe are commercially important to our business, including seeking, maintaining, and defending patent rights, whether developed internally or licensed from our collaborators or other third parties. Our policy is to seek to protect our proprietary position by, among other methods, filing patent applications in the United States and in jurisdictions outside of the United States related to our proprietary technology, inventions, improvements, and product candidates that are important to the development and implementation of our business. We also rely on trade secrets and know-how relating to our proprietary technology and product candidates, continuing innovation, and in-licensing opportunities to develop, strengthen, and maintain our proprietary position in the field of immunotherapy. We additionally rely on data exclusivity, market exclusivity, and patent term extensions when available, and plan to seek and rely on regulatory protection afforded through orphan drug designations. Our commercial success will depend in part on our ability to obtain and maintain patent and other proprietary protection for our technology, inventions, and improvements, whether developed internally or licensed from our collaborators or other third parties; to preserve the confidentiality of our trade secrets; to maintain our licenses to use intellectual property owned by third parties; to defend and enforce our proprietary rights, including our patents; and to operate without infringing on the valid and enforceable patents and other proprietary rights of third parties.</w:t>
      </w:r>
    </w:p>
    <w:p>
      <w:pPr>
        <w:spacing w:after="0" w:line="197"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We have in-licensed numerous patents and patent applications and substantial know-how relating to the development and commercialization of our immunotherapy product candidates, including related manufacturing processes and technology.</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December 31, 2024, our patent portfolio included:</w:t>
      </w:r>
    </w:p>
    <w:p>
      <w:pPr>
        <w:spacing w:after="0" w:line="225" w:lineRule="exact"/>
        <w:rPr>
          <w:sz w:val="20"/>
          <w:szCs w:val="20"/>
          <w:color w:val="auto"/>
        </w:rPr>
      </w:pPr>
    </w:p>
    <w:p>
      <w:pPr>
        <w:ind w:left="1040" w:right="99" w:hanging="315"/>
        <w:spacing w:after="0" w:line="25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DANYELZA patent portfolio, we have an exclusive license from MSK to MSK’s rights in three patent families. The first family consists of patents and patent applications with composition of matter claims covering humanized or chimeric antibodies or fragments thereof comprising specific sequences and capable of binding to GD2, and includes three U.S. patents, one Australian patent, two New Zealand patents, one Chinese patent, one Japanese patent, one South Korean patent, one Hong Kong patent, one Indian patent, one Canadian Patent, one Austrian Patent, one Belgic Patent, one Patent in Switzerland/Liechtenstein, one German Patent, one Danish Patent, One Spanish Patent, one French Patent, one patent in the Unted Kingdom, one Italian Patent, one Patent in the Netherlands and one pending patent application in Europe. We expect that any patents that are issued in this first family will expire in June 2031. A core U.S. patent in this family is expected to expire on June 20, 2031. An application for Patent Term Extension was filed in 2021 for this core U.S. patent. On July 31, 2024 the US-PTO issued a Notice of Final determination concluding that the patent was eligible for a PTE of 961 days which would extent the patent term until February 5, 2034. We are still awaiting the issuance of a certificate that will end the PTE application procedure. An application for Patent Term Extension was filed in 2023 for the Chinese Patent, and if granted, it is expected that it will extend the term for this Chinese Patent until June 2036. In 2024 the Guidelines for Examination for PTE applications in China entered into force and this legislation prescribed that a PTE application can first be submitted after a regular marketing approval is obtained even if a conditional approval previously was obtained for the product. Our marketing approval for DANIELZA is a conditional approval and requires the generation and submission of further clinical data before a regular marketing approval will be obtained. It was therefore decided to withdraw the pending PTE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right="159"/>
        <w:spacing w:after="0" w:line="252" w:lineRule="auto"/>
        <w:rPr>
          <w:sz w:val="20"/>
          <w:szCs w:val="20"/>
          <w:color w:val="auto"/>
        </w:rPr>
      </w:pPr>
      <w:r>
        <w:rPr>
          <w:rFonts w:ascii="Times New Roman" w:cs="Times New Roman" w:eastAsia="Times New Roman" w:hAnsi="Times New Roman"/>
          <w:sz w:val="18"/>
          <w:szCs w:val="18"/>
          <w:color w:val="auto"/>
        </w:rPr>
        <w:t>application in China and refile the application immediately after the regular marketing is obtained. It is not expected that these procedural actions will have any impact of the PTE that eventually will be granted in China. The second family consists of patents with composition of matter claims covering high affinity anti GD2 antibodies, and includes one US patent, one German patent, one French patent, one patent in United Kingdom, one Australian patent, one Japanese patent, one Russian patent, one Chinese patent, one Hong Kong patent, one Canadian patent, one South Korean patent and one Brazilian patent. We expect that any patents that issue in this second family will expire in March 2034. The third patent family consists of patent applications with method of treatment claims covering a combination treatment of neuroblastoma using an anti-GD2 antibody in combination with at least chemotherapeutic agent and at least one hematopoietic growth factor and includes one U.S. patent application and one Chinese patent application. If granted we expect that any patents granted in this family would expire in August 2039. In addition to the patent families licensed from MSK, we have one patent family assigned to Y-mAbs relating to DANYELZA. This patent family consists of patent applications with method of treatment claims covering a particular anti-GD2 antibody administration regimen designed to reduce pain experienced by the patient and includes pending patent applications in Australia, Brazil, Canada, China, Europe, India, Japan, South Korea, New Zealand, Taiwan and the United States. We expect that any patents that may issue in this family would expire in December 2042.</w:t>
      </w:r>
    </w:p>
    <w:p>
      <w:pPr>
        <w:spacing w:after="0" w:line="193" w:lineRule="exact"/>
        <w:rPr>
          <w:sz w:val="20"/>
          <w:szCs w:val="20"/>
          <w:color w:val="auto"/>
        </w:rPr>
      </w:pPr>
    </w:p>
    <w:p>
      <w:pPr>
        <w:ind w:left="1040" w:right="79" w:hanging="315"/>
        <w:spacing w:after="0" w:line="251"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DOTA PRIT or SADA patent portfolio, we have an exclusive license from MSK and MIT to MSK’s and MIT’s rights in the field of Radioimmunotherapy for the diagnosis and treatment of cancer. The license gives access to five patent families owned by MSK, one patent family owned jointly by MSK and MIT, and one patent family owned by MIT. The first patent family covers bispecific antibodies capable of binding A33 and DOTA and use thereof for the treatment of cancer. This first patent family consists of two granted patents in the United States, granted patents in the United Kingdom, France, Germany, Spain, Italy, the Netherlands, Hong Kong and Australia and pending patent applications in China, Canada, Israel and Japan. We expect that any patents granted in this first family will expire in February 2036. A core U.S. patent in this family is expected to expire on July 15, 2037. The second family covers specific bispecific antibodies binding A33 and DOTA, and the use thereof for the treatment of cancer. This second family consists of a granted patent in the United States and Eurasia, and pending applications in Australia, Canada, China, Europe, Hong Kong, Israel, Japan, India, South Korea, New Zealand and the United States. We expect that any patents granted in this second family will expire in September 2038. A core U.S. patent in this family is expected to expire on January 27, 2039. The third family covers bispecific antibodies and the use therefore in a three-step PRIT procedure comprising the use of a clearing agent. In particular the family discloses Herceptin conjugated for Pre-targeted Radioimmunotherapy and application as a theranostic product. The license for this patent family has been limited to pending applications in Europe and the United States. We expect that any patents granted in this third family will expire in March 2039. The fourth patent family covers a multimeric antibody for two-step targeting (SADA). This fourth patent family consists of a granted patent in the United States, and pending patent applications in Australia, Canada, Europe, Hong Kong and the United States. We expect that any patents granted in this fourth family will expire in May 2038. A core U.S. patent in this family is expected to expire November 26, 2038. The fifth patent family covers the use of small molecule haptens for pre-targeted radioimmunotherapy (PRIT) using DOTA and bispecific antibodies. This fifth patent family consists of granted patents in Australia, Japan and the United States, and pending patent applications in Canada, China, Europe, Hong Kong and the United States. We expect that any patents granted in this fifth family will expire in July 2038. A core U.S. patent in this family is expected to expire on July 2, 2039. The sixth patent family covers new clearing agents for DOTA PRIT. The license for this sixth patent family has been limited to an issued Patent in the United States and a pending application in Europe. We expect that any patents granted in this family will expire in July 2039. The seventh patent family owned by MIT, covers bispecific antibodies binding DOTA. This seventh patent family consists of granted patents in Belgium, France, Germany, Ireland, Italy, Spain, Switzerland, the United Kingdom and the United States. We expect that European patents in this eighth family expire in March 2030 and that the patent in the United States expires in July 2030.</w:t>
      </w:r>
    </w:p>
    <w:p>
      <w:pPr>
        <w:spacing w:after="0" w:line="200" w:lineRule="exact"/>
        <w:rPr>
          <w:rFonts w:ascii="Times New Roman" w:cs="Times New Roman" w:eastAsia="Times New Roman" w:hAnsi="Times New Roman"/>
          <w:sz w:val="18"/>
          <w:szCs w:val="18"/>
          <w:color w:val="auto"/>
        </w:rPr>
      </w:pPr>
    </w:p>
    <w:p>
      <w:pPr>
        <w:ind w:left="1040" w:right="19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additionally have an agreement with MSK to license two additional patent families related to the SADA PRIT technology. The first patent family covers anti-GD2 SADA conjugates and uses thereof,</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right="119"/>
        <w:spacing w:after="0" w:line="256" w:lineRule="auto"/>
        <w:rPr>
          <w:sz w:val="20"/>
          <w:szCs w:val="20"/>
          <w:color w:val="auto"/>
        </w:rPr>
      </w:pPr>
      <w:r>
        <w:rPr>
          <w:rFonts w:ascii="Times New Roman" w:cs="Times New Roman" w:eastAsia="Times New Roman" w:hAnsi="Times New Roman"/>
          <w:sz w:val="18"/>
          <w:szCs w:val="18"/>
          <w:color w:val="auto"/>
        </w:rPr>
        <w:t>covering use of alpha radioimmunotherapy and repeated dosing of radiolabeled DOTA-hapten. Pending patent applications exist in Australia, Canada, China, Europe, Japan and the United States. We expect that any patents that may be granted in this family will expire in May 2041. The second patent family covers new bispecific antibodies and SADA conjugates able to bind GPA33 and DOTA. Pending patent applications exist in Australia, Canada, China, Europe and in the United States. We expect that any patents that may be granted in this family will expire in November 2041.</w:t>
      </w:r>
    </w:p>
    <w:p>
      <w:pPr>
        <w:spacing w:after="0" w:line="187" w:lineRule="exact"/>
        <w:rPr>
          <w:sz w:val="20"/>
          <w:szCs w:val="20"/>
          <w:color w:val="auto"/>
        </w:rPr>
      </w:pPr>
    </w:p>
    <w:p>
      <w:pPr>
        <w:ind w:left="1040" w:right="99" w:hanging="315"/>
        <w:spacing w:after="0" w:line="261"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one patent family assigned to us, related to a humanized CD38-binding antibody and the use thereof for treatment of certain cancers. Pending patent applications exist in the United States, Europe, Australia, Brazil, Canada, China, Taiwan, Hong Kong, India, Japan, South Korea and New Zealand. We expect that any patents that may issue in this family would expire in June 2041.</w:t>
      </w:r>
    </w:p>
    <w:p>
      <w:pPr>
        <w:spacing w:after="0" w:line="179" w:lineRule="exact"/>
        <w:rPr>
          <w:rFonts w:ascii="Times New Roman" w:cs="Times New Roman" w:eastAsia="Times New Roman" w:hAnsi="Times New Roman"/>
          <w:sz w:val="18"/>
          <w:szCs w:val="18"/>
          <w:color w:val="auto"/>
        </w:rPr>
      </w:pPr>
    </w:p>
    <w:p>
      <w:pPr>
        <w:ind w:left="1040" w:right="79" w:hanging="315"/>
        <w:spacing w:after="0" w:line="261"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have one patent family, assigned to us, relating to SADA-formulations, in particular GD2-SADA formulations. Pending patent applications exist in the United States, in Europe, Australia, Brazil, Canada, China, Taiwan, India, Japan, South Korea and New Zealand. We expect that any patents that may issue in this family would expire in December 2042.</w:t>
      </w:r>
    </w:p>
    <w:p>
      <w:pPr>
        <w:spacing w:after="0" w:line="179" w:lineRule="exact"/>
        <w:rPr>
          <w:rFonts w:ascii="Times New Roman" w:cs="Times New Roman" w:eastAsia="Times New Roman" w:hAnsi="Times New Roman"/>
          <w:sz w:val="18"/>
          <w:szCs w:val="18"/>
          <w:color w:val="auto"/>
        </w:rPr>
      </w:pPr>
    </w:p>
    <w:p>
      <w:pPr>
        <w:ind w:left="1040" w:right="199" w:hanging="315"/>
        <w:spacing w:after="0" w:line="256"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further have one patent family, assigned to us, relating to scFv binding sites devoid of stabilizing disulfide bonds, that are particular useful in SADA-conjugates because it has been shown that these scFv binding sites give rise to less heterogenicity than usual scFv fragments with stabilizing disulfide bonds. Pending patent applications exist in the United States, in Europe, Australia, Brazil, Canada, China, Taiwan, India, Japan, South Korea and New Zealand. We expect that any patents that may issue in this family would expire in December 2042.</w:t>
      </w:r>
    </w:p>
    <w:p>
      <w:pPr>
        <w:spacing w:after="0" w:line="187" w:lineRule="exact"/>
        <w:rPr>
          <w:rFonts w:ascii="Times New Roman" w:cs="Times New Roman" w:eastAsia="Times New Roman" w:hAnsi="Times New Roman"/>
          <w:sz w:val="18"/>
          <w:szCs w:val="18"/>
          <w:color w:val="auto"/>
        </w:rPr>
      </w:pPr>
    </w:p>
    <w:p>
      <w:pPr>
        <w:ind w:left="1040" w:right="159" w:hanging="315"/>
        <w:spacing w:after="0" w:line="258"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one patent family, assigned to us, relating to new bispecific antibody compounds (YPRIT’s) based on natural antigen binding fragments, such as VHH fragments and Fab’s. The new bispecific antibodies may further comprise a multimerization domain. The family consists of an International Patent Application and one patent application in Taiwan. We expect that any patents that may issue in this family would expire in November 2043.</w:t>
      </w:r>
    </w:p>
    <w:p>
      <w:pPr>
        <w:spacing w:after="0" w:line="183" w:lineRule="exact"/>
        <w:rPr>
          <w:rFonts w:ascii="Times New Roman" w:cs="Times New Roman" w:eastAsia="Times New Roman" w:hAnsi="Times New Roman"/>
          <w:sz w:val="18"/>
          <w:szCs w:val="18"/>
          <w:color w:val="auto"/>
        </w:rPr>
      </w:pPr>
    </w:p>
    <w:p>
      <w:pPr>
        <w:ind w:left="1040" w:right="79" w:hanging="315"/>
        <w:spacing w:after="0" w:line="253"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huB7-H3 patent portfolio, we have an exclusive license from MSK to MSK’s rights in one patent family consisting of patents and patent applications with composition of matter claims covering antibody agents that bind specifically to protein 2Ig-B7H3 or 4Ig-B7H3, and includes one patent in the United States, one patent in Germany, one patent in Spain, one patent in France, one patent in United Kingdom, one patent in Italy, one patent in the Netherlands, one patent in Australia, one patent in China, one patent in Eurasia, one patent in Hong Kong , one patent in Japan, one patent in India, one patent in South Korea, one patent in Canada, one patent in New Zealand, one patent in Brazil and one patent in South Africa. We expect that any patents that may be issued in this family would expire in August 2035. Further, we have one patent family filed by Y-mAbs claiming B7H3 binding antibodies conjugated with chelators in specific chelator to antibody ratios. The family includes pending patent applications in the United States, Europe, China, Hong Kong and Taiwan. Any patents that may be issued in this family are expected to expire in April 2041.</w:t>
      </w:r>
    </w:p>
    <w:p>
      <w:pPr>
        <w:spacing w:after="0" w:line="191" w:lineRule="exact"/>
        <w:rPr>
          <w:rFonts w:ascii="Times New Roman" w:cs="Times New Roman" w:eastAsia="Times New Roman" w:hAnsi="Times New Roman"/>
          <w:sz w:val="18"/>
          <w:szCs w:val="18"/>
          <w:color w:val="auto"/>
        </w:rPr>
      </w:pPr>
    </w:p>
    <w:p>
      <w:pPr>
        <w:ind w:left="1040" w:right="359" w:hanging="315"/>
        <w:spacing w:after="0" w:line="258"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huB7-H3 technology we further have one patent family, assigned to us, related to new humanized B7-H3 binding antibodies having high human germline content and exhibiting strong bonding to B7-H3 antigen. In this family we have pending patent applications in Taiwan, Australia, Brazil, Canada, China, Europe, Hong Kong, India, Japan, South Korea, New Zealand and the United States. We expect that any patents that may issue in this family would expire in June 2041.</w:t>
      </w:r>
    </w:p>
    <w:p>
      <w:pPr>
        <w:spacing w:after="0" w:line="183" w:lineRule="exact"/>
        <w:rPr>
          <w:rFonts w:ascii="Times New Roman" w:cs="Times New Roman" w:eastAsia="Times New Roman" w:hAnsi="Times New Roman"/>
          <w:sz w:val="18"/>
          <w:szCs w:val="18"/>
          <w:color w:val="auto"/>
        </w:rPr>
      </w:pPr>
    </w:p>
    <w:p>
      <w:pPr>
        <w:ind w:left="1040" w:right="99" w:hanging="315"/>
        <w:spacing w:after="0" w:line="258"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Multimerization Technology patent portfolio, which inter alia relates to nivatrotamab, includes one patent family under which we have a partly exclusive license to MSK’s rights in the patent application. The license is exclusive for MSK’s rights in and to the portions of the patents in this family that claim products, such as bispecific antibodies that are also claimed by other patent rights licensed from MSK. The license also provides for non-exclusive rights to the portions of the patents in this family that claim a product that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right="239"/>
        <w:spacing w:after="0" w:line="255" w:lineRule="auto"/>
        <w:rPr>
          <w:sz w:val="20"/>
          <w:szCs w:val="20"/>
          <w:color w:val="auto"/>
        </w:rPr>
      </w:pPr>
      <w:r>
        <w:rPr>
          <w:rFonts w:ascii="Times New Roman" w:cs="Times New Roman" w:eastAsia="Times New Roman" w:hAnsi="Times New Roman"/>
          <w:sz w:val="18"/>
          <w:szCs w:val="18"/>
          <w:color w:val="auto"/>
        </w:rPr>
        <w:t>is not claimed by another patent right licensed from MSK. This family consists of patents and patent applications with composition of matter claims covering bispecific binding agents comprised of two fusion proteins, and includes a U.S. patent, one Japanese patent, one Australian patent, one German patent, one French patent, one patent in United Kingdom, one South Korean patent, one Russian patent, one patent in Canada, one Chinese patent, one patent in Hong Kong and one pending patent application in Brazil. We expect that any patents that may issue in this family would expire in March 2034. A core U.S. patent in this family is expected to expire on March 25, 2034.</w:t>
      </w:r>
    </w:p>
    <w:p>
      <w:pPr>
        <w:spacing w:after="0" w:line="189" w:lineRule="exact"/>
        <w:rPr>
          <w:sz w:val="20"/>
          <w:szCs w:val="20"/>
          <w:color w:val="auto"/>
        </w:rPr>
      </w:pPr>
    </w:p>
    <w:p>
      <w:pPr>
        <w:ind w:left="1040" w:right="139" w:hanging="315"/>
        <w:spacing w:after="0" w:line="274" w:lineRule="auto"/>
        <w:tabs>
          <w:tab w:leader="none" w:pos="10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CD33 antibody patent portfolio which includes one patent family under which we have an exclusive license from MSK to MSK’s rights in the patent application. This family consists of one patent in the United States, one patent in Eurasia, one patent in China and three pending patent applications in other jurisdictions, including Europe, Canada, and Hong Kong relating to anti Siglec 3 (CD33) antibodies generated from a specific principal investigator’s laboratory at MSK. We expect that any patents that issue in this family will expire in April 2038. A core United States patent in this family is expected to expire on November 29, 2038.</w:t>
      </w:r>
    </w:p>
    <w:p>
      <w:pPr>
        <w:spacing w:after="0" w:line="173"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lengthened by patent term adjustment, which compensates a patentee for administrative delays by the United States Patent and Trademark Office, or USPTO, in examining and granting a patent, or may be shortened if a patent is terminally disclaimed over a commonly owned patent or a patent naming a common inventor and having an earlier expiration date. The Drug Price Competition and Patent Term Restoration Act of 1984, or the Hatch-Waxman Act, permits a patent term extension of up to five years beyond the expiration date of a U.S. patent as partial compensation for the length of time the drug is under regulatory review while the patent is in force. A patent term extension cannot extend the remaining term of a patent beyond a total of 14 years from the date of product approval, only one patent applicable to each regulatory review period may be extended and only those claims covering the approved drug, a method for using it or a method for manufacturing it may be extended. We cannot provide any assurance that any patent term extension with respect to any U.S. patent will be obtained and, even if obtained, what the duration of such extension may be.</w:t>
      </w:r>
    </w:p>
    <w:p>
      <w:pPr>
        <w:spacing w:after="0" w:line="187"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Similar provisions are available in the European Union and certain other non-U.S. jurisdictions to extend the term of a patent that covers an approved drug. In the future, if and when our product candidates receive approval by the FDA or non-U.S. regulatory authorities, we expect to apply for patent term extensions on issued patents covering those products, depending upon the length of the clinical trials for each drug and other factors. The expiration dates referred to above are, unless explicitly expressed, without regard to potential patent term extension or other market exclusivity that may be available to us. However, we cannot provide any assurance that any such patent term extension of a non-U.S. patent will be obtained and, even if obtained, the duration of such extension.</w:t>
      </w:r>
    </w:p>
    <w:p>
      <w:pPr>
        <w:spacing w:after="0" w:line="189"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As for the immunotherapy products and processes we develop and commercialize, in the normal course of business, we intend to pursue, when possible, composition, method of use, dosing and formulation patent protection. We may also pursue patent protection with respect to manufacturing and drug development processes and technology.</w:t>
      </w:r>
    </w:p>
    <w:p>
      <w:pPr>
        <w:spacing w:after="0" w:line="17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effective filing date. In addition, in certain instances, a patent term can be extended to recapture a portion of the term effectively lost as a result of the FDA regulatory review period. The restoration period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effective filing date. Generally, as noted above, our in-licensed issued patents in all jurisdictions will expire on dates ranging from 2030 to 2039. If patents are issued on our pending patent applications, the resulting patents are projected to expire on dates ranging from 2034 to 2043. However, the actual protection afforded by a patent varies on a product-by-product basis, from country-to-country, and depends upon many factors, including the type of patent,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the scope of its coverage, the availability of regulatory-related extensions, the availability of legal remedies in a particular country, and the validity and enforceability of the patent.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have obtained USPTO trademark registration of the “Y-mAbs” mark, USPTO and EU trademark registration and registration in other jurisdictions of DANYELZA and certain other trademarks that we intend to use to commercialize our product candidates, as well as USPTO, EU and UK trademark registration for SADA PRIT technology. We currently rely on our registered and unregistered trademarks, trade names and service marks, as well as our domain names and logos, as appropriate, to market our brands and to build and maintain brand recognition. We are seeking to register and will continue to seek to register and renew, or secure by contract where appropriate, trademarks, trade names and service marks as they are developed and used, and reserve, register and renew domain names as appropriate.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may also rely, in some circumstances, on trade secrets to protect our technology. However, trade secrets are difficult to protect. We seek to protect our technology and product candidates, in part,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In addition, our trade secrets may otherwise become known or may be independently discovered by competitors. To the extent that our employees, contractors, consultants, collaborators, and advisors use intellectual property owned by others in their work for us, disputes may arise as to the rights in related or resulting know-how and inventions. For this and more comprehensive risks related to our intellectual property and proprietary technology, inventions, improvements and products, please see the section on “Risk Factors—Risks Related to Our Intellectual Property.”</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Material Inbound License Agreement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The MSK License Agreement</w:t>
      </w:r>
    </w:p>
    <w:p>
      <w:pPr>
        <w:spacing w:after="0" w:line="22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On August 20, 2015, we entered into the MSK License, which grants us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and cancer treatments. The MSK License is exclusive with respect to MSK rights in such patent rights and tangible materials within such know-how, and nonexclusive with respect to MSK’s rights in such know-how and related intellectual property rights. The patents and patent applications covered by the MSK License are directed, in part, to the DANYELZA and omburtamab antibody families, including humanized and chimeric antibodies, as well as MSK’s rights in BsAbs, compositions, and their respective use for immunotherapy. Upon entering into the MSK License in 2015 and in exchange for the licenses thereunder, we paid to MSK an upfront payment of $500,000, issued 1,428,500 shares of our common stock to MSK and agreed to provide certain anti-dilution rights to MSK. In addition, we are required to pay to MSK certain royalty and milestone payments.</w:t>
      </w:r>
    </w:p>
    <w:p>
      <w:pPr>
        <w:spacing w:after="0" w:line="192"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MSK License requires us to pay to MSK mid to high single-digit royalties based on annual net sales of licensed products or the performance of licensed services by us and our affiliates and sublicensees. We are required to pay annual minimum royalties of $80,000 over the royalty term, which amounts are non-refundable but are creditable against royalty payments otherwise due thereunder. We are also obligated to pay to MSK certain clinical, regulatory and sales-based milestone payments under the MSK License, which payments become due upon achievement of the related clinical, regulatory or sales-based milestones. Certain of these clinical and regulatory milestone payments become due at the earlier of completion of the related milestone activity or the date indicated in the MSK License. Total clinical and regulatory milestones potentially due under the MSK License are $2.5 million and $8.1 million, respectively. There are also sales-based milestones that become due should we achieve certain amounts of sales of licensed products resulting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from the license arrangement with MSK, with total potential sales-based milestones potentially due of $20.0 million. As product candidates progress through clinical development, regulatory approval and commercialization, certain milestone payments will come due either as a result of the milestones having been met or the passage of time even if the milestones have not been met. In addition, to the extent we enter into sublicense arrangements, we are required to pay to MSK a percentage of certain payments that we receive from sublicensees of the rights licensed to us by MSK, which percentage will be based upon the date we receive such payments or the achievement of certain clinical milestones. We have entered into sublicenses and distribution agreements related to DANYELZA and omburtamab under the MSK License with Takeda Israel, Swixx BioPharma AG and SciClone in 2020, with Adium in 2021, WEP in 2022, and INPHARMUS and Nobelpharma in 2024.</w:t>
      </w:r>
    </w:p>
    <w:p>
      <w:pPr>
        <w:spacing w:after="0" w:line="188" w:lineRule="exact"/>
        <w:rPr>
          <w:sz w:val="20"/>
          <w:szCs w:val="20"/>
          <w:color w:val="auto"/>
        </w:rPr>
      </w:pPr>
    </w:p>
    <w:p>
      <w:pPr>
        <w:ind w:left="60" w:right="79" w:firstLine="648"/>
        <w:spacing w:after="0" w:line="274" w:lineRule="auto"/>
        <w:rPr>
          <w:sz w:val="20"/>
          <w:szCs w:val="20"/>
          <w:color w:val="auto"/>
        </w:rPr>
      </w:pPr>
      <w:r>
        <w:rPr>
          <w:rFonts w:ascii="Times New Roman" w:cs="Times New Roman" w:eastAsia="Times New Roman" w:hAnsi="Times New Roman"/>
          <w:sz w:val="17"/>
          <w:szCs w:val="17"/>
          <w:color w:val="auto"/>
        </w:rPr>
        <w:t>The terms of the MSK License provide that MSK is entitled to receive 40% of the income generated from the sale of first PRV, and 33% of any income generated from the sale of any subsequent PRV or the sale of other comparable incentives provided by any non-U.S. jurisdiction. We sold the PRV received upon FDA approval of DANYELZA to United Therapeutics for $105 million. Pursuant to the agreement with MSK, we were entitled to retain 60% of the net proceeds from monetization of the PRV, and the remaining 40% was due to MSK. We received our portion of the net proceeds of from the sale of the PRV in the amount of $62.0 million when the transaction was consummated in January 2021.</w:t>
      </w:r>
    </w:p>
    <w:p>
      <w:pPr>
        <w:spacing w:after="0" w:line="173"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The MSK License will expire, on a country-by-country basis, and on a licensed-product-by-licensed-product or licensed-service-by-licensed-service basis, on the later of (i) the expiration of the last to expire of the patents and patent applications covering such licensed product or service in such country, (ii) the expiration of any market exclusivity period granted by a regulatory authority for such licensed product or service in such country, or (iii) 15 years from the first commercial sale of such licensed product or service in such country.</w:t>
      </w:r>
    </w:p>
    <w:p>
      <w:pPr>
        <w:spacing w:after="0" w:line="183"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MSK may terminate the MSK License upon prior written notice in the event of our uncured material breach, or upon prior written notice if such breach is of a payment obligation. MSK may also terminate the MSK License upon written notice in the event of our bankruptcy or insolvency or our conviction of a felony relating to the licensed products, or if we challenge the validity or enforceability of any licensed patent right. In addition, we have the right to terminate the MSK License in its entirety at will upon prior written notice to MSK, but if we have commenced the commercialization of licensed products and/or licensed services we can only terminate at will if we cease all development and commercialization of such licensed products and/or licensed services.</w:t>
      </w:r>
    </w:p>
    <w:p>
      <w:pPr>
        <w:spacing w:after="0" w:line="189"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Our failure to meet certain conditions under the MSK License could cause the related license to such licensed product to be canceled and could result in termination of the MSK License by MSK.</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The SADA License Agreement</w:t>
      </w:r>
    </w:p>
    <w:p>
      <w:pPr>
        <w:spacing w:after="0" w:line="22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On April 15, 2020, we entered into a license agreement, or the SADA License Agreement, with MSK and Massachusetts Institute of Technology, or MIT, that grants us an exclusive, worldwide, sublicensable license to certain patent and intellectual property rights developed by MSK and MIT to develop, make, and commercialize licensed products and to perform services for all therapeutic and diagnostic uses in the field of cancer diagnostics and cancer treatments using our novel SADA PRIT Technology. The patents and patent applications covered by the SADA License Agreement are directed, in part, to the SADA PRIT Technology, as well as a number of SADA PRIT constructs developed by MSK. Upon entering into the SADA License Agreement in April 2020 and in exchange for the licenses, we paid MSK and MIT a cash upfront payment and issued an aggregate of 42,900 shares of our common stock to them. We made a payment of $1.0 million to comply with the terms and conditions of the agreement in the year ended December 31, 2024. During the year ended December 31, 2023, we made another cash payment under the agreement in the amount of $0.6 million to MSK relating to the dosing of the first patient in the Phase 1 trial of GD2-SADA.</w:t>
      </w:r>
    </w:p>
    <w:p>
      <w:pPr>
        <w:spacing w:after="0" w:line="192"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The SADA License Agreement requires us to pay MSK and MIT mid to high single-digit royalties based on annual net sales of licensed products or the performance of licensed services by us and our affiliates and sublicensees. We are obligated to pay annual minimum royalties of $40,000, increasing to $60,000 once a patent has been issued, over the royalty term, commencing on the tenth anniversary of the license agreement. These amounts are non-refundable but are creditable against royalty payments otherwise due under the SADA License Agreement.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Under the SADA License, we are also obligated to pay MSK and MIT certain clinical, regulatory and sales-based milestone payments. Certain of the clinical and regulatory milestone payments become due at the earlier of completion of the related milestone activity or the date indicated in the SADA License Agreement. Total clinical and regulatory milestones potentially due under the SADA License Agreement are $4.7 million and $18.1 million respectively. There are also sales-based milestones, totaling $23.8 million, that become due should the Company achieve certain amounts of sales of licensed products. In addition, for each of the SADA PRIT constructs generated by MSK and sold for the Company by a sublicensee, the Company may pay sales milestones in the total amount up to $60.0 million based on the achievement of various cumulative net sales made by the sub-licensee. Finally, under the terms of the SADA License, MSK is entitled to receive 25% of any income generated from the sale of any PRV or the sale of other comparable incentives provided by any non-U.S. jurisdiction.</w:t>
      </w:r>
    </w:p>
    <w:p>
      <w:pPr>
        <w:spacing w:after="0" w:line="194"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Under the SADA License Agreement, we also committed to funding scientific research at MSK for up to $1.5 million over the next three years. Accordingly, in October 2020, we entered into a SADA sponsored research agreement with MSK pursuant to which we agreed to fund $1.5 million in scientific research at MSK over the next three years to related to the intellectual property licensed under the SADA License Agreement. The scientific research took place over a period that commenced in September 2020 and ended in February 2022.</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The Sponsored Research Agreement</w:t>
      </w:r>
    </w:p>
    <w:p>
      <w:pPr>
        <w:spacing w:after="0" w:line="225"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On November 10, 2015, we entered into the Sponsored Research Agreement, or the SRA, with MSK pursuant to which we committed to provide aggregate research funding to MSK for a term of five years. We amended the SRA on September 12, 2019, and it expired in September 2024.</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The Master Data Service Agreement</w:t>
      </w:r>
    </w:p>
    <w:p>
      <w:pPr>
        <w:spacing w:after="0" w:line="225"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On September 20, 2016, we entered into a Master Data Services Agreement, or the MDSA, with MSK pursuant to which we committed to make certain payments to MSK annually in exchange for certain services, including transfer of clinical data and databases, regulatory files and other know-how to us by employees at MSK who are specifically assigned to assist with such services to us.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Master Clinical Trial Agreement</w:t>
      </w:r>
    </w:p>
    <w:p>
      <w:pPr>
        <w:spacing w:after="0" w:line="22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On June 21, 2017, we entered into the Investigator-Sponsored Master Clinical Trial Agreement, or the MCTA, as later amended on October 11, 2017, with MSK pursuant to which we committed to provide aggregate funding to MSK up to a certain amount for clinical studies to be conducted at MSK. Each such clinical study will be conducted in accordance with a written plan and budget and protocol approved by the parties. Under the MCTA, we and MSK have granted each other a non-exclusive, non-transferable, worldwide, royalty-free license, without right to sublicense, to use any inventions or discoveries developed by personnel of each such party, that is within the scope of the information resulting from the relevant study, for the other party’s internal, non-commercial research purposes until such invention is commercially available. We have also been granted a first option to negotiate an exclusive or non-exclusive commercial license to MSK’s rights in inventions or discoveries developed by MSK personnel under this MCTA and a first option to negotiate an exclusive license to MSK’s rights in inventions or discoveries jointly developed by MSK and our personnel under this MCTA. The MCTA will continue in effect through completion of the studies, and may be terminated by either party upon prior written notice.</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The Core Facility Service Agreement</w:t>
      </w:r>
    </w:p>
    <w:p>
      <w:pPr>
        <w:spacing w:after="0" w:line="225"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On June 27, 2017, we entered into two separate Core Facility Service Agreements, or CFSAs, with MSK pursuant to which we committed to make certain payments to MSK in exchange for certain laboratory services over the term of the CFSAs. Either party may terminate either of these CFSAs for any reason, or for no reason, upon prior written notice. In the event of termination of either of these CFSAs, we will make full payment to MSK for all work performed on, or expenses related to the project up to the date of termination including all non-cancelable obligations following receipt from MSK of any completed or in-process deliverables in connection with the project.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Certain Agreements with Commercialization Partners</w:t>
      </w:r>
    </w:p>
    <w:p>
      <w:pPr>
        <w:spacing w:after="0" w:line="2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Since the commercial launch of DANYELZA in the United States in 2020, we have looked to expand the availability of the product into other markets. We continue to explore opportunities in additional regions across the globe to make DANYELZA available to patients in need.</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Swixx</w:t>
      </w:r>
    </w:p>
    <w:p>
      <w:pPr>
        <w:spacing w:after="0" w:line="225"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December 2020, we entered into a distribution agreement for DANYELZA and omburtamab with Swixx for the Eastern European territories Bosnia &amp; Herzegovina, Bulgaria, Croatia, Czech Republic, Estonia, Hungary, Latvia, Lithuania, Poland, Romania, Russia, Serbia, Slovakia and Slovenia. In February 2025, we entered into an amendment of our agreement with Swixx to remove Russia from the covered territories.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SciClone</w:t>
      </w:r>
    </w:p>
    <w:p>
      <w:pPr>
        <w:spacing w:after="0" w:line="22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On December 17, 2020 we entered into a License Agreement with SciClone whereby we granted SciClone, during the Term of the Agreement, an exclusive, royalty-bearing, non-transferable license, with the right to sublicense the Y-mAbs Technology (as defined therein) relating to DANYELZA and Omburtamab (the “Products”) to develop, research, use, make (Manufacture), have made, import, export, sell, offer for sale, promote, market, distribute and commercialize the Products in (i) for DANYELZA: cancer in the form of neuroblastoma and osteosarcoma and; (ii) for Omburtamab: cancer in the form of central nervous system/leptomeningeal metastases from neuroblastoma and diffuse intrinsic pontine glioma (DIPG). Since the start of the Agreement, SciClone has operated a Named Patient Program to make DANYELZA available in China prior to regulatory approval of the product. In July 2021, SciClone submitted a BLA for DANYELZA for the treatment of patients with R/R high-risk NB to the NMPA of China. The BLA was approved in December 2022, and DANYELZA was launched in June 2023 in China.</w:t>
      </w:r>
    </w:p>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Adium</w:t>
      </w:r>
    </w:p>
    <w:p>
      <w:pPr>
        <w:spacing w:after="0" w:line="225"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On May 17, 2021 we entered into a Distribution Agreement with Adium whereby we granted Adium the exclusive rights to import, use, market, sell and distribute DANYELZA and Omburtamab in Argentina, Belize, Bolivia, Brazil, Chile, Colombia, Costa Rica, Dominican Republic, Ecuador, El Salvador, Guatemala, Honduras, Mexico, Nicaragua, Panama, Paraguay, Peru, Uruguay and the Caribbean islands except Cuba and Puerto Rico. Adium submitted regulatory filings for DANYELZA in Brazil, Mexico and Columbia in 2022, and received approval for Brazil and Mexico in 2023.</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WEP</w:t>
      </w:r>
    </w:p>
    <w:p>
      <w:pPr>
        <w:spacing w:after="0" w:line="225"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On December 16, 2022, we entered into a Distribution and License Agreement with WEP in connection with an early access program for DANYELZA in Europe. There are no regulatory-based or sales-based milestone payments or royalty arrangements under this distribution agreement.</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INPHARMUS (formerly, TRPham)</w:t>
      </w:r>
    </w:p>
    <w:p>
      <w:pPr>
        <w:spacing w:after="0" w:line="225"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On May 9, 2024, we entered into a Distribution and License Agreement with INPHARMUS. Y-mAbs appointed INPHARMUS as its exclusive distributor of DANYELZA for the therapeutic use of the DANYELZA for the treatment of pediatric patients 1 year of age and older and adult patients with relapsed or refractory high-risk neuroblastoma in the bone or bone marrow in Turkey. INPHARMUS was granted exclusive license and distribution rights under relevant Y-mAbs patents and know-how owned or controlled by Y-mAbs relating to DANYELZA to import, market, sell and distribute the product under a Named Patient System (NPS) in the Territory. Y-mAbs has retained all rights to the Product outside the Territory. In January 2025, we amended our amendment with INPHARMUS to extend the territories to include the Gulf Coast Countries in the Mediterranean and Persian Gulf.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Nobelpharma</w:t>
      </w:r>
    </w:p>
    <w:p>
      <w:pPr>
        <w:spacing w:after="0" w:line="225"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On October 23, 2024, we entered into a License Agreement with DANYELZA Co, Ltd. granting DANYELZA exclusive royalty-bearing, non-transferable license to our IP and Know how to Develop, research, use, obtain and maintain the Regulatory Approval for, and to Commercialize DANYELZA in Japan for Neuroblastoma with an option for Osteosarcoma. The parties continue to work jointly on obtaining the regulatory approval of DANYELZA. Upon execution of the agreement, the Company received and recognized $2.0 million as license revenue.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and radiopharmaceuticals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 The process of obtaining regulatory approvals and the subsequent compliance with appropriate federal, state, local, and foreign statutes and regulations require the expenditure of substantial time and financial resources.</w:t>
      </w:r>
    </w:p>
    <w:p>
      <w:pPr>
        <w:spacing w:after="0" w:line="188"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The process required by the FDA before biologic and radiopharmaceutical product candidates may be marketed in the United States generally involves the following:</w:t>
      </w:r>
    </w:p>
    <w:p>
      <w:pPr>
        <w:spacing w:after="0" w:line="162" w:lineRule="exact"/>
        <w:rPr>
          <w:sz w:val="20"/>
          <w:szCs w:val="20"/>
          <w:color w:val="auto"/>
        </w:rPr>
      </w:pPr>
    </w:p>
    <w:p>
      <w:pPr>
        <w:ind w:left="1040" w:right="21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and animal studies performed in accordance with the FDA’s GLP regulation;</w:t>
      </w:r>
    </w:p>
    <w:p>
      <w:pPr>
        <w:spacing w:after="0" w:line="161" w:lineRule="exact"/>
        <w:rPr>
          <w:rFonts w:ascii="Times New Roman" w:cs="Times New Roman" w:eastAsia="Times New Roman" w:hAnsi="Times New Roman"/>
          <w:sz w:val="18"/>
          <w:szCs w:val="18"/>
          <w:color w:val="auto"/>
        </w:rPr>
      </w:pPr>
    </w:p>
    <w:p>
      <w:pPr>
        <w:ind w:left="1040" w:right="13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clinical trials may begin and must be updated annually or when significant changes are made;</w:t>
      </w:r>
    </w:p>
    <w:p>
      <w:pPr>
        <w:spacing w:after="0" w:line="161" w:lineRule="exact"/>
        <w:rPr>
          <w:rFonts w:ascii="Times New Roman" w:cs="Times New Roman" w:eastAsia="Times New Roman" w:hAnsi="Times New Roman"/>
          <w:sz w:val="18"/>
          <w:szCs w:val="18"/>
          <w:color w:val="auto"/>
        </w:rPr>
      </w:pPr>
    </w:p>
    <w:p>
      <w:pPr>
        <w:ind w:left="1040" w:right="47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or ethics committee at each clinical site before the trial is begun;</w:t>
      </w:r>
    </w:p>
    <w:p>
      <w:pPr>
        <w:spacing w:after="0" w:line="161" w:lineRule="exact"/>
        <w:rPr>
          <w:rFonts w:ascii="Times New Roman" w:cs="Times New Roman" w:eastAsia="Times New Roman" w:hAnsi="Times New Roman"/>
          <w:sz w:val="18"/>
          <w:szCs w:val="18"/>
          <w:color w:val="auto"/>
        </w:rPr>
      </w:pPr>
    </w:p>
    <w:p>
      <w:pPr>
        <w:ind w:left="1040" w:right="19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purity and potency of the proposed biologic product candidate for its intended purpose;</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 BLA after completion of all pivotal clinical trials;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225" w:lineRule="exact"/>
        <w:rPr>
          <w:rFonts w:ascii="Times New Roman" w:cs="Times New Roman" w:eastAsia="Times New Roman" w:hAnsi="Times New Roman"/>
          <w:sz w:val="18"/>
          <w:szCs w:val="18"/>
          <w:color w:val="auto"/>
        </w:rPr>
      </w:pPr>
    </w:p>
    <w:p>
      <w:pPr>
        <w:ind w:left="1040" w:right="99" w:hanging="315"/>
        <w:spacing w:after="0" w:line="261"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investigations to assess compliance with Good Clinical Practices, or GCPs; and</w:t>
      </w:r>
    </w:p>
    <w:p>
      <w:pPr>
        <w:spacing w:after="0" w:line="179"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our BLA to permit commercial marketing of the product for particular indications for use in the United States, which must be updated annually when significant changes are made.</w:t>
      </w:r>
    </w:p>
    <w:p>
      <w:pPr>
        <w:spacing w:after="0" w:line="162"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Prior to beginning the first clinical trial with a product candidate, we must submit an IND to the FDA. An IND is a request for authorization from the FDA to administer an investigational new drug product to humans. The central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88"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A clinical trial involves the administration of the investigational product to human patients under the supervision of qualified investigators in accordance with GCPs, which includes the requirement that all research patients provide their informed consent for their participation in any clinical study. Clinical trials are conducted under protocols detailing, among other things, the objectives of the study, the parameters to be used in monitoring safety and the effectiveness criteria to be evaluated. Radiopharmaceuticals raise additional environmental, health and safety concerns that apply to their acquisition, preparation, storage and disposal, which are considered by both FDA and the clinical sites pursuant to institutional good radiation safety practices. A separate submission to the existing IND must be made for each successive clinical trial conducted during product development and for any subsequent protocol amendments. Furthermore, an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patients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patients or other grounds, such as no demonstration of efficacy. There are also requirements governing the reporting of ongoing clinical studies and clinical study results to public registries.</w:t>
      </w:r>
    </w:p>
    <w:p>
      <w:pPr>
        <w:spacing w:after="0" w:line="1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For purposes of BLA approval, human clinical trials are typically conducted in three sequential phases that may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overlap.</w:t>
      </w:r>
    </w:p>
    <w:p>
      <w:pPr>
        <w:spacing w:after="0" w:line="207" w:lineRule="exact"/>
        <w:rPr>
          <w:sz w:val="20"/>
          <w:szCs w:val="20"/>
          <w:color w:val="auto"/>
        </w:rPr>
      </w:pPr>
    </w:p>
    <w:p>
      <w:pPr>
        <w:ind w:left="1040" w:right="219" w:hanging="315"/>
        <w:spacing w:after="0" w:line="256"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1—The investigational product is initially introduced into healthy human patients with the target disease or condition. In oncology, clinical Phase 1 trials are normally conducted in patients, who have been exposed to and failed/relapsed on available standard of care therapies. These studies are designed to test the safety, dosage tolerance, absorption, metabolism, dosimetry (radiation absorbed) and distribution of the investigational product in humans, the side effects associated with increasing doses, and, if possible, to gain early evidence on effectiveness.</w:t>
      </w:r>
    </w:p>
    <w:p>
      <w:pPr>
        <w:spacing w:after="0" w:line="187" w:lineRule="exact"/>
        <w:rPr>
          <w:rFonts w:ascii="Times New Roman" w:cs="Times New Roman" w:eastAsia="Times New Roman" w:hAnsi="Times New Roman"/>
          <w:sz w:val="18"/>
          <w:szCs w:val="18"/>
          <w:color w:val="auto"/>
        </w:rPr>
      </w:pPr>
    </w:p>
    <w:p>
      <w:pPr>
        <w:ind w:left="1040" w:right="159" w:hanging="315"/>
        <w:spacing w:after="0" w:line="261"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79" w:lineRule="exact"/>
        <w:rPr>
          <w:rFonts w:ascii="Times New Roman" w:cs="Times New Roman" w:eastAsia="Times New Roman" w:hAnsi="Times New Roman"/>
          <w:sz w:val="18"/>
          <w:szCs w:val="18"/>
          <w:color w:val="auto"/>
        </w:rPr>
      </w:pPr>
    </w:p>
    <w:p>
      <w:pPr>
        <w:ind w:left="1040" w:right="99" w:hanging="315"/>
        <w:spacing w:after="0" w:line="281" w:lineRule="auto"/>
        <w:tabs>
          <w:tab w:leader="none" w:pos="10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3—The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64" w:lineRule="exact"/>
        <w:rPr>
          <w:rFonts w:ascii="Times New Roman" w:cs="Times New Roman" w:eastAsia="Times New Roman" w:hAnsi="Times New Roman"/>
          <w:sz w:val="17"/>
          <w:szCs w:val="17"/>
          <w:color w:val="auto"/>
        </w:rPr>
      </w:pPr>
    </w:p>
    <w:p>
      <w:pPr>
        <w:ind w:left="1040" w:right="299" w:hanging="315"/>
        <w:spacing w:after="0" w:line="266"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some cases, the FDA may require, or companies may voluntarily pursue, additional clinical trials after a product is approved to gain more information about the product. These so-called Phase 4 studies may be made a condition to approval of our BLA.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Phase 1, Phase 2 and Phase 3 testing may not be completed successfully within a specified period, if at all, and there can be no assurance that the data collected will support FDA approval or licensure of the product.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BLA Submission and Review by the FDA</w:t>
      </w:r>
    </w:p>
    <w:p>
      <w:pPr>
        <w:spacing w:after="0" w:line="22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investigators. The submission of a BLA requires payment of a substantial User Fee to FDA, and the sponsor of an approved BLA is also subject to annual program fees. These fees are typically increased annually. A waiver of user fees may be obtained under certain limited circumstances.</w:t>
      </w:r>
    </w:p>
    <w:p>
      <w:pPr>
        <w:spacing w:after="0" w:line="194"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Once a BLA has been submitted, the FDA’s goal is to review the application within 10 months after it files the application, or, if the application relates to an unmet medical need in a serious or life-threatening indication, six months after the FDA files the application.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9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testing and approval process requires substantial time, effort and financial resources, and each may take several years to complete. The FDA may not grant approval on a timely basis, or at all, and we may encounter difficulties or unanticipated costs in our efforts to secure necessary governmental approvals, which could delay or preclude us from marketing our products. After the FDA evaluates a BLA and conducts inspections of manufacturing facilities where the product will be produced, the FDA may issue an approval letter, or a Complete Response Letter. An approval letter authorizes commercial marketing of the product with specific prescribing information for specific indications. A Complete Response Letter indicates that the review cycle of the application is complete, and the application is not ready for approval. A Complete Response Letter may request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94"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may entail limitations on the indicated uses for which such product may be marketed. For example, the FDA may approve the BLA with a Risk Evaluation and Mitigation Strategy,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79"/>
        <w:spacing w:after="0" w:line="272" w:lineRule="auto"/>
        <w:rPr>
          <w:sz w:val="20"/>
          <w:szCs w:val="20"/>
          <w:color w:val="auto"/>
        </w:rPr>
      </w:pPr>
      <w:r>
        <w:rPr>
          <w:rFonts w:ascii="Times New Roman" w:cs="Times New Roman" w:eastAsia="Times New Roman" w:hAnsi="Times New Roman"/>
          <w:sz w:val="17"/>
          <w:szCs w:val="17"/>
          <w:color w:val="auto"/>
        </w:rPr>
        <w:t>development of adequate controls and specifications. Once approved, the FDA may withdraw the product approval if compliance with pre- and post-marketing regulatory standards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 For radiopharmaceuticals, radiation-induced delayed toxicities of embryo-fetal toxicity, infertility and other toxicities may require longer follow-up and labeling with warnings and precautions. In addition, new government requirements, including those resulting from new legislation, may be established, or the FDA’s policies may change, which could delay or prevent regulatory approval of our products under development.</w:t>
      </w:r>
    </w:p>
    <w:p>
      <w:pPr>
        <w:spacing w:after="0" w:line="17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 sponsor may seek approval of its product candidate under programs designed to accelerate FDA’s review and approval of new drugs and biological products that meet certain criteria. Specifically, new drugs and biological products are eligible for fast-track designation if they are intended to treat a serious or life-threatening condition and demonstrate the potential to address an unmet medical need for the condition. For a fast-track product, the FDA may consider sections of the BLA for review on a rolling basis before the complete application is submitted if relevant criteria are met. A fast-track designated product candidate may also qualify for priority review, under which the FDA sets the target date for FDA action on the BLA at six months after the FDA files the application. Priority review is granted when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of 10 months after FDA files the application. Priority review designation does not change the scientific/medical standard for approval or the quality of evidence necessary to support approval.</w:t>
      </w:r>
    </w:p>
    <w:p>
      <w:pPr>
        <w:spacing w:after="0" w:line="192" w:lineRule="exact"/>
        <w:rPr>
          <w:sz w:val="20"/>
          <w:szCs w:val="20"/>
          <w:color w:val="auto"/>
        </w:rPr>
      </w:pPr>
    </w:p>
    <w:p>
      <w:pPr>
        <w:ind w:left="60" w:right="119" w:firstLine="648"/>
        <w:spacing w:after="0" w:line="267" w:lineRule="auto"/>
        <w:rPr>
          <w:sz w:val="20"/>
          <w:szCs w:val="20"/>
          <w:color w:val="auto"/>
        </w:rPr>
      </w:pPr>
      <w:r>
        <w:rPr>
          <w:rFonts w:ascii="Times New Roman" w:cs="Times New Roman" w:eastAsia="Times New Roman" w:hAnsi="Times New Roman"/>
          <w:sz w:val="17"/>
          <w:szCs w:val="17"/>
          <w:color w:val="auto"/>
        </w:rPr>
        <w:t>Under the accelerated approval program, the FDA may approve a BLA on the basis of either a surrogate objective that is reasonably likely to predict clinical benefit, or on a clinical objective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studies or completion of ongoing studies after marketing approval are generally required to verify the biologic’s clinical benefit in relationship to the surrogate objective or ultimate outcome in relationship to the clinical benefit. In addition,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the therapy may demonstrate substantial improvement over existing therapies on one or more clinically significant objectives, such as substantial treatment effects observed early in clinical development. Sponsors may request the FDA to designate a breakthrough therapy at the time of or any time after the submission of an IND, but ideally before an end of Phase 2 meeting with FDA.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 disciplinary review; assigning a cross 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 potentially less efficacious treatment. Breakthrough designation also allows the sponsor to file sections of the BLA for review on a rolling basis.</w:t>
      </w:r>
    </w:p>
    <w:p>
      <w:pPr>
        <w:spacing w:after="0" w:line="200" w:lineRule="exact"/>
        <w:rPr>
          <w:sz w:val="20"/>
          <w:szCs w:val="20"/>
          <w:color w:val="auto"/>
        </w:rPr>
      </w:pPr>
    </w:p>
    <w:p>
      <w:pPr>
        <w:spacing w:after="0" w:line="201"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Fast Track designation, priority review and BTD do not change the standards for approval but may expedite the development or approval process.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Orphan Drugs</w:t>
      </w:r>
    </w:p>
    <w:p>
      <w:pPr>
        <w:spacing w:after="0" w:line="229"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 intended to treat a rare disease or condition, defined as a disease or condition with either a patient population of fewer than 200,000 individuals in the United States, or a patient population greater of than 200,000 individuals in the United States when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there is no reasonable expectation that the cost of developing and making available the drug or biologic in the United States will be recovered from sales in the United States for that drug or biologic. ODD must be requested before submitting a BLA. After the FDA grants ODD, the generic identity of the therapeutic agent and its potential orphan use are disclosed publicly by the FDA.</w:t>
      </w:r>
    </w:p>
    <w:p>
      <w:pPr>
        <w:spacing w:after="0" w:line="180"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If a product that has received ODD and subsequently receives the first FDA approval for a particular active ingredient for the disease for which it has such designation, the product is entitled to orphan product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BLA application user fee.</w:t>
      </w:r>
    </w:p>
    <w:p>
      <w:pPr>
        <w:spacing w:after="0" w:line="188" w:lineRule="exact"/>
        <w:rPr>
          <w:sz w:val="20"/>
          <w:szCs w:val="20"/>
          <w:color w:val="auto"/>
        </w:rPr>
      </w:pPr>
    </w:p>
    <w:p>
      <w:pPr>
        <w:jc w:val="both"/>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Breakthrough Therapy Designation</w:t>
      </w:r>
    </w:p>
    <w:p>
      <w:pPr>
        <w:spacing w:after="0" w:line="229"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When a drug, alone or in combination with one or more other drugs, is intended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it can be granted breakthrough therapy designation. The standard for breakthrough therapy designation is not the same as the standard for drug approval, as the clinical evidence needed to support breakthrough designation is of preliminary nature.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Rare Pediatric Disease Designation</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Rare Pediatric Disease Priority Review Voucher Program, or the PRV Program, is intended to incentivize pharmaceutical companies to develop drugs for rare pediatric diseases. A company that obtains approval of an IND or a BLA for a designated rare pediatric disease may be eligible for a PRV from the FDA, which may be redeemed to obtain priority review for a subsequent new drug application or BLA by the owner of such PRV. A PRV is fully transferable and can be sold to any company, who in turn can redeem the PRV for priority review of a marketing application in six months, compared to the standard timeframe of approximately ten months. A drug that receives a RPDD before December 20, 2024 continues to be eligible for a PRV if the drug is approved before September 30, 2026. Extension beyond these dates will require further Congressional action.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user fee requirements for any marketed products, as well as new application fees for supplemental applications with clinical data.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59"/>
        <w:spacing w:after="0" w:line="274" w:lineRule="auto"/>
        <w:rPr>
          <w:sz w:val="20"/>
          <w:szCs w:val="20"/>
          <w:color w:val="auto"/>
        </w:rPr>
      </w:pPr>
      <w:r>
        <w:rPr>
          <w:rFonts w:ascii="Times New Roman" w:cs="Times New Roman" w:eastAsia="Times New Roman" w:hAnsi="Times New Roman"/>
          <w:sz w:val="17"/>
          <w:szCs w:val="17"/>
          <w:color w:val="auto"/>
        </w:rPr>
        <w:t>correction of any deviations from cGMP and impose reporting requirements upon us and any third-party manufacturers that we may decide to use. Accordingly, manufacturers must continue to spend time, money and effort in the area of production and quality control to maintain compliance with cGMP and other aspects of regulatory compliance. We cannot be certain that we or our present or future suppliers will be able to comply with the cGMP regulations and other FDA regulatory requirements. If our present or future suppliers are not able to comply with these requirements, the FDA may, among other things, halt our clinical trials, require us to recall a product from distribution, or withdraw approval of the BLA.</w:t>
      </w:r>
    </w:p>
    <w:p>
      <w:pPr>
        <w:spacing w:after="0" w:line="173"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rely, and expect to continue to rely, on third parties for the production of clinical and commercial quantities of our product candidates. Future FDA and state inspections may identify compliance issues at our facilities or at the facilities of our contract manufacturers that may disrupt production or distribution, or require substantial resources to correct. In addition, discovery of previously unknown problems with a product or the failure to comply with applicable requirements may result in restrictions on a product, manufacturer or holder of an approved BLA, including withdrawal or recall of the product from the market or other voluntary, FDA-initiated or judicial action that could delay or prohibit further marketing. 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90" w:lineRule="exact"/>
        <w:rPr>
          <w:sz w:val="20"/>
          <w:szCs w:val="20"/>
          <w:color w:val="auto"/>
        </w:rPr>
      </w:pPr>
    </w:p>
    <w:p>
      <w:pPr>
        <w:ind w:left="1040" w:right="23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studies;</w:t>
      </w:r>
    </w:p>
    <w:p>
      <w:pPr>
        <w:spacing w:after="0" w:line="225"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Regulation of Radioactive Materials</w:t>
      </w:r>
    </w:p>
    <w:p>
      <w:pPr>
        <w:spacing w:after="0" w:line="229" w:lineRule="exact"/>
        <w:rPr>
          <w:sz w:val="20"/>
          <w:szCs w:val="20"/>
          <w:color w:val="auto"/>
        </w:rPr>
      </w:pPr>
    </w:p>
    <w:p>
      <w:pPr>
        <w:ind w:left="60" w:right="299" w:firstLine="648"/>
        <w:spacing w:after="0" w:line="256" w:lineRule="auto"/>
        <w:rPr>
          <w:sz w:val="20"/>
          <w:szCs w:val="20"/>
          <w:color w:val="auto"/>
        </w:rPr>
      </w:pPr>
      <w:r>
        <w:rPr>
          <w:rFonts w:ascii="Times New Roman" w:cs="Times New Roman" w:eastAsia="Times New Roman" w:hAnsi="Times New Roman"/>
          <w:sz w:val="18"/>
          <w:szCs w:val="18"/>
          <w:color w:val="auto"/>
        </w:rPr>
        <w:t>The handling, packaging, shipping, transportation and disposal of radioactive materials is highly regulated. Biomedical waste has relatively short half-life and low radiotoxicity with low-energy isotope emitters. The nuclear pharmacies that prepare radiopharmaceutical doses for treatment must have proper and effective waste management procedures in place. Further, doctors and trial sites who handle radioactive materials must be educated on the dangers of handling hazardous substances and the proper methods of disposing radioactive or formally radioactive waste, similar to the handling of other medical and bio-wastes.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 and Compliance Requirements</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Healthcare providers and third-party payors play a primary role in the recommendation and prescription of drug products that are granted regulatory approval. Arrangements with providers, consultants, third-party payors and customers are subject to broadly applicable fraud and abuse and other healthcare laws and regulations that may constrain our business and/or financial arrangements. Such restrictions under applicable federal and state healthcare laws and regulations, include the following:</w:t>
      </w:r>
    </w:p>
    <w:p>
      <w:pPr>
        <w:spacing w:after="0" w:line="183" w:lineRule="exact"/>
        <w:rPr>
          <w:sz w:val="20"/>
          <w:szCs w:val="20"/>
          <w:color w:val="auto"/>
        </w:rPr>
      </w:pPr>
    </w:p>
    <w:p>
      <w:pPr>
        <w:ind w:left="1040" w:right="119" w:hanging="315"/>
        <w:spacing w:after="0" w:line="258"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receiving or providing remuneration (including any kickback, bribe or rebate), directly or indirectly, in cash or in kind, to induce or reward either the referral of an individual for, or the purchase, lease or order of, any good or service, for which payment may be made, in whole or in part, under a federal healthcare program such as Medicare and Medicaid;</w:t>
      </w:r>
    </w:p>
    <w:p>
      <w:pPr>
        <w:spacing w:after="0" w:line="183" w:lineRule="exact"/>
        <w:rPr>
          <w:rFonts w:ascii="Times New Roman" w:cs="Times New Roman" w:eastAsia="Times New Roman" w:hAnsi="Times New Roman"/>
          <w:sz w:val="18"/>
          <w:szCs w:val="18"/>
          <w:color w:val="auto"/>
        </w:rPr>
      </w:pPr>
    </w:p>
    <w:p>
      <w:pPr>
        <w:ind w:left="1040" w:right="139" w:hanging="315"/>
        <w:spacing w:after="0" w:line="261"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179" w:lineRule="exact"/>
        <w:rPr>
          <w:rFonts w:ascii="Times New Roman" w:cs="Times New Roman" w:eastAsia="Times New Roman" w:hAnsi="Times New Roman"/>
          <w:sz w:val="18"/>
          <w:szCs w:val="18"/>
          <w:color w:val="auto"/>
        </w:rPr>
      </w:pPr>
    </w:p>
    <w:p>
      <w:pPr>
        <w:ind w:left="1040" w:right="139" w:hanging="315"/>
        <w:spacing w:after="0" w:line="261"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additional federal criminal laws that prohibit, among other things, knowingly and willingly executing, or attempting to execute, a scheme or making false statements in connection with the delivery of or payment for health care benefits, items, or services;</w:t>
      </w:r>
    </w:p>
    <w:p>
      <w:pPr>
        <w:spacing w:after="0" w:line="179" w:lineRule="exact"/>
        <w:rPr>
          <w:rFonts w:ascii="Times New Roman" w:cs="Times New Roman" w:eastAsia="Times New Roman" w:hAnsi="Times New Roman"/>
          <w:sz w:val="18"/>
          <w:szCs w:val="18"/>
          <w:color w:val="auto"/>
        </w:rPr>
      </w:pPr>
    </w:p>
    <w:p>
      <w:pPr>
        <w:ind w:left="1040" w:right="199" w:hanging="315"/>
        <w:spacing w:after="0" w:line="258"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which also imposes obligations, including mandatory contractual terms, with respect to safeguarding the privacy, security and transmission of individually identifiable health information on covered entities and their business associates and covered contractors that perform certain functions or activities that involve the use or disclosure of protected health information on their behalf;</w:t>
      </w:r>
    </w:p>
    <w:p>
      <w:pPr>
        <w:spacing w:after="0" w:line="183" w:lineRule="exact"/>
        <w:rPr>
          <w:rFonts w:ascii="Times New Roman" w:cs="Times New Roman" w:eastAsia="Times New Roman" w:hAnsi="Times New Roman"/>
          <w:sz w:val="18"/>
          <w:szCs w:val="18"/>
          <w:color w:val="auto"/>
        </w:rPr>
      </w:pPr>
    </w:p>
    <w:p>
      <w:pPr>
        <w:ind w:left="1040" w:right="99" w:hanging="315"/>
        <w:spacing w:after="0" w:line="253"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known as the federal Physician Payments Sunshine Act, under the Patient Protection and Affordable Care Act, as amended by the Health Care Education Reconciliation Act, or collectively the ACA,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within the U.S. Department of Health and Human Services, information related to payments and other transfers of value to certain physicians (defined to include doctors, dentists, optometrists, podiatrists, and chiropractors), other healthcare providers (such as physician assistants and nurse practitioners), and teaching hospitals and information regarding ownership and investment interests held by such physicians and their immediate family members; and</w:t>
      </w:r>
    </w:p>
    <w:p>
      <w:pPr>
        <w:spacing w:after="0" w:line="194" w:lineRule="exact"/>
        <w:rPr>
          <w:rFonts w:ascii="Times New Roman" w:cs="Times New Roman" w:eastAsia="Times New Roman" w:hAnsi="Times New Roman"/>
          <w:sz w:val="18"/>
          <w:szCs w:val="18"/>
          <w:color w:val="auto"/>
        </w:rPr>
      </w:pPr>
    </w:p>
    <w:p>
      <w:pPr>
        <w:ind w:left="1040" w:right="359" w:hanging="315"/>
        <w:spacing w:after="0" w:line="266"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healthcare items or services that are reimbursed by non-governmental third-party payors, including private insurers.</w:t>
      </w:r>
    </w:p>
    <w:p>
      <w:pPr>
        <w:spacing w:after="0" w:line="176" w:lineRule="exact"/>
        <w:rPr>
          <w:sz w:val="20"/>
          <w:szCs w:val="20"/>
          <w:color w:val="auto"/>
        </w:rPr>
      </w:pPr>
    </w:p>
    <w:p>
      <w:pPr>
        <w:ind w:left="60" w:right="399" w:firstLine="648"/>
        <w:spacing w:after="0" w:line="256" w:lineRule="auto"/>
        <w:rPr>
          <w:sz w:val="20"/>
          <w:szCs w:val="20"/>
          <w:color w:val="auto"/>
        </w:rPr>
      </w:pPr>
      <w:r>
        <w:rPr>
          <w:rFonts w:ascii="Times New Roman" w:cs="Times New Roman" w:eastAsia="Times New Roman" w:hAnsi="Times New Roman"/>
          <w:sz w:val="18"/>
          <w:szCs w:val="18"/>
          <w:color w:val="auto"/>
        </w:rPr>
        <w:t>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Also, the U.S. Foreign Corrupt Practices Act and similar worldwide anti-bribery laws generally prohibit companies and their intermediaries from making improper payments to foreign officials for the purpose of obtaining or retaining business. No assurance can be given that our internal control policies and procedures will protect us from reckless or negligent acts committed by our employees, future distributors, partners, collaborators or agents. Violations of these laws, or allegations of such violations, could result in significant fines, penalties or prosecution and have a negative impact on our business, results of operations and reputation.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22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Sales of pharmaceutical products depend significantly on the availability of third-party coverage and reimbursement. Third-party payors include government health administrative authorities, managed care providers, private health insurers and other organizations. Third-party payors are increasingly challenging the price and examining the cost-effectiveness of medical products and services. In addition, significant uncertainty exists as to the reimbursement status of newly approved healthcare products. We may need to conduct expensive clinical studies to demonstrate the comparative cost-effectiveness of our products. The product candidates that we develop may not be considered cost-effective. It is time-consuming and expensive for us to seek coverage and reimbursement from third-party payors. Moreover, a payor’s decision to provide coverage for a drug product does not imply that an adequate reimbursement rate will be approved. Reimbursement may not be available or sufficient to allow us to sell our products on a competitive and profitable basis. Further,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29" w:lineRule="exact"/>
        <w:rPr>
          <w:sz w:val="20"/>
          <w:szCs w:val="20"/>
          <w:color w:val="auto"/>
        </w:rPr>
      </w:pPr>
    </w:p>
    <w:p>
      <w:pPr>
        <w:ind w:left="60" w:right="379" w:firstLine="648"/>
        <w:spacing w:after="0" w:line="261" w:lineRule="auto"/>
        <w:rPr>
          <w:sz w:val="20"/>
          <w:szCs w:val="20"/>
          <w:color w:val="auto"/>
        </w:rPr>
      </w:pPr>
      <w:r>
        <w:rPr>
          <w:rFonts w:ascii="Times New Roman" w:cs="Times New Roman" w:eastAsia="Times New Roman" w:hAnsi="Times New Roman"/>
          <w:sz w:val="18"/>
          <w:szCs w:val="18"/>
          <w:color w:val="auto"/>
        </w:rPr>
        <w:t>A primary trend in the United States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180"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In March 2010, the U.S. Congress enacted the ACA, which, among other things, includes changes to the coverage and payment for drug products under government health care programs.</w:t>
      </w:r>
    </w:p>
    <w:p>
      <w:pPr>
        <w:spacing w:after="0" w:line="162"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two percent (2%) per fiscal year, which went into effect in April 2013 and will remain in effect until 2032 unless additional Congressional action is taken.</w:t>
      </w:r>
    </w:p>
    <w:p>
      <w:pPr>
        <w:spacing w:after="0" w:line="18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Since its enactment, there have been numerous legal challenges and Congressional actions and amendments to repeal and replace provisions of the ACA. The Inflation Reduction Act of 2022, or IRA, was signed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In addition to the ACA, there will continue to be proposals by legislators at both the federal and state levels, regulators and third-party payors to keep healthcare costs down while expanding individual healthcare benefits.</w:t>
      </w:r>
    </w:p>
    <w:p>
      <w:pPr>
        <w:spacing w:after="0" w:line="189"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Further, the IRA, among other things, (i) directs HHS to negotiate the price of certain high-expenditure, single-source biologics that have been on the market for at least 11 years covered under Medicare, and subject drug</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manufacturers to civil monetary penalties and a potential excise tax by offering a price that is not equal to or less than the negotiated “maximum fair price” for such drugs and biologics under the law (the “Medicare Drug Price Negotiation Program”),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began to take effect progressively in fiscal year 2023. On August 15, 2024, HHS announced the agreed-upon price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 On December 7, 2023, an initiative to control the price of prescription drugs through the use of march-in rights under the Bayh-Dole Act was announced.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spacing w:after="0" w:line="197" w:lineRule="exact"/>
        <w:rPr>
          <w:sz w:val="20"/>
          <w:szCs w:val="20"/>
          <w:color w:val="auto"/>
        </w:rPr>
      </w:pPr>
    </w:p>
    <w:p>
      <w:pPr>
        <w:ind w:left="60" w:right="339" w:firstLine="648"/>
        <w:spacing w:after="0" w:line="256"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Further, it is possible that other healthcare reform measures may be adopted in the future, particularly in light of the recent U.S. Presidential and Congressional elections.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International Regulation</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addition to regulations in the U.S., we are subject to a variety of foreign regulations governing the clinical trials, commercial sales, and distribution of our products, including regulations in Eastern Asia, Western Europe, Latin America and Western Asia as we continue to expand DANYELZA’s footprint, and we may be subject to similar regulations in additional jurisdictions in the future. Whether or not we obtain FDA approval for a product, we must obtain approval from the comparable regulatory authorities of foreign countries before commencing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 Many countries outside of the U.S. have a similar process that requires the submission of a clinical study application prior to the commencement of human clinical studies. To obtain regulatory approval of a biological medicinal product under EU regulatory systems, we must submit a marketing authorization application.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Culture</w:t>
      </w:r>
    </w:p>
    <w:p>
      <w:pPr>
        <w:spacing w:after="0" w:line="22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We believe the success of the company depends on our ability to continue to attract, retain and motivate qualified employees. We seek to meet this objective by offering competitive compensation and benefits packages in our expanding organization, with opportunities for our employees to thrive, grow and develop in their careers. We hold our employees to high ethical performance standards and our compensation plans include, as applicable, equity and cash compensation components designed to enable us to offer competitive base pay and attractive incentive schemes.</w:t>
      </w:r>
    </w:p>
    <w:p>
      <w:pPr>
        <w:spacing w:after="0" w:line="183"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We look to hire and retain a highly qualified workforce in compliance with applicable federal and other laws and regulations. As of December 31, 2024, we had 107 full-time employees. Of these, 64 were employed in research and development roles, 19 were employed in commercial roles and 24 were employed within general and administration. Following the implementation of our recently announced business realignment plan, we expect to have 93 full-time employees.</w:t>
      </w:r>
    </w:p>
    <w:p>
      <w:pPr>
        <w:spacing w:after="0" w:line="183"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The members of our management team are employed by both our company and Y-mAbs Therapeutics A/S, our wholly owned Danish subsidiary. None of our employees are represented by labor unions or covered by collective bargaining agreements. We consider our relationship with our employees to be good.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Commitment to our Environmental, Social and Governance</w:t>
      </w:r>
    </w:p>
    <w:p>
      <w:pPr>
        <w:spacing w:after="0" w:line="22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Environmental, Social, and Governance, or ESG, considerations are integral to our corporate strategy and operational decision-making. We recognize our responsibilities extend beyond financial performance, encompassing a broader commitment to the communities we serve, the environment we share, and the governance structures that guide our actions.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Environmental Stewardship</w:t>
      </w:r>
    </w:p>
    <w:p>
      <w:pPr>
        <w:spacing w:after="0" w:line="225" w:lineRule="exact"/>
        <w:rPr>
          <w:sz w:val="20"/>
          <w:szCs w:val="20"/>
          <w:color w:val="auto"/>
        </w:rPr>
      </w:pPr>
    </w:p>
    <w:p>
      <w:pPr>
        <w:ind w:left="60" w:right="119" w:firstLine="648"/>
        <w:spacing w:after="0" w:line="273" w:lineRule="auto"/>
        <w:rPr>
          <w:sz w:val="20"/>
          <w:szCs w:val="20"/>
          <w:color w:val="auto"/>
        </w:rPr>
      </w:pPr>
      <w:r>
        <w:rPr>
          <w:rFonts w:ascii="Times New Roman" w:cs="Times New Roman" w:eastAsia="Times New Roman" w:hAnsi="Times New Roman"/>
          <w:sz w:val="17"/>
          <w:szCs w:val="17"/>
          <w:color w:val="auto"/>
        </w:rPr>
        <w:t>Our headquarters are located at 202 Carnegie Center in Princeton, NJ, which is developed, owned and managed by Boston Properties, or BXP, who have a commitment to the sustainability. This property features the wildlife habitat programs to maintain and increase the biodiversity. Additional opportunities to enhance the natural landscape of the campus include creating wetland buffers, installing bird boxes, and planting more native trees and shrubs. Additionally, we maintain a waste management program to separate compostables and recyclables from other trash and to reduce waste. In addition, we audit our suppliers on a regular basis to ensure they are in compliance with local environmental requirements. These efforts not only contribute to the health of our planet but also enhance our operational efficiency and resilience.</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Social Responsibility</w:t>
      </w:r>
    </w:p>
    <w:p>
      <w:pPr>
        <w:spacing w:after="0" w:line="225" w:lineRule="exact"/>
        <w:rPr>
          <w:sz w:val="20"/>
          <w:szCs w:val="20"/>
          <w:color w:val="auto"/>
        </w:rPr>
      </w:pPr>
    </w:p>
    <w:p>
      <w:pPr>
        <w:jc w:val="both"/>
        <w:ind w:left="60" w:right="559" w:firstLine="648"/>
        <w:spacing w:after="0" w:line="266" w:lineRule="auto"/>
        <w:rPr>
          <w:sz w:val="20"/>
          <w:szCs w:val="20"/>
          <w:color w:val="auto"/>
        </w:rPr>
      </w:pPr>
      <w:r>
        <w:rPr>
          <w:rFonts w:ascii="Times New Roman" w:cs="Times New Roman" w:eastAsia="Times New Roman" w:hAnsi="Times New Roman"/>
          <w:sz w:val="18"/>
          <w:szCs w:val="18"/>
          <w:color w:val="auto"/>
        </w:rPr>
        <w:t>Our social commitments are focused on fostering a diverse, inclusive, and equitable workplace where every employee feels valued and respected. We extend our social responsibility to the communities in which we operate by supporting local initiatives.</w:t>
      </w:r>
    </w:p>
    <w:p>
      <w:pPr>
        <w:spacing w:after="0" w:line="176"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During 2024, we supported several organizations, sponsored programming and made donations as part of our integrated approach to impacting the communities in which we work and live and the patients we seek to impact through our work. The organizations that we supported and contributed to in 2024 included science and technology organizations and charitable organizations supporting patients with pediatric neuroblastoma diseases, including EVAN Foundation, where we support their College Scholarship program and Treats and Treasures program, and the Children’s Neuroblastoma Cancer Foundation, where we support the CNCF Parent Education Conference. We also provide support to other organizations such as Coalition Against Childhood Cancer Foundation, Isabella Santos Foundation, A Moment of Magic Foundation, Arms Wide Open Foundation and MIB Agents.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Governance and Ethics</w:t>
      </w:r>
    </w:p>
    <w:p>
      <w:pPr>
        <w:spacing w:after="0" w:line="225" w:lineRule="exact"/>
        <w:rPr>
          <w:sz w:val="20"/>
          <w:szCs w:val="20"/>
          <w:color w:val="auto"/>
        </w:rPr>
      </w:pPr>
    </w:p>
    <w:p>
      <w:pPr>
        <w:ind w:left="60" w:right="159" w:firstLine="648"/>
        <w:spacing w:after="0" w:line="274" w:lineRule="auto"/>
        <w:rPr>
          <w:sz w:val="20"/>
          <w:szCs w:val="20"/>
          <w:color w:val="auto"/>
        </w:rPr>
      </w:pPr>
      <w:r>
        <w:rPr>
          <w:rFonts w:ascii="Times New Roman" w:cs="Times New Roman" w:eastAsia="Times New Roman" w:hAnsi="Times New Roman"/>
          <w:sz w:val="17"/>
          <w:szCs w:val="17"/>
          <w:color w:val="auto"/>
        </w:rPr>
        <w:t>As noted above, our mission is to become a global leader in developing better and safer radioimmunotherapy and antibody-based oncology therapies addressing clear unmet medical needs and, as such, have a transformational impact on the lives of patients. We intend to advance and expand our pipeline of therapeutic and diagnostic candidates into select adult and pediatric cancer indications either independently or in collaboration with potential partners. As we work towards our mission, we are committed to providing employees with a meaningful career journey and a respectful culture where they can do their best work while channeling their intellect and energy to make a difference and improve lives.</w:t>
      </w:r>
    </w:p>
    <w:p>
      <w:pPr>
        <w:spacing w:after="0" w:line="173"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Over the past few years, several internal initiatives have been created to improve organizational health, including, but not limited to, the introduction of a performance review process emphasizing personal career growth, and quarterly townhall meetings with senior leaderships.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We were incorporated in Delaware on April 30, 2015. Our principal executive offices are located at 202 Carnegie Center, Suite 301, Princeton, New Jersey, 08540, and our telephone number is (646) 885-8505. Our website address is www.ymabs.com.</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make available, free of charge on our website, our Annual Report on Form 10-K, Quarterly Reports on Form 10-Q, current reports on Form 8-K and all amendments to those reports filed or furnished with the SEC pursuant to Section 13(a) or 15(d) of the Securities Exchange Act of 1934, as amended, as soon as reasonably practicable after we electronically file such material with, or furnish it to, the Securities and Exchange Commission, or SEC. The information contained on, or accessible through, our website is not incorporated by reference into this Annual Report on Form 10-K, and you should not consider any information contained in, or that can be accessed through, our website as part of this Annual Report on Form 10-K or in deciding whether to purchase our common stock.</w:t>
      </w:r>
    </w:p>
    <w:p>
      <w:pPr>
        <w:spacing w:after="0" w:line="189"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We use our website https://ymabs.com/ as a channel of distribution of material company information. For example, financial and other material information regarding our company is routinely posted on and accessible on our website. Accordingly, investors should monitor this channel, in addition to following our press releases, SEC filings and public conference calls and webcasts. The contents of our website are not, however, a part of this Annual Report on Form 10-K and are not incorporated by reference herein.</w:t>
      </w:r>
    </w:p>
    <w:p>
      <w:pPr>
        <w:spacing w:after="0" w:line="395"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Our business is subject to numerous risks. You should carefully consider the risks and uncertainties described below together with all of the other information contained in this Annual Report on Form 10-K, including our audited consolidated financial statements and the related notes. Additional risks and uncertainties that we are unaware of, or that we currently believe are not material, may also become important factors that affect us. If any of the following risks occur, our business, financial condition, results of operations and future growth prospects could be materially and adversely affected. In such event, the trading price of our common stock could decline and you might lose all or part of your investment.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Need for Additional Capital</w:t>
      </w:r>
    </w:p>
    <w:p>
      <w:pPr>
        <w:spacing w:after="0" w:line="225"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Our only product approved for sale is DANYELZA. We expect to incur significant losses for the foreseeable future. We may never achieve or maintain profitability, which may cause the market value of our common stock to decline significantly.</w:t>
      </w:r>
    </w:p>
    <w:p>
      <w:pPr>
        <w:spacing w:after="0" w:line="175" w:lineRule="exact"/>
        <w:rPr>
          <w:sz w:val="20"/>
          <w:szCs w:val="20"/>
          <w:color w:val="auto"/>
        </w:rPr>
      </w:pPr>
    </w:p>
    <w:p>
      <w:pPr>
        <w:ind w:left="100" w:right="439" w:firstLine="583"/>
        <w:spacing w:after="0" w:line="274" w:lineRule="auto"/>
        <w:rPr>
          <w:sz w:val="20"/>
          <w:szCs w:val="20"/>
          <w:color w:val="auto"/>
        </w:rPr>
      </w:pPr>
      <w:r>
        <w:rPr>
          <w:rFonts w:ascii="Times New Roman" w:cs="Times New Roman" w:eastAsia="Times New Roman" w:hAnsi="Times New Roman"/>
          <w:sz w:val="18"/>
          <w:szCs w:val="18"/>
          <w:color w:val="auto"/>
        </w:rPr>
        <w:t>Since our inception in 2015, we have incurred significant losses each year. As of December 31, 2024 our accumulated deficit was approximately $487.1 million. We have financed our operations principally through private placements, the initial public offering of our common stock in 2018 as well as subsequent public offerings of our common stock in November 2019 and February 2021, the proceeds from the sales of DANYELZA and the sale of the priority review voucher, or PRV, granted to us upon FDA approval of DANYELZA.</w:t>
      </w:r>
    </w:p>
    <w:p>
      <w:pPr>
        <w:spacing w:after="0" w:line="182"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On November 25, 2020, DANYELZA was approved by the FDA for the treatment, in combination with GM-CSF, of pediatric patients one year of age and older and adult patients with relapsed/refractory, or R/R, high-risk neuroblastoma, or NB, in the bone or bone marrow who have demonstrated a partial response, minor response, or stable disease to prior therapy.</w:t>
      </w:r>
    </w:p>
    <w:p>
      <w:pPr>
        <w:spacing w:after="0" w:line="18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Although in May 2022 our biologic license application, or BLA, for omburtamab was accepted for priority review by the FDA, in November 2022 the FDA issued a complete response letter, or CRL, for the BLA for omburtamab. As part of our strategic restructuring plan announced in January 2023, we deprioritized the omburtamab program for all indications, which was ultimately stopped in November 2024 in connection with an amendment to our license agreement with MSK.</w:t>
      </w:r>
    </w:p>
    <w:p>
      <w:pPr>
        <w:spacing w:after="0" w:line="183"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Our research and development efforts are now focused on using SADA PRIT technology to advance a series of antibody constructs, using a two-step pre-targeting approach. The antibody fragments bind to the tumor before a radioactive payload is subsequently injected. The aim is specifically to deliver the radioactive payload to the tumor while minimizing exposure to healthy tissue.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GD2-SADA for use in GD2-positive solid tumors is our first investigational SADA PRIT construct. We are still in the early stages of development of this product candidate and it may have toxicities or lack of efficacy that prohibit further development or preclude its approval.</w:t>
      </w:r>
    </w:p>
    <w:p>
      <w:pPr>
        <w:spacing w:after="0" w:line="176"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We are still in the early stages of development of the SADA PRIT technology platform. We may not be successful in our efforts to use the SADA PRIT Technology to build any product candidates. Our investment in developing the SADA PRIT Technology may contribute to the risk that we may never achieve profitability.</w:t>
      </w:r>
    </w:p>
    <w:p>
      <w:pPr>
        <w:spacing w:after="0" w:line="176"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Our other product candidates are in the early stages of clinical development or pre-clinical research. As a result, we expect that it will be a number of years, if ever, before we have any of these other product candidates approved and ready for commercialization.</w:t>
      </w:r>
    </w:p>
    <w:p>
      <w:pPr>
        <w:spacing w:after="0" w:line="176"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We expect to continue to incur significant expenses and operating losses for the foreseeable future. The net losses we incur fluctuate significantly from quarter to quarter. Our only product approved for sale is DANYELZA, which received FDA accelerated approval on November 25, 2020. We began limited sales and shipments of DANYELZA in February 2021 and the revenue generated from product sales does not fully fund our operating expenses. We do not anticipate generating revenue that will fully fund our operating expenses for a period of time, if ever. No assurance can be given that we will ever receive regulatory approval for any of our product candidates other than DANYELZA. Our ability to generate revenue and achieve profitability depends significantly on our success in many factors, including:</w:t>
      </w:r>
    </w:p>
    <w:p>
      <w:pPr>
        <w:spacing w:after="0" w:line="189" w:lineRule="exact"/>
        <w:rPr>
          <w:sz w:val="20"/>
          <w:szCs w:val="20"/>
          <w:color w:val="auto"/>
        </w:rPr>
      </w:pPr>
    </w:p>
    <w:p>
      <w:pPr>
        <w:ind w:left="1040" w:right="579" w:hanging="315"/>
        <w:spacing w:after="0" w:line="282"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market acceptance of DANYELZA and increasing our share of the total addressable patient population for this treatment;</w:t>
      </w:r>
    </w:p>
    <w:p>
      <w:pPr>
        <w:spacing w:after="0" w:line="161" w:lineRule="exact"/>
        <w:rPr>
          <w:rFonts w:ascii="Times New Roman" w:cs="Times New Roman" w:eastAsia="Times New Roman" w:hAnsi="Times New Roman"/>
          <w:sz w:val="18"/>
          <w:szCs w:val="18"/>
          <w:color w:val="auto"/>
        </w:rPr>
      </w:pPr>
    </w:p>
    <w:p>
      <w:pPr>
        <w:ind w:left="1040" w:right="319" w:hanging="315"/>
        <w:spacing w:after="0" w:line="282"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commercialization of any product candidates for which we may obtain regulatory approvals and marketing authorizations, either directly or with a collaborator or distributor;</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research regarding, and non-clinical and clinical development of, our product candidates;</w:t>
      </w:r>
    </w:p>
    <w:p>
      <w:pPr>
        <w:spacing w:after="0" w:line="225" w:lineRule="exact"/>
        <w:rPr>
          <w:rFonts w:ascii="Times New Roman" w:cs="Times New Roman" w:eastAsia="Times New Roman" w:hAnsi="Times New Roman"/>
          <w:sz w:val="18"/>
          <w:szCs w:val="18"/>
          <w:color w:val="auto"/>
        </w:rPr>
      </w:pPr>
    </w:p>
    <w:p>
      <w:pPr>
        <w:ind w:left="1040" w:right="179" w:hanging="315"/>
        <w:spacing w:after="0" w:line="266"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regulatory approvals, marketing authorizations and coverage and reimbursements from payors for DANYELZA, our SADA PRIT product candidates and any other product candidates for which we complete clinical studies;</w:t>
      </w:r>
    </w:p>
    <w:p>
      <w:pPr>
        <w:spacing w:after="0" w:line="175" w:lineRule="exact"/>
        <w:rPr>
          <w:rFonts w:ascii="Times New Roman" w:cs="Times New Roman" w:eastAsia="Times New Roman" w:hAnsi="Times New Roman"/>
          <w:sz w:val="18"/>
          <w:szCs w:val="18"/>
          <w:color w:val="auto"/>
        </w:rPr>
      </w:pPr>
    </w:p>
    <w:p>
      <w:pPr>
        <w:ind w:left="1040" w:right="119" w:hanging="315"/>
        <w:spacing w:after="0" w:line="266"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sustainable and scalable manufacturing process for DANYELZA, including maintaining commercially viable supply relationships with third parties including, Patheon/Thermo Fisher, among others, or establishing our own manufacturing capabilities and infrastructure;</w:t>
      </w:r>
    </w:p>
    <w:p>
      <w:pPr>
        <w:spacing w:after="0" w:line="175" w:lineRule="exact"/>
        <w:rPr>
          <w:rFonts w:ascii="Times New Roman" w:cs="Times New Roman" w:eastAsia="Times New Roman" w:hAnsi="Times New Roman"/>
          <w:sz w:val="18"/>
          <w:szCs w:val="18"/>
          <w:color w:val="auto"/>
        </w:rPr>
      </w:pPr>
    </w:p>
    <w:p>
      <w:pPr>
        <w:ind w:left="1040" w:right="319" w:hanging="315"/>
        <w:spacing w:after="0" w:line="266"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sustainable and scalable manufacturing process for our SADA PRIT product candidates, including establishing commercially viable and regulatorily compliant supply relationships for radioactive materials used in these product candidates;</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DANYELZA and our product candidates as viable treatment options;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products, product candidates, related technologies and/or market developments;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acquiring and/or developing new product candidates;</w:t>
      </w:r>
    </w:p>
    <w:p>
      <w:pPr>
        <w:spacing w:after="0" w:line="225"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distribution or other arrangements into which we may enter;</w:t>
      </w:r>
    </w:p>
    <w:p>
      <w:pPr>
        <w:spacing w:after="0" w:line="161" w:lineRule="exact"/>
        <w:rPr>
          <w:rFonts w:ascii="Times New Roman" w:cs="Times New Roman" w:eastAsia="Times New Roman" w:hAnsi="Times New Roman"/>
          <w:sz w:val="18"/>
          <w:szCs w:val="18"/>
          <w:color w:val="auto"/>
        </w:rPr>
      </w:pPr>
    </w:p>
    <w:p>
      <w:pPr>
        <w:ind w:left="1040" w:right="259" w:hanging="315"/>
        <w:spacing w:after="0" w:line="282"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and expanding our portfolio of intellectual property rights, including patents, trade secrets, and know-how;</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financing our operations at acceptable terms.</w:t>
      </w:r>
    </w:p>
    <w:p>
      <w:pPr>
        <w:spacing w:after="0" w:line="225"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We incur and anticipate incurring, research, development, clinical trial, manufacturing and marketing costs associated with commercializing even approved products. For example, we continue to run clinical studies on our currently marketed product DANYELZA to fulfill the regulatory requirement from the accelerated approval of the product by FDA. The accelerated approval of DANYELZA is subject to certain post-marketing requirements and commitments, including a confirmatory post-marketing trial of clinical benefit, our ongoing Study 201, that must be completed in order to convert the BLA to full approval and prevent withdrawal of the license by the FDA.</w:t>
      </w:r>
    </w:p>
    <w:p>
      <w:pPr>
        <w:spacing w:after="0" w:line="187"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Our expenses could increase beyond expectations if we are required by the FDA or other regulatory authorities, domestic or foreign, to change our manufacturing processes or assays, or to perform clinical, non-clinical, or other types of studies in addition to those that we currently anticipate. If we are successful in obtaining regulatory approvals to market more of our product candidates, our revenue will be dependent, in part, upon the size of the markets in the territories for which we gain regulatory approval, the accepted price for any such product, the ability to obtain reimbursement at any price, and whether we own the commercial rights for that territory. If the number of our addressable patients is not as significant as we estimate, the indication approved by regulatory authorities is narrower than we expect, or the reasonably expected populations for treatment are narrowed by competition, physician choice or treatment guidelines, we may not generate significant revenue from sales of such products, even if approved. If we are not able to generate sufficient revenue from the sale of DANYELZA or any other approved products, we may never become profitable.</w:t>
      </w:r>
    </w:p>
    <w:p>
      <w:pPr>
        <w:spacing w:after="0" w:line="190"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payment obligations to MSK and MIT may be a drain on our cash resources, or may cause us to incur debt obligations or issue additional securities to satisfy such payment obligations, which may adversely affect our financial position and results of operations.</w:t>
      </w:r>
    </w:p>
    <w:p>
      <w:pPr>
        <w:spacing w:after="0" w:line="175"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As DANYELZA and any other licensed product candidates progress through clinical development and commercialization, certain milestone payments will become due upon achievement of the related clinical, regulatory or sales-based milestones set forth in the MSK License Agreement and all milestones are accrued for when they are probable and estimable. Certain of the clinical and regulatory milestone payments become due at the earlier of completion of the related milestone activity or the date indicated in the MSK License Agreements, whether or not the milestone activity has been achieved. Total clinical and regulatory milestones potentially due under the MSK License are $2.5 million and $8.1 million, respectively. Sales-based milestones also become due should we achieve certain amounts of sales of licensed products with total sales-based milestones potentially due of $20.0 million.</w:t>
      </w:r>
    </w:p>
    <w:p>
      <w:pPr>
        <w:spacing w:after="0" w:line="192"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Under the CD33 License Agreement, dated November 13, 2017, between MSK and us, or the CD 33 License, we are obligated to make potential payments of $0.6 million, $0.5 million and $7.5 million for clinical, regulatory and sales-based milestones, respectively.</w:t>
      </w:r>
    </w:p>
    <w:p>
      <w:pPr>
        <w:spacing w:after="0" w:line="17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April 2020, we entered into a license agreement, or the SADA License Agreement with MSK and Massachusetts Institute of Technology, or MIT, which requires us to pay to MSK and MIT mid to high single digit royalties based on annual net sales of licensed products or the performance of licensed services by us and our affiliates and sublicensees. We are obligated to pay annual minimum royalties of $40,000, increasing to $60,000 once a patent has been issued, over the royalty term, commencing on the tenth anniversary of the SADA License Agreement. These amounts are non-refundable but are creditable against royalty payments otherwise due under the SADA License Agreement. We are also obligated to pay to MSK and MIT certain clinical, regulatory and sales-based milestone payments under the SADA License Agreement. Certain of the clinical and regulatory milestone payments become due at the earlier of completion of the related milestone activity or the date indicated in the SADA License Agreement. Total clinical and regulatory milestone payments potentially due under the SADA License Agreement are $4.7 million and $18.1 million, respectively. Additionally, we are also obligated to make sales-based milestones payments totaling $23.8 million, that become due should we achieve certain amounts of sales of licensed products under the SADA License Agreement. In addition, for each of the SADA PRIT constructs generated by MSK and sold on our behalf by one of our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sublicenses, we may owe sales-based milestone payments in the total amount of $60.0 million based on the achievement of various levels of cumulative net sales by the sublicensee.</w:t>
      </w:r>
    </w:p>
    <w:p>
      <w:pPr>
        <w:spacing w:after="0" w:line="162" w:lineRule="exact"/>
        <w:rPr>
          <w:sz w:val="20"/>
          <w:szCs w:val="20"/>
          <w:color w:val="auto"/>
        </w:rPr>
      </w:pPr>
    </w:p>
    <w:p>
      <w:pPr>
        <w:jc w:val="both"/>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In addition, we have committed to acquire certain personnel and laboratory services at MSK under a Master Data Services Agreement, or MDSA, and two separate Core Facility Service Agreements, or CFSAs. We have also entered into an Investigator-Sponsored Master Clinical Trial Agreement, or the MCTA, with MSK under which we are providing drug product and funding for certain clinical trials at MSK under separate executed appendices.</w:t>
      </w:r>
    </w:p>
    <w:p>
      <w:pPr>
        <w:spacing w:after="0" w:line="180"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Payments under these agreements have been and could in the future be significant and in order to satisfy our obligations to MSK and MIT, we may be required to use our existing cash, incur debt obligations or issue additional equity securities, any of which may materially and adversely affect our financial position and results of operations.</w:t>
      </w:r>
    </w:p>
    <w:p>
      <w:pPr>
        <w:spacing w:after="0" w:line="172" w:lineRule="exact"/>
        <w:rPr>
          <w:sz w:val="20"/>
          <w:szCs w:val="20"/>
          <w:color w:val="auto"/>
        </w:rPr>
      </w:pPr>
    </w:p>
    <w:p>
      <w:pPr>
        <w:ind w:left="6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until at least such time as we can generate adequate revenue to cover our operating expenses. If we fail to obtain such additional funding, we may be forced to delay, reduce or eliminate our research and drug development programs or current or future commercialization efforts and our license and other agreements may be terminated.</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studies and clinical trials and commercialization of any approved products, is a very time-consuming, expensive and uncertain process that takes years to complete. We expect our expenses to remain significant, particularly as we conduct clinical trials of, and seek marketing approval for our other product candidates. We expect to incur commercialization expenses, which have been and will continue to be significant, related to product sales, marketing, manufacturing and distribution of DANYELZA and any other products that may be approved. Accordingly, until at least such time as we can generate revenues from sales of DANYELZA or our product candidates, if approved, that are adequate to support our operational expenses, we will need to obtain substantial additional funding in connection with our continuing operations. If we are unable to raise enough additional capital when needed or on attractive terms, we may be forced to delay, reduce or eliminate our research and drug development programs or our future commercialization efforts.</w:t>
      </w:r>
    </w:p>
    <w:p>
      <w:pPr>
        <w:spacing w:after="0" w:line="194"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Changing circumstances may cause us to increase our spending significantly faster than we currently anticipate, and we may need to spend more money than currently expected because of circumstances beyond our control. We will require additional capital for further development and commercialization of our product candidates and may need to raise additional funds earlier than is currently expected.</w:t>
      </w:r>
    </w:p>
    <w:p>
      <w:pPr>
        <w:spacing w:after="0" w:line="180" w:lineRule="exact"/>
        <w:rPr>
          <w:sz w:val="20"/>
          <w:szCs w:val="20"/>
          <w:color w:val="auto"/>
        </w:rPr>
      </w:pPr>
    </w:p>
    <w:p>
      <w:pPr>
        <w:ind w:left="60" w:right="159" w:firstLine="648"/>
        <w:spacing w:after="0" w:line="268" w:lineRule="auto"/>
        <w:rPr>
          <w:sz w:val="20"/>
          <w:szCs w:val="20"/>
          <w:color w:val="auto"/>
        </w:rPr>
      </w:pPr>
      <w:r>
        <w:rPr>
          <w:rFonts w:ascii="Times New Roman" w:cs="Times New Roman" w:eastAsia="Times New Roman" w:hAnsi="Times New Roman"/>
          <w:sz w:val="17"/>
          <w:szCs w:val="17"/>
          <w:color w:val="auto"/>
        </w:rPr>
        <w:t>In addition, we cannot be certain that additional funding will be available on acceptable terms when needed, or at all. Our ability to raise additional capital may be adversely impacted by worsening global economic conditions, with disruptions to, and volatility in, the credit and financial markets in the U.S. and worldwide resulting from the effects of inflationary pressures, health crises, the military conflict between Ukraine and Russia, the state of conflict in the Middle East and the threat of a wider turmoil, current and potential future bank failures, and otherwise. If these conditions persist and deepen, we could experience an inability to access additional capital or our liquidity could otherwise be impacted, which could in the future negatively affect our capacity for certain corporate development transactions or our ability to make other important, opportunistic investments. We have no firmly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Our licenses and other agreements may also be terminated if we are unable to meet the payment obligations under such agreements. We could be required to seek collaborators for DANYELZA or our product candidates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DANYELZA or our other product candidates on terms unfavorable to us.</w:t>
      </w:r>
    </w:p>
    <w:p>
      <w:pPr>
        <w:spacing w:after="0" w:line="15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expect our expenses to increase in connection with our planned operations. Until such time, if ever, as we can generate adequate revenues from the sale of DANYELZA and our product candidates, if approved, to support our operational expenses, we expect to finance our cash needs through a combination of cash on hand, securities offerings, debt financings, collaborations, strategic alliances and/or licensing arrangements. To the extent that we raise additional capital through the sale of equity or convertible securities, ownership interests will be diluted, and the terms of these securities could include liquidation or other preferences and anti-dilution protections that could adversely affect the rights of common stockholders. In addition, debt financing, if available, would result in fixed payment obligations and may involve agreements that include restrictive covenants that limit our ability to take specific actions, such as incurring additional debt, making capital expenditures or acquisitions, creating liens,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commercialization of DANYELZA or other products candidates, if approved, or the development of our product candidates.</w:t>
      </w:r>
    </w:p>
    <w:p>
      <w:pPr>
        <w:spacing w:after="0" w:line="18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licensing arrangements with third parties, we may have to relinquish valuable rights related to our intellectual property or future revenue streams or any of our future product candidates or grant licenses on terms that may not be favorable to us. If we are unable to raise additional funds when needed, we may be required to delay, reduce and/or eliminate our product development or current or future commercialization efforts or grant rights to develop and market products or product candidates that we would otherwise prefer to develop and market ourselves.</w:t>
      </w:r>
    </w:p>
    <w:p>
      <w:pPr>
        <w:spacing w:after="0" w:line="183"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expand our resources to pursue a particular product or product candidate or indication and fail to capitalize on other products or product candidates or indications that may be more profitable or for which there is a greater likelihood of success.</w:t>
      </w:r>
    </w:p>
    <w:p>
      <w:pPr>
        <w:spacing w:after="0" w:line="175"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Historically, we have focused our efforts and managerial resources on specific products and product candidates and on specific indications such as DANYELZA for the treatment of R/R HR NB in bone and/or bone marrow and omburtamab for central nervous system, or CNS, or leptomeningeal, or LM, from NB, and more, recently, SADA for solid tumors and Non-Hodgkin Lymphoma. As a result of these decisions, we may forgo or delay pursuit of opportunities with other products or product candidates or for other indications that may prove to have greater commercial potential. Our resource allocation decisions may cause us to fail to capitalize on viable commercial products or profitable market opportunities. Failure to properly assess potential product candidates for indications could result in focusing on product candidates for indications with lower market potential, which could harm our business and financial condition. Our spending on current and future research and development programs and product candidates for specific indications may not yield any commercially viable product. If we do not accurately evaluate the commercial potential or target market for a particular product candidate, we may relinquish valuable rights to that product candidate through partnering, licensing or other royalty arrangements in cases in which it would have been more advantageous for us to retain sole development and commercialization rights to such product candidate or product. For example, in November 2022 the FDA issued a CRL for our BLA for omburtamab. The letter indicated that the FDA completed the review of the application and determined that it is unable to approve the BLA in its current form. This was consistent with the outcome of the ODAC Meeting held in October 2022. In its CRL for omburtamab, and in our Type A meeting held subsequent to receipt of the CRL, the FDA made recommendations for us to consider in terms of trial design to demonstrate substantial evidence of effectiveness and a favorable benefit-risk profile. However, as part of our strategic restructuring plan announced in January 2023, we deprioritized the omburtamab program for all indications and product candidates, which was ultimately stopped in November 2024 in connection with an amendment to our license agreement with MSK. In addition, we deprioritized other pipeline programs, including activities relating to the GD2-CD3 Vaccine and CD 33 antibody constructs by delaying trial initiation and overall timelines as part of the restructuring plan.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right="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customers for a high percentage of our revenue. If we cannot maintain our current relationships with customers, fail to sustain recurring sources of revenue with our existing customers, or if we fail to enter into new relationships, our future financial condition and results of operations will be adversely affected. Moreover, the financial difficulties or insolvency of one or more of our major customers or their lack of willingness and ability to distribute our approved product, DANYELZA, could adversely affect our financial position and results of operations.</w:t>
      </w:r>
    </w:p>
    <w:p>
      <w:pPr>
        <w:spacing w:after="0" w:line="22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had product sales to certain customers that accounted for more than 10% of total net product revenue for the years ended December 31, 2024 and 2023, respectively. McKesson, Cardinal Health and Cencora accounted for 41%, 20%, and 16%, respectively, of the Company’s net product revenue for the year ended December 31, 2024. McKesson, Cencora, WEP and Cardinal Health accounted for 46%, 22%, 10% and 13%, respectively, of the Company’s net product revenue for the year ended December 31, 2023. Our future success depends on our ability to maintain these relationships, to increase our penetration among these existing customers and to establish new relationships. We engage in conversations with other companies and institutions regarding potential commercial opportunities on an ongoing basis, which can be time consuming. There is no assurance that any of these conversations will result in a commercial agreement, or if an agreement is reached, that the resulting relationship will be successful. In addition, if our customers order our approved product, DANYELZA, but fail to pay on time or at all, our liquidity, financial condition, results of operations, cash flows and prospects could be materially and adversely affected.</w:t>
      </w:r>
    </w:p>
    <w:p>
      <w:pPr>
        <w:spacing w:after="0" w:line="232"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Moreover, our product sales are made through arrangements primarily with three national specialty distributors in the United States. As of December 31, 2024, the net accounts receivable balances from such distributors totaled 73% of the Company’s outstanding accounts receivable. A default by any of these customers on their amounts owed to us could have a material adverse effect on our financial position. Future sales and our ability to collect accounts receivable depend, in part, on the financial strength of our customers and our distributors’ willingness and ability to successfully market our approved product, DANYELZA. We estimate an allowance for doubtful accounts based on our assessment of specific identifiable customer accounts considered at risk or uncollectible, as well as an analysis of current receivables aging and expected future write-offs and this allowance adversely impacts our results of operations. In the event customers experience greater than anticipated financial difficulties, insolvency, or difficulty marketing DANYELZA, we expect our financial position and results of operations to be further adversely impacted by our failure to collect accounts receivable in excess of the amount due, net of the estimated allowances.</w:t>
      </w:r>
    </w:p>
    <w:p>
      <w:pPr>
        <w:spacing w:after="0" w:line="2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and commercialization</w:t>
      </w:r>
    </w:p>
    <w:p>
      <w:pPr>
        <w:spacing w:after="0" w:line="225" w:lineRule="exact"/>
        <w:rPr>
          <w:sz w:val="20"/>
          <w:szCs w:val="20"/>
          <w:color w:val="auto"/>
        </w:rPr>
      </w:pPr>
    </w:p>
    <w:p>
      <w:pPr>
        <w:ind w:left="60" w:right="41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Drug development is a lengthy and expensive process, with an uncertain outcome. If clinical trials of our product candidates fail to demonstrate safety and efficacy to the satisfaction of regulatory authorities or do not otherwise produce positive results, we may incur additional costs, experience delays in completing, or ultimately be unable to complete, the development of our product candidates or be unable to obtain marketing approval. We may encounter substantial delays in our clinical trials, or may not be able to conduct our trials on the timelines we expect.</w:t>
      </w:r>
    </w:p>
    <w:p>
      <w:pPr>
        <w:spacing w:after="0" w:line="168"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complete pre-clinical development and then conduct extensive clinical trials to demonstrate the safety and efficacy of our product candidates. No assurance can be given that any clinical studies will be conducted as planned or completed on schedule, if at all. In addition, we cannot be sure that we will be able to submit investigational new drug applications, or INDs, for any of our product candidates in the future and we cannot be sure that submission of an IND will result in the FDA allowing clinical trials to begin. Moreover, even if these clinical studies begin, issues may arise that could suspend or terminate such clinical trials. Clinical testing is expensive, difficult to design and implement, can take many years to complete and is uncertain as to outcome. Failure of one or more clinical trials can occur at any stage of testing.</w:t>
      </w:r>
    </w:p>
    <w:p>
      <w:pPr>
        <w:spacing w:after="0" w:line="192"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The outcome of pre-clinical studies and early-stage clinical trials may not be predictive of the success of later clinical trials, and interim results of a clinical trial, such as the results of our ongoing clinical trials of our lead product candidates,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The nature of the patient populations that we study in our clinical trials means that the treatment effect of our product candidates has to be demonstrated despite being the second- or third-line of treatment, and in some cases, despite concomitant treatment with radiation or chemotherapy. Some of our target indications may also be difficult to assess via current imaging technology and other testing methods, which may lead to in-conclusory or equivocal data regarding treatment effect. Furthermore, because our study populations are small, statistical analyses may not fully adjust for these and other potential bias in the data. As was the case for omburtamab, any or all of these factors may mean that we are unable to demonstrate substantial evidence of the effectiveness of our product candidates to the satisfaction of the FDA or comparable foreign regulatory authorities.</w:t>
      </w:r>
    </w:p>
    <w:p>
      <w:pPr>
        <w:spacing w:after="0" w:line="188" w:lineRule="exact"/>
        <w:rPr>
          <w:sz w:val="20"/>
          <w:szCs w:val="20"/>
          <w:color w:val="auto"/>
        </w:rPr>
      </w:pPr>
    </w:p>
    <w:p>
      <w:pPr>
        <w:ind w:left="60" w:right="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only approved product, DANYELZA, our product candidates and related technologies are novel approaches to cancer treatment that present significant challenges, and our ability to generate product revenue is dependent on the success of DANYELZA or one or more of our product candidates, which might require additional clinical testing before we can seek regulatory approval and begin commercial sales.</w:t>
      </w:r>
    </w:p>
    <w:p>
      <w:pPr>
        <w:spacing w:after="0" w:line="180"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DANYELZA and our product candidates and related technologies represent novel approaches to cancer treatment generally. Developing and commercializing these products therefore subjects us to a number of challenges. On November 25, 2020, DANYELZA received regulatory approval by the FDA in the United States for the treatment in combination with GM-CSF of high-risk R/R NB. The FDA has issued a post-marketing mandate requiring us to provide data that supports the efficacy of the product. We are currently performing clinical studies, such as Study 201, aimed at fulfilling the requirements. There can be no assurance that these studies will generate data sufficient to support the efficacy of the product.</w:t>
      </w:r>
    </w:p>
    <w:p>
      <w:pPr>
        <w:spacing w:after="0" w:line="189" w:lineRule="exact"/>
        <w:rPr>
          <w:sz w:val="20"/>
          <w:szCs w:val="20"/>
          <w:color w:val="auto"/>
        </w:rPr>
      </w:pPr>
    </w:p>
    <w:p>
      <w:pPr>
        <w:ind w:left="60" w:right="259" w:firstLine="648"/>
        <w:spacing w:after="0" w:line="255" w:lineRule="auto"/>
        <w:rPr>
          <w:sz w:val="20"/>
          <w:szCs w:val="20"/>
          <w:color w:val="auto"/>
        </w:rPr>
      </w:pPr>
      <w:r>
        <w:rPr>
          <w:rFonts w:ascii="Times New Roman" w:cs="Times New Roman" w:eastAsia="Times New Roman" w:hAnsi="Times New Roman"/>
          <w:sz w:val="18"/>
          <w:szCs w:val="18"/>
          <w:color w:val="auto"/>
        </w:rPr>
        <w:t>In November 2022, the FDA issued a CRL for our BLA for omburtamab. The letter indicated that the FDA completed the review of the application and determined that it is unable to approve the BLA in its current form. In the CRL, and in our Type A meeting held subsequent to receipt of the CRL, the FDA made recommendations for us to consider in terms of trial design to demonstrate substantial evidence of effectiveness and a favorable benefit-risk profile. As part of our strategic restructuring plan announced in January 2023, we deprioritized the omburtamab program for all indications, which was ultimately stopped in November 2024 in connection with an amendment to our license agreement with MSK.</w:t>
      </w:r>
    </w:p>
    <w:p>
      <w:pPr>
        <w:spacing w:after="0" w:line="18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SADA PRIT technology is still in the early stages of clinical development or pre-clinical research. We may never be able to develop a marketable product other than DANYELZA. Our ability to generate product revenue is highly dependent on our ability to successfully commercialize DANYELZA and to obtain additional regulatory approvals of and successfully commercialize additional product candidates. This will require additional clinical and non-clinical development, regulatory review and approval in multiple jurisdictions, substantial investment, access to sufficient commercial manufacturing capacity, and significant marketing efforts. We cannot be certain that any of our product candidates will be successful in clinical studies, and they may not receive regulatory approval even if they are successful in clinical studies.</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success of our product candidates in development will depend on several factors, including the following:</w:t>
      </w:r>
    </w:p>
    <w:p>
      <w:pPr>
        <w:spacing w:after="0" w:line="225" w:lineRule="exact"/>
        <w:rPr>
          <w:sz w:val="20"/>
          <w:szCs w:val="20"/>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completion of our ongoing clinical trials;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and successful patient enrollment and completion of additional clinical trials on a timely basis;</w:t>
      </w:r>
    </w:p>
    <w:p>
      <w:pPr>
        <w:spacing w:after="0" w:line="225" w:lineRule="exact"/>
        <w:rPr>
          <w:rFonts w:ascii="Times New Roman" w:cs="Times New Roman" w:eastAsia="Times New Roman" w:hAnsi="Times New Roman"/>
          <w:sz w:val="18"/>
          <w:szCs w:val="18"/>
          <w:color w:val="auto"/>
        </w:rPr>
      </w:pPr>
    </w:p>
    <w:p>
      <w:pPr>
        <w:ind w:left="1040" w:right="119" w:hanging="315"/>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tolerability and efficacy profiles that are satisfactory to the FDA or any comparable foreign regulatory authority for marketing approval;</w:t>
      </w:r>
    </w:p>
    <w:p>
      <w:pPr>
        <w:spacing w:after="0" w:line="161" w:lineRule="exact"/>
        <w:rPr>
          <w:rFonts w:ascii="Times New Roman" w:cs="Times New Roman" w:eastAsia="Times New Roman" w:hAnsi="Times New Roman"/>
          <w:sz w:val="18"/>
          <w:szCs w:val="18"/>
          <w:color w:val="auto"/>
        </w:rPr>
      </w:pPr>
    </w:p>
    <w:p>
      <w:pPr>
        <w:ind w:left="1040" w:right="379" w:hanging="315"/>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marketing and reimbursement approvals for our lead product candidates from applicable regulatory authorities;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future collaborators, if 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supply arrangements with third-party suppliers of radioactive and other raw materials;</w:t>
      </w:r>
    </w:p>
    <w:p>
      <w:pPr>
        <w:spacing w:after="0" w:line="225"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scaled production arrangements with third-party manufacturers and drug product suppliers to obtain finished products that are appropriately packaged for sale;</w:t>
      </w:r>
    </w:p>
    <w:p>
      <w:pPr>
        <w:spacing w:after="0" w:line="161"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protection, trade secret protection and regulatory exclusivity, both in the United States and internationally;</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rights in our intellectual property portfolio, including our licensed intellectual property;</w:t>
      </w:r>
    </w:p>
    <w:p>
      <w:pPr>
        <w:spacing w:after="0" w:line="225" w:lineRule="exact"/>
        <w:rPr>
          <w:rFonts w:ascii="Times New Roman" w:cs="Times New Roman" w:eastAsia="Times New Roman" w:hAnsi="Times New Roman"/>
          <w:sz w:val="18"/>
          <w:szCs w:val="18"/>
          <w:color w:val="auto"/>
        </w:rPr>
      </w:pPr>
    </w:p>
    <w:p>
      <w:pPr>
        <w:ind w:left="1040" w:right="479" w:hanging="315"/>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launch of commercial sales following any marketing approval including the hiring of a direct salesforce and creation of marketing campaigns;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any marketing approval;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by physicians and patients, the medical community and third-party payors;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therapies.</w:t>
      </w:r>
    </w:p>
    <w:p>
      <w:pPr>
        <w:spacing w:after="0" w:line="225"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Further, competitors who are developing product candidates with technology similar to ours may experience problems with their product candidates that could identify problems in our technology that would potentially harm our business.</w:t>
      </w:r>
    </w:p>
    <w:p>
      <w:pPr>
        <w:spacing w:after="0" w:line="183"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Many of our product candidates are based on similar technologies. Therefore, if one product candidate encounters safety or efficacy problems, developmental delays, regulatory issues, or other problems, our other development plans and business could be significantly harmed.</w:t>
      </w:r>
    </w:p>
    <w:p>
      <w:pPr>
        <w:spacing w:after="0" w:line="172"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DANYELZA and of any future approved products, will depend upon the degree of market acceptance by physicians, patients, third-party payors, and others in the medical community.</w:t>
      </w:r>
    </w:p>
    <w:p>
      <w:pPr>
        <w:spacing w:after="0" w:line="159" w:lineRule="exact"/>
        <w:rPr>
          <w:sz w:val="20"/>
          <w:szCs w:val="20"/>
          <w:color w:val="auto"/>
        </w:rPr>
      </w:pPr>
    </w:p>
    <w:p>
      <w:pPr>
        <w:ind w:left="60" w:right="99" w:firstLine="648"/>
        <w:spacing w:after="0" w:line="269" w:lineRule="auto"/>
        <w:rPr>
          <w:sz w:val="20"/>
          <w:szCs w:val="20"/>
          <w:color w:val="auto"/>
        </w:rPr>
      </w:pPr>
      <w:r>
        <w:rPr>
          <w:rFonts w:ascii="Times New Roman" w:cs="Times New Roman" w:eastAsia="Times New Roman" w:hAnsi="Times New Roman"/>
          <w:sz w:val="17"/>
          <w:szCs w:val="17"/>
          <w:color w:val="auto"/>
        </w:rPr>
        <w:t>The commercial success of DANYELZA, and of any future approved products, will depend in part on market acceptance by physicians, patients, third party payors, and others in the medical community. For example, current cancer treatments like surgery, chemotherapy or radiation therapy are well established in the medical community, and doctors may continue to rely on these treatments. DANYELZA was not listed in the treatment recommendations for neuroblastoma in the guideline published in July 2024 by the National Comprehensive Cancer Network, a non-profit alliance of 33 leading cancer care centers. Any potential regulatory approval of product candidates using the SADA PRIT technology does not guarantee the establishment of a viable market for their use. The use of radioactive isotopes in connection with the SADA PRIT technology carries safety, storage, handling and disposal risks, which require adherence to strict regulations and protocols. The perceived or actual risks of radiation exposure could limit market acceptance of the SADA PRIT product candidates. If DANYELZA or any future approved products do not achieve an adequate level of market acceptance, we may not generate significant revenues from sales and we may not become profitable. The degree of market acceptance of DANYELZA, and of any future product, if approved for commercial sale, will depend on a number of factors, including:</w:t>
      </w:r>
    </w:p>
    <w:p>
      <w:pPr>
        <w:spacing w:after="0" w:line="179" w:lineRule="exact"/>
        <w:rPr>
          <w:sz w:val="20"/>
          <w:szCs w:val="20"/>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the product and the prevalence and severity of any side effects;</w:t>
      </w:r>
    </w:p>
    <w:p>
      <w:pPr>
        <w:spacing w:after="0" w:line="225" w:lineRule="exact"/>
        <w:rPr>
          <w:rFonts w:ascii="Times New Roman" w:cs="Times New Roman" w:eastAsia="Times New Roman" w:hAnsi="Times New Roman"/>
          <w:sz w:val="18"/>
          <w:szCs w:val="18"/>
          <w:color w:val="auto"/>
        </w:rPr>
      </w:pPr>
    </w:p>
    <w:p>
      <w:pPr>
        <w:ind w:left="1040" w:right="599" w:hanging="315"/>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processes for the safe administration of our products, including long-term follow-up for all patients who receive the product;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the product compared to competitive therapies;</w:t>
      </w:r>
    </w:p>
    <w:p>
      <w:pPr>
        <w:spacing w:after="0" w:line="225" w:lineRule="exact"/>
        <w:rPr>
          <w:rFonts w:ascii="Times New Roman" w:cs="Times New Roman" w:eastAsia="Times New Roman" w:hAnsi="Times New Roman"/>
          <w:sz w:val="18"/>
          <w:szCs w:val="18"/>
          <w:color w:val="auto"/>
        </w:rPr>
      </w:pPr>
    </w:p>
    <w:p>
      <w:pPr>
        <w:ind w:left="1040" w:right="699" w:hanging="315"/>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is designated under physician treatment guidelines as a first, second or third-line therapy;</w:t>
      </w:r>
    </w:p>
    <w:p>
      <w:pPr>
        <w:spacing w:after="0" w:line="161" w:lineRule="exact"/>
        <w:rPr>
          <w:rFonts w:ascii="Times New Roman" w:cs="Times New Roman" w:eastAsia="Times New Roman" w:hAnsi="Times New Roman"/>
          <w:sz w:val="18"/>
          <w:szCs w:val="18"/>
          <w:color w:val="auto"/>
        </w:rPr>
      </w:pPr>
    </w:p>
    <w:p>
      <w:pPr>
        <w:ind w:left="1040" w:right="459" w:hanging="315"/>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ability of any potential future collaborators, to offer the product for sale at competitive prices;</w:t>
      </w:r>
    </w:p>
    <w:p>
      <w:pPr>
        <w:spacing w:after="0" w:line="161"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convenience and ease of administration compared to alternative treatments and any requirement for in-patient versus out-patient administration;</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and of physicians to prescribe, the product;</w:t>
      </w:r>
    </w:p>
    <w:p>
      <w:pPr>
        <w:spacing w:after="0" w:line="225" w:lineRule="exact"/>
        <w:rPr>
          <w:rFonts w:ascii="Times New Roman" w:cs="Times New Roman" w:eastAsia="Times New Roman" w:hAnsi="Times New Roman"/>
          <w:sz w:val="18"/>
          <w:szCs w:val="18"/>
          <w:color w:val="auto"/>
        </w:rPr>
      </w:pPr>
    </w:p>
    <w:p>
      <w:pPr>
        <w:ind w:left="1040" w:right="699" w:hanging="315"/>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the product;</w:t>
      </w:r>
    </w:p>
    <w:p>
      <w:pPr>
        <w:spacing w:after="0" w:line="225"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populations to try new therapies and enroll in ongoing clinical trials, and of physicians to prescribe these therapies;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225" w:lineRule="exact"/>
        <w:rPr>
          <w:rFonts w:ascii="Times New Roman" w:cs="Times New Roman" w:eastAsia="Times New Roman" w:hAnsi="Times New Roman"/>
          <w:sz w:val="18"/>
          <w:szCs w:val="18"/>
          <w:color w:val="auto"/>
        </w:rPr>
      </w:pPr>
    </w:p>
    <w:p>
      <w:pPr>
        <w:ind w:left="1040" w:right="319" w:hanging="315"/>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amount of coverage and reimbursement from government payors, managed care plans and other third-party payors;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competitive product introductions and other actions by competitors in the marketplace.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right="1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SADA PRIT Technology is still in early stages of clinical development or pre-clinical research and may not result in approvable or marketable products, which exposes us to unforeseen risks and makes it difficult for us to predict the time and cost of product development and potential for regulatory approval, and we may not be successful in our efforts to use the SADA PRIT Technology to build a pipeline of product candidates.</w:t>
      </w:r>
    </w:p>
    <w:p>
      <w:pPr>
        <w:spacing w:after="0" w:line="18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are seeking to identify and develop a broad pipeline of product candidates using the SADA PRIT Technology. We are still in our Phase 1 trial of GD2-SADA. The scientific research that forms the basis of our efforts to develop product candidates with the SADA PRIT Technology is still ongoing. We are not aware of any FDA-approved therapeutics utilizing a similar technology. Further, the scientific evidence to support the feasibility of developing therapeutic treatments based on the SADA PRIT Technology is both preliminary and limited. As a result, we are exposed to a number of unforeseen risks, and it is difficult to predict the types of challenges and risks that we may encounter during development of our product candidates using the SADA PRIT Technology. For example, before the first dosing in our Phase 1 trial of GD1-SADA, we had not tested any of the product candidates being developed using the SADA PRIT platform in humans, and most of our current data is limited to animal models and pre-clinical cell lines, the results of which may not translate into humans. Further, relevant animal models and assays may not accurately predict the safety and efficacy of our product candidates based on the SADA PRIT Technology in humans, and we may encounter significant challenges creating appropriate models and assays for demonstrating the safety and purity of our product candidates. In addition, the SADA PRIT Technology has potential safety risks related to, but not limited to, the radiation stemming from the delivery of radioactive payloads. As a result, it is possible that safety events or concerns could negatively affect the development of our product candidates that are based on the SADA PRIT Technology, including adversely affecting patient enrollment among the patient populations that we intend to treat.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Given the novelty of the SADA PRIT Technology, we intend to work closely with the FDA and comparable foreign regulatory authorities to perform the requisite scientific analyses and evaluation of our methods to obtain regulatory approval for our product candidates; however, due to a lack of comparable experiences, the regulatory pathway with the FDA and comparable regulatory authorities may be more complex and time-consuming relative to other more well-known therapeutics. Even if we obtain adequate data to support approval of our product candidates developed using the SADA PRIT Technology, the FDA or comparable foreign regulatory agencies may lack experience in evaluating the safety and efficacy of our product candidates developed using the SADA PRIT Technology, which could result in a longer than expected regulatory review process, increase our expected development costs, and delay or prevent commercialization of our product candidates. The validation process takes time and resources, may require independent third-party analyses, and may not be accepted or approved by the FDA and comparable foreign regulatory authorities. We cannot be certain that our SADA PRIT approach will lead to the development of approvable or marketable products.</w:t>
      </w:r>
    </w:p>
    <w:p>
      <w:pPr>
        <w:spacing w:after="0" w:line="192"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Additionally, an element of our strategy is to use and expand the SADA PRIT Technology to build a pipeline of product candidates and progress those product candidates through clinical development for the treatment of a variety of different cancers. Although our research and development efforts to date have been focused on identifying a pipeline of product candidates directed at cancers, we may not be able to develop product candidates that are safe and effective. Even if we are successful in building a pipeline of product candidates developed using the SADA PRIT Technology, the potential product candidates that we identify may not be suitable for clinical development, including as a result of being shown to have harmful side effects or other characteristics that indicate that they are unlikely to receive marketing approval and achieve market acceptance. If we do not continue to successfully develop, get approval for and begin to commercialize any product candidates developed using the SADA PRIT Technology, we will face difficulty in obtaining product revenue therefrom in future periods, which could result in significant harm to our financial position and adversely affect our share price.</w:t>
      </w:r>
    </w:p>
    <w:p>
      <w:pPr>
        <w:spacing w:after="0" w:line="188"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have limited experience operating as a commercial company and the marketing and sale of DANYELZA or any future approved products may be unsuccessful or less successful than anticipated. We may not be successful in increasing the sales of DANYELZA or any future approved product unless we are able to maintain and expand our sales and marketing capabilities or enter into agreements with third parties to sell and market such approved products.</w:t>
      </w:r>
    </w:p>
    <w:p>
      <w:pPr>
        <w:spacing w:after="0" w:line="165"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While we have commercially launched DANYELZA in the United States and in several other countries, we have limited experience as a commercial company and there is limited information about our ability to successfully overcome many of the risks and uncertainties encountered by companies commercializing drugs in the biopharmaceutical industry. We began small shipments of DANYELZA in February 2021. Other than our commercialization partnerships for DANYELZA and our discontinued product candidate, omburtamab, covering certain territories outside the United States, we are not currently a party to any strategic collaboration that provides us with access to a collaborator’s resources in selling or marketing drugs.</w:t>
      </w:r>
    </w:p>
    <w:p>
      <w:pPr>
        <w:spacing w:after="0" w:line="189"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To achieve commercial success for DANYELZA and any future approved products we must successfully maintain and expand our sales and marketing organization or outsource these functions to strategic collaborators and other third parties. We have built our own focused, specialized sales and marketing organization in the United States, and we continue to selectively explore and establish partnerships in markets outside the United States to support the commercialization of DANYELZA in other jurisdictions.</w:t>
      </w:r>
    </w:p>
    <w:p>
      <w:pPr>
        <w:spacing w:after="0" w:line="183"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Risks are involved both with further establishing our own direct sales and marketing capabilities and with entering into arrangements with third parties to perform these services. For example, recruiting and training even a small sales force can be expensive and time-consuming and could delay any commercial launch of a product candidate, if approved. If the commercial launch of a product candidate for which we recruit a sales force and establish marketing capabilities is delayed, does not occur for any reason, or authorization is lost, we would have prematurely or unnecessarily incurred these commercialization expenses. This may be costly, and our investment would be lost if we cannot retain or reposition our sales and marketing personnel.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Factors that may inhibit our efforts to commercialize our drugs on our own after obtaining any marketing approval</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include:</w:t>
      </w:r>
    </w:p>
    <w:p>
      <w:pPr>
        <w:spacing w:after="0" w:line="207" w:lineRule="exact"/>
        <w:rPr>
          <w:sz w:val="20"/>
          <w:szCs w:val="20"/>
          <w:color w:val="auto"/>
        </w:rPr>
      </w:pPr>
    </w:p>
    <w:p>
      <w:pPr>
        <w:ind w:left="1040" w:right="179" w:hanging="315"/>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 and continue to develop and expand our sales and marketing efforts;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raise financing necessary to maintain and grow our commercialization infrastructure;</w:t>
      </w:r>
    </w:p>
    <w:p>
      <w:pPr>
        <w:spacing w:after="0" w:line="225" w:lineRule="exact"/>
        <w:rPr>
          <w:rFonts w:ascii="Times New Roman" w:cs="Times New Roman" w:eastAsia="Times New Roman" w:hAnsi="Times New Roman"/>
          <w:sz w:val="18"/>
          <w:szCs w:val="18"/>
          <w:color w:val="auto"/>
        </w:rPr>
      </w:pPr>
    </w:p>
    <w:p>
      <w:pPr>
        <w:ind w:left="1040" w:right="539" w:hanging="315"/>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our failure to educate physicians on the benefits of prescribing DANYELZA or any future approved products;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66"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drugs to be offered by our sales personnel, which may put us at a competitive disadvantage relative to companies with more extensive offerings, and the lack of accurately forecast demand for our products and scale manufacturing to meet that demand;</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rFonts w:ascii="Times New Roman" w:cs="Times New Roman" w:eastAsia="Times New Roman" w:hAnsi="Times New Roman"/>
          <w:sz w:val="18"/>
          <w:szCs w:val="18"/>
          <w:color w:val="auto"/>
        </w:rPr>
      </w:pPr>
    </w:p>
    <w:p>
      <w:pPr>
        <w:ind w:left="1040" w:right="479" w:hanging="315"/>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sufficient coverage and reimbursement from third-party payors and governmental agencies;</w:t>
      </w:r>
    </w:p>
    <w:p>
      <w:pPr>
        <w:spacing w:after="0" w:line="161" w:lineRule="exact"/>
        <w:rPr>
          <w:rFonts w:ascii="Times New Roman" w:cs="Times New Roman" w:eastAsia="Times New Roman" w:hAnsi="Times New Roman"/>
          <w:sz w:val="18"/>
          <w:szCs w:val="18"/>
          <w:color w:val="auto"/>
        </w:rPr>
      </w:pPr>
    </w:p>
    <w:p>
      <w:pPr>
        <w:ind w:left="1040" w:right="379" w:hanging="315"/>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establish and maintain our relationships with healthcare providers who will be treating the patients who may receive our products and any future products;</w:t>
      </w:r>
    </w:p>
    <w:p>
      <w:pPr>
        <w:spacing w:after="0" w:line="161" w:lineRule="exact"/>
        <w:rPr>
          <w:rFonts w:ascii="Times New Roman" w:cs="Times New Roman" w:eastAsia="Times New Roman" w:hAnsi="Times New Roman"/>
          <w:sz w:val="18"/>
          <w:szCs w:val="18"/>
          <w:color w:val="auto"/>
        </w:rPr>
      </w:pPr>
    </w:p>
    <w:p>
      <w:pPr>
        <w:ind w:left="1040" w:right="339" w:hanging="315"/>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or to gain regulatory authorization for the development and commercialization of our product candidates;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 inability to recruit patients through market access named patient programs;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develop and maintain successful strategic alliances.</w:t>
      </w:r>
    </w:p>
    <w:p>
      <w:pPr>
        <w:spacing w:after="0" w:line="22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If we are unsuccessful in accomplishing these objectives, we may not be able to successfully grow or maintain sales of DANYELZA or commercialize any future approved products, raise capital, expand our business, or continue our operations. In addition, our revenues from the sale of drugs or the profitability of these revenues to us are likely to be lower from arrangements that we enter into with third parties to perform sales and marketing services than if we were ourselves to market and sell any drugs that we develop. We have limited control over such third parties, and any of them may fail to devote the necessary resources and attention to sell and market our drugs effectively. In addition, we may not be successful in entering additional arrangements with third parties to sell and market our product candidates or may be unable to do so on terms that are favorable to us. If we do not maintain and expand our sales and marketing capabilities successfully, either on our own or in collaboration with third parties, we might not be successful in commercializing DANYELZA or any of our product candidates for which we receive marketing approval, if any. In the event that we are unable to effectively deploy our sales organization or distribution strategy on a timely and efficient basis, if at all, the commercialization of DANYELZA or our product candidates, if approved, could be delayed which would negatively impact our ability to generate product revenues.</w:t>
      </w:r>
    </w:p>
    <w:p>
      <w:pPr>
        <w:spacing w:after="0" w:line="183"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59"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The biotechnology and pharmaceutical industries generally, and the cancer drug sector specifically, are characterized by rapidly advancing technologies, evolving understanding of disease etiology, intense competition and a strong emphasis on intellectual property. While we believe that our product candidates and our knowledge and experience provide us with competitive advantages, we face substantial potential competition from many different sources, including large and specialty pharmaceutical and biotechnology companies, academic research institutions and governmental agencies and public and private research institutions. Many of our competitors have substantially greater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financial, technical and other resources, such as larger research and development staff and experienced manufacturing organizations as well as established marketing and sales forces. Our competitors, either alone or with collaborative partners, may succeed in developing, acquiring or licensing on an exclusive basis drug or biologic products that are more effective, safer, more easily commercialized, or less costly than DANYELZA, or our other product candidates, or may develop proprietary technologies or secure patent protection that we may need for the commercialization of DANYELZA and the development of our product candidates and related technologies.</w:t>
      </w:r>
    </w:p>
    <w:p>
      <w:pPr>
        <w:spacing w:after="0" w:line="18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addition to the current standard of care for patients, commercial and academic clinical trials are being pursued by a number of parties in the field of immunotherapy. Early results from these trials have fueled continued interest in immunotherapy, which is being pursued by several biotechnology companies as well as by large pharmaceutical companies. Many of our current or potential competitors, either alone or with their collaboration partners, have significantly greater financial resources and expertise in research and development, manufacturing, pre-clinical studies, conducting clinical trials,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92"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With respect to DANYELZA, which targets GD2-positive tumors, United Therapeutics Corporation, or United Therapeutics, has commercialized Unituxin® (dinutuximab), an antibody against GD2, in the United States, Canada and Japan. Although United Therapeutics has discontinued its efforts to investigate Unituxin®’s potential activity against adult cancerous tumors, it has maintained its efforts to develop a humanized version of Unituxin® and plans to develop Unituxin® within R/R NB. DANYELZA also faces competition from Qarziba® (dinutuximab beta) a similar antibody product against GD2 developed by Apeiron Biologics AG, or Apeiron. EUSA Pharma (UK) Ltd., or EUSA, has acquired global commercialization rights to Qarziba® (dinutuximab beta), and it is currently being commercialized in European Union and was approved by the European Commission to treat high-risk NB and R/R NB. In January 2020, EUSA and BeiGene Ltd., or BeiGene, announced an exclusive collaboration to commercialize Qarziba® in mainland China and in August 2021 EUSA and BeiGene announced that the China National Medical Products Administration, or NMPA, had granted Qarziba® (dinutuximab beta) conditional marketing approval for the treatment of high-risk NB and R/R NB. EUSA has previously announced plans to file for registration of dinutuximab beta in the United States for the treatment of R/R NB. EUSA was acquired by Recordati in March 2022. In addition, Renaissance Pharma Ltd in the United Kingdom announced in August 2023 a development program focused on Hu14.18, a humanized anti-GD2 monoclonal antibody, licensed from St. Jude Children’s Research Hospital for the treatment of newly diagnosed high-risk neuroblastoma. US WorldMeds has also received FDA approval of eflornithine hydrochloride, or DFMO, to reduce the risk of relapse in pediatric patients with high-risk neuroblastoma who have completed multiagent, multimodality therapy.</w:t>
      </w:r>
    </w:p>
    <w:p>
      <w:pPr>
        <w:spacing w:after="0" w:line="193"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SADA PRIT technology, where bispecific antibody fragments bind to the tumor before a radioactive payload is injected in a two-step approach faces competition from a range of companies developing comparable approaches, involving one-step, two-step or three-step models to bind antibody construct to the tumor and radiate the tumor. OncoOne Research &amp; Development GmbH, or OncoOne, is developing several constructs under their PreTarg-it® technology, which is a modular platform utilizing bispecific antibodies for delivery of payloads, where the bispecific antibody is first injected and accumulated on the tumor, while unbound antibodies are decomposed and excreted. Subsequently, a payload is administered through a second infusion and binds to the bispecific antibody in the tumor.</w:t>
      </w:r>
    </w:p>
    <w:p>
      <w:pPr>
        <w:spacing w:after="0" w:line="189"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Additionally, the availability and price of our competitors’ products could limit the demand and the price we are able to charge for our DANYELZA or for any other future products, if approved. We may not be able to implement our business plan if the acceptance of DANYELZA or any other future products, if approved, is inhibited by price competition or if physicians switch from existing methods of treatment to our products, or if physicians switch to other new drug or biologic products or choose to reserve our products for use in limited circumstances. Additionally, a competitor could obtain orphan product exclusivity from the FDA with respect to such competitor’s product. If such competitor product is determined to be the same product as one of our product candidates, that may prevent us from</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obtaining approval from the FDA for such product candidate for the same indication for seven years, except in limited circumstances.</w:t>
      </w:r>
    </w:p>
    <w:p>
      <w:pPr>
        <w:spacing w:after="0" w:line="158" w:lineRule="exact"/>
        <w:rPr>
          <w:sz w:val="20"/>
          <w:szCs w:val="20"/>
          <w:color w:val="auto"/>
        </w:rPr>
      </w:pPr>
    </w:p>
    <w:p>
      <w:pPr>
        <w:jc w:val="both"/>
        <w:ind w:left="60" w:right="5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DANYELZA and our other product candidates, if approved, may be limited to those patients who are ineligible for or have failed prior treatments and may be small. Also, the market opportunity for DANYELZA and our product candidates, if approved, may be smaller than we expect.</w:t>
      </w:r>
    </w:p>
    <w:p>
      <w:pPr>
        <w:spacing w:after="0" w:line="17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current target patient populations are based on our beliefs and estimates regarding the incidence or prevalence of certain types of cancers that may be addressable by DANYELZA, and our other product candidates, which are derived from a variety of sources, including scientific literature, surveys of clinics, patient foundations, and market research. The total addressable market opportunity for DANYELZA and any other products we may produce, if approved, will ultimately depend upon, among other things, the diagnosis criteria included in the final label for the relevant product, acceptance by the medical community and patient access, drug pricing, and reimbursement. The number of patients in our targeted commercial markets may turn out to be lower than expected. Patients may not be amenable to treatment with our drug and new patients may become increasingly difficult to identify or gain access to, as new clinical trials from other entities may deplete the number of patients available. Any of the foregoing could adversely affect our results of operations and our business.</w:t>
      </w:r>
    </w:p>
    <w:p>
      <w:pPr>
        <w:spacing w:after="0" w:line="194"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Our current target patient populations are small as we have so far focused our clinical development efforts on rare pediatric cancers. By way of example, only approximately 700 children are diagnosed with NB in the United States each year. Even if we obtain significant market share for DANYELZA, or our other product candidates, if approved, because the initial target populations we are seeking to treat are small, we may never achieve profitability without obtaining regulatory approval for additional and broader indications, including use of DANYELZA or our product candidates, if approved, for front-line and third-line therapy.</w:t>
      </w:r>
    </w:p>
    <w:p>
      <w:pPr>
        <w:spacing w:after="0" w:line="187"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DANYELZA is approved only as second-line treatment for patients with R/R high-risk NB in bone and/or bone marrow. We may have to conduct additional clinical trials prior to submitting for marketing approval of DANYELZA as a front-line or third-line therapy. Even if we conduct such trials and seek approval as front-line or third-line therapy for DANYELZA, there is no guarantee that it will be approved.</w:t>
      </w:r>
    </w:p>
    <w:p>
      <w:pPr>
        <w:spacing w:after="0" w:line="176"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indications we seek to treat have low prevalence and it may be difficult to identify and enroll patients with these diseases. If we encounter difficulties enrolling patients in our clinical trials, our clinical development activities could be delayed or otherwise adversely affected.</w:t>
      </w:r>
    </w:p>
    <w:p>
      <w:pPr>
        <w:spacing w:after="0" w:line="175" w:lineRule="exact"/>
        <w:rPr>
          <w:sz w:val="20"/>
          <w:szCs w:val="20"/>
          <w:color w:val="auto"/>
        </w:rPr>
      </w:pPr>
    </w:p>
    <w:p>
      <w:pPr>
        <w:jc w:val="both"/>
        <w:ind w:left="60" w:right="279" w:firstLine="648"/>
        <w:spacing w:after="0" w:line="289" w:lineRule="auto"/>
        <w:rPr>
          <w:sz w:val="20"/>
          <w:szCs w:val="20"/>
          <w:color w:val="auto"/>
        </w:rPr>
      </w:pPr>
      <w:r>
        <w:rPr>
          <w:rFonts w:ascii="Times New Roman" w:cs="Times New Roman" w:eastAsia="Times New Roman" w:hAnsi="Times New Roman"/>
          <w:sz w:val="17"/>
          <w:szCs w:val="17"/>
          <w:color w:val="auto"/>
        </w:rPr>
        <w:t>The timely completion of clinical trials in accordance with their protocols depends, among other things, on our ability to enroll a sufficient number of patients who remain in the relevant trial until its conclusion. We have experienced and may continue to experience difficulties in patient enrollment in our clinical trials for a variety of reasons, including:</w:t>
      </w:r>
    </w:p>
    <w:p>
      <w:pPr>
        <w:spacing w:after="0" w:line="158" w:lineRule="exact"/>
        <w:rPr>
          <w:sz w:val="20"/>
          <w:szCs w:val="20"/>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study population required for analysis of the trial’s primary endpoints;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trial sites;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225" w:lineRule="exact"/>
        <w:rPr>
          <w:rFonts w:ascii="Times New Roman" w:cs="Times New Roman" w:eastAsia="Times New Roman" w:hAnsi="Times New Roman"/>
          <w:sz w:val="18"/>
          <w:szCs w:val="18"/>
          <w:color w:val="auto"/>
        </w:rPr>
      </w:pPr>
    </w:p>
    <w:p>
      <w:pPr>
        <w:ind w:left="1040" w:right="179" w:hanging="315"/>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for similar therapies or other new therapeutics not involving our product candidates and or related technologies;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right="259" w:hanging="315"/>
        <w:spacing w:after="0" w:line="266"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not complete a clinical trial.</w:t>
      </w:r>
    </w:p>
    <w:p>
      <w:pPr>
        <w:spacing w:after="0" w:line="225"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enroll in a trial being conducted by one of our competitors.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radiation, rather than enroll patients in any of our clinical trials.</w:t>
      </w:r>
    </w:p>
    <w:p>
      <w:pPr>
        <w:spacing w:after="0" w:line="192"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Even if we are able to enroll a sufficient number of patients in our clinical trials, delays in patient enrollment may result in increased costs or may affect the timing or outcome of the planned clinical trials, which could prevent completion of these trials and adversely affect our ability to advance the development of our product candidates, submit regulatory filings, obtain marketing approvals and delay the commercial launch of our product candidates, if approved.</w:t>
      </w:r>
    </w:p>
    <w:p>
      <w:pPr>
        <w:spacing w:after="0" w:line="176" w:lineRule="exact"/>
        <w:rPr>
          <w:sz w:val="20"/>
          <w:szCs w:val="20"/>
          <w:color w:val="auto"/>
        </w:rPr>
      </w:pPr>
    </w:p>
    <w:p>
      <w:pPr>
        <w:ind w:left="60" w:right="21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DANYELZA or any current or future product candidates, including those based on the SADA PRIT Technology, may cause serious adverse events, or SAEs, undesirable side effects or have other properties that could halt their clinical development, prevent, delay, or cause the withdrawal, variation or suspension of their regulatory approval, limit their commercial potential, or result in significant negative consequences, including death of patients or cause regulatory authorities to require labeling statements, such as boxed warnings. Even after approval, if we, or others, later discover that the drug is less effective than previously believed or causes undesirable side effects that were not previously identified, our ability, or that of any potential future collaborators, to market the drug could be compromised.</w:t>
      </w:r>
    </w:p>
    <w:p>
      <w:pPr>
        <w:spacing w:after="0" w:line="175"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As with most biological drug products, use of DANYELZA or any current or future product candidates, including those based on the SADA PRIT Technology, could be associated with undesirable side effects or adverse events which can vary in severity from minor reactions to death and in frequency from infrequent to prevalent. Undesirable side effects or unacceptable toxicities caused by our products or product candidates could cause us or regulatory authorities to withdraw marketing approval or to interrupt, delay, or halt clinical trials.</w:t>
      </w:r>
    </w:p>
    <w:p>
      <w:pPr>
        <w:spacing w:after="0" w:line="183"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Treatment-related undesirable side effects or adverse events could also affect patient recruitment or the ability of enrolled subjects to complete the trial, or could result in potential product liability claims. In addition, these side effects may not be appropriately or timely recognized or managed by the treating medical staff, particularly outside of the research institutions that collaborate with us. We educate and train medical personnel using our products and product candidates, to understand their side effect profiles both for our approved product DANYELZA and our current clinical trials. We anticipate this also to be the case for our future products, if approved, and clinical trials. Inadequate training in recognizing or managing the potential side effects of our products or product candidates could result in adverse effects to patients, including death. Any of these occurrences may materially and adversely harm our business, financial condition and prospects.</w:t>
      </w:r>
    </w:p>
    <w:p>
      <w:pPr>
        <w:spacing w:after="0" w:line="188" w:lineRule="exact"/>
        <w:rPr>
          <w:sz w:val="20"/>
          <w:szCs w:val="20"/>
          <w:color w:val="auto"/>
        </w:rPr>
      </w:pPr>
    </w:p>
    <w:p>
      <w:pPr>
        <w:ind w:left="60" w:right="479" w:firstLine="648"/>
        <w:spacing w:after="0" w:line="266" w:lineRule="auto"/>
        <w:rPr>
          <w:sz w:val="20"/>
          <w:szCs w:val="20"/>
          <w:color w:val="auto"/>
        </w:rPr>
      </w:pPr>
      <w:r>
        <w:rPr>
          <w:rFonts w:ascii="Times New Roman" w:cs="Times New Roman" w:eastAsia="Times New Roman" w:hAnsi="Times New Roman"/>
          <w:sz w:val="18"/>
          <w:szCs w:val="18"/>
          <w:color w:val="auto"/>
        </w:rPr>
        <w:t>Undesirable side effects caused by DANYELZA or any other product or product candidate could limit the commercial profile of such product or product candidate or result in significant negative consequences such as a more restrictive label or other limitations or restrictions.</w:t>
      </w:r>
    </w:p>
    <w:p>
      <w:pPr>
        <w:spacing w:after="0" w:line="176"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In clinical studies, DANYELZA has been shown to cause serious infusion reactions including anaphylaxis, cardiac arrest, bronchospasm, stridor, and hypotension. The most common adverse events were mainly mild and moderate and included infusion-related reaction, pain, tachycardia, vomiting, cough, nausea, diarrhea, decreased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appetite, hypertension, fatigue, erythema multiforme, peripheral neuropathy, urticaria, pyrexia, headache, edema, anxiety, localized edema and irritability. DANYELZA has been approved with a boxed warning for serious infusion reactions and neurotoxicity.</w:t>
      </w:r>
    </w:p>
    <w:p>
      <w:pPr>
        <w:spacing w:after="0" w:line="176"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Clinical trials of our product candidates must be conducted in carefully defined subsets of patients who have agreed to enter into clinical trials. Consequently, it is possible that our clinical trials, or those of any potential future collaborator, may indicate an apparent positive effect of a product candidate that is greater than the actual positive effect, if any, or alternatively fail to identify undesirable side effects. If a product candidate receives marketing approval and we, or others, discover that the drug is less effective than previously believed or causes undesirable side effects that were not previously identified, including during any long-term follow-up observation period recommended or required for patients who receive treatment using our products, a number of potentially significant negative consequences could result, including:</w:t>
      </w:r>
    </w:p>
    <w:p>
      <w:pPr>
        <w:spacing w:after="0" w:line="192" w:lineRule="exact"/>
        <w:rPr>
          <w:sz w:val="20"/>
          <w:szCs w:val="20"/>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suspend or vary approvals of such product or seize the product;</w:t>
      </w:r>
    </w:p>
    <w:p>
      <w:pPr>
        <w:spacing w:after="0" w:line="225" w:lineRule="exact"/>
        <w:rPr>
          <w:rFonts w:ascii="Times New Roman" w:cs="Times New Roman" w:eastAsia="Times New Roman" w:hAnsi="Times New Roman"/>
          <w:sz w:val="18"/>
          <w:szCs w:val="18"/>
          <w:color w:val="auto"/>
        </w:rPr>
      </w:pPr>
    </w:p>
    <w:p>
      <w:pPr>
        <w:ind w:left="1040" w:right="659" w:hanging="315"/>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may be required to recall the product, change the way such product is administered to patients or conduct additional clinical trials;</w:t>
      </w:r>
    </w:p>
    <w:p>
      <w:pPr>
        <w:spacing w:after="0" w:line="161"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or the manufacturing processes for, the particular product;</w:t>
      </w:r>
    </w:p>
    <w:p>
      <w:pPr>
        <w:spacing w:after="0" w:line="161" w:lineRule="exact"/>
        <w:rPr>
          <w:rFonts w:ascii="Times New Roman" w:cs="Times New Roman" w:eastAsia="Times New Roman" w:hAnsi="Times New Roman"/>
          <w:sz w:val="18"/>
          <w:szCs w:val="18"/>
          <w:color w:val="auto"/>
        </w:rPr>
      </w:pPr>
    </w:p>
    <w:p>
      <w:pPr>
        <w:jc w:val="both"/>
        <w:ind w:left="1040" w:right="99" w:hanging="315"/>
        <w:spacing w:after="0" w:line="266"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narrow the indications for use of, or withdraw the approval for such product based on the outcome of post-marketing testing and safety or efficacy of the product, as the FDA did in its approval of DANYELZA for the treatment of R/R high-risk NB rather than NB that was not R/R;</w:t>
      </w:r>
    </w:p>
    <w:p>
      <w:pPr>
        <w:spacing w:after="0" w:line="175" w:lineRule="exact"/>
        <w:rPr>
          <w:rFonts w:ascii="Times New Roman" w:cs="Times New Roman" w:eastAsia="Times New Roman" w:hAnsi="Times New Roman"/>
          <w:sz w:val="18"/>
          <w:szCs w:val="18"/>
          <w:color w:val="auto"/>
        </w:rPr>
      </w:pPr>
    </w:p>
    <w:p>
      <w:pPr>
        <w:ind w:left="1040" w:right="139" w:hanging="315"/>
        <w:spacing w:after="0" w:line="261"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may be required to create a Risk Evaluation and Mitigation Strategy, or REMS, or comparable foreign strategies, which could include a medication guide outlining the risks of such side effects for distribution to patients, a communication plan for healthcare providers, and/or other elements to assure safe use;</w:t>
      </w:r>
    </w:p>
    <w:p>
      <w:pPr>
        <w:spacing w:after="0" w:line="179" w:lineRule="exact"/>
        <w:rPr>
          <w:rFonts w:ascii="Times New Roman" w:cs="Times New Roman" w:eastAsia="Times New Roman" w:hAnsi="Times New Roman"/>
          <w:sz w:val="18"/>
          <w:szCs w:val="18"/>
          <w:color w:val="auto"/>
        </w:rPr>
      </w:pPr>
    </w:p>
    <w:p>
      <w:pPr>
        <w:ind w:left="1040" w:right="439" w:hanging="315"/>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may be subject to fines, injunctions or the imposition of civil or criminal penalties;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could be sued and held liable for harm caused to patients;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may become less competitive;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Any of the foregoing could prevent us from achieving or maintaining market acceptance of DANYELZA or a particular product candidate, if approved, and could significantly harm our business, results of operations, and prospects, and could adversely impact our financial condition, results of operations, ability to raise additional financing or the market price of our common stock.</w:t>
      </w:r>
    </w:p>
    <w:p>
      <w:pPr>
        <w:spacing w:after="0" w:line="176" w:lineRule="exact"/>
        <w:rPr>
          <w:sz w:val="20"/>
          <w:szCs w:val="20"/>
          <w:color w:val="auto"/>
        </w:rPr>
      </w:pPr>
    </w:p>
    <w:p>
      <w:pPr>
        <w:ind w:left="60" w:right="2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outcome of pre-clinical studies and early clinical trials may not be predictive of the success of later clinical trials, interim results of a clinical trial do not necessarily predict final results, and the results of our clinical trials may not satisfy the requirements of the FDA or comparable foreign regulatory authorities, and if an adverse safety issue, clinical hold or other adverse finding occurs in one or more of our clinical trials of our lead product candidates, such event could adversely affect our other clinical trials of our lead product candidates.</w:t>
      </w:r>
    </w:p>
    <w:p>
      <w:pPr>
        <w:spacing w:after="0" w:line="183"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Success in pre-clinical studies and early-stage clinical trials does not mean that future larger registration clinical trials will be successful because product candidates in later-stage clinical trials may fail to demonstrate sufficient safety and efficacy to the satisfaction of the FDA and non-U.S. regulatory authorities despite having progressed through</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0" w:right="459"/>
        <w:spacing w:after="0" w:line="261" w:lineRule="auto"/>
        <w:rPr>
          <w:sz w:val="20"/>
          <w:szCs w:val="20"/>
          <w:color w:val="auto"/>
        </w:rPr>
      </w:pPr>
      <w:r>
        <w:rPr>
          <w:rFonts w:ascii="Times New Roman" w:cs="Times New Roman" w:eastAsia="Times New Roman" w:hAnsi="Times New Roman"/>
          <w:sz w:val="18"/>
          <w:szCs w:val="18"/>
          <w:color w:val="auto"/>
        </w:rPr>
        <w:t>pre-clinical studies and early-stage clinical trials. Product candidates that have shown promising results in pre-clinical studies and early-stage clinical trials may still suffer significant setbacks in subsequent clinical trials. Additionally, the outcome of pre-clinical studies and early-stage clinical trials may not be predictive of the success of larger, later-stage clinical trials.</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From time to time, we may publish or report interim or preliminary data from our clinical trials. Interim or preliminary data from clinical trials that we may conduct may not be indicative of the final results of the trial and are subject to the risk that one or more of the clinical outcomes may materially change as patient enrollment continues and more patient data become available. Interim or preliminary data also remain subject to audit and verification procedures that may result in the final data being materially different from the interim or preliminary data. As a result, interim or preliminary data should be viewed with caution until the final data are available. In addition, the design of a clinical trial can determine whether its results will support approval of a drug and flaws in the design of a clinical trial may not become apparent until the clinical trial is well advanced. We may be unable to design and conduct a clinical trial to support marketing approval. Further, if our product candidates are found to be unsafe or lack efficacy, we will not be able to obtain marketing approval for them and our business would be harmed. A number of companies in the pharmaceutical industry, including those with greater resources and experience than us, have suffered significant setbacks in advanced clinical trials, even after obtaining promising results in pre-clinical studies and earlier clinical trials.</w:t>
      </w:r>
    </w:p>
    <w:p>
      <w:pPr>
        <w:spacing w:after="0" w:line="190" w:lineRule="exact"/>
        <w:rPr>
          <w:sz w:val="20"/>
          <w:szCs w:val="20"/>
          <w:color w:val="auto"/>
        </w:rPr>
      </w:pPr>
    </w:p>
    <w:p>
      <w:pPr>
        <w:jc w:val="both"/>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w:t>
      </w:r>
    </w:p>
    <w:p>
      <w:pPr>
        <w:spacing w:after="0" w:line="180" w:lineRule="exact"/>
        <w:rPr>
          <w:sz w:val="20"/>
          <w:szCs w:val="20"/>
          <w:color w:val="auto"/>
        </w:rPr>
      </w:pPr>
    </w:p>
    <w:p>
      <w:pPr>
        <w:ind w:left="60" w:right="59" w:firstLine="648"/>
        <w:spacing w:after="0" w:line="246" w:lineRule="auto"/>
        <w:rPr>
          <w:sz w:val="20"/>
          <w:szCs w:val="20"/>
          <w:color w:val="auto"/>
        </w:rPr>
      </w:pPr>
      <w:r>
        <w:rPr>
          <w:rFonts w:ascii="Times New Roman" w:cs="Times New Roman" w:eastAsia="Times New Roman" w:hAnsi="Times New Roman"/>
          <w:sz w:val="18"/>
          <w:szCs w:val="18"/>
          <w:color w:val="auto"/>
        </w:rPr>
        <w:t xml:space="preserve">We do not know whether any clinical trials we may conduct will demonstrate consistent or adequate efficacy and safety sufficient to obtain marketing approval to market our product candidates. We have multiple clinical trials currently ongoing or planned. In the event that an adverse safety issue, clinical hold or other adverse finding occurs in one or more of our clinical trials of the same product candidate, such event could adversely affect our other clinical trials of our other product candidates. We have received clinical holds on our IND applications for certain of our product candidates in the past and there is no assurance that we will not be subject to additional clinical holds in the future, which may ultimately delay or otherwise adversely affect the clinical development of our product candidates. We submitted a BLA to the FDA for radiolabeled </w:t>
      </w:r>
      <w:r>
        <w:rPr>
          <w:rFonts w:ascii="Times New Roman" w:cs="Times New Roman" w:eastAsia="Times New Roman" w:hAnsi="Times New Roman"/>
          <w:sz w:val="26"/>
          <w:szCs w:val="26"/>
          <w:color w:val="auto"/>
          <w:vertAlign w:val="superscript"/>
        </w:rPr>
        <w:t>131</w:t>
      </w:r>
      <w:r>
        <w:rPr>
          <w:rFonts w:ascii="Times New Roman" w:cs="Times New Roman" w:eastAsia="Times New Roman" w:hAnsi="Times New Roman"/>
          <w:sz w:val="18"/>
          <w:szCs w:val="18"/>
          <w:color w:val="auto"/>
        </w:rPr>
        <w:t>I-omburtamab for CNS LM from NB in August 2020, and received a Refusal to File letter from the FDA in October 2020. The reason for the FDA’s decision to issue the Refusal to File letter was that upon preliminary review, the FDA determined that certain parts of the Chemistry, Manufacturing and Control, or CMC, Module and the Clinical Module of the BLA required further detail. We completed the resubmission of the BLA for omburtamab in March 2022. Survival and safety data from our pivotal Phase 2 clinical trial 03-133 formed the primary basis for our resubmission of the BLA for omburtamab, and we compared this data with data from an external cohort comprising data from the Central German Childhood Cancer Registry, or CGCCR, database. Furthermore, we believe interim efficacy, safety and pharmacokinetic data from our pivotal Phase 2 clinical trial 101 supported the BLA resubmission. In May 2022, the FDA indicated that our BLA had been accepted for priority review. The FDA convened an Advisory Committee, which met on October 28, 2022, and voted 16 to 0 that we had not provided sufficient evidence to conclude that omburtamab improves overall survival among the target patient population. In November 2022, the FDA issued a CRL for our BLA for omburtamab indicating that the FDA determined that it was unable to approve the BLA in its current form since it did not provide substantial evidence of effectiveness of omburtamab for the proposed indication. We determined to discontinue our omburtamab development program.</w:t>
      </w:r>
    </w:p>
    <w:p>
      <w:pPr>
        <w:spacing w:after="0" w:line="198"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any clinical trials we may conduct will demonstrate consistent or adequate efficacy and safety sufficient to obtain marketing approval to market our product candidates.</w:t>
      </w:r>
    </w:p>
    <w:p>
      <w:pPr>
        <w:spacing w:after="0" w:line="15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Before obtaining marketing approvals for the commercial sale of any product candidate for a target indication, we must demonstrate with substantial evidence gathered in pre-clinical studies and well-controlled clinical studies, and, with respect to approval in the United States, to the satisfaction of the FDA, that the product candidate is safe and effective for use for that target indication. There is no assurance that the FDA or non-U.S. regulatory authorities will consider our present or future clinical trials to be sufficient to serve as the basis for approval of any of our product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99"/>
        <w:spacing w:after="0" w:line="312" w:lineRule="auto"/>
        <w:rPr>
          <w:sz w:val="20"/>
          <w:szCs w:val="20"/>
          <w:color w:val="auto"/>
        </w:rPr>
      </w:pPr>
      <w:r>
        <w:rPr>
          <w:rFonts w:ascii="Times New Roman" w:cs="Times New Roman" w:eastAsia="Times New Roman" w:hAnsi="Times New Roman"/>
          <w:sz w:val="17"/>
          <w:szCs w:val="17"/>
          <w:color w:val="auto"/>
        </w:rPr>
        <w:t>candidates for any indication. The FDA and non-U.S. regulatory authorities retain broad discretion in evaluating the results of our clinical trials and in determining whether the results demonstrate that a product candidate is safe and effective.</w:t>
      </w:r>
    </w:p>
    <w:p>
      <w:pPr>
        <w:spacing w:after="0" w:line="140"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On November 24, 2024 MSK published an abstract at Connective Tissue Oncology Society using DANYELZA Anti-Gd2 Antibody in an ISS multi-center osteosarcoma trial (Study 15-096). Per the results of this trial, the data missed the established end point of 12-month event free survival, or EFS, of 40%. The underlying EFS response rates were as follows:</w:t>
      </w:r>
    </w:p>
    <w:p>
      <w:pPr>
        <w:spacing w:after="0" w:line="180" w:lineRule="exact"/>
        <w:rPr>
          <w:sz w:val="20"/>
          <w:szCs w:val="20"/>
          <w:color w:val="auto"/>
        </w:rPr>
      </w:pPr>
    </w:p>
    <w:p>
      <w:pPr>
        <w:ind w:left="1380" w:hanging="331"/>
        <w:spacing w:after="0"/>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population 14 out of 39 patients – 12-month EFS: 36%</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2nd CR: 37%</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3rd CR: 33%</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Looking into further association between 12-month EFS and GD2 expression</w:t>
      </w:r>
    </w:p>
    <w:p>
      <w:pPr>
        <w:spacing w:after="0" w:line="225" w:lineRule="exact"/>
        <w:rPr>
          <w:sz w:val="20"/>
          <w:szCs w:val="20"/>
          <w:color w:val="auto"/>
        </w:rPr>
      </w:pPr>
    </w:p>
    <w:p>
      <w:pPr>
        <w:ind w:left="1380" w:hanging="331"/>
        <w:spacing w:after="0"/>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of 16 GD2 positive patients (31%) were event free at 12 months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of 8 GD2 positive patients (50%) with 4+ staining intensity were event free at 12 months</w:t>
      </w:r>
    </w:p>
    <w:p>
      <w:pPr>
        <w:spacing w:after="0" w:line="225"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believe that this shows DANYELZA’s potential to serve a high unmet need within osteosarcoma where survival rates have shown little or no improvement in decades. With the current standard of care, 12-months EFS is typically approximately 20% (as reported in various published reports). We also believe that the data supporting the use of DANYELZA for targeting GD2 is very compelling and worth further development. We are considering the advancement of a diagnostic tool for GD2, which could prove to be a valuable tool for a potential pivotal trial in this or other GD2 related indications. There can be no assurance that the data from this trial will support further development of DANYELZA for osteosarcoma.</w:t>
      </w:r>
    </w:p>
    <w:p>
      <w:pPr>
        <w:spacing w:after="0" w:line="189"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Further, our product candidates may not be approved even if they achieve their primary endpoints in Phase 3 clinical trials or other pivotal trials. The FDA or non-U.S. regulatory authorities may disagree with our trial design and our interpretation of data from pre-clinical studies and clinical trials or conclude that we do not have adequate manufacturing controls or quality systems. For example, as was the case for our BLA for omburtamab, analysis of the clinical data may rely on external control comparator populations to demonstrate efficacy, rather than blinded, placebo-controlled comparator populations. Data from our clinical trials may therefore be subject to heightened scrutiny regarding potential sources of bias such as treatment-center selection bias or differences in treatment patterns between countries and over time. Furthermore, because our clinical trials typically enroll a small number of patients, statistical analyses may only partially adjust to account for such potential bias. For example, FDA identified key review issues with our BLA for omburtamab, stating that the external control population for our omburtamab BLA is not fit-for-purpose as a comparator and limits the ability to reliably attribute survival differences to omburtamab treatment, that the BLA application does not include reliable response rate data to provide supportive evidence of the treatment effect of omburtamab, and that differences in survival cannot be reliably attributed to omburtamab and provide a large degree of uncertainty regarding whether the observed differences in overall survival between patients treated with omburtamab and external control populations are due to omburtamab or whether they are due to differences in other anticancer treatment, supportive care regimens, unknown differences between the two populations, or a combination of these factors.</w:t>
      </w:r>
    </w:p>
    <w:p>
      <w:pPr>
        <w:spacing w:after="0" w:line="195"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In addition, any of these regulatory authorities may change requirements for the approval of a product candidate even after reviewing and providing comments or advice on a protocol for a pivotal clinical trial that has the potential to result in approval by the FDA or another regulatory authority.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 of biopharmaceutical products is inherently risky. We may not be successful in our efforts to create a pipeline of product candidates and develop commercially successful products. If we fail to develop additional product candidates, our commercial opportunity will be limited.</w:t>
      </w:r>
    </w:p>
    <w:p>
      <w:pPr>
        <w:spacing w:after="0" w:line="175"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Other than DANYELZA, the product candidates and related technologies we have licensed have not yet led, and may never lead, to approved products. DANYELZA was only approved in late 2020 by the FDA and launched in the United States in early 2021, with approvals in other jurisdictions coming more recently. Hence its commercial potential cannot be judged with accuracy at this point in time. Even if we are successful in continuing to build our pipeline, obtaining regulatory approvals and commercializing our other product candidates will require substantial additional funding and remain prone to the risks of failure inherent in medical product development. Investment in biopharmaceutical product development involves significant risk that any potential product candidate will fail to demonstrate adequate efficacy or an acceptable safety profile, gain regulatory approval, and/or become commercially viable. We cannot provide any assurance that we will be able to successfully obtain marketing approval for or advance any of our other product candidates through the development process. Our research programs may initially show promise in identifying potential product candidates, yet fail to yield product candidates for clinical development or commercialization for many reasons, including the following:</w:t>
      </w:r>
    </w:p>
    <w:p>
      <w:pPr>
        <w:spacing w:after="0" w:line="190" w:lineRule="exact"/>
        <w:rPr>
          <w:sz w:val="20"/>
          <w:szCs w:val="20"/>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identifying additional product candidates;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assemble sufficient resources to acquire or discover additional product candidates;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succeed in pre-clinical or clinical testing;</w:t>
      </w:r>
    </w:p>
    <w:p>
      <w:pPr>
        <w:spacing w:after="0" w:line="225"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 or less attractive;</w:t>
      </w:r>
    </w:p>
    <w:p>
      <w:pPr>
        <w:spacing w:after="0" w:line="225" w:lineRule="exact"/>
        <w:rPr>
          <w:rFonts w:ascii="Times New Roman" w:cs="Times New Roman" w:eastAsia="Times New Roman" w:hAnsi="Times New Roman"/>
          <w:sz w:val="18"/>
          <w:szCs w:val="18"/>
          <w:color w:val="auto"/>
        </w:rPr>
      </w:pPr>
    </w:p>
    <w:p>
      <w:pPr>
        <w:ind w:left="1040" w:right="539" w:hanging="315"/>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we develop may nevertheless be covered by third parties’ patents or other exclusive rights;</w:t>
      </w:r>
    </w:p>
    <w:p>
      <w:pPr>
        <w:spacing w:after="0" w:line="161"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a product candidate may change so that the continued development of that product candidate is no longer reasonable;</w:t>
      </w:r>
    </w:p>
    <w:p>
      <w:pPr>
        <w:spacing w:after="0" w:line="161" w:lineRule="exact"/>
        <w:rPr>
          <w:rFonts w:ascii="Times New Roman" w:cs="Times New Roman" w:eastAsia="Times New Roman" w:hAnsi="Times New Roman"/>
          <w:sz w:val="18"/>
          <w:szCs w:val="18"/>
          <w:color w:val="auto"/>
        </w:rPr>
      </w:pPr>
    </w:p>
    <w:p>
      <w:pPr>
        <w:ind w:left="1040" w:right="179" w:hanging="315"/>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161" w:lineRule="exact"/>
        <w:rPr>
          <w:rFonts w:ascii="Times New Roman" w:cs="Times New Roman" w:eastAsia="Times New Roman" w:hAnsi="Times New Roman"/>
          <w:sz w:val="18"/>
          <w:szCs w:val="18"/>
          <w:color w:val="auto"/>
        </w:rPr>
      </w:pPr>
    </w:p>
    <w:p>
      <w:pPr>
        <w:ind w:left="1040" w:right="279" w:hanging="315"/>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 as applicable.</w:t>
      </w:r>
    </w:p>
    <w:p>
      <w:pPr>
        <w:spacing w:after="0" w:line="162"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If any of these events occur, we may be forced to abandon our development efforts for a program or programs, or we may not be able to identify, discover, develop, or commercialize additional product candidates, which would have a material adverse effect on our business and could potentially cause us to cease operations. As for DANYELZA, no assurance can be given that it will be successfully commercialized, widely accepted in any marketplace or more effective than other commercially available alternatives.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right="1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ability to maintain and continue to leverage our relationship with MSK. We have entered into several agreements with MSK that are important to our business. We may also form or seek other collaborations or strategic alliances or enter into additional licensing arrangements in the future but may not realize the benefits of such collaborations or strategic alliances. If we are unable to enter into future collaborations, or if such collaborations are not successful, our business could be adversely affected.</w:t>
      </w:r>
    </w:p>
    <w:p>
      <w:pPr>
        <w:spacing w:after="0" w:line="183"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currently have in place several agreements with MSK, including the MSK License, the CD33 License, the MabVax/MSK License Agreement and the SADA License Agreement, many of which are important to us, and we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In addition, MSK, because it is a hospital where patients are treated, continues to be a major source for the distribution and administration of DANYELZA. Any disruption of our relationship with MSK could have a material adverse effect on our business, results of operations and financial condition.</w:t>
      </w:r>
    </w:p>
    <w:p>
      <w:pPr>
        <w:spacing w:after="0" w:line="192"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In addition, we face significant competition in seeking appropriate strategic partners and the negotiation of strategic collaborations is time consuming and complex. We may not be successful in our efforts to establish a strategic partnership, other than the one we have with MSK, or other alternative arrangements for our product candidates because potential strategic partners may deem our product candidates to be at too early a stage of development for collaborative effort, because third parties may not view our product candidates as having the requisite potential to demonstrate safety and efficacy or because the commercial potential of our product candidates is too difficult to predict.</w:t>
      </w:r>
    </w:p>
    <w:p>
      <w:pPr>
        <w:spacing w:after="0" w:line="187"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Further, arrangements with third parties, such as our arrangement with MSK or other current or potential future collaborations that we may enter, are subject to numerous risks, including the following:</w:t>
      </w:r>
    </w:p>
    <w:p>
      <w:pPr>
        <w:spacing w:after="0" w:line="162" w:lineRule="exact"/>
        <w:rPr>
          <w:sz w:val="20"/>
          <w:szCs w:val="20"/>
          <w:color w:val="auto"/>
        </w:rPr>
      </w:pPr>
    </w:p>
    <w:p>
      <w:pPr>
        <w:ind w:left="1040" w:right="79" w:hanging="315"/>
        <w:spacing w:after="0" w:line="282"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third parties may have significant discretion in determining the efforts and resources that they will apply to a collaboration;</w:t>
      </w:r>
    </w:p>
    <w:p>
      <w:pPr>
        <w:spacing w:after="0" w:line="161" w:lineRule="exact"/>
        <w:rPr>
          <w:rFonts w:ascii="Times New Roman" w:cs="Times New Roman" w:eastAsia="Times New Roman" w:hAnsi="Times New Roman"/>
          <w:sz w:val="18"/>
          <w:szCs w:val="18"/>
          <w:color w:val="auto"/>
        </w:rPr>
      </w:pPr>
    </w:p>
    <w:p>
      <w:pPr>
        <w:ind w:left="1040" w:right="99" w:hanging="315"/>
        <w:spacing w:after="0" w:line="258"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third parties may not pursue development and commercialization of our products or product candidates or may elect not to continue or renew development or commercialization programs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183" w:lineRule="exact"/>
        <w:rPr>
          <w:rFonts w:ascii="Times New Roman" w:cs="Times New Roman" w:eastAsia="Times New Roman" w:hAnsi="Times New Roman"/>
          <w:sz w:val="18"/>
          <w:szCs w:val="18"/>
          <w:color w:val="auto"/>
        </w:rPr>
      </w:pPr>
    </w:p>
    <w:p>
      <w:pPr>
        <w:ind w:left="1040" w:right="99" w:hanging="315"/>
        <w:spacing w:after="0" w:line="266"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third parties may delay clinical trials, provide insufficient funding for a clinical trial, stop a clinical trial, abandon a product candidate, repeat or conduct new clinical trials, or require a new formulation of a product candidate for clinical testing;</w:t>
      </w:r>
    </w:p>
    <w:p>
      <w:pPr>
        <w:spacing w:after="0" w:line="175" w:lineRule="exact"/>
        <w:rPr>
          <w:rFonts w:ascii="Times New Roman" w:cs="Times New Roman" w:eastAsia="Times New Roman" w:hAnsi="Times New Roman"/>
          <w:sz w:val="18"/>
          <w:szCs w:val="18"/>
          <w:color w:val="auto"/>
        </w:rPr>
      </w:pPr>
    </w:p>
    <w:p>
      <w:pPr>
        <w:ind w:left="1040" w:right="439" w:hanging="315"/>
        <w:spacing w:after="0" w:line="282"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third parties could independently develop, or develop with others, products that compete directly or indirectly with our products or product candidates;</w:t>
      </w:r>
    </w:p>
    <w:p>
      <w:pPr>
        <w:spacing w:after="0" w:line="161" w:lineRule="exact"/>
        <w:rPr>
          <w:rFonts w:ascii="Times New Roman" w:cs="Times New Roman" w:eastAsia="Times New Roman" w:hAnsi="Times New Roman"/>
          <w:sz w:val="18"/>
          <w:szCs w:val="18"/>
          <w:color w:val="auto"/>
        </w:rPr>
      </w:pPr>
    </w:p>
    <w:p>
      <w:pPr>
        <w:ind w:left="1040" w:right="159" w:hanging="315"/>
        <w:spacing w:after="0" w:line="261"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through such arrangements or any potential future collaborations with us may be viewed by such third parties as competitive with their own product candidates or products, which may cause such third parties to cease to devote resources to the commercialization of our products or product candidates;</w:t>
      </w:r>
    </w:p>
    <w:p>
      <w:pPr>
        <w:spacing w:after="0" w:line="179"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third parties with marketing and distribution rights to one or more products may not commit sufficient resources to their marketing and distribution;</w:t>
      </w:r>
    </w:p>
    <w:p>
      <w:pPr>
        <w:spacing w:after="0" w:line="161" w:lineRule="exact"/>
        <w:rPr>
          <w:rFonts w:ascii="Times New Roman" w:cs="Times New Roman" w:eastAsia="Times New Roman" w:hAnsi="Times New Roman"/>
          <w:sz w:val="18"/>
          <w:szCs w:val="18"/>
          <w:color w:val="auto"/>
        </w:rPr>
      </w:pPr>
    </w:p>
    <w:p>
      <w:pPr>
        <w:ind w:left="1040" w:right="219" w:hanging="315"/>
        <w:spacing w:after="0" w:line="261"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third parties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right="219" w:hanging="315"/>
        <w:spacing w:after="0" w:line="266"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such third-party or any current or potential future collaborator that cause the delay or termination of the research, development or commercialization of our products or product candidates, or that result in costly litigation or arbitration that diverts management attention and resources;</w:t>
      </w:r>
    </w:p>
    <w:p>
      <w:pPr>
        <w:spacing w:after="0" w:line="175"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third parties may infringe the intellectual property rights of others, which may expose us to litigation and potential liability;</w:t>
      </w:r>
    </w:p>
    <w:p>
      <w:pPr>
        <w:spacing w:after="0" w:line="161" w:lineRule="exact"/>
        <w:rPr>
          <w:rFonts w:ascii="Times New Roman" w:cs="Times New Roman" w:eastAsia="Times New Roman" w:hAnsi="Times New Roman"/>
          <w:sz w:val="18"/>
          <w:szCs w:val="18"/>
          <w:color w:val="auto"/>
        </w:rPr>
      </w:pPr>
    </w:p>
    <w:p>
      <w:pPr>
        <w:ind w:left="1040" w:right="419" w:hanging="315"/>
        <w:spacing w:after="0" w:line="266"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arrangements or any current or potential future collaborations may be terminated and, if terminated, may result in a need for additional capital to pursue further development or commercialization of the applicable product or product candidate; and</w:t>
      </w:r>
    </w:p>
    <w:p>
      <w:pPr>
        <w:spacing w:after="0" w:line="175" w:lineRule="exact"/>
        <w:rPr>
          <w:rFonts w:ascii="Times New Roman" w:cs="Times New Roman" w:eastAsia="Times New Roman" w:hAnsi="Times New Roman"/>
          <w:sz w:val="18"/>
          <w:szCs w:val="18"/>
          <w:color w:val="auto"/>
        </w:rPr>
      </w:pPr>
    </w:p>
    <w:p>
      <w:pPr>
        <w:ind w:left="1040" w:right="419" w:hanging="315"/>
        <w:spacing w:after="0" w:line="266"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third parties may own or co-own intellectual property covering our products that results from our collaborating with them, and in such cases, we would not have the exclusive right to commercialize such intellectual property.</w:t>
      </w:r>
    </w:p>
    <w:p>
      <w:pPr>
        <w:spacing w:after="0" w:line="17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As a result, if we are unable to maintain current arrangements or collaborations or enter into and maintain future arrangements and collaborations, or if such arrangements or collaborations are not successful, our business could be adversely affected. If we enter into certain arrangements or collaboration agreements and strategic partnerships or license our products or businesses, we may not be able to realize the benefit of such transactions if we are unable to successfully integrate them with our existing operations and company culture, which could delay our timelines or otherwise adversely affect our business. Any of these relationships may require us to incur other charges, increase our near and long-term expenditures, issue securities that dilute our existing stockholders, or disrupt our management and business. We also cannot be certain that, following a strategic transaction or license, we will achieve the revenue or specific net income that justifies such transaction. Nevertheless, any delays in entering into new collaborations or strategic partnership agreements related to our products or product candidates could delay the development and commercialization of our products or product candidates in certain territories for certain indications, which would harm our business prospects, financial condition, and results of operations.</w:t>
      </w:r>
    </w:p>
    <w:p>
      <w:pPr>
        <w:spacing w:after="0" w:line="186" w:lineRule="exact"/>
        <w:rPr>
          <w:sz w:val="20"/>
          <w:szCs w:val="20"/>
          <w:color w:val="auto"/>
        </w:rPr>
      </w:pPr>
    </w:p>
    <w:p>
      <w:pPr>
        <w:ind w:left="6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third parties, such as contract research organizations, or CROs, or contract manufacturing organizations, or CMOs, use hazardous and biological materials in a manner that causes injury or violates applicable law, we may be liable for damages.</w:t>
      </w:r>
    </w:p>
    <w:p>
      <w:pPr>
        <w:spacing w:after="0" w:line="175"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Our research and development activities involve the controlled use of potentially hazardous substances, including chemical and biological materials, by us or third parties, such as CROs and CMOs. We have used radioactive materials, including Lutetium-177, Iodine-131 and Iodine-124 label in our omburtamab and SADA PRIT product candidates. Our uses involve the inherent risk of exposure from beta ray emissions, which can alter or harm healthy cells in the body. We, our CROs, our CMOs and other third parties are subject to federal, state, and local laws and regulations in the United States and foreign countries governing the use, manufacture, storage, handling, and disposal of medical and hazardous materials. Although we believe that our and such third-parties’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197"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 We do not have insurance coverage for pollution cleanup and removal. Currently the costs of complying with applicable federal, state, local and foreign environmental regulations are not significant, and consist primarily of waste disposal expenses. However, compliance could become expensive, and current or future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environmental laws or regulations may impair our research, development, production and commercialization efforts.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Furthermore, failure to comply with these laws and regulations may result in substantial fines, penalties or other sanctions.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left="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If these third parties do not successfully carry out their contractual duties or meet expected deadlines or comply with regulatory requirements, we may not be able to obtain regulatory approval of or commercialize our product candidates.</w:t>
      </w:r>
    </w:p>
    <w:p>
      <w:pPr>
        <w:spacing w:after="0" w:line="175"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rely on third parties to conduct our clinical trials under agreements with MSK, universities, medical institutions, CROs, strategic partners, and others. Nevertheless, we are responsible for ensuring that each of our studies is conducted in accordance with the applicable protocol and legal, regulatory, and scientific standards, and our reliance on third parties does not relieve us of our regulatory responsibilities. We and these third parties are required to comply with current good clinical practices, or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non-clinical or clinical trials before approving our marketing applications. We cannot be certain that, upon inspection, such regulatory authorities will determine that any of our clinical trials comply with the GCP regulations. In addition, our clinical trials must be conducted with biologic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foreign or state fraud and abuse or false claims laws and regulations or healthcare privacy and security laws.</w:t>
      </w:r>
    </w:p>
    <w:p>
      <w:pPr>
        <w:spacing w:after="0" w:line="195"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varied or terminated and we may not be able to complete development of, obtain regulatory approval of or successfully commercialize our product candidates. We may also rely on investigator-reported interim data in making business decisions. Independent review of the data could fail to confirm the investigator-reported interim data, which may lead to revisions in disclosed clinical trial results in the future. Any such revisions that reveal more negative data than previously disclosed investigator-reported interim data could have an adverse impact on our business prospects and the trading price of our common stock. Such revisions could also reduce investor confidence in investigator-reported interim data that we disclose in the future.</w:t>
      </w:r>
    </w:p>
    <w:p>
      <w:pPr>
        <w:spacing w:after="0" w:line="194"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or do so on commercially reasonable terms. Switching or adding additional CROs involves additional cost and delays and requires management time and focus. Though we intend to carefully manage our relationships with our CROs, there can be no assurance that we will not encounter similar challenges in the future or that these challenges will not have a material adverse impact on our business, financial condition and prospects.</w:t>
      </w:r>
    </w:p>
    <w:p>
      <w:pPr>
        <w:spacing w:after="0" w:line="17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manufacture DANYELZA for commercial and clinical supply and our product candidates, including our antibody constructs based on the SADA PRIT Technology, for our ongoing and planned pre-clinical studies and clinical studies. Our business could be harmed if third parties fail to provide us enough DANYELZA or our other product candidates, including our antibody constructs based on the SADA PRIT Technology, or fail to do so at acceptable quantities, quality levels or prices or fail to maintain adequate compliance with CMC guidelines of the FDA and comparable foreign regulatory authorities. Our third-party manufacturers have in the past and may in the future experience manufacturing difficulties, and any such difficulties could harm our business.</w:t>
      </w:r>
    </w:p>
    <w:p>
      <w:pPr>
        <w:spacing w:after="0" w:line="187" w:lineRule="exact"/>
        <w:rPr>
          <w:sz w:val="20"/>
          <w:szCs w:val="20"/>
          <w:color w:val="auto"/>
        </w:rPr>
      </w:pPr>
    </w:p>
    <w:p>
      <w:pPr>
        <w:ind w:left="60" w:right="539" w:firstLine="648"/>
        <w:spacing w:after="0" w:line="312" w:lineRule="auto"/>
        <w:rPr>
          <w:sz w:val="20"/>
          <w:szCs w:val="20"/>
          <w:color w:val="auto"/>
        </w:rPr>
      </w:pPr>
      <w:r>
        <w:rPr>
          <w:rFonts w:ascii="Times New Roman" w:cs="Times New Roman" w:eastAsia="Times New Roman" w:hAnsi="Times New Roman"/>
          <w:sz w:val="17"/>
          <w:szCs w:val="17"/>
          <w:color w:val="auto"/>
        </w:rPr>
        <w:t>We do not currently own any facility that may be used for commercial or clinical-scale manufacturing and processing, and we rely on outside vendors to manufacture DANYELZA for commercial supply and for supplies and</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processing of our product candidates, including our antibody constructs based on the SADA PRIT Technology, for pre-clinical studies and clinical trials. The manufacturing processes that we have developed may be more difficult or expensive than other approaches currently in use. We may make changes as we work to optimize the manufacturing process, and we cannot be sure that even minor changes in the process will not result in significantly different substances that may not be as safe and effective as any substances deployed by our third-party research institution collaborators.</w:t>
      </w:r>
    </w:p>
    <w:p>
      <w:pPr>
        <w:spacing w:after="0" w:line="183"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To date, we have obtained the active pharmaceutical ingredient, or API, of DANYELZA from a limited number of third-party manufacturers. We have engaged a separate third-party manufacturer to conduct fill-and-finish and labeling services, as well as for the storage and distribution of DANYELZA to clinical sites and for commercial use. We do not have a long-term supply agreement with any of these third-party API manufacturers, and we purchase our required drug supplies on a purchase order basis.</w:t>
      </w:r>
    </w:p>
    <w:p>
      <w:pPr>
        <w:spacing w:after="0" w:line="183"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We rely also on CMOs and third-party collaborators for the manufacture of DANYELZA for commercial and clinical supply, and we expect that this will be the manufacturing arrangement for any of our other potential products, if approved. The DANYELZA drug substance is manufactured by a single third party, Patheon Biologics B.V. in Groningen, Netherlands, and the DANYELZA drug product is manufactured by a single third party, Patheon Manufacturing Services, LLC at their facility in Greenville, North Carolina. Both facilities are part of Thermo Fisher Scientific Inc, collectively, Patheon/Thermo Fisher. It is expected that Patheon/Thermo Fisher will transition manufacturing of the DANYELZA drug product to a different facility, and it is anticipated that no DANEYLZA drug product will be manufactured until FDA approval of the new site. We will bear the costs of such approval process, which are currently estimated to be up to $6.0 million. However, there is no guarantee that such FDA approval will be granted on our expected timeline and budget, or at all, which could result in a delay in our clinical trials and loss of, or delayed, commercial sales, which would result in loss of revenue. In addition, we anticipate increased inventory costs in 2025 associated with stocking surplus of DANYELZA to meet our anticipated commercial and clinical needs during the anticipated time period from the closing of Patheon/Thermo Fisher’s current manufacturing facility until its new site becomes FDA approved to produce and begins production of the DANYELZA drug product. During this time period, we will have no manufacture of DANYELZA. There is a risk that we may underestimate our supply needs during this time period and/or that this time period will be longer than anticipated, which could result in a delay in our clinical trials and loss of, or delayed, commercial sales, or that we may overestimate our supply needs, which could result in additional write-offs to inventories for expired or unusable product</w:t>
      </w:r>
    </w:p>
    <w:p>
      <w:pPr>
        <w:spacing w:after="0" w:line="192"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We are subject to the following additional risks with respect to the third-party manufacture of our antibody-based cancer treatments, both with respect to the planned transition to the Patheon/Thermo Fisher Monza, Italy site and for any other third-party manufacturer with which we contract:</w:t>
      </w:r>
    </w:p>
    <w:p>
      <w:pPr>
        <w:spacing w:after="0" w:line="176" w:lineRule="exact"/>
        <w:rPr>
          <w:sz w:val="20"/>
          <w:szCs w:val="20"/>
          <w:color w:val="auto"/>
        </w:rPr>
      </w:pPr>
    </w:p>
    <w:p>
      <w:pPr>
        <w:ind w:left="1000" w:right="139" w:hanging="275"/>
        <w:spacing w:after="0" w:line="256"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need to qualify any new manufacturer of DANYELZA or other product candidates, the respective BLA submission will need to be amended, and ultimately the FDA must approve any new manufacturer. Any such approval would require new testing, which may include comparability analyses between the biologic substance manufactured for use in prior clinical trials and the biologic substance manufactured by such potential new manufacturer. Any such potential new manufacturer would further need to pass cGMP compliance inspections by the FDA or comparable foreign regulatory authorities.</w:t>
      </w:r>
    </w:p>
    <w:p>
      <w:pPr>
        <w:spacing w:after="0" w:line="187" w:lineRule="exact"/>
        <w:rPr>
          <w:rFonts w:ascii="Times New Roman" w:cs="Times New Roman" w:eastAsia="Times New Roman" w:hAnsi="Times New Roman"/>
          <w:sz w:val="18"/>
          <w:szCs w:val="18"/>
          <w:color w:val="auto"/>
        </w:rPr>
      </w:pPr>
    </w:p>
    <w:p>
      <w:pPr>
        <w:ind w:left="1000" w:right="639" w:hanging="275"/>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need to qualify any new manufacturer, such third party would have to be educated in, or develop substantially equivalent processes for, production of our product and/or product candidates.</w:t>
      </w:r>
    </w:p>
    <w:p>
      <w:pPr>
        <w:spacing w:after="0" w:line="161" w:lineRule="exact"/>
        <w:rPr>
          <w:rFonts w:ascii="Times New Roman" w:cs="Times New Roman" w:eastAsia="Times New Roman" w:hAnsi="Times New Roman"/>
          <w:sz w:val="18"/>
          <w:szCs w:val="18"/>
          <w:color w:val="auto"/>
        </w:rPr>
      </w:pPr>
    </w:p>
    <w:p>
      <w:pPr>
        <w:ind w:left="1000" w:right="519" w:hanging="275"/>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third-party manufacturers might be unable to timely manufacture our product and/or product candidates or to produce the quantity and quality required to meet our clinical and commercial needs.</w:t>
      </w:r>
    </w:p>
    <w:p>
      <w:pPr>
        <w:spacing w:after="0" w:line="161" w:lineRule="exact"/>
        <w:rPr>
          <w:rFonts w:ascii="Times New Roman" w:cs="Times New Roman" w:eastAsia="Times New Roman" w:hAnsi="Times New Roman"/>
          <w:sz w:val="18"/>
          <w:szCs w:val="18"/>
          <w:color w:val="auto"/>
        </w:rPr>
      </w:pPr>
    </w:p>
    <w:p>
      <w:pPr>
        <w:ind w:left="1000" w:right="439" w:hanging="275"/>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third-party manufacturers may not be able to execute our manufacturing procedures and other logistical support requirements appropriately.</w:t>
      </w:r>
    </w:p>
    <w:p>
      <w:pPr>
        <w:spacing w:after="0" w:line="161" w:lineRule="exact"/>
        <w:rPr>
          <w:rFonts w:ascii="Times New Roman" w:cs="Times New Roman" w:eastAsia="Times New Roman" w:hAnsi="Times New Roman"/>
          <w:sz w:val="18"/>
          <w:szCs w:val="18"/>
          <w:color w:val="auto"/>
        </w:rPr>
      </w:pPr>
    </w:p>
    <w:p>
      <w:pPr>
        <w:ind w:left="1000" w:right="139" w:hanging="275"/>
        <w:spacing w:after="0" w:line="266"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third-party manufacturers may not perform as agreed, according to our schedule or specifications, or at all. Any such third-party manufacturer may not devote sufficient resources to our product candidates, may give greater priority to the supply of other products over our product candidates, or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00" w:right="359"/>
        <w:spacing w:after="0" w:line="282" w:lineRule="auto"/>
        <w:rPr>
          <w:sz w:val="20"/>
          <w:szCs w:val="20"/>
          <w:color w:val="auto"/>
        </w:rPr>
      </w:pPr>
      <w:r>
        <w:rPr>
          <w:rFonts w:ascii="Times New Roman" w:cs="Times New Roman" w:eastAsia="Times New Roman" w:hAnsi="Times New Roman"/>
          <w:sz w:val="18"/>
          <w:szCs w:val="18"/>
          <w:color w:val="auto"/>
        </w:rPr>
        <w:t>may not remain in the contract manufacturing business for the time required to supply our clinical trials or commercial needs.</w:t>
      </w:r>
    </w:p>
    <w:p>
      <w:pPr>
        <w:spacing w:after="0" w:line="162" w:lineRule="exact"/>
        <w:rPr>
          <w:sz w:val="20"/>
          <w:szCs w:val="20"/>
          <w:color w:val="auto"/>
        </w:rPr>
      </w:pPr>
    </w:p>
    <w:p>
      <w:pPr>
        <w:jc w:val="both"/>
        <w:ind w:left="1000" w:right="139" w:hanging="275"/>
        <w:spacing w:after="0" w:line="261"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a long-term supply agreement with the manufacturer of the DANYELZA drug substance, or our other active drug ingredients, and we purchase our required drug supplies on a purchase order basis. Any of our third-party manufacturers, including Patheon/Thermo Fisher, could choose to discontinue supplying us with drug substance or drug product and we may not have contractual remedies in such situations.</w:t>
      </w:r>
    </w:p>
    <w:p>
      <w:pPr>
        <w:spacing w:after="0" w:line="179" w:lineRule="exact"/>
        <w:rPr>
          <w:rFonts w:ascii="Times New Roman" w:cs="Times New Roman" w:eastAsia="Times New Roman" w:hAnsi="Times New Roman"/>
          <w:sz w:val="18"/>
          <w:szCs w:val="18"/>
          <w:color w:val="auto"/>
        </w:rPr>
      </w:pPr>
    </w:p>
    <w:p>
      <w:pPr>
        <w:ind w:left="1000" w:right="419" w:hanging="275"/>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the risk of cross-contamination from other drug substances if more than one product is manufactured at a third-party manufacturer’s production facilities.</w:t>
      </w:r>
    </w:p>
    <w:p>
      <w:pPr>
        <w:spacing w:after="0" w:line="161" w:lineRule="exact"/>
        <w:rPr>
          <w:rFonts w:ascii="Times New Roman" w:cs="Times New Roman" w:eastAsia="Times New Roman" w:hAnsi="Times New Roman"/>
          <w:sz w:val="18"/>
          <w:szCs w:val="18"/>
          <w:color w:val="auto"/>
        </w:rPr>
      </w:pPr>
    </w:p>
    <w:p>
      <w:pPr>
        <w:ind w:left="1000" w:right="159" w:hanging="275"/>
        <w:spacing w:after="0" w:line="258"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are subject to ongoing periodic unannounced inspection by the FDA, corresponding state agencies and comparable foreign regulatory authorities to ensure strict compliance with cGMPs and other government regulations and corresponding foreign standards. We have limited control over third-party manufacturers’ compliance with these and or any other applicable regulations and standards, and any of our third-party manufacturers could fail to comply with applicable government regulations.</w:t>
      </w:r>
    </w:p>
    <w:p>
      <w:pPr>
        <w:spacing w:after="0" w:line="183" w:lineRule="exact"/>
        <w:rPr>
          <w:rFonts w:ascii="Times New Roman" w:cs="Times New Roman" w:eastAsia="Times New Roman" w:hAnsi="Times New Roman"/>
          <w:sz w:val="18"/>
          <w:szCs w:val="18"/>
          <w:color w:val="auto"/>
        </w:rPr>
      </w:pPr>
    </w:p>
    <w:p>
      <w:pPr>
        <w:ind w:left="1000" w:right="439" w:hanging="275"/>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own, or may have to share, the intellectual property rights to any improvements made by our third-party manufacturers in the manufacturing process for our products.</w:t>
      </w:r>
    </w:p>
    <w:p>
      <w:pPr>
        <w:spacing w:after="0" w:line="161" w:lineRule="exact"/>
        <w:rPr>
          <w:rFonts w:ascii="Times New Roman" w:cs="Times New Roman" w:eastAsia="Times New Roman" w:hAnsi="Times New Roman"/>
          <w:sz w:val="18"/>
          <w:szCs w:val="18"/>
          <w:color w:val="auto"/>
        </w:rPr>
      </w:pPr>
    </w:p>
    <w:p>
      <w:pPr>
        <w:ind w:left="1000" w:right="179" w:hanging="275"/>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third-party manufacturers could breach, terminate or choose not to renew their agreement with us at a time that is costly or inconvenient for us.</w:t>
      </w:r>
    </w:p>
    <w:p>
      <w:pPr>
        <w:spacing w:after="0" w:line="161" w:lineRule="exact"/>
        <w:rPr>
          <w:rFonts w:ascii="Times New Roman" w:cs="Times New Roman" w:eastAsia="Times New Roman" w:hAnsi="Times New Roman"/>
          <w:sz w:val="18"/>
          <w:szCs w:val="18"/>
          <w:color w:val="auto"/>
        </w:rPr>
      </w:pPr>
    </w:p>
    <w:p>
      <w:pPr>
        <w:ind w:left="1000" w:right="159" w:hanging="275"/>
        <w:spacing w:after="0" w:line="266"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raw materials and components used to manufacture and process DANYELZA and our product candidates, particularly those for which we have no other source or supplier, may not be available or may not be suitable or acceptable for use due to material or component defects.</w:t>
      </w:r>
    </w:p>
    <w:p>
      <w:pPr>
        <w:spacing w:after="0" w:line="175" w:lineRule="exact"/>
        <w:rPr>
          <w:rFonts w:ascii="Times New Roman" w:cs="Times New Roman" w:eastAsia="Times New Roman" w:hAnsi="Times New Roman"/>
          <w:sz w:val="18"/>
          <w:szCs w:val="18"/>
          <w:color w:val="auto"/>
        </w:rPr>
      </w:pPr>
    </w:p>
    <w:p>
      <w:pPr>
        <w:ind w:left="1000" w:right="239" w:hanging="275"/>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third-party manufacturers could potentially mislabel commercial or clinical supplies, which may result in the wrong dose amounts being supplied or active drug or placebo not being properly identified;</w:t>
      </w:r>
    </w:p>
    <w:p>
      <w:pPr>
        <w:spacing w:after="0" w:line="161" w:lineRule="exact"/>
        <w:rPr>
          <w:rFonts w:ascii="Times New Roman" w:cs="Times New Roman" w:eastAsia="Times New Roman" w:hAnsi="Times New Roman"/>
          <w:sz w:val="18"/>
          <w:szCs w:val="18"/>
          <w:color w:val="auto"/>
        </w:rPr>
      </w:pPr>
    </w:p>
    <w:p>
      <w:pPr>
        <w:ind w:left="1000" w:right="279" w:hanging="275"/>
        <w:spacing w:after="0" w:line="266"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third-party manufacturers could misappropriate our proprietary information, including our trade secrets and know-how, which could lead to weaker intellectual property protection for our portfolio or potentially increased competition if a competitor were to obtain such proprietary information.</w:t>
      </w:r>
    </w:p>
    <w:p>
      <w:pPr>
        <w:spacing w:after="0" w:line="175" w:lineRule="exact"/>
        <w:rPr>
          <w:rFonts w:ascii="Times New Roman" w:cs="Times New Roman" w:eastAsia="Times New Roman" w:hAnsi="Times New Roman"/>
          <w:sz w:val="18"/>
          <w:szCs w:val="18"/>
          <w:color w:val="auto"/>
        </w:rPr>
      </w:pPr>
    </w:p>
    <w:p>
      <w:pPr>
        <w:jc w:val="both"/>
        <w:ind w:left="1000" w:right="79" w:hanging="275"/>
        <w:spacing w:after="0" w:line="261"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be interrupted if third-party suppliers fail to deliver clinical supplies on time, or we may experience lost sales if drug supplies are not distributed to commercial vendors in a timely manner, in each case because of inclement weather, natural or man-made disasters, or other circumstances beyond our control.</w:t>
      </w:r>
    </w:p>
    <w:p>
      <w:pPr>
        <w:spacing w:after="0" w:line="179" w:lineRule="exact"/>
        <w:rPr>
          <w:rFonts w:ascii="Times New Roman" w:cs="Times New Roman" w:eastAsia="Times New Roman" w:hAnsi="Times New Roman"/>
          <w:sz w:val="18"/>
          <w:szCs w:val="18"/>
          <w:color w:val="auto"/>
        </w:rPr>
      </w:pPr>
    </w:p>
    <w:p>
      <w:pPr>
        <w:ind w:left="1000" w:right="99" w:hanging="275"/>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third-party manufacturers may have unacceptable or inconsistent product quality success rates and yields and may have inadequate quality control systems.</w:t>
      </w:r>
    </w:p>
    <w:p>
      <w:pPr>
        <w:spacing w:after="0" w:line="161" w:lineRule="exact"/>
        <w:rPr>
          <w:rFonts w:ascii="Times New Roman" w:cs="Times New Roman" w:eastAsia="Times New Roman" w:hAnsi="Times New Roman"/>
          <w:sz w:val="18"/>
          <w:szCs w:val="18"/>
          <w:color w:val="auto"/>
        </w:rPr>
      </w:pPr>
    </w:p>
    <w:p>
      <w:pPr>
        <w:ind w:left="1000" w:right="919" w:hanging="275"/>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higher production costs and tariffs with respect to the planned transition to the Patheon/Thermo Fisher Monza, Italy site</w:t>
      </w:r>
    </w:p>
    <w:p>
      <w:pPr>
        <w:spacing w:after="0" w:line="162"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Each of these risks could delay or prevent the completion of our clinical trials, could delay any additional BLA submissions or the approval of any of our product candidates by the FDA, or comparable foreign submission and approvals by the competent regulatory authorities, result in higher costs or adversely impact commercialization of DANYELZA or our product candidates, if approved. Any shortage in the supply of such raw materials used in the manufacture of our product and product candidates could delay or prevent the completion of our clinical trials or the approval of any of our product candidates by the FDA, or comparable foreign regulatory authorities, result in higher costs or adversely impact commercialization of our product and product candidates, as such shortages have in the past.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In addition, we have and will continue to rely on third parties to perform certain specification tests on our product candidates prior to delivery to patients. If these tests are not appropriately done and test data are not reliable, patients could be put at risk of serious harm and the FDA, or comparable foreign regulatory authorities could place significant restrictions on us until deficiencies are remedied.</w:t>
      </w:r>
    </w:p>
    <w:p>
      <w:pPr>
        <w:spacing w:after="0" w:line="180"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Any facilities used by our CMOs to manufacture DANYELZA and our product candidates, including our antibody constructs based on the SADA PRIT Technology, must be approved by the FDA pursuant to inspections conducted after submittal of a BLA to the FDA. Comparable requirements are applicable outside the United States. We do not have complete control over all aspects of the manufacturing process of, and are dependent on, our contract manufacturing partners for compliance with cGMP regulations for manufacturing both active drug substances and finished drug products. DANYELZA and any product candidates that we may develop may compete with product candidates of other companies for access to manufacturing facilities. There is a limited number of manufacturers that operate under cGMP regulations and that might be capable of manufacturing for us, and we currently use only a single CMO for the manufacture of the DANEYLZA drug substance and a single CMO for the manufacture of the DANYELZA drug product.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commercial product and clinical product candidates and harm our business and results of operations.</w:t>
      </w:r>
    </w:p>
    <w:p>
      <w:pPr>
        <w:spacing w:after="0" w:line="197"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adversely affect our commercialization of approved products, such as DANYELZA, and delay clinical development or marketing approval of other product candidates. For example, we have had to scrap batches of DANYELZA due to our third-party manufacturer’s failure of the batch manufacture. As a result, during the year ended December 31, 2022, we recorded charges to write-off inventories of $1.2 million. While we are working to ensure an adequate supply of DANEYLZA during the upcoming anticipated pause in manufacturing in connection with the planned transition to a different facility, we do not currently have arrangements in place for redundant supply of DANYELZA or other product candidates, If any of our current CMOs cannot perform as agreed, we would be required to replace such manufacturer and we may incur added costs and delays in identifying and qualifying any such replacement and may experience reduced sales during such process that could have a material adverse effect on our business and results of operations.</w:t>
      </w:r>
    </w:p>
    <w:p>
      <w:pPr>
        <w:spacing w:after="0" w:line="190"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and will continue to be, reliant in significant part on outside scientists and their third-party research institutions for research and development and early clinical testing of our product candidates. These scientists and institutions may have other commitments or conflicts of interest, which could limit our access to their expertise and adversely affect the timing of IND filings and our ability to conduct future planned clinical trials.</w:t>
      </w:r>
    </w:p>
    <w:p>
      <w:pPr>
        <w:spacing w:after="0" w:line="180"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We currently have limited internal research and development capabilities. We conduct independent clinical trials and perform pre-clinical research but we also rely on third-party research institutions for both clinical trial and pre-clinical research.</w:t>
      </w:r>
    </w:p>
    <w:p>
      <w:pPr>
        <w:spacing w:after="0" w:line="176"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On November 24, 2024 MSK published an abstract at Connective Tissue Oncology Society using DANYELZA Anti-Gd2 Antibody in an ISS multi-center osteosarcoma trial (Study 15-096). Per the results of this trial, the data missed the established end point of 12-month event free survival, or EFS, of 40%. The underlying EFS response rates were as follows:</w:t>
      </w:r>
    </w:p>
    <w:p>
      <w:pPr>
        <w:spacing w:after="0" w:line="180" w:lineRule="exact"/>
        <w:rPr>
          <w:sz w:val="20"/>
          <w:szCs w:val="20"/>
          <w:color w:val="auto"/>
        </w:rPr>
      </w:pPr>
    </w:p>
    <w:p>
      <w:pPr>
        <w:ind w:left="1380" w:hanging="331"/>
        <w:spacing w:after="0"/>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population 14 out of 39 patients – 12-month EFS: 36%</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2nd CR: 37%</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3rd CR: 33%</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Looking into further association between 12-month EFS and GD2 expression</w:t>
      </w:r>
    </w:p>
    <w:p>
      <w:pPr>
        <w:spacing w:after="0" w:line="225" w:lineRule="exact"/>
        <w:rPr>
          <w:sz w:val="20"/>
          <w:szCs w:val="20"/>
          <w:color w:val="auto"/>
        </w:rPr>
      </w:pPr>
    </w:p>
    <w:p>
      <w:pPr>
        <w:ind w:left="1380" w:hanging="331"/>
        <w:spacing w:after="0"/>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of 16 GD2 positive patients (31%) were event free at 12 months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380" w:hanging="331"/>
        <w:spacing w:after="0"/>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of 8 GD2 positive patients (50%) with 4+ staining intensity were event free at 12 months</w:t>
      </w:r>
    </w:p>
    <w:p>
      <w:pPr>
        <w:spacing w:after="0" w:line="225"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believe that this data shows DANYELZA’s potential to serve a high unmet need within osteosarcoma where survival rates have shown little or no improvement in decades. With the current standard of care, 12-months EFS is typically approximately 20% (as reported in various published reports). We also believe that the data supporting the use of DANYELZA for targeting GD2 is very compelling and worth further development. We are considering the advancement of a diagnostic tool for GD2, which could prove to be a valuable tool for a potential pivotal trial in this or other GD2 related indications. There can be no assurance that the data from this trial will support further development of DANYELZA for osteosarcoma.</w:t>
      </w:r>
    </w:p>
    <w:p>
      <w:pPr>
        <w:spacing w:after="0" w:line="18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outside scientists who conduct the clinical testing of DANYELZA and our other current product candidates, and who conduct the research and development upon which our product candidate pipeline depends, are not our employees; rather they serve as either independent contractors or the primary investigators under research and other agreements that we have entered into with MSK. Such scientists and collaborators may have other commitments that limit their availability to us. Although our scientific advisors generally agree not to do competing work, if an actual or potential conflict of interest between their work for us and their work for MSK or another entity arises, we may lose their services. These factors could adversely affect the timing of our IND filings and our ability to conduct future planned clinical trials. It is also possible that some of our valuable proprietary knowledge may become publicly known through these scientific advisors if they were to breach their confidentiality agreements with us, which would cause competitive harm to, and have a material adverse effect on, our business.</w:t>
      </w:r>
    </w:p>
    <w:p>
      <w:pPr>
        <w:spacing w:after="0" w:line="194"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existing agreements with MSK may be subject to termination by MSK upon the occurrence of certain circumstances including in the event of our insolvency or bankruptcy, if we are convicted of a felony relating to the manufacture, use, or sale of products licensed from MSK or if we fail to pay amounts owed to MSK under the agreements or other types of breach by us of our obligations under the agreements that remain uncured. If MSK terminates the MSK License, the CD33 License, the SADA License Agreement or its other agreements with us, commercialization of any approved product, such as DANYELZA, or the research and development of the relevant product candidates would be suspended, and we would not be able to research, develop, and license our existing and future product candidates as currently contemplated. We may be required to devote additional resources to the development of our product candidates or seek a new collaboration partner, and the terms of any additional collaborations or other arrangements that we establish may not be favorable to us. Switching or adding third parties to conduct our clinical trial would involve substantial costs and delays and require extensive management time and focus, which can materially impact our ability to meet our desired clinical development timelines.</w:t>
      </w:r>
    </w:p>
    <w:p>
      <w:pPr>
        <w:spacing w:after="0" w:line="186"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DANYELZA and our other product candidates, which are all based on the SADA PRIT Technology, are biologics and the manufacture of DANYELZA and our product candidates, is therefore complex. We, or any of our third-party manufacturers, may encounter difficulties in production, particularly with respect to process development or scaling-up of our manufacturing capabilities. For some reagents, equipment, and materials, we rely or may rely on sole source vendors or a limited number of vendors. Such circumstances may result in an inadequate supply of our product candidates for clinical trials or our products for patients, if approved, could be delayed or stopped, or we may be unable to maintain a commercially viable cost structure.</w:t>
      </w:r>
    </w:p>
    <w:p>
      <w:pPr>
        <w:spacing w:after="0" w:line="187"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DANYELZA and our other product candidates, which are all based on the SADA PRIT Technology, are biologics and the process of manufacturing them is complex, highly regulated and subject to multiple risks. As a result of the complexities, the cost to manufacture biologics is generally higher than traditional small molecule chemical compounds, and the manufacturing process for biologics is less reliable and is more difficult to reproduce. In addition, manufacture of DANYELZA and our other product candidates, which are all based on the SADA PRIT Technology, requires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Our manufacturing process may be susceptible to product loss or failure due to interruptions in the manufacturing process variability in product characteristics, quality control, contamination, equipment or reagent failure, improper installation or operation of equipment, product testing, vendor or operator error, availability of qualified personnel, logistics and shipping delays as well as compliance with strictly enforced federal, state and foreign regulations. Even minor deviations from normal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manufacturing processes could result in reduced production yields, product defects, and other supply disruptions. If microbial, viral, or other contaminants are discovered in our product candidates or in the manufacturing facilities in which our product candidates are made, such manufacturing facilities may need to be closed for an extended period of time to investigate and remedy the contamination. No assurance can be given that any stability failures or other issues relating to the manufacture of DANYELZA or our other product candidates, which are all based on the SADA PRIT Technology, will not occur in the future.</w:t>
      </w:r>
    </w:p>
    <w:p>
      <w:pPr>
        <w:spacing w:after="0" w:line="187" w:lineRule="exact"/>
        <w:rPr>
          <w:sz w:val="20"/>
          <w:szCs w:val="20"/>
          <w:color w:val="auto"/>
        </w:rPr>
      </w:pPr>
    </w:p>
    <w:p>
      <w:pPr>
        <w:ind w:left="60" w:right="79" w:firstLine="648"/>
        <w:spacing w:after="0" w:line="273" w:lineRule="auto"/>
        <w:rPr>
          <w:sz w:val="20"/>
          <w:szCs w:val="20"/>
          <w:color w:val="auto"/>
        </w:rPr>
      </w:pPr>
      <w:r>
        <w:rPr>
          <w:rFonts w:ascii="Times New Roman" w:cs="Times New Roman" w:eastAsia="Times New Roman" w:hAnsi="Times New Roman"/>
          <w:sz w:val="17"/>
          <w:szCs w:val="17"/>
          <w:color w:val="auto"/>
        </w:rPr>
        <w:t>Further, as a product candidate progresses from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such changes could cause the product candidate to perform differently and affect the results of planned clinical trials or other future clinical trials. Moreover, as we develop and/or scale-up our manufacturing processes, we expect that we will need to obtain rights to and supplies of certain materials and equipment to be used as part of those processes. We may not be able to obtain rights to such materials on commercially reasonable terms, or at all.</w:t>
      </w:r>
    </w:p>
    <w:p>
      <w:pPr>
        <w:spacing w:after="0" w:line="171"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addition, the manufacturing process for any products that we may develop is subject to FDA and other foreign regulatory approval process, and we will need to contract with manufacturers who can meet all applicable FDA, EU and other foreign regulatory requirements on an ongoing basis. If Patheon/Thermo Fisher is unable to reliably produce the DANYELZA drug product to specifications acceptable to the FDA, EMA and European Commission or other foreign regulatory authorities, we may not obtain or maintain the approvals we need to continue commercializing such products. There is no assurance that Patheon/Thermo Fisher or our other CMOs will be able to manufacture DANYELZA or our other product candidates, respectively, to specifications acceptable to the FDA, EMA and European Commission or other foreign regulatory authorities, to produce them in sufficient quantities to meet our clinical and commercial requirements, or to meet potential future demand. Any of these challenges could delay completion of clinical trials, require bridging clinical trials or the repetition of one or more clinical trials, increase clinical trial costs, delay approval of our product candidates, impair commercialization efforts, increase our cost of goods, and have an adverse effect on our business, financial condition, results of operations and growth prospects. Although we anticipate seeking FDA approval for DANEYLZA manufacture at the Patheon/Thermo Fisher site in Monza, Italy, and we are working to develop commercially viable processes for manufacture of our SADA PRIT product candidates, our manufacturing capabilities could be affected by cost overruns, tariffs, unexpected delays, equipment failures, labor shortages, natural disasters, power failures and numerous other factors that could prevent us from realizing the intended benefits of our manufacturing strategy and have a material adverse effect on our business. After the shut-down of Patheon/Thermo Fisher’s Greenville site, we may ultimately be unable to, among other things, manufacture DANYELZA at an acceptable cost and/or timetable. We may also be unable to develop a manufacturing process and distribution network for our SADA PRIT product candidates that will, reduce the cost of goods for our product candidates to levels that will allow for an attractive return on investment if and when those product candidates are commercialized.</w:t>
      </w:r>
    </w:p>
    <w:p>
      <w:pPr>
        <w:spacing w:after="0" w:line="184" w:lineRule="exact"/>
        <w:rPr>
          <w:sz w:val="20"/>
          <w:szCs w:val="20"/>
          <w:color w:val="auto"/>
        </w:rPr>
      </w:pPr>
    </w:p>
    <w:p>
      <w:pPr>
        <w:ind w:left="60" w:right="1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strategic collaborations for the development, marketing and commercialization of DANYELZA in certain jurisdictions and may do so in the future for all or some of our product candidates. If those collaborations are not successful, or if we are unable to establish additional collaborations, we may have to alter or delay our development and commercialization plans.</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November 2020, we entered into an exclusive license and distribution agreement for DANYELZA and omburtamab with Takeda Israel, a wholly-owned subsidiary of Takeda Pharmaceutical Company Limited covering the State of Israel, West Bank and Gaza Strip. Any resumption of conflict between Israel and Hamas may have a material adverse impact on Takeda Israel’s ability to sell our products and/or collect receivables from customers in the State of Israel as well as on Takeda Israel’s ability to pursue the development, marketing and/or commercialization of DANYELZA in the State of Israel, West Bank and Gaza Strip, which may ultimately have an adverse impact on the amount of royalties we receive pursuant to the Takeda Licensing Agreement. In December 2020, we entered into a distribution agreement for DANYELZA with Swixx BioPharma AG for the Eastern European territories Bosnia &amp; Herzegovina, Bulgaria, Croatia, Czech Republic, Estonia, Hungary, Latvia, Lithuania, Poland, Romania, Russia, Serbia, Slovakia and Slovenia. In February 2025, we entered into an amendment of our agreement with Swixx to remove Russia</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59"/>
        <w:spacing w:after="0" w:line="251" w:lineRule="auto"/>
        <w:rPr>
          <w:sz w:val="20"/>
          <w:szCs w:val="20"/>
          <w:color w:val="auto"/>
        </w:rPr>
      </w:pPr>
      <w:r>
        <w:rPr>
          <w:rFonts w:ascii="Times New Roman" w:cs="Times New Roman" w:eastAsia="Times New Roman" w:hAnsi="Times New Roman"/>
          <w:sz w:val="18"/>
          <w:szCs w:val="18"/>
          <w:color w:val="auto"/>
        </w:rPr>
        <w:t>from the covered territories. In December 2020, we entered into a license agreement for DANYELZA and omburtamab with SciClone Pharmaceuticals International Ltd., or SciClone, for Greater China, including Mainland China, Taiwan, Hong Kong and Macau. For additional risks relating to our collaborations with entities operating in China, see “Risks related to government regulation: market approval and other legal compliance matters – Laws and regulations governing any international operations we may have in the future may preclude us from developing, manufacturing and selling certain products or product candidates outside of the United States and require us to develop and implement costly compliance programs”. In May 2021, we entered into an exclusive distribution agreement with Adium for Latin America. In December 2022, we entered into a distribution agreement with WEP in connection with an early access program for DANYELZA in Europe. In May 2024, we entered into a distribution agreement with INPHARMUS for distribution of DANYELZA in Turkey. In January 2025, we amended our agreement with INPHARMUS to extend the covered territories to the Gulf Coast Countries in the Mediterranean and Persian Gulf. In October 2024, we entered into a distribution agreement with Nobelpharma in Japan. We may enter into further strategic collaborations for the development, marketing and commercialization of DANYELZA or any further product candidates. Our current and future potential collaborators include large and mid-size pharmaceutical companies, regional and national pharmaceutical companies and biotechnology companies. We face significant competition in seeking appropriate collaborators. Whether we reach a definitive agreement for any further collaborations will depend, among other things, upon our assessment of the collaborator’s resources and expertise, the terms and conditions of the proposed collaboration and the proposed collaborator’s evaluation of a number of factors. We have and will for any future collaborations likely have limited control over the amount and timing of resources that our collaborators dedicate to the development, marketing and/or commercialization of our product candidates. Our ability to generate revenues from these arrangements will depend on our current and future potential collaborators’ abilities to successfully perform the functions assigned to them in these arrangements. In addition, our current collaborators have and any future collaborators may have, the right to abandon research or development projects and terminate applicable agreements, including funding obligations, prior to or upon the expiration of the agreed upon terms.</w:t>
      </w:r>
    </w:p>
    <w:p>
      <w:pPr>
        <w:spacing w:after="0" w:line="205" w:lineRule="exact"/>
        <w:rPr>
          <w:sz w:val="20"/>
          <w:szCs w:val="20"/>
          <w:color w:val="auto"/>
        </w:rPr>
      </w:pPr>
    </w:p>
    <w:p>
      <w:pPr>
        <w:ind w:left="60" w:right="739" w:firstLine="648"/>
        <w:spacing w:after="0" w:line="282" w:lineRule="auto"/>
        <w:rPr>
          <w:sz w:val="20"/>
          <w:szCs w:val="20"/>
          <w:color w:val="auto"/>
        </w:rPr>
      </w:pPr>
      <w:r>
        <w:rPr>
          <w:rFonts w:ascii="Times New Roman" w:cs="Times New Roman" w:eastAsia="Times New Roman" w:hAnsi="Times New Roman"/>
          <w:sz w:val="18"/>
          <w:szCs w:val="18"/>
          <w:color w:val="auto"/>
        </w:rPr>
        <w:t>Our current and any future potential collaborations involving DANYELZA and any of our future product candidates pose risks to us, including the following:</w:t>
      </w:r>
    </w:p>
    <w:p>
      <w:pPr>
        <w:spacing w:after="0" w:line="162" w:lineRule="exact"/>
        <w:rPr>
          <w:sz w:val="20"/>
          <w:szCs w:val="20"/>
          <w:color w:val="auto"/>
        </w:rPr>
      </w:pPr>
    </w:p>
    <w:p>
      <w:pPr>
        <w:ind w:left="1040" w:right="139" w:hanging="315"/>
        <w:spacing w:after="0" w:line="282"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225" w:lineRule="exact"/>
        <w:rPr>
          <w:rFonts w:ascii="Times New Roman" w:cs="Times New Roman" w:eastAsia="Times New Roman" w:hAnsi="Times New Roman"/>
          <w:sz w:val="18"/>
          <w:szCs w:val="18"/>
          <w:color w:val="auto"/>
        </w:rPr>
      </w:pPr>
    </w:p>
    <w:p>
      <w:pPr>
        <w:ind w:left="1040" w:right="119" w:hanging="315"/>
        <w:spacing w:after="0" w:line="261"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marketing and/or commercialization of our product candidates or may elect not to continue or renew development, marketing or commercialization programs based on clinical trial results, changes in the collaborator’s strategic focus or available funding or external factors such as an acquisition that diverts resources or creates competing priorities;</w:t>
      </w:r>
    </w:p>
    <w:p>
      <w:pPr>
        <w:spacing w:after="0" w:line="179" w:lineRule="exact"/>
        <w:rPr>
          <w:rFonts w:ascii="Times New Roman" w:cs="Times New Roman" w:eastAsia="Times New Roman" w:hAnsi="Times New Roman"/>
          <w:sz w:val="18"/>
          <w:szCs w:val="18"/>
          <w:color w:val="auto"/>
        </w:rPr>
      </w:pPr>
    </w:p>
    <w:p>
      <w:pPr>
        <w:ind w:left="1040" w:right="119" w:hanging="315"/>
        <w:spacing w:after="0" w:line="266"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5" w:lineRule="exact"/>
        <w:rPr>
          <w:rFonts w:ascii="Times New Roman" w:cs="Times New Roman" w:eastAsia="Times New Roman" w:hAnsi="Times New Roman"/>
          <w:sz w:val="18"/>
          <w:szCs w:val="18"/>
          <w:color w:val="auto"/>
        </w:rPr>
      </w:pPr>
    </w:p>
    <w:p>
      <w:pPr>
        <w:ind w:left="1040" w:right="539" w:hanging="315"/>
        <w:spacing w:after="0" w:line="282"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drugs that compete directly or indirectly with our drugs or product candidates;</w:t>
      </w:r>
    </w:p>
    <w:p>
      <w:pPr>
        <w:spacing w:after="0" w:line="161" w:lineRule="exact"/>
        <w:rPr>
          <w:rFonts w:ascii="Times New Roman" w:cs="Times New Roman" w:eastAsia="Times New Roman" w:hAnsi="Times New Roman"/>
          <w:sz w:val="18"/>
          <w:szCs w:val="18"/>
          <w:color w:val="auto"/>
        </w:rPr>
      </w:pPr>
    </w:p>
    <w:p>
      <w:pPr>
        <w:ind w:left="1040" w:right="719" w:hanging="315"/>
        <w:spacing w:after="0" w:line="282"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drugs may not commit sufficient resources to the marketing and distribution of such drug or drugs;</w:t>
      </w:r>
    </w:p>
    <w:p>
      <w:pPr>
        <w:spacing w:after="0" w:line="161" w:lineRule="exact"/>
        <w:rPr>
          <w:rFonts w:ascii="Times New Roman" w:cs="Times New Roman" w:eastAsia="Times New Roman" w:hAnsi="Times New Roman"/>
          <w:sz w:val="18"/>
          <w:szCs w:val="18"/>
          <w:color w:val="auto"/>
        </w:rPr>
      </w:pPr>
    </w:p>
    <w:p>
      <w:pPr>
        <w:ind w:left="1040" w:right="199" w:hanging="315"/>
        <w:spacing w:after="0" w:line="258"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right="139" w:hanging="315"/>
        <w:spacing w:after="0" w:line="266" w:lineRule="auto"/>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175" w:lineRule="exact"/>
        <w:rPr>
          <w:rFonts w:ascii="Times New Roman" w:cs="Times New Roman" w:eastAsia="Times New Roman" w:hAnsi="Times New Roman"/>
          <w:sz w:val="18"/>
          <w:szCs w:val="18"/>
          <w:color w:val="auto"/>
        </w:rPr>
      </w:pPr>
    </w:p>
    <w:p>
      <w:pPr>
        <w:ind w:left="1040" w:right="219" w:hanging="315"/>
        <w:spacing w:after="0" w:line="282" w:lineRule="auto"/>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61" w:lineRule="exact"/>
        <w:rPr>
          <w:rFonts w:ascii="Times New Roman" w:cs="Times New Roman" w:eastAsia="Times New Roman" w:hAnsi="Times New Roman"/>
          <w:sz w:val="18"/>
          <w:szCs w:val="18"/>
          <w:color w:val="auto"/>
        </w:rPr>
      </w:pPr>
    </w:p>
    <w:p>
      <w:pPr>
        <w:ind w:left="1040" w:right="179" w:hanging="315"/>
        <w:spacing w:after="0" w:line="282" w:lineRule="auto"/>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certain valuable rights under circumstances identified in any collaboration arrangement that we enter into, such as if we undergo a change of control;</w:t>
      </w:r>
    </w:p>
    <w:p>
      <w:pPr>
        <w:spacing w:after="0" w:line="161" w:lineRule="exact"/>
        <w:rPr>
          <w:rFonts w:ascii="Times New Roman" w:cs="Times New Roman" w:eastAsia="Times New Roman" w:hAnsi="Times New Roman"/>
          <w:sz w:val="18"/>
          <w:szCs w:val="18"/>
          <w:color w:val="auto"/>
        </w:rPr>
      </w:pPr>
    </w:p>
    <w:p>
      <w:pPr>
        <w:ind w:left="1040" w:right="259" w:hanging="315"/>
        <w:spacing w:after="0" w:line="282" w:lineRule="auto"/>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restricted under then-existing collaboration agreements from entering into future agreements on certain terms with potential collaborators;</w:t>
      </w:r>
    </w:p>
    <w:p>
      <w:pPr>
        <w:spacing w:after="0" w:line="161" w:lineRule="exact"/>
        <w:rPr>
          <w:rFonts w:ascii="Times New Roman" w:cs="Times New Roman" w:eastAsia="Times New Roman" w:hAnsi="Times New Roman"/>
          <w:sz w:val="18"/>
          <w:szCs w:val="18"/>
          <w:color w:val="auto"/>
        </w:rPr>
      </w:pPr>
    </w:p>
    <w:p>
      <w:pPr>
        <w:ind w:left="1040" w:right="459" w:hanging="315"/>
        <w:spacing w:after="0" w:line="282" w:lineRule="auto"/>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marketing and/or commercialization of the applicable product candidates;</w:t>
      </w:r>
    </w:p>
    <w:p>
      <w:pPr>
        <w:spacing w:after="0" w:line="161" w:lineRule="exact"/>
        <w:rPr>
          <w:rFonts w:ascii="Times New Roman" w:cs="Times New Roman" w:eastAsia="Times New Roman" w:hAnsi="Times New Roman"/>
          <w:sz w:val="18"/>
          <w:szCs w:val="18"/>
          <w:color w:val="auto"/>
        </w:rPr>
      </w:pPr>
    </w:p>
    <w:p>
      <w:pPr>
        <w:ind w:left="1040" w:right="119" w:hanging="315"/>
        <w:spacing w:after="0" w:line="282" w:lineRule="auto"/>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learn about our discoveries, data, proprietary information, trade secrets, or compounds and use this knowledge to compete with us in the future; and</w:t>
      </w:r>
    </w:p>
    <w:p>
      <w:pPr>
        <w:spacing w:after="0" w:line="161" w:lineRule="exact"/>
        <w:rPr>
          <w:rFonts w:ascii="Times New Roman" w:cs="Times New Roman" w:eastAsia="Times New Roman" w:hAnsi="Times New Roman"/>
          <w:sz w:val="18"/>
          <w:szCs w:val="18"/>
          <w:color w:val="auto"/>
        </w:rPr>
      </w:pPr>
    </w:p>
    <w:p>
      <w:pPr>
        <w:ind w:left="1040" w:right="679" w:hanging="315"/>
        <w:spacing w:after="0" w:line="282" w:lineRule="auto"/>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 of our collaborations could adversely affect our attractiveness to potential future collaborators or acquirers.</w:t>
      </w:r>
    </w:p>
    <w:p>
      <w:pPr>
        <w:spacing w:after="0" w:line="162"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Our current and any future collaboration agreements, if any, may not lead to development or commercialization of product candidates in the most efficient manner, or at all.</w:t>
      </w:r>
    </w:p>
    <w:p>
      <w:pPr>
        <w:spacing w:after="0" w:line="162"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and when we seek to enter into collaborations.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sales of drugs.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 market approval and other legal compliance matters</w:t>
      </w:r>
    </w:p>
    <w:p>
      <w:pPr>
        <w:spacing w:after="0" w:line="225"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non-clinical studies and clinical trials, the FDA and comparable foreign regulatory authority approval processes are lengthy, time-consuming, and inherently unpredictable, and we or any of our potential future collaborators may experience significant delays in the clinical development and regulatory approval, if any, for the commercialization of our product candidates. Additionally, as governments have a change in elected officials, the new administration may change certain approval practices of prior administration. To date, we have only obtained regulatory approval to market DANYELZA in the United States, Western Europe, China, Israel, Brazil and Mexico for R/R high-risk NB in bone and/or bone marrow. We cannot predict when or if, and in which other territories, we, or any of our potential future collaborators, will obtain marketing approval to commercialize DANYELZA or any of our product candidates.</w:t>
      </w:r>
    </w:p>
    <w:p>
      <w:pPr>
        <w:spacing w:after="0" w:line="192"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research, testing, manufacturing, labeling, approval, selling, import, export, marketing, and distribution of drug products, including biologics, are subject to extensive regulation by the FDA and other regulatory authorities in the United States and foreign countries. Even if we complete the necessary pre-clinical studies and clinical trials, we will not be permitted to market any biological drug product in the United States or in foreign countries, until we receive a Biologics License from the FDA or foreign equivalent in other countries. Although we have received a Biologics License for DANYELZA for R/R high-risk NB in bone and/or bone marrow, we intend to discuss with the FDA</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submission of additional BLAs for approval of DANYELZA to treat additional indications that currently lack an FDA-approved treatment option.</w:t>
      </w:r>
    </w:p>
    <w:p>
      <w:pPr>
        <w:spacing w:after="0" w:line="162"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FDA standard for regular approval of a BLA generally requires two well-controlled Phase 3 studies or one large and robust, well-controlled Phase 3 study in the patient population being studied that provides substantial evidence that a biologic is safe, pure and potent. Phase 3 clinical studies typically involve hundreds of patients, have significant costs and take years to complete. However, product candidates studied for their safety and effectiveness in treating serious or life-threatening illnesses and that provide meaningful therapeutic benefit over existing treatments may be eligible for accelerated approval and may be approved on the basis of adequate and well-controlled clinical trials establishing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is the case with DANYELZA in the United States, as a condition of accelerated approval, the FDA may require a sponsor to perform post-marketing studies to verify and describe the predicted effect on irreversible morbidity or mortality or other clinical endpoint, and the drug or biologic may be subject to withdrawal procedures by the FDA that are more accelerated than those available for regular approvals. The FDA may ultimately require one or multiple Phase 3 clinical trials prior to approval of any product candidates for which we seek accelerated approval.</w:t>
      </w:r>
    </w:p>
    <w:p>
      <w:pPr>
        <w:spacing w:after="0" w:line="19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have some, but only limited, experience in completing a submission of a BLA to the FDA, or similar approval submissions to comparable foreign authorities. Our BLA for DANYELZA was approved, but we received a CRL for our BLA for omburtamab and we determined to stop our omburtamab development program. A BLA must include extensive pre-clinical and clinical data and supporting information to establish that the product candidate is safe, pure, and potent for each desired indication. The BLA must also include significant information regarding the chemistry, manufacturing, and controls for the product, and the manufacturing facilities must complete a successful pre-license inspection. We expect the novel nature of our product candidates and the small size of our target patient populations, to create further challenges in obtaining regulatory approval from the FDA and other regulatory authorities. For example, for product candidates targeting ultra-rare diseases, such as CNS/LM from NB, where the very small patient population makes it difficult or impossible to conduct two traditional, adequate and well-controlled studies, the FDA or comparable foreign regulatory authorities may need to exercise flexibility in approving therapies for such diseases. Even flexibility from the FDA may not be sufficient to obtain approval. For instance, in its CRL for omburtamab, and in our Type A meeting held subsequent to receipt of the CRL, the FDA made recommendations for us to consider in terms of adequate and well-controlled trial design to demonstrate substantial evidence of effectiveness and a favorable benefit-risk profile, which was challenging due to the small size of our target patient population.</w:t>
      </w:r>
    </w:p>
    <w:p>
      <w:pPr>
        <w:spacing w:after="0" w:line="196"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FDA may also require a panel of experts, referred to as an Advisory Committee, to deliberate on the adequacy of the safety and efficacy data, and the use of control groups to support licensure. For example, in connection with our BLA for omburtamab, the FDA convened an Advisory Committee that met in October 2022, which voted 16 to 0 that the BLA did not provide sufficient evidence to conclude that omburtamab improves overall survival among the target patient population. The opinion of this and any other Advisory Committee, although not binding, may have a significant impact on our ability to obtain licensure of our product candidates based on the completed clinical trials, such as was the case for omburtamab. Accordingly, the regulatory approval pathway for our product candidates may be uncertain, complex, expensive, and lengthy, and approval may not be obtained.</w:t>
      </w:r>
    </w:p>
    <w:p>
      <w:pPr>
        <w:spacing w:after="0" w:line="19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the European Union and elsewhere, is a lengthy, expensive and uncertain process.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The FDA, EMA and the European Commission or other regulatory authorities have substantial discretion and may determine that our product candidates are not safe and effective, only moderately effective or have undesirable or unintended side effects, toxicities or other characteristics that preclude our obtaining marketing approval or prevent or limit commercial use.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899" w:firstLine="648"/>
        <w:spacing w:after="0" w:line="282" w:lineRule="auto"/>
        <w:rPr>
          <w:sz w:val="20"/>
          <w:szCs w:val="20"/>
          <w:color w:val="auto"/>
        </w:rPr>
      </w:pPr>
      <w:r>
        <w:rPr>
          <w:rFonts w:ascii="Times New Roman" w:cs="Times New Roman" w:eastAsia="Times New Roman" w:hAnsi="Times New Roman"/>
          <w:sz w:val="18"/>
          <w:szCs w:val="18"/>
          <w:color w:val="auto"/>
        </w:rPr>
        <w:t>Any marketing approval we ultimately obtain may be limited or subject to restrictions or post-approval commitments that render the approved product not commercially viable.</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addition, clinical trials can be delayed or terminated for a variety of reasons, including delays or failures related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w:t>
      </w:r>
    </w:p>
    <w:p>
      <w:pPr>
        <w:spacing w:after="0" w:line="207" w:lineRule="exact"/>
        <w:rPr>
          <w:sz w:val="20"/>
          <w:szCs w:val="20"/>
          <w:color w:val="auto"/>
        </w:rPr>
      </w:pPr>
    </w:p>
    <w:p>
      <w:pPr>
        <w:ind w:left="1040" w:hanging="315"/>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 to begin a trial, if applicable;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financial resources to begin and complete the planned trials;</w:t>
      </w:r>
    </w:p>
    <w:p>
      <w:pPr>
        <w:spacing w:after="0" w:line="225" w:lineRule="exact"/>
        <w:rPr>
          <w:rFonts w:ascii="Times New Roman" w:cs="Times New Roman" w:eastAsia="Times New Roman" w:hAnsi="Times New Roman"/>
          <w:sz w:val="18"/>
          <w:szCs w:val="18"/>
          <w:color w:val="auto"/>
        </w:rPr>
      </w:pPr>
    </w:p>
    <w:p>
      <w:pPr>
        <w:ind w:left="1040" w:right="339" w:hanging="315"/>
        <w:spacing w:after="0" w:line="282" w:lineRule="auto"/>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CROs and clinical trial sites, the terms of which can be subject to extensive negotiation and may vary significantly among different CROs and trial sites;</w:t>
      </w:r>
    </w:p>
    <w:p>
      <w:pPr>
        <w:spacing w:after="0" w:line="161" w:lineRule="exact"/>
        <w:rPr>
          <w:rFonts w:ascii="Times New Roman" w:cs="Times New Roman" w:eastAsia="Times New Roman" w:hAnsi="Times New Roman"/>
          <w:sz w:val="18"/>
          <w:szCs w:val="18"/>
          <w:color w:val="auto"/>
        </w:rPr>
      </w:pPr>
    </w:p>
    <w:p>
      <w:pPr>
        <w:ind w:left="1040" w:right="419" w:hanging="315"/>
        <w:spacing w:after="0" w:line="282" w:lineRule="auto"/>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at each clinical trial site by an Institutional Review Board or IRB or positive opinions from Ethics Committees;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trial in a timely manner;</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trial or return for post-treatment follow-up;</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trial protocol, not complying with GCPs, or dropping out of a trial;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patient safety concerns that arise during the course of a trial;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conflicts with new or existing laws or regulations;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clinical trial sites;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qualified materials under cGMPs for use in clinical trials;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pandemics or other public-health emergencies;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any resumption of conflict between Israel and Hamas, and the related risk of a larger conflict; or</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clinical trial sites and manufacturing facilities by regulatory authorities.</w:t>
      </w:r>
    </w:p>
    <w:p>
      <w:pPr>
        <w:spacing w:after="0" w:line="225"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Patient enrollment is a significant factor in the timing of clinical trials and is affected by many factors. See the risk factor above “—If we encounter difficulties enrolling patients in our clinical trials, our clinical development activities could be delayed or otherwise adversely affected.” for additional information on risks related to patient enrollment. Further, a clinical trial may be suspended or terminated by us, the IRBs or Ethics Committees for the institutions in which such trials are being conducted, the Data Monitoring Committee for such trial, or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potential future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76" w:lineRule="exact"/>
        <w:rPr>
          <w:sz w:val="20"/>
          <w:szCs w:val="20"/>
          <w:color w:val="auto"/>
        </w:rPr>
      </w:pPr>
    </w:p>
    <w:p>
      <w:pPr>
        <w:ind w:left="60" w:right="279" w:firstLine="648"/>
        <w:spacing w:after="0" w:line="312" w:lineRule="auto"/>
        <w:rPr>
          <w:sz w:val="20"/>
          <w:szCs w:val="20"/>
          <w:color w:val="auto"/>
        </w:rPr>
      </w:pPr>
      <w:r>
        <w:rPr>
          <w:rFonts w:ascii="Times New Roman" w:cs="Times New Roman" w:eastAsia="Times New Roman" w:hAnsi="Times New Roman"/>
          <w:sz w:val="17"/>
          <w:szCs w:val="17"/>
          <w:color w:val="auto"/>
        </w:rPr>
        <w:t>Our third-party research institution collaborators may also experience similar difficulties in completing ongoing clinical trials and conducting future clinical trials of product candidates. Many of the factors that cause, or lead to, a</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delay in the commencement or completion of clinical trials may also ultimately lead to the denial of regulatory approval of our product candidates.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product candidates could fail to receive marketing approval for many reasons, including the following:</w:t>
      </w:r>
    </w:p>
    <w:p>
      <w:pPr>
        <w:spacing w:after="0" w:line="225" w:lineRule="exact"/>
        <w:rPr>
          <w:sz w:val="20"/>
          <w:szCs w:val="20"/>
          <w:color w:val="auto"/>
        </w:rPr>
      </w:pPr>
    </w:p>
    <w:p>
      <w:pPr>
        <w:ind w:left="1040" w:right="259" w:hanging="315"/>
        <w:spacing w:after="0" w:line="282" w:lineRule="auto"/>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European Commission or comparable foreign regulatory authorities may disagree with the design or implementation of our clinical trials;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EMA, European Commission or comparable foreign regulatory authorities that a product candidate is safe and effective for its proposed indication;</w:t>
      </w:r>
    </w:p>
    <w:p>
      <w:pPr>
        <w:spacing w:after="0" w:line="161" w:lineRule="exact"/>
        <w:rPr>
          <w:rFonts w:ascii="Times New Roman" w:cs="Times New Roman" w:eastAsia="Times New Roman" w:hAnsi="Times New Roman"/>
          <w:sz w:val="18"/>
          <w:szCs w:val="18"/>
          <w:color w:val="auto"/>
        </w:rPr>
      </w:pPr>
    </w:p>
    <w:p>
      <w:pPr>
        <w:ind w:left="1040" w:right="479" w:hanging="315"/>
        <w:spacing w:after="0" w:line="282" w:lineRule="auto"/>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EMA, European Commission or comparable foreign regulatory authorities for approval;</w:t>
      </w:r>
    </w:p>
    <w:p>
      <w:pPr>
        <w:spacing w:after="0" w:line="161"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61"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European Commission or comparable foreign regulatory authorities may disagree with our interpretation of data from pre-clinical studies or clinical trials;</w:t>
      </w:r>
    </w:p>
    <w:p>
      <w:pPr>
        <w:spacing w:after="0" w:line="161" w:lineRule="exact"/>
        <w:rPr>
          <w:rFonts w:ascii="Times New Roman" w:cs="Times New Roman" w:eastAsia="Times New Roman" w:hAnsi="Times New Roman"/>
          <w:sz w:val="18"/>
          <w:szCs w:val="18"/>
          <w:color w:val="auto"/>
        </w:rPr>
      </w:pPr>
    </w:p>
    <w:p>
      <w:pPr>
        <w:ind w:left="1040" w:right="399" w:hanging="315"/>
        <w:spacing w:after="0" w:line="266" w:lineRule="auto"/>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BLA or other submission or to obtain marketing approval in the United States, the EU or elsewhere;</w:t>
      </w:r>
    </w:p>
    <w:p>
      <w:pPr>
        <w:spacing w:after="0" w:line="175" w:lineRule="exact"/>
        <w:rPr>
          <w:rFonts w:ascii="Times New Roman" w:cs="Times New Roman" w:eastAsia="Times New Roman" w:hAnsi="Times New Roman"/>
          <w:sz w:val="18"/>
          <w:szCs w:val="18"/>
          <w:color w:val="auto"/>
        </w:rPr>
      </w:pPr>
    </w:p>
    <w:p>
      <w:pPr>
        <w:ind w:left="1040" w:right="399" w:hanging="315"/>
        <w:spacing w:after="0" w:line="266" w:lineRule="auto"/>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European Commission, national competent authorities of EEA countries or comparable foreign regulatory authorities may fail to approve the manufacturing processes or facilities of third-party manufacturers with which we contract for clinical and commercial supplies;</w:t>
      </w:r>
    </w:p>
    <w:p>
      <w:pPr>
        <w:spacing w:after="0" w:line="175" w:lineRule="exact"/>
        <w:rPr>
          <w:rFonts w:ascii="Times New Roman" w:cs="Times New Roman" w:eastAsia="Times New Roman" w:hAnsi="Times New Roman"/>
          <w:sz w:val="18"/>
          <w:szCs w:val="18"/>
          <w:color w:val="auto"/>
        </w:rPr>
      </w:pPr>
    </w:p>
    <w:p>
      <w:pPr>
        <w:ind w:left="1040" w:right="119" w:hanging="315"/>
        <w:spacing w:after="0" w:line="258" w:lineRule="auto"/>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FDA, or comparable foreign regulatory authorities may fail to approve any companion diagnostics, or the legal manufacturer may fail to CE mark companion diagnostics, which is an acronym for the French “Conformite Europeenne” that documents the manufacturer’s assessment according to which the companion diagnostic complies with the requirement of EU legislation governing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medical devices, that may be required in connection with approval of our therapeutic product candidates; and</w:t>
      </w:r>
    </w:p>
    <w:p>
      <w:pPr>
        <w:spacing w:after="0" w:line="183" w:lineRule="exact"/>
        <w:rPr>
          <w:rFonts w:ascii="Times New Roman" w:cs="Times New Roman" w:eastAsia="Times New Roman" w:hAnsi="Times New Roman"/>
          <w:sz w:val="18"/>
          <w:szCs w:val="18"/>
          <w:color w:val="auto"/>
        </w:rPr>
      </w:pPr>
    </w:p>
    <w:p>
      <w:pPr>
        <w:ind w:left="1040" w:right="399" w:hanging="315"/>
        <w:spacing w:after="0" w:line="282" w:lineRule="auto"/>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European Commission or comparable foreign regulatory authorities may significantly change in a manner rendering our clinical data insufficient for approval.</w:t>
      </w:r>
    </w:p>
    <w:p>
      <w:pPr>
        <w:spacing w:after="0" w:line="162"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clinical trial results resulted in our failure to obtain marketing approval to market omburtamab. The same factors may also result in a failure for us to obtain marketing approval to market any of our other product candidates, which would further significantly harm our business, results of operations and prospects. In addition, changes in marketing approval policies during the development period, changes in or the enactment or promulgation of additional statutes, regulations or guidance or changes in regulatory review for each submitted drug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studies, clinical trials, toxicology or other in vivo or in vitro data to support the initiation of other studies and testing. In addition, varying interpretations of the data obtained from pre-clinical studies and clinical trials could delay, limit or prevent marketing approval of a product candidate. Any marketing approval we, or any collaborators we may have in the future, ultimately obtain may be limited or subject to restrictions or post approval commitments that render the approved drug not commercially viable.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Any delay in obtaining or failure to obtain required approvals could materially adversely affect our ability or that of any collaborators we may have to generate revenue from the particular product candidate, which likely would result in significant harm to our financial position and adversely impact our stock price.</w:t>
      </w:r>
    </w:p>
    <w:p>
      <w:pPr>
        <w:spacing w:after="0" w:line="172" w:lineRule="exact"/>
        <w:rPr>
          <w:sz w:val="20"/>
          <w:szCs w:val="20"/>
          <w:color w:val="auto"/>
        </w:rPr>
      </w:pPr>
    </w:p>
    <w:p>
      <w:pPr>
        <w:ind w:left="60" w:right="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EMA, the European Commission or comparable foreign regulatory authorities, may disagree with our regulatory plans, including our plans to seek conditional marketing authorization, and we may fail to obtain regulatory approval of DANYELZA from the European Commission, or our other product candidates, which would prevent DANYELZA, or our other product candidates from being marketed abroad. Any approval we are granted for our product candidates in the United States, such as the approval of DANYELZA, would not assure approval of our product candidates in foreign jurisdictions.</w:t>
      </w:r>
    </w:p>
    <w:p>
      <w:pPr>
        <w:spacing w:after="0" w:line="186"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In order to market and sell our drugs in the European Union and many other jurisdictions, we, and any collaborators we may have in the future, must obtain separate marketing approvals and comply with numerous and varying regulatory requirements.</w:t>
      </w:r>
    </w:p>
    <w:p>
      <w:pPr>
        <w:spacing w:after="0" w:line="176"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On April 27, 2021 we submitted a MAA, to the EMA for omburtamab for the treatment of pediatric patients with CNS/LM from NB. In December 2022, the EMA’s CHMP, adopted a negative opinion recommending a refusal of the MAA. CHMP determined that it was not possible to conclude on the effectiveness of omburtamab as the main study did not have a randomized comparator. On April 12, 2023, the European Commission adopted a decision refusing the marketing authorization for omburtamab. We determined to stop our omburtamab development program.</w:t>
      </w:r>
    </w:p>
    <w:p>
      <w:pPr>
        <w:spacing w:after="0" w:line="183"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approval procedure varies among countries and can involve additional testing. The time required to obtain approval may differ substantially from that required to obtain FDA approval. The marketing approval process outside of the United States generally includes all of the risks associated with obtaining FDA approval. In addition, in many countries outside of the United States, it is required that the drug be approved for reimbursement before the drug can be approved for sale in that country. We, and any collaborators we may have in the future, may not obtain approvals from regulatory authorities outside of the United States on a timely basis, if at all. Approval by the FDA, such as the approval of DANYELZA, does not ensure approval by regulatory authorities in other countries or jurisdictions, and approval by one regulatory authority outside of the United States does not ensure approval by regulatory authorities in other countries or jurisdictions or by the FDA.</w:t>
      </w:r>
    </w:p>
    <w:p>
      <w:pPr>
        <w:spacing w:after="0" w:line="188"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As part of its marketing authorization process, the European Commission may grant a “conditional” marketing authorization in cases where all the required safety and efficacy data are not yet available. The European Commission may grant a conditional marketing authorization for a medicinal product if it is demonstrated that all of the following criteria are met:</w:t>
      </w:r>
    </w:p>
    <w:p>
      <w:pPr>
        <w:spacing w:after="0" w:line="180" w:lineRule="exact"/>
        <w:rPr>
          <w:sz w:val="20"/>
          <w:szCs w:val="20"/>
          <w:color w:val="auto"/>
        </w:rPr>
      </w:pPr>
    </w:p>
    <w:p>
      <w:pPr>
        <w:ind w:left="1040" w:hanging="315"/>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balance of the medicinal product is positive;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likely that the applicant will be in a position to provide the comprehensive clinical data;</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medicinal product fulfills an unmet medical need; and</w:t>
      </w:r>
    </w:p>
    <w:p>
      <w:pPr>
        <w:spacing w:after="0" w:line="225" w:lineRule="exact"/>
        <w:rPr>
          <w:rFonts w:ascii="Times New Roman" w:cs="Times New Roman" w:eastAsia="Times New Roman" w:hAnsi="Times New Roman"/>
          <w:sz w:val="18"/>
          <w:szCs w:val="18"/>
          <w:color w:val="auto"/>
        </w:rPr>
      </w:pPr>
    </w:p>
    <w:p>
      <w:pPr>
        <w:ind w:left="1040" w:right="299" w:hanging="315"/>
        <w:spacing w:after="0" w:line="282" w:lineRule="auto"/>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 to public health of the immediate availability on the market of the medicinal product concerned outweighs the risk inherent in the fact that additional data are still required.</w:t>
      </w:r>
    </w:p>
    <w:p>
      <w:pPr>
        <w:spacing w:after="0" w:line="162"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The conditional marketing authorization is subject to conditions to be fulfilled for generating the missing data or ensuring increased safety measures. It is valid for one year and must be renewed annually until all related conditions have been fulfilled. Once any pending studies are provided, the conditional marketing authorization can be converted into a traditional marketing authorization. However, if the conditions are not fulfilled within the timeframe set by the EMA and approved by the European Commission, the marketing authorization will cease to be renewed.</w:t>
      </w:r>
    </w:p>
    <w:p>
      <w:pPr>
        <w:spacing w:after="0" w:line="183" w:lineRule="exact"/>
        <w:rPr>
          <w:sz w:val="20"/>
          <w:szCs w:val="20"/>
          <w:color w:val="auto"/>
        </w:rPr>
      </w:pPr>
    </w:p>
    <w:p>
      <w:pPr>
        <w:jc w:val="both"/>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Although we may seek a conditional marketing authorization for one or more of our product candidates by the European Commission, the EMA or the European Commission may ultimately not agree that the requirements for such conditional marketing authorization have been satisfied.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Our clinical trial results may also not support approval, whether accelerated approval, conditional marketing authorizations, or regular approval. The results of pre-clinical and clinical studies may not be predictive of the results of later-stage clinical trials, and product candidates in later stages of clinical trials may fail to show the desired safety and efficacy despite having progressed through pre-clinical studies and initial clinical trials.</w:t>
      </w:r>
    </w:p>
    <w:p>
      <w:pPr>
        <w:spacing w:after="0" w:line="180" w:lineRule="exact"/>
        <w:rPr>
          <w:sz w:val="20"/>
          <w:szCs w:val="20"/>
          <w:color w:val="auto"/>
        </w:rPr>
      </w:pPr>
    </w:p>
    <w:p>
      <w:pPr>
        <w:ind w:left="60" w:right="959" w:firstLine="648"/>
        <w:spacing w:after="0" w:line="282" w:lineRule="auto"/>
        <w:rPr>
          <w:sz w:val="20"/>
          <w:szCs w:val="20"/>
          <w:color w:val="auto"/>
        </w:rPr>
      </w:pPr>
      <w:r>
        <w:rPr>
          <w:rFonts w:ascii="Times New Roman" w:cs="Times New Roman" w:eastAsia="Times New Roman" w:hAnsi="Times New Roman"/>
          <w:sz w:val="18"/>
          <w:szCs w:val="18"/>
          <w:color w:val="auto"/>
        </w:rPr>
        <w:t>Failure to obtain regulatory approval to market any of our product candidates outside of the US would significantly harm our business, results of operations, and prospects.</w:t>
      </w:r>
    </w:p>
    <w:p>
      <w:pPr>
        <w:spacing w:after="0" w:line="158"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or BTD, for one or more of our product candidates. We may not receive such designation, and even if we do, such designation may not lead to a faster development or regulatory review or approval process.</w:t>
      </w:r>
    </w:p>
    <w:p>
      <w:pPr>
        <w:spacing w:after="0" w:line="175"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BTD is intended to expedite the development and review of products that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The designation of a product candidate as a breakthrough therapy provides potential benefits that include more frequent meetings with the FDA to discuss the development plan for the product candidate and ensure collection of appropriate data needed to support approval; more frequent written correspondence from the FDA about such things as the design of the proposed clinical trials and use of biomarkers; intensive guidance on an efficient drug development program, beginning as early as Phase 1; organizational commitment involving senior managers; and eligibility for rolling review and priority review.</w:t>
      </w:r>
    </w:p>
    <w:p>
      <w:pPr>
        <w:spacing w:after="0" w:line="188"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We may seek BTD for some or all of our other product candidates, but we may never receive another BTD, or, if received, such designation for a product candidate may not result in a faster development or regulatory review or approval process compared to drugs considered for approval under conventional FDA procedures. BTD does not change the standards for product approval nor assure ultimate approval by the FDA.</w:t>
      </w:r>
    </w:p>
    <w:p>
      <w:pPr>
        <w:spacing w:after="0" w:line="180"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In addition, even if one or more of our product candidates qualify as breakthrough therapies, the FDA may later decide that the product candidate no longer meets the conditions for qualification or decide that the time period for FDA review or approval will not be shortened.</w:t>
      </w:r>
    </w:p>
    <w:p>
      <w:pPr>
        <w:spacing w:after="0" w:line="179"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not be able to obtain or maintain Orphan Drug Designation, or ODD, or Rare Pediatric Disease Designation, or RPDD.</w:t>
      </w:r>
    </w:p>
    <w:p>
      <w:pPr>
        <w:spacing w:after="0" w:line="15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7"/>
          <w:szCs w:val="17"/>
          <w:color w:val="auto"/>
        </w:rPr>
        <w:t xml:space="preserve">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an indication with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August 2016, the FDA granted ODD to </w:t>
      </w:r>
      <w:r>
        <w:rPr>
          <w:rFonts w:ascii="Times New Roman" w:cs="Times New Roman" w:eastAsia="Times New Roman" w:hAnsi="Times New Roman"/>
          <w:sz w:val="25"/>
          <w:szCs w:val="25"/>
          <w:color w:val="auto"/>
          <w:vertAlign w:val="superscript"/>
        </w:rPr>
        <w:t>131</w:t>
      </w:r>
      <w:r>
        <w:rPr>
          <w:rFonts w:ascii="Times New Roman" w:cs="Times New Roman" w:eastAsia="Times New Roman" w:hAnsi="Times New Roman"/>
          <w:sz w:val="17"/>
          <w:szCs w:val="17"/>
          <w:color w:val="auto"/>
        </w:rPr>
        <w:t>I-omburtamab for the treatment of NB. In 2013, the FDA granted ODD to DANYELZA for the treatment of NB. In November 2018, the European Commission granted orphan medicinal product designation for naxitamab for the treatment of NB. We determined to stopped the development of omburtamab in November 2024 pursuant to the amendment license agreement with MSK..</w:t>
      </w:r>
    </w:p>
    <w:p>
      <w:pPr>
        <w:spacing w:after="0" w:line="185"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the United States, ODD entitles a party to financial incentives such as opportunities for grant funding towards clinical trial costs, tax advantages and user-fee waivers. In addition, if a product that has ODD subsequently receives the first FDA approval for the disease for which it has such designation, the product may be entitled to orphan drug exclusivity. Orphan drug exclusivity in the United States provides that the FDA may not approve any other applications, including a full BLA, to market the same drug for the same indication for seven years, except in limited circumstances. The corresponding exclusivity period is 10 years in Europe, and can be reduced to six years if a drug no longer meets the criteria for ODD or if the drug is sufficiently profitable so that market exclusivity is no longer justified.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The Rare Pediatric Disease Priority Review Voucher Program, or PRV Program, is intended to incentivize pharmaceutical sponsors to develop drugs for rare pediatric diseases. A sponsor who obtains approval of a BLA for a rare pediatric disease may be eligible for a PRV, under this program, which may be redeemed by the owner of such PRV to obtain priority review for a marketing application. A PRV is fully transferrable and can be sold to any sponsor, who in turn can redeem the PRV for priority review of a marketing application in six months, compared to the standard timeframe of approximately 10 months.</w:t>
      </w:r>
    </w:p>
    <w:p>
      <w:pPr>
        <w:spacing w:after="0" w:line="187" w:lineRule="exact"/>
        <w:rPr>
          <w:sz w:val="20"/>
          <w:szCs w:val="20"/>
          <w:color w:val="auto"/>
        </w:rPr>
      </w:pPr>
    </w:p>
    <w:p>
      <w:pPr>
        <w:ind w:left="60" w:right="639" w:firstLine="648"/>
        <w:spacing w:after="0" w:line="282" w:lineRule="auto"/>
        <w:rPr>
          <w:sz w:val="20"/>
          <w:szCs w:val="20"/>
          <w:color w:val="auto"/>
        </w:rPr>
      </w:pPr>
      <w:r>
        <w:rPr>
          <w:rFonts w:ascii="Times New Roman" w:cs="Times New Roman" w:eastAsia="Times New Roman" w:hAnsi="Times New Roman"/>
          <w:sz w:val="18"/>
          <w:szCs w:val="18"/>
          <w:color w:val="auto"/>
        </w:rPr>
        <w:t>A drug that receives RPDD before December 20, 2024, will continue to be eligible for a PRV if the drug is approved by the FDA before September 30, 2026.</w:t>
      </w:r>
    </w:p>
    <w:p>
      <w:pPr>
        <w:spacing w:after="0" w:line="16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Even if we obtain ODD or RPDD for any of our product candidates in the future, we may not be able to maintain such status or enjoy the anticipated associated benefits. We may not be the first to obtain marketing approval of any product candidate that has ODD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candidate,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ODD neither shortens the development time or regulatory review time of a drug nor gives the drug any advantage in the regulatory review or approval process.</w:t>
      </w:r>
    </w:p>
    <w:p>
      <w:pPr>
        <w:spacing w:after="0" w:line="193" w:lineRule="exact"/>
        <w:rPr>
          <w:sz w:val="20"/>
          <w:szCs w:val="20"/>
          <w:color w:val="auto"/>
        </w:rPr>
      </w:pPr>
    </w:p>
    <w:p>
      <w:pPr>
        <w:ind w:left="60" w:right="1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or any collaborators we may have in the future, obtain marketing approvals for our product candidates, the terms of approvals and ongoing regulation of our drugs could require substantial expenditure of resources and may limit how we, or they, manufacture and market our drugs, which could materially impair our ability to generate revenue.</w:t>
      </w:r>
    </w:p>
    <w:p>
      <w:pPr>
        <w:spacing w:after="0" w:line="18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Once marketing approval has been granted, as it was for DANYELZA in the United States, an approved drug and its manufacturer and marketer are subject to ongoing review and extensive regulation. The accelerated approval of DANYELZA is subject to certain post-marketing requirements and commitments, including a confirmatory post-marketing trial of clinical benefit, that must be completed in order to convert the BLA to full approval and prevent withdrawal of the license by FDA. The confirmatory post-marketing clinical trial required by the FDA to verify and to further characterize the clinical benefit is our ongoing Study 201, which is required to enroll a minimum of 80 evaluable patients with evaluable disease, with a minimal follow-up of 12 months from the onset of Complete Response/Partial Response, which is equivalent to at least a total 122 patients in Study 201. The study will report ORR, DOR, PFS and OS. The ORR is the primary endpoint for the study, DOR is the secondary endpoint, and PFS and OS are secondary endpoints in long-term follow-up. We have enrolled 109 patients, and we anticipate completing the study by March 31, 2027. Other post-marketing requirements associated with the approval of DANYELZA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We, and any collaborators we may have in the future, must also comply with requirements concerning advertising and promotion for any of our product candidates for which we or they obtain marketing approval. Promotional communications with respect to prescription drugs are subject to a variety of legal and regulatory restrictions and must be consistent with the information in the drug’s approved labeling. Thus, we, and any collaborators we may have in the future, may not be able to promote any drugs we develop for indications or uses for which they are not approved.</w:t>
      </w:r>
    </w:p>
    <w:p>
      <w:pPr>
        <w:spacing w:after="0" w:line="191"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FDA and comparable foreign regulatory authorities may also impose requirements for costly post-marketing studies or clinical trials and surveillance to monitor the safety or efficacy of a drug. For example, the approval may be subject to limitations on the indicated uses for which the drug may be marketed or to the conditions of approval, including the requirement to implement a Risk Evaluation and Mitigation Strategy, or comparable foreign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419"/>
        <w:spacing w:after="0" w:line="253" w:lineRule="auto"/>
        <w:rPr>
          <w:sz w:val="20"/>
          <w:szCs w:val="20"/>
          <w:color w:val="auto"/>
        </w:rPr>
      </w:pPr>
      <w:r>
        <w:rPr>
          <w:rFonts w:ascii="Times New Roman" w:cs="Times New Roman" w:eastAsia="Times New Roman" w:hAnsi="Times New Roman"/>
          <w:sz w:val="18"/>
          <w:szCs w:val="18"/>
          <w:color w:val="auto"/>
        </w:rPr>
        <w:t>strategies, which could include requirements for a restricted distribution system. Manufacturers of approved drugs and those manufacturers’ facilities are also required to comply with extensive FDA and comparable foreign regulatory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contract manufacturers, our future collaborators and their contract manufacturers could be subject to periodic unannounced inspections by the FDA and comparable foreign regulatory authorities to monitor and ensure compliance with cGMPs. Accordingly, assuming we, or our potential future collaborators, receive marketing approval for one or more of our product candidates, we, and our potential future collaborators, and our and their contract manufacturers will continue to expend time, money and effort in all areas of regulatory compliance, including manufacturing, production, product surveillance and quality control.</w:t>
      </w:r>
    </w:p>
    <w:p>
      <w:pPr>
        <w:spacing w:after="0" w:line="194"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If we, and our future potential collaborators, are not able to comply with post-approval regulatory requirements, we, and our potential future collaborators, could have the marketing approvals for our drugs withdrawn by regulatory authorities and our, or our potential future collaborators’, ability to market any future drugs could be limited, which could adversely affect our ability to achieve or sustain profitability. Further, the cost of compliance with post-approval regulations may have a negative effect on our operating results and financial condition.</w:t>
      </w:r>
    </w:p>
    <w:p>
      <w:pPr>
        <w:spacing w:after="0" w:line="179" w:lineRule="exact"/>
        <w:rPr>
          <w:sz w:val="20"/>
          <w:szCs w:val="20"/>
          <w:color w:val="auto"/>
        </w:rPr>
      </w:pPr>
    </w:p>
    <w:p>
      <w:pPr>
        <w:jc w:val="both"/>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DANYELZA and any of our product candidates for which we, or our potential future collaborators, obtain marketing approval in the future will be subject to substantial penalties if we, or they, fail to comply with regulatory requirements or if we, or they, experience unanticipated problems with our drugs following approval.</w:t>
      </w:r>
    </w:p>
    <w:p>
      <w:pPr>
        <w:spacing w:after="0" w:line="175" w:lineRule="exact"/>
        <w:rPr>
          <w:sz w:val="20"/>
          <w:szCs w:val="20"/>
          <w:color w:val="auto"/>
        </w:rPr>
      </w:pPr>
    </w:p>
    <w:p>
      <w:pPr>
        <w:ind w:left="60" w:right="659" w:firstLine="648"/>
        <w:spacing w:after="0" w:line="312" w:lineRule="auto"/>
        <w:rPr>
          <w:sz w:val="20"/>
          <w:szCs w:val="20"/>
          <w:color w:val="auto"/>
        </w:rPr>
      </w:pPr>
      <w:r>
        <w:rPr>
          <w:rFonts w:ascii="Times New Roman" w:cs="Times New Roman" w:eastAsia="Times New Roman" w:hAnsi="Times New Roman"/>
          <w:sz w:val="17"/>
          <w:szCs w:val="17"/>
          <w:color w:val="auto"/>
        </w:rPr>
        <w:t>DANYELZA and any of our product candidates for which we, or our potential future collaborators, obtain marketing approval in the future, will be subject to continual review by the FDA and other regulatory authorities.</w:t>
      </w:r>
    </w:p>
    <w:p>
      <w:pPr>
        <w:spacing w:after="0" w:line="140"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 FDA and other agencies, including the Department of Justice, or the DOJ, as well as comparable foreign regulatory authorities closely regulate and monitor the post-approval marketing and promotion of drugs to ensure that they are manufactured, marketed and distributed only for the approved indications and in accordance with the provisions of the approved labeling. The FDA and comparable foreign regulatory authorities impose stringent restrictions on manufacturers’ communications regarding off-label use and if we, or our potential future collaborators, do not market any of our product candidates for which we, or they, receive marketing approval for only their approved indications, we, or they, may be subject to warnings or enforcement action for off-label marketing. Violation of the Federal Food, Drug and Cosmetic Act, or FDCA, and other statutes, including the False Claims Act, relating to the promotion and advertising of prescription drugs may lead to investigations or allegations of violations of federal and state healthcare fraud and abuse laws and state consumer protection laws. Radioactive materials are subject to additional oversight by agencies such as the Nuclear Regulatory Commission and the Environmental Protection Agency which add complexity to compliance efforts for products containing these materials</w:t>
      </w:r>
    </w:p>
    <w:p>
      <w:pPr>
        <w:spacing w:after="0" w:line="190"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drugs or their manufacturers or manufacturing processes, or failure to comply with regulatory requirements, may yield various results, including:</w:t>
      </w:r>
    </w:p>
    <w:p>
      <w:pPr>
        <w:spacing w:after="0" w:line="176" w:lineRule="exact"/>
        <w:rPr>
          <w:sz w:val="20"/>
          <w:szCs w:val="20"/>
          <w:color w:val="auto"/>
        </w:rPr>
      </w:pPr>
    </w:p>
    <w:p>
      <w:pPr>
        <w:ind w:left="1040" w:hanging="315"/>
        <w:spacing w:after="0"/>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taking our drug;</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drugs, manufacturers or manufacturing processes;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drug;</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drug distribution or use;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hanging="315"/>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drugs from the market;</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drugs;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variation or withdrawal of marketing approvals;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by third-party payors;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drugs;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seizure; or</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1" w:lineRule="exact"/>
        <w:rPr>
          <w:sz w:val="20"/>
          <w:szCs w:val="20"/>
          <w:color w:val="auto"/>
        </w:rPr>
      </w:pPr>
    </w:p>
    <w:p>
      <w:pPr>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or changes in existing FDA and other government regulations and policies, may increase the difficulty and cost for us and our potential future collaborators to maintain or obtain potential marketing approval of and commercialize our product candidates and affect the prices we, or they, may obtain.</w:t>
      </w:r>
    </w:p>
    <w:p>
      <w:pPr>
        <w:spacing w:after="0" w:line="17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a number of legislative and regulatory changes and proposed changes regarding the healthcare system that could prevent or delay marketing approval of our product candidates, restrict or regulate post-approval activities and affect our ability, or the ability of our potential future collaborators, to profitably sell any drugs for which we, or they, obtain marketing approval. We expect that current laws, as well as other healthcare reform measures that may be adopted in the future, may result in more rigorous coverage criteria and additional downward pressure on the price that we, or our potential future collaborators, may receive for any approved drugs. If we are slow or unable to adapt to changes in existing requirements or the adoption of new requirements or policies, or if we are not able to maintain regulatory compliance, we may lose any marketing approval that we may have obtained for DANYELZA, and we may not achieve or sustain profitability, which would adversely affect our business, prospects, financial condition and results of operations. We also cannot predict the likelihood, nature or extent of government regulation that may arise from future legislation or administrative or executive action, either in the United States or abroad.</w:t>
      </w:r>
    </w:p>
    <w:p>
      <w:pPr>
        <w:spacing w:after="0" w:line="190"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the United States, the Patient Protection and Affordable Care Act, as amended by the Health Care and Education Reconciliation Act, or collectively the Affordable Care Act, or ACA, substantially changed the way healthcare is financed by both governmental and private insurers.</w:t>
      </w:r>
    </w:p>
    <w:p>
      <w:pPr>
        <w:spacing w:after="0" w:line="17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We cannot predict whether these challenges will continue or other proposals will be made or adopted, or what impact these efforts may have on us. Further, there has been heightened governmental scrutiny over the manner in which manufacturers set prices for their marketed products, which has resulted in several recent Congressional inquiries and proposed bills designed to, among other things, bring more transparency to drug pricing, review the relationship between pricing and manufacturer patient programs, reduce the price of drugs under Medicare and reform government program reimbursement methodologies for drug products. We expect that additional state and federal healthcare reform measures will be adopted in the future, any of which could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limit the amounts that federal and state governments will pay for healthcare products and services, which could result in reduced demand for our product candidates or additional pricing pressures.</w:t>
      </w:r>
    </w:p>
    <w:p>
      <w:pPr>
        <w:spacing w:after="0" w:line="162"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For example, on August 16, 2022, the Inflation Reduction Act of 2022, or IRA, was signed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92"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two percent (2%) per fiscal year, which went into effect in April 2013 and will remain in effect until 2032 unless additional Congressional action is taken.</w:t>
      </w:r>
    </w:p>
    <w:p>
      <w:pPr>
        <w:spacing w:after="0" w:line="189"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Some states are also considering legislation and ballot initiatives that would control the prices and coverage and reimbursement levels of drugs, including laws to allow importation of pharmaceutical products from lower cost jurisdictions outside the U.S. and laws intended to impose price controls on state drug purchases.</w:t>
      </w:r>
    </w:p>
    <w:p>
      <w:pPr>
        <w:spacing w:after="0" w:line="176"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expect healthcare reform measures that may be adopted in the future may result in more rigorous coverage criteria and in additional downward pressure on the price that we receive for DANYELZA and any other approved product. The implementation of cost containment measures or other healthcare reforms may prevent us from being able to generate revenue, attain profitability, or commercialize our product candidates.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additional pricing pressures. The cost of prescription pharmaceuticals in the United States has also been the subject of considerable discussion in the United States, and members of Congress and the Administration have stated that they will address such costs through new legislative and administrative measures. 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that of other available therapies. If reimbursement of our products is unavailable or limited in scope or amount, or if pricing is set at unsatisfactory levels, our ability to generate revenues and become profitable could be impaired.</w:t>
      </w:r>
    </w:p>
    <w:p>
      <w:pPr>
        <w:spacing w:after="0" w:line="196"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DANYELZA or our other approved products, if any, may be. In addition, increased scrutiny by the Congress of the FDA’s approval process may significantly delay or prevent marketing approval, as well as subject us and any future collaborators to more stringent drug labeling and post-marketing testing and other requirements.</w:t>
      </w:r>
    </w:p>
    <w:p>
      <w:pPr>
        <w:spacing w:after="0" w:line="187"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United States, particularly in light of the recent U.S. Presidential and Congressional elections, or abroad. As an example, the regulatory landscape related to clinical trials in the EU has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evolved. The EU Clinical Trials Regulation, or CTR, which was adopted in April 2014 and repeals the EU Clinical Trials Directive, became applicable on January 31, 2022. The CTR permits trial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of some elements of the application by all EU Member States in which the trial is to be conducted, and a separate assessment by each EU Member State with respect to specific requirements related to its own territory, including ethics rules. Each EU Member State’s decision is communicated to the sponsor through a centralized EU portal, the Clinical Trial Information System, or CTIS. The CTR contemplates a three-year transition period that ended on January 31, 2025. Since this date, all new or ongoing trials are subject to the provisions of the CTR. Compliance with the CTR requirements by us and our third-party service providers, such as CROs, may impact our development plans.</w:t>
      </w:r>
    </w:p>
    <w:p>
      <w:pPr>
        <w:spacing w:after="0" w:line="194"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In addition, on April 26, 2023, the European Commission adopted a proposal for a new Directive and Regulation to revise the existing pharmaceutical legislation and on April 10, 2024, the Parliament adopted its related position. If adopted in the form proposed, the European Commission proposals to revise the existing EU laws governing authorization of medicinal products may result in a decrease in data and market exclusivity opportunities for our product candidates in the EU and make them open to generic or biosimilar competition earlier than is currently the case with a related reduction in reimbursement status.</w:t>
      </w:r>
    </w:p>
    <w:p>
      <w:pPr>
        <w:spacing w:after="0" w:line="187" w:lineRule="exact"/>
        <w:rPr>
          <w:sz w:val="20"/>
          <w:szCs w:val="20"/>
          <w:color w:val="auto"/>
        </w:rPr>
      </w:pPr>
    </w:p>
    <w:p>
      <w:pPr>
        <w:ind w:left="60" w:right="519" w:firstLine="648"/>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development plans may be impacted.</w:t>
      </w:r>
    </w:p>
    <w:p>
      <w:pPr>
        <w:spacing w:after="0" w:line="158"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Government price controls or other changes in pricing regulation could restrict the amount that we are able to charge for DANYELZA or any of our other product candidates that may be approved in the future, which would adversely affect our revenue and results of operations.</w:t>
      </w:r>
    </w:p>
    <w:p>
      <w:pPr>
        <w:spacing w:after="0" w:line="175"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We expect that coverage and reimbursement of pharmaceutical products may be increasingly restricted both in the U.S. and internationally. The escalating cost of health care has led to increased pressure on the health care industry to reduce costs. In particular, drug pricing by pharmaceutical companies has come under increased scrutiny and continues to be subject to intense political and public debate in the U.S. and abroad. Government and private third-party payors have proposed health care reforms and cost reductions. A number of federal and state proposals to control the cost of health care, including the cost of drug treatments, have been made in the U.S. Specifically,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drugs. For example, the IRA, among other things, (i) directs the U.S. Department of Health and Human Services, or HHS, to negotiate the price of certain high-expenditure, single-source biologics that have been on the market for at least 11 years and covered under Medicare, and subject manufacturers to civil monetary penalties and a potential excise tax by offering a price that is not equal to or less than the negotiated “maximum fair price” for such biologics under the law, and (ii) imposes rebates with respect to certain products covered under Medicare Part B or Medicare Part D to penalize price increases that outpace inflation. The IRA permits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These provisions began to take effect progressively starting in fiscal year 2023. On August 15, 2024, HHS announced the agreed-upon prices of the first ten drugs that were subject to price negotiation, which take effect in January 2026. On January 17, 2025, HHS selected fifteen additional products covered under Part D for price negotiation in 2025. Each year thereafter more Part B and Part D products will become subject to the Medicare Drug Price Negotiation Program. HHS will select up to fifteen additional products covered under Part D for negotiation in 2025. Each year thereafter, more Part B and Part D products will become subject to the HHS price negotiation program. On December 7, 2023, an initiative to control the price of prescription drugs through the use of march-in rights under the Bayh-Dole Act was announced.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439" w:firstLine="648"/>
        <w:spacing w:after="0" w:line="261" w:lineRule="auto"/>
        <w:rPr>
          <w:sz w:val="20"/>
          <w:szCs w:val="20"/>
          <w:color w:val="auto"/>
        </w:rPr>
      </w:pPr>
      <w:r>
        <w:rPr>
          <w:rFonts w:ascii="Times New Roman" w:cs="Times New Roman" w:eastAsia="Times New Roman" w:hAnsi="Times New Roman"/>
          <w:sz w:val="18"/>
          <w:szCs w:val="18"/>
          <w:color w:val="auto"/>
        </w:rPr>
        <w:t>Current government regulations and possible future legislation regarding health care may affect coverage and reimbursement for medical treatment by third-party payors, which may render DANYELZA or our other product candidates, if approved, not commercially viable or may adversely affect our anticipated future revenues and gross margins.</w:t>
      </w:r>
    </w:p>
    <w:p>
      <w:pPr>
        <w:spacing w:after="0" w:line="180" w:lineRule="exact"/>
        <w:rPr>
          <w:sz w:val="20"/>
          <w:szCs w:val="20"/>
          <w:color w:val="auto"/>
        </w:rPr>
      </w:pPr>
    </w:p>
    <w:p>
      <w:pPr>
        <w:ind w:left="60" w:right="279" w:firstLine="648"/>
        <w:spacing w:after="0" w:line="253" w:lineRule="auto"/>
        <w:rPr>
          <w:sz w:val="20"/>
          <w:szCs w:val="20"/>
          <w:color w:val="auto"/>
        </w:rPr>
      </w:pPr>
      <w:r>
        <w:rPr>
          <w:rFonts w:ascii="Times New Roman" w:cs="Times New Roman" w:eastAsia="Times New Roman" w:hAnsi="Times New Roman"/>
          <w:sz w:val="18"/>
          <w:szCs w:val="18"/>
          <w:color w:val="auto"/>
        </w:rPr>
        <w:t>In markets outside of the United States, reimbursement and healthcare payment systems vary significantly by country, and many countries have instituted price ceilings on specific products and therapies, which can affect the profitability of drugs and biologics. For example, the EU provides options for EU Member States to restrict the range of medicinal products for which their national health insurance systems provide reimbursement and to control the prices of medicinal products for human use. An EU Member State may approve a specific price for the medicinal product, it may refuse to reimburse a product at the price set by the manufacturer or it may instead adopt a system of direct or indirect controls on the profitability of the company placing the medicinal product on the market. Many EU Member States also periodically review their reimbursement procedures for medicinal products, which could have an adverse impact on reimbursement status. We expect that legislators, policymakers and healthcare insurance funds in the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w:t>
      </w:r>
    </w:p>
    <w:p>
      <w:pPr>
        <w:spacing w:after="0" w:line="190" w:lineRule="exact"/>
        <w:rPr>
          <w:sz w:val="20"/>
          <w:szCs w:val="20"/>
          <w:color w:val="auto"/>
        </w:rPr>
      </w:pPr>
    </w:p>
    <w:p>
      <w:pPr>
        <w:ind w:left="60" w:right="119" w:firstLine="648"/>
        <w:spacing w:after="0" w:line="267" w:lineRule="auto"/>
        <w:rPr>
          <w:sz w:val="20"/>
          <w:szCs w:val="20"/>
          <w:color w:val="auto"/>
        </w:rPr>
      </w:pPr>
      <w:r>
        <w:rPr>
          <w:rFonts w:ascii="Times New Roman" w:cs="Times New Roman" w:eastAsia="Times New Roman" w:hAnsi="Times New Roman"/>
          <w:sz w:val="17"/>
          <w:szCs w:val="17"/>
          <w:color w:val="auto"/>
        </w:rPr>
        <w:t>Moreover, in order to obtain reimbursement for our products in some European countries, including some EU Member States, we may be required to compile additional data comparing the cost-effectiveness of our products to other available therapies. This Health Technology Assessment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In December 2021, Regulation No 2021/2282 on HTA amending Directive 2011/24/EU, was adopted in the EU. This Regulation, which entered into force in January 2022 and will apply as of January 2025, is intended to boost cooperation among EU Member States in assessing health technologies, including new medicinal products, and providing the basis for cooperation at EU level for joint clinical assessments in these areas. The Regulation foresees a three-year transitional period and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 If we are unable to maintain favorable pricing and reimbursement status in EU Member States for product candidates that we may successfully develop and for which we may obtain regulatory approval, any anticipated revenue from and growth prospects for those products in the EU could be negatively affected.</w:t>
      </w:r>
    </w:p>
    <w:p>
      <w:pPr>
        <w:spacing w:after="0" w:line="200" w:lineRule="exact"/>
        <w:rPr>
          <w:sz w:val="20"/>
          <w:szCs w:val="20"/>
          <w:color w:val="auto"/>
        </w:rPr>
      </w:pPr>
    </w:p>
    <w:p>
      <w:pPr>
        <w:spacing w:after="0" w:line="203"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We cannot predict the extent to which our business may be affected by these or other potential future legislative or regulatory developments, particularly in light of the recent U.S. Presidential and Congressional elections. However, future price controls or other changes in pricing regulation or negative publicity related to the pricing of pharmaceutical drugs generally could restrict the amount that we are able to charge for any our future products, which would adversely affect our anticipated revenue and results of operations.</w:t>
      </w:r>
    </w:p>
    <w:p>
      <w:pPr>
        <w:spacing w:after="0" w:line="179" w:lineRule="exact"/>
        <w:rPr>
          <w:sz w:val="20"/>
          <w:szCs w:val="20"/>
          <w:color w:val="auto"/>
        </w:rPr>
      </w:pPr>
    </w:p>
    <w:p>
      <w:pPr>
        <w:ind w:left="60" w:right="21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relationships with healthcare providers, physicians and third-party payors are subject to applicable anti-kickback, fraud and abuse and other healthcare laws and regulations, which could expose us to penalties, including criminal sanctions, civil penalties, contractual damages, reputational harm and diminished profits and future earnings.</w:t>
      </w:r>
    </w:p>
    <w:p>
      <w:pPr>
        <w:spacing w:after="0" w:line="157"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Our relationships with healthcare providers, physicians and third-party payors are subject to additional healthcare statutory and regulatory requirements and enforcement by the federal government and the states and foreign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governments in which we conduct our business. Our current and future arrangements with healthcare providers, physicians and third-party payors and patients may expose us to broadly applicable fraud and abuse and other healthcare laws and regulations that may constrain the business or financial arrangements and relationships through which we market, sell and distribute DANYELZA and other our products for which we obtain marketing approval. Restrictions under applicable federal and state healthcare laws and regulations include the following:</w:t>
      </w:r>
    </w:p>
    <w:p>
      <w:pPr>
        <w:spacing w:after="0" w:line="183" w:lineRule="exact"/>
        <w:rPr>
          <w:sz w:val="20"/>
          <w:szCs w:val="20"/>
          <w:color w:val="auto"/>
        </w:rPr>
      </w:pPr>
    </w:p>
    <w:p>
      <w:pPr>
        <w:ind w:left="1040" w:right="79" w:hanging="315"/>
        <w:spacing w:after="0" w:line="274" w:lineRule="auto"/>
        <w:tabs>
          <w:tab w:leader="none" w:pos="10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Anti-Kickback Statute—the federal healthcare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72" w:lineRule="exact"/>
        <w:rPr>
          <w:rFonts w:ascii="Times New Roman" w:cs="Times New Roman" w:eastAsia="Times New Roman" w:hAnsi="Times New Roman"/>
          <w:sz w:val="17"/>
          <w:szCs w:val="17"/>
          <w:color w:val="auto"/>
        </w:rPr>
      </w:pPr>
    </w:p>
    <w:p>
      <w:pPr>
        <w:ind w:left="1040" w:right="79" w:hanging="315"/>
        <w:spacing w:after="0" w:line="256" w:lineRule="auto"/>
        <w:tabs>
          <w:tab w:leader="none" w:pos="1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False Claims Act—the federal False Claims Act imposes criminal and civil penalties, including through civil whistleblower or qui tam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187" w:lineRule="exact"/>
        <w:rPr>
          <w:rFonts w:ascii="Times New Roman" w:cs="Times New Roman" w:eastAsia="Times New Roman" w:hAnsi="Times New Roman"/>
          <w:sz w:val="18"/>
          <w:szCs w:val="18"/>
          <w:color w:val="auto"/>
        </w:rPr>
      </w:pPr>
    </w:p>
    <w:p>
      <w:pPr>
        <w:ind w:left="1040" w:right="119" w:hanging="315"/>
        <w:spacing w:after="0" w:line="256" w:lineRule="auto"/>
        <w:tabs>
          <w:tab w:leader="none" w:pos="1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87" w:lineRule="exact"/>
        <w:rPr>
          <w:rFonts w:ascii="Times New Roman" w:cs="Times New Roman" w:eastAsia="Times New Roman" w:hAnsi="Times New Roman"/>
          <w:sz w:val="18"/>
          <w:szCs w:val="18"/>
          <w:color w:val="auto"/>
        </w:rPr>
      </w:pPr>
    </w:p>
    <w:p>
      <w:pPr>
        <w:ind w:left="1040" w:right="119" w:hanging="315"/>
        <w:spacing w:after="0" w:line="254" w:lineRule="auto"/>
        <w:tabs>
          <w:tab w:leader="none" w:pos="1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Privacy Provisions—as amended by the Health Information Technology for Economic and Clinical Health Act (“HITECH”) and its implementing regulations, HIPAA also imposes obligations on certain covered entity healthcare providers, health plans, and healthcare clearinghouse as well as their business associates and subcontractors that perform certain services involving the use or disclosure of individually identifiable health information, including mandatory contractual terms and technical safeguards, with respect to safeguarding the privacy, security and transmission of individually identifiable health information, and HIPAA, as amended, requires notification to affected individuals and regulatory authorities of certain breaches of security of individually identifiable health information;</w:t>
      </w:r>
    </w:p>
    <w:p>
      <w:pPr>
        <w:spacing w:after="0" w:line="191" w:lineRule="exact"/>
        <w:rPr>
          <w:rFonts w:ascii="Times New Roman" w:cs="Times New Roman" w:eastAsia="Times New Roman" w:hAnsi="Times New Roman"/>
          <w:sz w:val="18"/>
          <w:szCs w:val="18"/>
          <w:color w:val="auto"/>
        </w:rPr>
      </w:pPr>
    </w:p>
    <w:p>
      <w:pPr>
        <w:ind w:left="1040" w:right="99" w:hanging="315"/>
        <w:spacing w:after="0" w:line="254" w:lineRule="auto"/>
        <w:tabs>
          <w:tab w:leader="none" w:pos="1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Transparency Requirements—the federal legislation commonly referred to as the Physician Payments Sunshine Act, enacted as part of the Affordable Care Act, and its implementing regulations, which requires certain manufacturers of drugs, devices, therapeutic biologics and medical supplies reimbursable under Medicare, Medicaid, and Children’s Health Insurance Programs to report annually to the Department of HHS information related to certain payments and other transfers of value, including consulting fees, travel reimbursements, research grants, and other payments or gifts over the de minimis value threshold made to physicians (defined to include doctors, dentists, optometrists, podiatrists, and chiropractors), other healthcare providers (such as physician assistants and nurse practitioners), and teaching hospitals, as well as ownership and investment interests held by physicians and their immediate family members;</w:t>
      </w:r>
    </w:p>
    <w:p>
      <w:pPr>
        <w:spacing w:after="0" w:line="188" w:lineRule="exact"/>
        <w:rPr>
          <w:rFonts w:ascii="Times New Roman" w:cs="Times New Roman" w:eastAsia="Times New Roman" w:hAnsi="Times New Roman"/>
          <w:sz w:val="18"/>
          <w:szCs w:val="18"/>
          <w:color w:val="auto"/>
        </w:rPr>
      </w:pPr>
    </w:p>
    <w:p>
      <w:pPr>
        <w:ind w:left="1040" w:right="119" w:hanging="315"/>
        <w:spacing w:after="0" w:line="282" w:lineRule="auto"/>
        <w:tabs>
          <w:tab w:leader="none" w:pos="1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FDCA—the FDCA, which prohibits, among other things, the adulteration or misbranding of drugs, biologics and medical devices; and</w:t>
      </w:r>
    </w:p>
    <w:p>
      <w:pPr>
        <w:spacing w:after="0" w:line="161" w:lineRule="exact"/>
        <w:rPr>
          <w:rFonts w:ascii="Times New Roman" w:cs="Times New Roman" w:eastAsia="Times New Roman" w:hAnsi="Times New Roman"/>
          <w:sz w:val="18"/>
          <w:szCs w:val="18"/>
          <w:color w:val="auto"/>
        </w:rPr>
      </w:pPr>
    </w:p>
    <w:p>
      <w:pPr>
        <w:ind w:left="1040" w:right="159" w:hanging="315"/>
        <w:spacing w:after="0" w:line="261" w:lineRule="auto"/>
        <w:tabs>
          <w:tab w:leader="none" w:pos="1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Laws—analogous state and foreign fraud and abuse laws and regulations, such as state and foreign anti-kickback and false claims laws that may apply to sales or marketing arrangements and claims involving healthcare items or services reimbursed by non-governmental third-party payors, including private insurers.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219" w:firstLine="648"/>
        <w:spacing w:after="0" w:line="281" w:lineRule="auto"/>
        <w:rPr>
          <w:sz w:val="20"/>
          <w:szCs w:val="20"/>
          <w:color w:val="auto"/>
        </w:rPr>
      </w:pPr>
      <w:r>
        <w:rPr>
          <w:rFonts w:ascii="Times New Roman" w:cs="Times New Roman" w:eastAsia="Times New Roman" w:hAnsi="Times New Roman"/>
          <w:sz w:val="17"/>
          <w:szCs w:val="17"/>
          <w:color w:val="auto"/>
        </w:rPr>
        <w:t>Outside the United States, interactions between pharmaceutical companies and health care professionals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164"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Some state and foreign laws require pharmaceutical companies to comply with the pharmaceutical industry’s voluntary compliance guidelines and the relevant compliance guidance promulgated by the government and require drug manufacturers to report information related to payments and other transfers of value to physicians and other healthcare providers or marketing expenditures and pricing information.</w:t>
      </w:r>
    </w:p>
    <w:p>
      <w:pPr>
        <w:spacing w:after="0" w:line="180" w:lineRule="exact"/>
        <w:rPr>
          <w:sz w:val="20"/>
          <w:szCs w:val="20"/>
          <w:color w:val="auto"/>
        </w:rPr>
      </w:pPr>
    </w:p>
    <w:p>
      <w:pPr>
        <w:ind w:left="60" w:right="99" w:firstLine="648"/>
        <w:spacing w:after="0" w:line="268" w:lineRule="auto"/>
        <w:rPr>
          <w:sz w:val="20"/>
          <w:szCs w:val="20"/>
          <w:color w:val="auto"/>
        </w:rPr>
      </w:pPr>
      <w:r>
        <w:rPr>
          <w:rFonts w:ascii="Times New Roman" w:cs="Times New Roman" w:eastAsia="Times New Roman" w:hAnsi="Times New Roman"/>
          <w:sz w:val="17"/>
          <w:szCs w:val="17"/>
          <w:color w:val="auto"/>
        </w:rPr>
        <w:t>Efforts to ensure that our business arrangements with third parties comply with applicable healthcare laws and regulations involve substantial costs. It is possible that interpretation of healthcare laws and regulations will vary across jurisdictions, and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of drugs from government-funded healthcare programs, such as Medicare and Medicaid, or comparable foreign programs, and the curtailment or business realignment of our operations. We have established internal policies and procedures to mitigate our compliance risks. However, no assurance can be given that such policies and procedures will be adequate to ensure compliance with applicable laws and regulations. Moreover,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to be not in compliance with applicable laws, it may be costly to us in terms of money, time and resources, and they may be subject to criminal, civil or administrative sanctions, including exclusions from government-funded healthcare programs.</w:t>
      </w:r>
    </w:p>
    <w:p>
      <w:pPr>
        <w:spacing w:after="0" w:line="175" w:lineRule="exact"/>
        <w:rPr>
          <w:sz w:val="20"/>
          <w:szCs w:val="20"/>
          <w:color w:val="auto"/>
        </w:rPr>
      </w:pPr>
    </w:p>
    <w:p>
      <w:pPr>
        <w:ind w:left="60" w:right="1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spacing w:after="0" w:line="183" w:lineRule="exact"/>
        <w:rPr>
          <w:sz w:val="20"/>
          <w:szCs w:val="20"/>
          <w:color w:val="auto"/>
        </w:rPr>
      </w:pPr>
    </w:p>
    <w:p>
      <w:pPr>
        <w:ind w:left="60" w:right="79" w:firstLine="454"/>
        <w:spacing w:after="0" w:line="249" w:lineRule="auto"/>
        <w:rPr>
          <w:sz w:val="20"/>
          <w:szCs w:val="20"/>
          <w:color w:val="auto"/>
        </w:rPr>
      </w:pPr>
      <w:r>
        <w:rPr>
          <w:rFonts w:ascii="Times New Roman" w:cs="Times New Roman" w:eastAsia="Times New Roman" w:hAnsi="Times New Roman"/>
          <w:sz w:val="18"/>
          <w:szCs w:val="18"/>
          <w:color w:val="auto"/>
        </w:rPr>
        <w:t>In the ordinary course of business, we and our collaborators and third-party providers may collect, receive, store, process, generate, use, transfer, disclose, make accessible, protect, secure, dispose of, transmit, and share (collectively, process) personal data and other sensitive information, such as proprietary and confidential business data, trade secrets, intellectual property, and data we collect about trial participants in connection with our clinical trials. Our data processing activities may subject us to numerous data privacy and security obligations, such as various laws, regulations, guidance, industry standards, external and internal privacy and security policies, contracts, and other obligations that govern the processing of sensitive information by us and on our behalf. In the United States, federal, state, and local laws and regulations, including federal health information privacy laws, state data breach notification laws, state health information privacy laws and federal and state consumer protection laws (e.g., Section 5 of the Federal Trade Commission Act), govern the collection, use, disclosure and protection of health-related and other personal data and could apply to our operations or the operations of our collaborators and third-party providers. In addition, we may obtain health information from third parties (including research institutions from which we obtain clinical trial data) that are subject to privacy and security requirements under HIPAA, as amended by HITECH, which imposes specific requirements relating to the privacy, security, and transmission of individually identifiable health information. Depending on the facts and circumstances, we could be subject to significant penalties if we violate HIPAA.</w:t>
      </w:r>
    </w:p>
    <w:p>
      <w:pPr>
        <w:spacing w:after="0" w:line="181" w:lineRule="exact"/>
        <w:rPr>
          <w:sz w:val="20"/>
          <w:szCs w:val="20"/>
          <w:color w:val="auto"/>
        </w:rPr>
      </w:pPr>
    </w:p>
    <w:p>
      <w:pPr>
        <w:ind w:left="60" w:right="119" w:firstLine="454"/>
        <w:spacing w:after="0" w:line="266" w:lineRule="auto"/>
        <w:rPr>
          <w:sz w:val="20"/>
          <w:szCs w:val="20"/>
          <w:color w:val="auto"/>
        </w:rPr>
      </w:pPr>
      <w:r>
        <w:rPr>
          <w:rFonts w:ascii="Times New Roman" w:cs="Times New Roman" w:eastAsia="Times New Roman" w:hAnsi="Times New Roman"/>
          <w:sz w:val="18"/>
          <w:szCs w:val="18"/>
          <w:color w:val="auto"/>
        </w:rPr>
        <w:t>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information.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99"/>
        <w:spacing w:after="0" w:line="249" w:lineRule="auto"/>
        <w:rPr>
          <w:sz w:val="20"/>
          <w:szCs w:val="20"/>
          <w:color w:val="auto"/>
        </w:rPr>
      </w:pPr>
      <w:r>
        <w:rPr>
          <w:rFonts w:ascii="Times New Roman" w:cs="Times New Roman" w:eastAsia="Times New Roman" w:hAnsi="Times New Roman"/>
          <w:sz w:val="18"/>
          <w:szCs w:val="18"/>
          <w:color w:val="auto"/>
        </w:rPr>
        <w:t>As applicable, such rights may include the right to access, correct, or delete certain personal information, and to opt-out of certain data processing activities, such as targeted advertising, profiling, and automated decision-making. The exercise of these rights may impact our business and ability to provide our products and services. These state laws also allow for statutory fines for noncompliance. For example, the California Consumer Privacy Act of 2018, as amended by the California Privacy Rights Act of 2020, collectively the CCPA, applies to personal information of consumers, business representatives, and employees who are California residents and requires businesses to provide specific disclosures in privacy notices and honor requests of California residents to exercise certain privacy rights . The CCPA provides for fines of up to $7,500 per intentional violation and allows private litigants affected by certain data breaches to seek to recover potentially significant statutory damages. While the CCPA and many of these state laws also exempt some data processed in the context of clinical trials, these developments further complicate compliance efforts, and increase legal risk and compliance costs for us and the third parties with whom we work. Similar laws are being considered in several other states, as well as the federal and local levels, and we expect more states to pass similar laws in the future.</w:t>
      </w:r>
    </w:p>
    <w:p>
      <w:pPr>
        <w:spacing w:after="0" w:line="191" w:lineRule="exact"/>
        <w:rPr>
          <w:sz w:val="20"/>
          <w:szCs w:val="20"/>
          <w:color w:val="auto"/>
        </w:rPr>
      </w:pPr>
    </w:p>
    <w:p>
      <w:pPr>
        <w:ind w:left="60" w:right="79" w:firstLine="454"/>
        <w:spacing w:after="0" w:line="247"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govern data privacy and security. For example, the European Union’s General Data Protection Regulation, or EU GDPR, the United Kingdom’s GDPR, or UK GDPR, Brazil’s General Data Protection Law (Lei Geral de Proteção de Dados Pessoais, or LGPD) (Law No. 13,709/2018), and China’s Personal Information Protection Law, or PIPL, impose strict requirements for processing personal data. In particular, the EU GDPR applies to any company established in the European Economic Area, or EEA, and to companies established outside the EEA that process personal data in connection with the offering of goods or services to data subjects in the EEA or the monitoring of the behavior of data subjects in the EEA. The obligations from the EU GDPR and UK GDPR, together referred to as GDPR, may include limiting personal data processing to only what is necessary for specified, explicit, and legitimate purposes; requiring a legal basis for personal data processing; complying with specific requirements to process health-related data; requiring the appointment of a data protection officer in certain circumstances; increasing transparency obligations to data subjects; requiring data protection impact assessments in certain circumstances; limiting the collection and retention of personal data; increasing rights for data subjects; formalizing a heightened and codified standard of data subject consents; requiring the implementation and maintenance of technical and organizational safeguards for personal data; mandating notice of certain personal data breaches to the relevant supervisory authority(ies) and affected individuals; and mandating the appointment of representatives in the UK and/or the EU in certain circumstances. Under the GDPR, companies may face temporary or definitive bans on data processing and other corrective actions; fines of up to 20 million Euros under the EU GDPR (17.5 million British Pounds under the UK GDPR) or 4% of annual global revenue, in each case, whichever is greater; or private litigation related to processing of personal data brought by classes of data subjects or consumer protection organizations authorized at law to represent their interests.</w:t>
      </w:r>
    </w:p>
    <w:p>
      <w:pPr>
        <w:spacing w:after="0" w:line="205" w:lineRule="exact"/>
        <w:rPr>
          <w:sz w:val="20"/>
          <w:szCs w:val="20"/>
          <w:color w:val="auto"/>
        </w:rPr>
      </w:pPr>
    </w:p>
    <w:p>
      <w:pPr>
        <w:ind w:left="60" w:right="119" w:firstLine="454"/>
        <w:spacing w:after="0" w:line="247"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EEA and UK have significantly restricted the transfer of personal data to the United States and other countries whose data privacy laws they generally believe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EU’s standard contractual clauses, the UK’s International Data Transfer Agreement/Addendum, and the EU-U.S. Data Privacy Framework and the UK extension thereto (which allows for transfers for relevant U.S.-based organizations who self-certify compliance and participate in the Framework), these mechanisms may be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activities groups. Some European regulators have ordered certain companies to suspend or permanently cease certain transfers of personal data</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out of Europe for allegedly violating the EU GDPR’s cross-border data transfer limitations. In addition to data privacy and security laws, we are also bound by contractual obligations related to data privacy and security, and our efforts to comply with such obligations may not be successful. For example, certain privacy laws, such as the GDPR and the CCPA, require our customers to impose specific contractual restrictions on their service providers.</w:t>
      </w:r>
    </w:p>
    <w:p>
      <w:pPr>
        <w:spacing w:after="0" w:line="166" w:lineRule="exact"/>
        <w:rPr>
          <w:sz w:val="20"/>
          <w:szCs w:val="20"/>
          <w:color w:val="auto"/>
        </w:rPr>
      </w:pPr>
    </w:p>
    <w:p>
      <w:pPr>
        <w:ind w:left="60" w:right="339" w:firstLine="454"/>
        <w:spacing w:after="0" w:line="255" w:lineRule="auto"/>
        <w:rPr>
          <w:sz w:val="20"/>
          <w:szCs w:val="20"/>
          <w:color w:val="auto"/>
        </w:rPr>
      </w:pPr>
      <w:r>
        <w:rPr>
          <w:rFonts w:ascii="Times New Roman" w:cs="Times New Roman" w:eastAsia="Times New Roman" w:hAnsi="Times New Roman"/>
          <w:sz w:val="18"/>
          <w:szCs w:val="18"/>
          <w:color w:val="auto"/>
        </w:rPr>
        <w:t>We publish privacy policies, marketing materials and other statements, such as confirmation of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87" w:lineRule="exact"/>
        <w:rPr>
          <w:sz w:val="20"/>
          <w:szCs w:val="20"/>
          <w:color w:val="auto"/>
        </w:rPr>
      </w:pPr>
    </w:p>
    <w:p>
      <w:pPr>
        <w:ind w:left="60" w:right="199" w:firstLine="454"/>
        <w:spacing w:after="0" w:line="253"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w:t>
      </w:r>
    </w:p>
    <w:p>
      <w:pPr>
        <w:spacing w:after="0" w:line="189" w:lineRule="exact"/>
        <w:rPr>
          <w:sz w:val="20"/>
          <w:szCs w:val="20"/>
          <w:color w:val="auto"/>
        </w:rPr>
      </w:pPr>
    </w:p>
    <w:p>
      <w:pPr>
        <w:ind w:left="60" w:right="119" w:firstLine="454"/>
        <w:spacing w:after="0" w:line="247"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 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indemnification obligations; negative publicity; reputational harm; monetary fund diversions; diversion of management’s attention; additional reporting requirements and/or oversight; bans on processing personal data (including clinical trial data); orders to destroy or not use personal data; and imprisonment of company officials. In particular, plaintiffs have become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w:t>
      </w:r>
    </w:p>
    <w:p>
      <w:pPr>
        <w:spacing w:after="0" w:line="198" w:lineRule="exact"/>
        <w:rPr>
          <w:sz w:val="20"/>
          <w:szCs w:val="20"/>
          <w:color w:val="auto"/>
        </w:rPr>
      </w:pPr>
    </w:p>
    <w:p>
      <w:pPr>
        <w:ind w:left="60" w:right="59" w:firstLine="454"/>
        <w:spacing w:after="0" w:line="254" w:lineRule="auto"/>
        <w:rPr>
          <w:sz w:val="20"/>
          <w:szCs w:val="20"/>
          <w:color w:val="auto"/>
        </w:rPr>
      </w:pPr>
      <w:r>
        <w:rPr>
          <w:rFonts w:ascii="Times New Roman" w:cs="Times New Roman" w:eastAsia="Times New Roman" w:hAnsi="Times New Roman"/>
          <w:sz w:val="18"/>
          <w:szCs w:val="18"/>
          <w:color w:val="auto"/>
        </w:rPr>
        <w:t>Any of these events could have a material adverse effect on our reputation, business, or financial condition, including but not limited to: loss of customers; interruptions or stoppages in our business operations (including, as relevant, clinical trials); interruptions or stoppages of data collection needed to train our algorithms;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183" w:lineRule="exact"/>
        <w:rPr>
          <w:sz w:val="20"/>
          <w:szCs w:val="20"/>
          <w:color w:val="auto"/>
        </w:rPr>
      </w:pPr>
    </w:p>
    <w:p>
      <w:pPr>
        <w:ind w:left="60" w:right="1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80"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process proprietary, confidential, and sensitive data, including personal data (such as health-related data), intellectual property and trade secrets (collectively, sensitive information).</w:t>
      </w:r>
    </w:p>
    <w:p>
      <w:pPr>
        <w:spacing w:after="0" w:line="176"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with whom we work, including our current and future CROs, CMOs, other contractors and consultants.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0" w:right="319"/>
        <w:spacing w:after="0" w:line="266" w:lineRule="auto"/>
        <w:rPr>
          <w:sz w:val="20"/>
          <w:szCs w:val="20"/>
          <w:color w:val="auto"/>
        </w:rPr>
      </w:pPr>
      <w:r>
        <w:rPr>
          <w:rFonts w:ascii="Times New Roman" w:cs="Times New Roman" w:eastAsia="Times New Roman" w:hAnsi="Times New Roman"/>
          <w:sz w:val="18"/>
          <w:szCs w:val="18"/>
          <w:color w:val="auto"/>
        </w:rPr>
        <w:t>major conflicts, we, the third parties with whom we work, and our customers may be vulnerable to a heightened risk of these attacks, including retaliatory cyber-attacks, that could materially disrupt our systems and operations, supply chain, and ability to produce, sell and distribute our goods and services.</w:t>
      </w:r>
    </w:p>
    <w:p>
      <w:pPr>
        <w:spacing w:after="0" w:line="176"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software or hardware failures, loss of data or other information technology assets, adware, attacks enhanced or facilitated by AI, telecommunications failures, earthquakes, fires, floods, and other similar threats. In particular, severe ransomware attacks are becoming increasingly prevalent – particularly for companies like ours in the medical field –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92"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176"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83"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rely on third-party service providers and technologies to operate critical business systems to process sensitive information in a variety of contexts, including, without limitation, communication systems,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spacing w:after="0" w:line="192"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In addition, supply-chain attacks have increased in frequency and severity, and we cannot guarantee that third parties’ infrastructure in our supply chain or our third-party partners’ supply chains have not been compromised.</w:t>
      </w:r>
    </w:p>
    <w:p>
      <w:pPr>
        <w:spacing w:after="0" w:line="162" w:lineRule="exact"/>
        <w:rPr>
          <w:sz w:val="20"/>
          <w:szCs w:val="20"/>
          <w:color w:val="auto"/>
        </w:rPr>
      </w:pPr>
    </w:p>
    <w:p>
      <w:pPr>
        <w:ind w:left="60" w:right="319" w:firstLine="648"/>
        <w:spacing w:after="0" w:line="258" w:lineRule="auto"/>
        <w:rPr>
          <w:sz w:val="20"/>
          <w:szCs w:val="20"/>
          <w:color w:val="auto"/>
        </w:rPr>
      </w:pPr>
      <w:r>
        <w:rPr>
          <w:rFonts w:ascii="Times New Roman" w:cs="Times New Roman" w:eastAsia="Times New Roman" w:hAnsi="Times New Roman"/>
          <w:sz w:val="18"/>
          <w:szCs w:val="18"/>
          <w:color w:val="auto"/>
        </w:rPr>
        <w:t>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risks to our business. Further, we may experience delays in developing and deploying remedial measures designed to address any such identified vulnerabilities.</w:t>
      </w:r>
    </w:p>
    <w:p>
      <w:pPr>
        <w:spacing w:after="0" w:line="183" w:lineRule="exact"/>
        <w:rPr>
          <w:sz w:val="20"/>
          <w:szCs w:val="20"/>
          <w:color w:val="auto"/>
        </w:rPr>
      </w:pPr>
    </w:p>
    <w:p>
      <w:pPr>
        <w:ind w:left="60" w:right="99" w:firstLine="648"/>
        <w:spacing w:after="0" w:line="277" w:lineRule="auto"/>
        <w:rPr>
          <w:sz w:val="20"/>
          <w:szCs w:val="20"/>
          <w:color w:val="auto"/>
        </w:rPr>
      </w:pPr>
      <w:r>
        <w:rPr>
          <w:rFonts w:ascii="Times New Roman" w:cs="Times New Roman" w:eastAsia="Times New Roman" w:hAnsi="Times New Roman"/>
          <w:sz w:val="17"/>
          <w:szCs w:val="17"/>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including our research partners or collaborators. We may expend significant resources or modify our business activities (including our clinical trial activities or product development) to try to protect against security incidents.</w:t>
      </w:r>
    </w:p>
    <w:p>
      <w:pPr>
        <w:spacing w:after="0" w:line="168"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Certain data privacy and security obligations may require us to implement and maintain specific security measures or industry-standard or reasonable security measures to protect our information technology systems and sensitive information.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459" w:firstLine="648"/>
        <w:spacing w:after="0" w:line="282"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w:t>
      </w:r>
    </w:p>
    <w:p>
      <w:pPr>
        <w:spacing w:after="0" w:line="162"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or we may voluntarily choose, to notify relevant stakeholders of security incidents, including affected individuals, customers, regulators, and investors, or to take other actions, such as providing credit monitoring and identify theft protection services. Such disclosures and related actions can be costly, and the disclosure or the failure to comply with such requirements could lead to adverse consequences.</w:t>
      </w:r>
    </w:p>
    <w:p>
      <w:pPr>
        <w:spacing w:after="0" w:line="180"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If we, or a third party with whom we work,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diversions of management’s attention; interruptions in our operations (including availability of data); financial loss; and other similar harms. Security incidents and attendant consequences may cause customers to stop using our products, deter new customers from using our products, and negatively impact our ability to grow and operate our business.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disclosure of confidential or proprietary information, further development and commercialization of our product candidates could be delayed.</w:t>
      </w:r>
    </w:p>
    <w:p>
      <w:pPr>
        <w:spacing w:after="0" w:line="190"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83"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In addition, third parties may gather, collect, or infer competitively sensitive information about us from public sources, data brokers, or by other means that could be used to undermine our competitive advantage or market position. Additionally, any sensitive information (including confidential, competitive, proprietary, or personal data) that we input into a third-party generative AI platform could be leaked or disclosed to others, including if sensitive information is used to train the third parties’ AI model.</w:t>
      </w:r>
    </w:p>
    <w:p>
      <w:pPr>
        <w:spacing w:after="0" w:line="179" w:lineRule="exact"/>
        <w:rPr>
          <w:sz w:val="20"/>
          <w:szCs w:val="20"/>
          <w:color w:val="auto"/>
        </w:rPr>
      </w:pPr>
    </w:p>
    <w:p>
      <w:pPr>
        <w:ind w:left="60" w:right="5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Coverage and reimbursement may be limited or unavailable in certain market segments for DANYELZA and our product candidates, which could make it difficult for us to sell DANYELZA and our product candidates profitably.</w:t>
      </w:r>
    </w:p>
    <w:p>
      <w:pPr>
        <w:spacing w:after="0" w:line="136"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Successful sales of DANYELZA and our product candidates, if approved, depend on the availability of adequate coverage and reimbursement from third-party payors. In addition, because DANYELZA and our product candidates represent relatively new approaches to the treatment of cancer, we cannot accurately estimate the potential revenue from DANYELZA or our product candidates.</w:t>
      </w:r>
    </w:p>
    <w:p>
      <w:pPr>
        <w:spacing w:after="0" w:line="180" w:lineRule="exact"/>
        <w:rPr>
          <w:sz w:val="20"/>
          <w:szCs w:val="20"/>
          <w:color w:val="auto"/>
        </w:rPr>
      </w:pPr>
    </w:p>
    <w:p>
      <w:pPr>
        <w:ind w:left="60" w:right="139" w:firstLine="648"/>
        <w:spacing w:after="0" w:line="289" w:lineRule="auto"/>
        <w:rPr>
          <w:sz w:val="20"/>
          <w:szCs w:val="20"/>
          <w:color w:val="auto"/>
        </w:rPr>
      </w:pPr>
      <w:r>
        <w:rPr>
          <w:rFonts w:ascii="Times New Roman" w:cs="Times New Roman" w:eastAsia="Times New Roman" w:hAnsi="Times New Roman"/>
          <w:sz w:val="17"/>
          <w:szCs w:val="17"/>
          <w:color w:val="auto"/>
        </w:rPr>
        <w:t>Patients who are provided medical treatment for their conditions generally rely on third-party payors to reimburse all or part of the costs associated with their treatment. Adequate coverage and reimbursement from governmental healthcare programs, such as Medicare and Medicaid, and commercial payors are critical to new product acceptance.</w:t>
      </w:r>
    </w:p>
    <w:p>
      <w:pPr>
        <w:spacing w:after="0" w:line="158" w:lineRule="exact"/>
        <w:rPr>
          <w:sz w:val="20"/>
          <w:szCs w:val="20"/>
          <w:color w:val="auto"/>
        </w:rPr>
      </w:pPr>
    </w:p>
    <w:p>
      <w:pPr>
        <w:ind w:left="60" w:right="739" w:firstLine="648"/>
        <w:spacing w:after="0" w:line="261" w:lineRule="auto"/>
        <w:rPr>
          <w:sz w:val="20"/>
          <w:szCs w:val="20"/>
          <w:color w:val="auto"/>
        </w:rPr>
      </w:pPr>
      <w:r>
        <w:rPr>
          <w:rFonts w:ascii="Times New Roman" w:cs="Times New Roman" w:eastAsia="Times New Roman" w:hAnsi="Times New Roman"/>
          <w:sz w:val="18"/>
          <w:szCs w:val="18"/>
          <w:color w:val="auto"/>
        </w:rPr>
        <w:t>Government authorities and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180" w:lineRule="exact"/>
        <w:rPr>
          <w:sz w:val="20"/>
          <w:szCs w:val="20"/>
          <w:color w:val="auto"/>
        </w:rPr>
      </w:pPr>
    </w:p>
    <w:p>
      <w:pPr>
        <w:ind w:left="1040" w:hanging="315"/>
        <w:spacing w:after="0"/>
        <w:tabs>
          <w:tab w:leader="none" w:pos="10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hanging="315"/>
        <w:spacing w:after="0"/>
        <w:tabs>
          <w:tab w:leader="none" w:pos="10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To date, although a number of third-party providers have established coverage policies and provided reimbursement for DANYELZA, there is no guarantee that third-party providers will establish coverage policies or provided reimbursement for any of our other product candidates, if approved. The reimbursement payment rates for DANYELZA or any other product we commercialize might not be adequate for us to achieve or sustain profitability or may require co-payments that patients find unacceptably high. Additionally, third-party payors may not cover, or provide adequate reimbursement for, long-term follow-up evaluations required following the use of our products, if approved. Third-party payors are increasingly challenging the prices charged, examining the medical necessity, and reviewing the cost-effectiveness of medical products and services, and imposing controls to manage costs. Our rebate payments may increase, or our prices may be adjusted under value-based purchasing arrangements based on evidence-based measures or outcomes-based measures for a patient or beneficiary based on use of DANYELZA or any other product we commercialize. Patients are unlikely to use our product unless coverage is provided and reimbursement is adequate to cover a significant portion of the cost of our products. Because our products and product candidates have a higher cost of goods than conventional therapies, and may require long-term follow up evaluations, the risk that coverage and reimbursement rates may be inadequate for us to achieve profitability may be greater. Further,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spacing w:after="0" w:line="20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To date DANYELZA has been approved for sale in the United States and multiple regions outside of the United States, but we intend to seek approval to market our products in additional selected foreign jurisdictions. If we obtain approval in one or more foreign jurisdictions for our product candidates, we or our partner holding the approval such as Takeda Israel, holding the approval of DANYELZA in Israel will be subject to rules and regulations in those jurisdictions. In some foreign countries, particularly those in the EU, the pricing of biologics is subject to governmental control.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spacing w:after="0" w:line="184" w:lineRule="exact"/>
        <w:rPr>
          <w:sz w:val="20"/>
          <w:szCs w:val="20"/>
          <w:color w:val="auto"/>
        </w:rPr>
      </w:pPr>
    </w:p>
    <w:p>
      <w:pPr>
        <w:ind w:left="60" w:right="3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incur significant liability if enforcement authorities allege or determine that we are engaging in commercial activities or promoting DANYELZA or another product candidate in a way that violates applicable regulations.</w:t>
      </w:r>
    </w:p>
    <w:p>
      <w:pPr>
        <w:spacing w:after="0" w:line="136"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Physicians have the discretion to prescribe drug products for uses that are not described in the product’s labeling and that differ from those approved by the FDA or other applicable regulatory authorities. Off label uses are common across medical specialties. Although the FDA and other regulatory authorities do not regulate a physician’s choice of treatments, the FDA and other regulatory authorities regulate a manufacturer’s communications regarding off label use and prohibit off label promotion, as well as the dissemination of false or misleading labeling or promotional materials. Manufacturers may not promote drugs for off label uses. Accordingly, we may not promote DANYELZA in the United States for use in any indications other than relapsed/refractory high-risk neuroblastoma in bone and/or bone marrow. The FDA and other regulatory and enforcement authorities actively enforce laws and regulations prohibiting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promotion of off label uses and the promotion of products for which marketing approval has not been obtained. A company that is found to have improperly promoted off label uses may be subject to significant liability, which may include civil and administrative remedies as well as criminal sanctions.</w:t>
      </w:r>
    </w:p>
    <w:p>
      <w:pPr>
        <w:spacing w:after="0" w:line="176"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Notwithstanding regulations related to product promotion, the FDA and other regulatory authorities allow companies to engage in truthful, non-misleading, and non-promotional scientific exchange concerning their products. We intend to engage in medical education activities and communicate with healthcare providers in compliance with all applicable laws and regulatory guidance.</w:t>
      </w:r>
    </w:p>
    <w:p>
      <w:pPr>
        <w:spacing w:after="0" w:line="176" w:lineRule="exact"/>
        <w:rPr>
          <w:sz w:val="20"/>
          <w:szCs w:val="20"/>
          <w:color w:val="auto"/>
        </w:rPr>
      </w:pPr>
    </w:p>
    <w:p>
      <w:pPr>
        <w:jc w:val="both"/>
        <w:ind w:left="60" w:right="3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the nature of radioactive isotopes in radioimmunotherapy product candidates, the product shelf life is limited and susceptible to spoilage and/or loss, which could adversely affect our business, financial condition and operating results.</w:t>
      </w:r>
    </w:p>
    <w:p>
      <w:pPr>
        <w:spacing w:after="0" w:line="17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radioimmunotherapy product candidates have a very limited shelf life once radiolabeled with radioactive elements. For commercial manufacture and supply these product candidates require reliable transportation and radiolabeling production facilities located near our final customers to avoid spoilage, damage and/or loss. The failure of third parties with whom we contract to safely and compliantly deliver these product candidates within the scope of their limited shelf lives could result in the loss of a given shipment and the sales associated with it. Any delay in shipment results in a loss of the radioactive dose because of radioactive decay, with the risk that the entire useful dose may be lost. Moreover, since each order is made individually and delivered with dedicated transportation in compliance with local regulations applicable to the handling of radioactive materials, we do not have readily available replacements to substitute for a lost delivery if circumstances beyond our control, such as delays or problems caused by inclement weather or a failure in the transportation system operated by third parties that we hire, prevent the timely delivery of a batch, or if the receiving facility fails to distribute the ordered batch in a timely fashion in accordance with specifications. Such losses or failures could have a material adverse effect on our business, financial condition and results of operations.</w:t>
      </w:r>
    </w:p>
    <w:p>
      <w:pPr>
        <w:spacing w:after="0" w:line="186"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15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radioactive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2"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76"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products or product candidates outside of the United States and require us to develop and implement costly compliance programs.</w:t>
      </w:r>
    </w:p>
    <w:p>
      <w:pPr>
        <w:spacing w:after="0" w:line="175"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We currently have operations in the United States and Denmark and we maintain relationships with CMOs in the United States as well as other parts of Europe for the manufacture of our product candidates. If we further expand our operations outside of the United States, we must comply with numerous laws and regulations in each new jurisdiction in which we plan to operate. The creation and implementation of international business practices compliance programs is costly and such programs are difficult to enforce, particularly where reliance on third parties is required. No assurance can be given that our compliance policies and procedures are or will be sufficient or that our directors,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0" w:right="99"/>
        <w:spacing w:after="0" w:line="261" w:lineRule="auto"/>
        <w:rPr>
          <w:sz w:val="20"/>
          <w:szCs w:val="20"/>
          <w:color w:val="auto"/>
        </w:rPr>
      </w:pPr>
      <w:r>
        <w:rPr>
          <w:rFonts w:ascii="Times New Roman" w:cs="Times New Roman" w:eastAsia="Times New Roman" w:hAnsi="Times New Roman"/>
          <w:sz w:val="18"/>
          <w:szCs w:val="18"/>
          <w:color w:val="auto"/>
        </w:rPr>
        <w:t>officers, employees, representatives, consultants and agents have not engaged and will not engage in conduct for which we may be held responsible, nor can we assure you that our business partners have not engaged and will not engage in conduct that could materially affect their ability to perform their contractual obligations to us or even result in our being held liable for such conduct.</w:t>
      </w:r>
    </w:p>
    <w:p>
      <w:pPr>
        <w:spacing w:after="0" w:line="180"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DOJ. The Securities and Exchange Commission, or SEC, is involved with enforcement of the books and records provisions of the FCPA.</w:t>
      </w:r>
    </w:p>
    <w:p>
      <w:pPr>
        <w:spacing w:after="0" w:line="188"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 Similar laws in other countries, such as the U.K. Bribery Act 2010, may apply to our operations.</w:t>
      </w:r>
    </w:p>
    <w:p>
      <w:pPr>
        <w:spacing w:after="0" w:line="187"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drugs and product candidates outside of the United States, which could limit our growth potential and increase our development costs.</w:t>
      </w:r>
    </w:p>
    <w:p>
      <w:pPr>
        <w:spacing w:after="0" w:line="187"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In addition, certain Chinese biotechnology companies and contract development and manufacturing organizations may become subject to trade restrictions, sanctions, other regulatory requirements or proposed legislation by the U.S. government, which could restrict or even prohibit our ability to work with such entities, thereby potentially having an adverse impact on our development and commercialization efforts and potential revenues, including potential payments to us based on regulatory and commercial activities in China. For example, the recently proposed BIOSECURE Act introduced in the U.S. House of Representatives, as well as a substantially similar bill in the U.S. Senate, target U.S. government contracts, grants, and loans for entities that use equipment and services from certain named Chinese biotechnologies companies and authorizes the U.S. government to name additional Chinese biotechnology companies of concern. If these bills become law, or similar laws are passed, they would have the potential to severely restrict the ability of companies to work with certain Chinese biotechnology companies of concern without losing the ability to contract with, or otherwise receive funding from, the U.S. government. Such disruption could have adverse effects on the development and commercialization of our product candidates and products, and our business and financial results.</w:t>
      </w:r>
    </w:p>
    <w:p>
      <w:pPr>
        <w:spacing w:after="0" w:line="190"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penalties, including suspension or debarment from government contracting. Violation of the FCPA or other export control, anti-corruption, anti-money laundering and anti-terrorism laws or regulations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159" w:lineRule="exact"/>
        <w:rPr>
          <w:sz w:val="20"/>
          <w:szCs w:val="20"/>
          <w:color w:val="auto"/>
        </w:rPr>
      </w:pPr>
    </w:p>
    <w:p>
      <w:pPr>
        <w:ind w:left="60" w:right="119" w:firstLine="648"/>
        <w:spacing w:after="0" w:line="274" w:lineRule="auto"/>
        <w:rPr>
          <w:sz w:val="20"/>
          <w:szCs w:val="20"/>
          <w:color w:val="auto"/>
        </w:rPr>
      </w:pPr>
      <w:r>
        <w:rPr>
          <w:rFonts w:ascii="Times New Roman" w:cs="Times New Roman" w:eastAsia="Times New Roman" w:hAnsi="Times New Roman"/>
          <w:sz w:val="17"/>
          <w:szCs w:val="17"/>
          <w:color w:val="auto"/>
        </w:rPr>
        <w:t>Our commercial success will depend in large part on obtaining and maintaining proprietary rights including patent, trademark and trade secret protection of our products, product candidates and related proprietary technologies, their respective components, formulations, methods used to manufacture them and methods of treatment, as well as successfully defending these patents against third-party challenges. Our ability to stop unauthorized third parties from making, using, selling, offering to sell or importing our products, product candidates and related proprietary technologies is dependent upon the extent to which we have rights under valid and enforceable patents or trade secrets that cover these activities.</w:t>
      </w:r>
    </w:p>
    <w:p>
      <w:pPr>
        <w:spacing w:after="0" w:line="173"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patenting process is expensive and time-consuming, and we may not be able to file and prosecute all necessary or desirable patent applications at a reasonable cost or in a timely manner. In addition, we may not be able to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product candidates or related technologies, in whole or in part. In addition, our existing patents and any future patents we obtain may not be sufficiently broad to prevent others from using our technology or from developing competing product candidates or products and related technologies.</w:t>
      </w:r>
    </w:p>
    <w:p>
      <w:pPr>
        <w:spacing w:after="0" w:line="185"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depend on proprietary technology licensed from MSK and MIT and may depend on other third-party licensors in the future. If we lose our existing licenses or are unable to acquire or license additional proprietary rights from MSK, MIT or other third parties, we may not be able to continue developing our products.</w:t>
      </w:r>
    </w:p>
    <w:p>
      <w:pPr>
        <w:spacing w:after="0" w:line="175"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currently in-license certain intellectual property from MSK and MIT. In the future we may in-license intellectual property from other licensors. We rely on certain of these licensors to file and prosecute patent applications and maintain patents and otherwise protect the intellectual property we license from them. We have limited control over these activities or any other intellectual property that may be related to our in-licensed intellectual property. For example, we cannot be certain that such activities by these licensors have been or will be conducted in compliance with applicable laws and regulations or will result in valid, enforceable or sufficient patents and other intellectual property rights. We have limited control over the manner in which our licensors may initiate an infringement proceeding against a third-party infringer of the intellectual property rights, or defend certain of the intellectual property that is licensed to us. It is possible that the licensors’ infringement proceedings or defense activities may be less vigorous than had we conducted them ourselves.</w:t>
      </w:r>
    </w:p>
    <w:p>
      <w:pPr>
        <w:spacing w:after="0" w:line="194"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growth of our business may depend in part on our ability to acquire or in-license additional proprietary rights. For example, our programs may involve additional product candidates that may require the use of additional proprietary rights held by third parties. Our products or product candidates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We may be required by the FDA or comparable foreign regulatory authorities to provide a companion diagnostic test or tests with our products or product candidates. Such diagnostic test or tests may be covered by intellectual property rights held by others. We may not own, or may have to share, the intellectual property rights obtained in collaboration with any other party, or intellectual property rights obtained relating to improvements of in-licensed products or processes.</w:t>
      </w:r>
    </w:p>
    <w:p>
      <w:pPr>
        <w:spacing w:after="0" w:line="194"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We may be unable to acquire or in-license any relevant third-party intellectual property rights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which may allow our competitors to access the same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technologies licensed to us. Additionally, we sometimes collaborate with academic and other institutions, such as MSK,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92" w:lineRule="exact"/>
        <w:rPr>
          <w:sz w:val="20"/>
          <w:szCs w:val="20"/>
          <w:color w:val="auto"/>
        </w:rPr>
      </w:pPr>
    </w:p>
    <w:p>
      <w:pPr>
        <w:jc w:val="both"/>
        <w:ind w:left="60" w:right="199" w:firstLine="648"/>
        <w:spacing w:after="0" w:line="269" w:lineRule="auto"/>
        <w:rPr>
          <w:sz w:val="20"/>
          <w:szCs w:val="20"/>
          <w:color w:val="auto"/>
        </w:rPr>
      </w:pPr>
      <w:r>
        <w:rPr>
          <w:rFonts w:ascii="Times New Roman" w:cs="Times New Roman" w:eastAsia="Times New Roman" w:hAnsi="Times New Roman"/>
          <w:sz w:val="17"/>
          <w:szCs w:val="17"/>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products and related proprietary technologies. More established companies may have a competitive advantage over us due to their larger size and cash resources or greater clinical development and commercialization capabilities.</w:t>
      </w:r>
    </w:p>
    <w:p>
      <w:pPr>
        <w:spacing w:after="0" w:line="3" w:lineRule="exact"/>
        <w:rPr>
          <w:sz w:val="20"/>
          <w:szCs w:val="20"/>
          <w:color w:val="auto"/>
        </w:rPr>
      </w:pPr>
    </w:p>
    <w:p>
      <w:pPr>
        <w:ind w:left="60" w:right="139"/>
        <w:spacing w:after="0" w:line="260" w:lineRule="auto"/>
        <w:rPr>
          <w:sz w:val="20"/>
          <w:szCs w:val="20"/>
          <w:color w:val="auto"/>
        </w:rPr>
      </w:pPr>
      <w:r>
        <w:rPr>
          <w:rFonts w:ascii="Times New Roman" w:cs="Times New Roman" w:eastAsia="Times New Roman" w:hAnsi="Times New Roman"/>
          <w:sz w:val="18"/>
          <w:szCs w:val="18"/>
          <w:color w:val="auto"/>
        </w:rPr>
        <w:t>There can be no assurance that we will be able to successfully complete such negotiations and ultimately acquire the rights to the intellectual property surrounding the additional product candidates that we may seek to acquire.</w:t>
      </w:r>
    </w:p>
    <w:p>
      <w:pPr>
        <w:spacing w:after="0" w:line="181"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We are a party to license agreements with MSK, MIT and others, pursuant to which we in-license key patent and patent applications for our product candidates, products and related proprietary technologies. These existing licenses impose various diligence, milestone payment, royalty, insurance and other obligations on us. If we fail to comply with these obligations or otherwise materially breach a license agreement, our licensors may have the right to terminate the license, in which event we would not be able to develop or market the products covered by such licensed intellectual property. In addition, any claims asserted against us by our licensors may be costly and time-consuming, divert the attention of key personnel from business operations or otherwise have a material adverse effect on our business.</w:t>
      </w:r>
    </w:p>
    <w:p>
      <w:pPr>
        <w:spacing w:after="0" w:line="185" w:lineRule="exact"/>
        <w:rPr>
          <w:sz w:val="20"/>
          <w:szCs w:val="20"/>
          <w:color w:val="auto"/>
        </w:rPr>
      </w:pPr>
    </w:p>
    <w:p>
      <w:pPr>
        <w:ind w:left="60" w:right="19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Uncertainty as to the issuance, scope, validity, enforceability and value of patents, and the potential for future changes in patent and other intellectual property protections, may result in inadequate protection of our as well as in-licensed intellectual property or may result in alleged or actual infringement of the intellectual property rights of third parties.</w:t>
      </w:r>
    </w:p>
    <w:p>
      <w:pPr>
        <w:spacing w:after="0" w:line="157"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our patent rights and in-licensed patent rights are highly uncertain. Our pending and future patent applications and in-licensed patent applications may not result in patents being issued in the United States or in other jurisdictions which protect our products or product candidates or related technologies or which effectively prevent others from commercializing competitive technologies and products. Changes in either the patent laws or interpretation of the patent laws in the United States and other countries may diminish the value of our and in-licensed patents or narrow the scope of our patent protection.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 Patent and Trademark Office, or USPTO, might require that the term of a patent issuing from a pending patent application be disclaimed and limited to the term of another patent that is commonly owned or names a common inventor. As a result, the issuance, scope, validity, enforceability and commercial value of our as well as in-licensed patent rights are highly uncertain.</w:t>
      </w:r>
    </w:p>
    <w:p>
      <w:pPr>
        <w:spacing w:after="0" w:line="193"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Recent or future patent reform legislation could increase the uncertainties and costs surrounding the prosecution of our and in-licensed patent applications and the enforcement or defense of the issued patents. In March 2013, under the Leahy-Smith America Invents Act, or America Invents Act, the United States moved from a “first-to-invent”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 During examination of our own as well as our in-licensed patent applications third parties may present observations or submit patents, published patent applications or other prior art which may affect the patentability of the claimed inventions. The costs for obtaining patent protection may be increased significantly by the need for appeal proceedings or oral proceedings, which may also result in a patent not being issued. We may become involved in opposition, interference, derivation, post-grant review, inter partes review, ex-parte re-examination or other proceedings challenging our patent rights or the patent rights of others, and the outcome of any proceedings are highly uncertain. An adverse determination in any such proceeding could reduce the scope of, or invalidate, our and in-licensed patent rights, allow third parties to commercialize our products, product candidates and related technologies and compete directly with us, without payment to us, or result in our inability to manufacture or commercialize products without infringing third-party patent rights.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Even if our owned or in-licensed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 to its scope, validity or enforceability, and our owned and in-licensed patents may be challenged in the courts or patent offices in the United States and abroad. Such challenges may result in the patent claims of our owned or in-licensed patents being narrowed, invalidated or held unenforceable, which could limit our ability to stop or prevent us from stopping others from using or commercializing similar or identical technology and products, or limit the duration of the patent protection of our products, product candidates and technology. Given the amount of time required for the development, testing and regulatory review of new product candidates, patents protecting such candidates might expire before or shortly after such candidates are commercialized. As a result, our owned and in-licensed patent portfolio may not provide us with sufficient rights to exclude others from commercializing products similar or identical to ours or otherwise provide us with a competitive advantage.</w:t>
      </w:r>
    </w:p>
    <w:p>
      <w:pPr>
        <w:spacing w:after="0" w:line="187" w:lineRule="exact"/>
        <w:rPr>
          <w:sz w:val="20"/>
          <w:szCs w:val="20"/>
          <w:color w:val="auto"/>
        </w:rPr>
      </w:pPr>
    </w:p>
    <w:p>
      <w:pPr>
        <w:ind w:left="60" w:right="159" w:firstLine="648"/>
        <w:spacing w:after="0" w:line="312" w:lineRule="auto"/>
        <w:rPr>
          <w:sz w:val="20"/>
          <w:szCs w:val="20"/>
          <w:color w:val="auto"/>
        </w:rPr>
      </w:pPr>
      <w:r>
        <w:rPr>
          <w:rFonts w:ascii="Times New Roman" w:cs="Times New Roman" w:eastAsia="Times New Roman" w:hAnsi="Times New Roman"/>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40" w:lineRule="exact"/>
        <w:rPr>
          <w:sz w:val="20"/>
          <w:szCs w:val="20"/>
          <w:color w:val="auto"/>
        </w:rPr>
      </w:pPr>
    </w:p>
    <w:p>
      <w:pPr>
        <w:ind w:left="1040" w:right="199" w:hanging="315"/>
        <w:spacing w:after="0" w:line="282" w:lineRule="auto"/>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or use compounds that are similar to the pharmaceutical compounds used in our products or product candidates but that are not covered by the claims of our patents;</w:t>
      </w:r>
    </w:p>
    <w:p>
      <w:pPr>
        <w:spacing w:after="0" w:line="161" w:lineRule="exact"/>
        <w:rPr>
          <w:rFonts w:ascii="Times New Roman" w:cs="Times New Roman" w:eastAsia="Times New Roman" w:hAnsi="Times New Roman"/>
          <w:sz w:val="18"/>
          <w:szCs w:val="18"/>
          <w:color w:val="auto"/>
        </w:rPr>
      </w:pPr>
    </w:p>
    <w:p>
      <w:pPr>
        <w:ind w:left="1040" w:right="399" w:hanging="315"/>
        <w:spacing w:after="0" w:line="266" w:lineRule="auto"/>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APIs in our current products or product candidates may eventually become commercially available in generic drug products, and no patent protection may be available with regard to formulation, method of manufacture or method of use;</w:t>
      </w:r>
    </w:p>
    <w:p>
      <w:pPr>
        <w:spacing w:after="0" w:line="175" w:lineRule="exact"/>
        <w:rPr>
          <w:rFonts w:ascii="Times New Roman" w:cs="Times New Roman" w:eastAsia="Times New Roman" w:hAnsi="Times New Roman"/>
          <w:sz w:val="18"/>
          <w:szCs w:val="18"/>
          <w:color w:val="auto"/>
        </w:rPr>
      </w:pPr>
    </w:p>
    <w:p>
      <w:pPr>
        <w:ind w:left="1040" w:right="199" w:hanging="315"/>
        <w:spacing w:after="0" w:line="282" w:lineRule="auto"/>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prevent parallel importation of products into the U.S., EU member states and/or other jurisdictions, which may reduce our profit margin;</w:t>
      </w:r>
    </w:p>
    <w:p>
      <w:pPr>
        <w:spacing w:after="0" w:line="161" w:lineRule="exact"/>
        <w:rPr>
          <w:rFonts w:ascii="Times New Roman" w:cs="Times New Roman" w:eastAsia="Times New Roman" w:hAnsi="Times New Roman"/>
          <w:sz w:val="18"/>
          <w:szCs w:val="18"/>
          <w:color w:val="auto"/>
        </w:rPr>
      </w:pPr>
    </w:p>
    <w:p>
      <w:pPr>
        <w:ind w:left="1040" w:right="179" w:hanging="315"/>
        <w:spacing w:after="0" w:line="266" w:lineRule="auto"/>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may fail to meet our obligations to the U.S. government in regard to any in-licensed patents and patent applications funded by U.S. government grants, leading to the loss of patent rights;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right="479" w:hanging="315"/>
        <w:spacing w:after="0" w:line="282" w:lineRule="auto"/>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might not have been the first to file patent applications for these inventions;</w:t>
      </w:r>
    </w:p>
    <w:p>
      <w:pPr>
        <w:spacing w:after="0" w:line="161" w:lineRule="exact"/>
        <w:rPr>
          <w:rFonts w:ascii="Times New Roman" w:cs="Times New Roman" w:eastAsia="Times New Roman" w:hAnsi="Times New Roman"/>
          <w:sz w:val="18"/>
          <w:szCs w:val="18"/>
          <w:color w:val="auto"/>
        </w:rPr>
      </w:pPr>
    </w:p>
    <w:p>
      <w:pPr>
        <w:ind w:left="1040" w:right="459" w:hanging="315"/>
        <w:spacing w:after="0" w:line="282" w:lineRule="auto"/>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products or product candidates and proprietary technologies;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or in-licensed pending patent applications will not result in issued patents;</w:t>
      </w:r>
    </w:p>
    <w:p>
      <w:pPr>
        <w:spacing w:after="0" w:line="225" w:lineRule="exact"/>
        <w:rPr>
          <w:rFonts w:ascii="Times New Roman" w:cs="Times New Roman" w:eastAsia="Times New Roman" w:hAnsi="Times New Roman"/>
          <w:sz w:val="18"/>
          <w:szCs w:val="18"/>
          <w:color w:val="auto"/>
        </w:rPr>
      </w:pPr>
    </w:p>
    <w:p>
      <w:pPr>
        <w:ind w:left="1040" w:right="279" w:hanging="315"/>
        <w:spacing w:after="0" w:line="282" w:lineRule="auto"/>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our or our licensors’ patents, as the case may be, or parts of our or their patents;</w:t>
      </w:r>
    </w:p>
    <w:p>
      <w:pPr>
        <w:spacing w:after="0" w:line="161"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patent term extensions or supplementary protection certificates covering our products;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others may circumvent our owned or in-licensed patents;</w:t>
      </w:r>
    </w:p>
    <w:p>
      <w:pPr>
        <w:spacing w:after="0" w:line="225" w:lineRule="exact"/>
        <w:rPr>
          <w:rFonts w:ascii="Times New Roman" w:cs="Times New Roman" w:eastAsia="Times New Roman" w:hAnsi="Times New Roman"/>
          <w:sz w:val="18"/>
          <w:szCs w:val="18"/>
          <w:color w:val="auto"/>
        </w:rPr>
      </w:pPr>
    </w:p>
    <w:p>
      <w:pPr>
        <w:ind w:left="1040" w:right="379" w:hanging="315"/>
        <w:spacing w:after="0" w:line="282" w:lineRule="auto"/>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product candidates, products or technologies similar to ours;</w:t>
      </w:r>
    </w:p>
    <w:p>
      <w:pPr>
        <w:spacing w:after="0" w:line="161" w:lineRule="exact"/>
        <w:rPr>
          <w:rFonts w:ascii="Times New Roman" w:cs="Times New Roman" w:eastAsia="Times New Roman" w:hAnsi="Times New Roman"/>
          <w:sz w:val="18"/>
          <w:szCs w:val="18"/>
          <w:color w:val="auto"/>
        </w:rPr>
      </w:pPr>
    </w:p>
    <w:p>
      <w:pPr>
        <w:ind w:left="1040" w:right="279" w:hanging="315"/>
        <w:spacing w:after="0" w:line="282" w:lineRule="auto"/>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may not protect our or our licensors’, as the case may be, proprietary rights to the same extent as the laws of the United States;</w:t>
      </w:r>
    </w:p>
    <w:p>
      <w:pPr>
        <w:spacing w:after="0" w:line="161" w:lineRule="exact"/>
        <w:rPr>
          <w:rFonts w:ascii="Times New Roman" w:cs="Times New Roman" w:eastAsia="Times New Roman" w:hAnsi="Times New Roman"/>
          <w:sz w:val="18"/>
          <w:szCs w:val="18"/>
          <w:color w:val="auto"/>
        </w:rPr>
      </w:pPr>
    </w:p>
    <w:p>
      <w:pPr>
        <w:ind w:left="1040" w:right="459" w:hanging="315"/>
        <w:spacing w:after="0" w:line="282" w:lineRule="auto"/>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owned or in-licensed issued patents or patent applications, if and when issued, may not cover our product candidates or products;</w:t>
      </w:r>
    </w:p>
    <w:p>
      <w:pPr>
        <w:spacing w:after="0" w:line="161" w:lineRule="exact"/>
        <w:rPr>
          <w:rFonts w:ascii="Times New Roman" w:cs="Times New Roman" w:eastAsia="Times New Roman" w:hAnsi="Times New Roman"/>
          <w:sz w:val="18"/>
          <w:szCs w:val="18"/>
          <w:color w:val="auto"/>
        </w:rPr>
      </w:pPr>
    </w:p>
    <w:p>
      <w:pPr>
        <w:jc w:val="both"/>
        <w:ind w:left="1040" w:right="679" w:hanging="315"/>
        <w:spacing w:after="0" w:line="282" w:lineRule="auto"/>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161" w:lineRule="exact"/>
        <w:rPr>
          <w:rFonts w:ascii="Times New Roman" w:cs="Times New Roman" w:eastAsia="Times New Roman" w:hAnsi="Times New Roman"/>
          <w:sz w:val="18"/>
          <w:szCs w:val="18"/>
          <w:color w:val="auto"/>
        </w:rPr>
      </w:pPr>
    </w:p>
    <w:p>
      <w:pPr>
        <w:ind w:left="1040" w:right="259" w:hanging="315"/>
        <w:spacing w:after="0" w:line="266" w:lineRule="auto"/>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175" w:lineRule="exact"/>
        <w:rPr>
          <w:rFonts w:ascii="Times New Roman" w:cs="Times New Roman" w:eastAsia="Times New Roman" w:hAnsi="Times New Roman"/>
          <w:sz w:val="18"/>
          <w:szCs w:val="18"/>
          <w:color w:val="auto"/>
        </w:rPr>
      </w:pPr>
    </w:p>
    <w:p>
      <w:pPr>
        <w:ind w:left="1040" w:right="359" w:hanging="315"/>
        <w:spacing w:after="0" w:line="261" w:lineRule="auto"/>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relationships in the past, such as with MSK, and expect to continue to do so with MSK and/or other third parties in the future. Such third parties may develop adjacent or competing products to ours that are outside the scope of our licensed patents and/or the respective research collaboration/agreement with such third parties;</w:t>
      </w:r>
    </w:p>
    <w:p>
      <w:pPr>
        <w:spacing w:after="0" w:line="17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for which we can obtain patent protection;</w:t>
      </w:r>
    </w:p>
    <w:p>
      <w:pPr>
        <w:spacing w:after="0" w:line="225" w:lineRule="exact"/>
        <w:rPr>
          <w:rFonts w:ascii="Times New Roman" w:cs="Times New Roman" w:eastAsia="Times New Roman" w:hAnsi="Times New Roman"/>
          <w:sz w:val="18"/>
          <w:szCs w:val="18"/>
          <w:color w:val="auto"/>
        </w:rPr>
      </w:pPr>
    </w:p>
    <w:p>
      <w:pPr>
        <w:ind w:left="1040" w:right="639" w:hanging="315"/>
        <w:spacing w:after="0" w:line="282" w:lineRule="auto"/>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products, product candidates or diagnostic tests we develop may be covered by third parties’ patents or other proprietary rights; or</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addition, during the course of business we have decided not to pursue certain products or processes and we may do so again in the future. If it is later determined that our activities, product or product candidates infringed the intellectual property of any third-party, we may be liable for damages, enhanced damages or subjected to an injunction, any of which could have a material adverse effect on our business.</w:t>
      </w:r>
    </w:p>
    <w:p>
      <w:pPr>
        <w:spacing w:after="0" w:line="180" w:lineRule="exact"/>
        <w:rPr>
          <w:sz w:val="20"/>
          <w:szCs w:val="20"/>
          <w:color w:val="auto"/>
        </w:rPr>
      </w:pPr>
    </w:p>
    <w:p>
      <w:pPr>
        <w:jc w:val="both"/>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We also may rely on trade secrets to protect our technology, especially where we do not believe patent protection is appropriate or obtainable. However, trade secrets are difficult to protect, and we have limited control over the protection of trade secrets used by our licensors, collaborators and suppliers. Although we use reasonable efforts to protect our trade secrets, our employees, consultants, contractors, outside scientific collaborators and other advisors may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unintentionally or willfully disclose our information to competitors or use such information to compete with us. Moreover, our competitors may independently develop equivalent knowledge, methods and know-how. If our confidential or proprietary information is divulged to or acquired by third parties, including our competitors, our competitive position in the marketplace will be harmed and this would have a material adverse effect on our business.</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If any of our owned or in-licensed patents are found to be invalid or unenforceable, or if we are otherwise unable to adequately protect our rights, it could have a material adverse impact on our business and our ability to commercialize or license our technology products and product candidates. Likewise, our current owned patents and patents in-licensed from MSK relating to our proprietary technologies and our product candidates comprise patents that are expected to expire on various dates from 2026 through 2042, without taking into account any possible patent term adjustments, extensions or supplementary protection. Upon the expiration of our current patents, we may lose the right to exclude others from practicing the relevant inventions. The expiration of these patents could also have a similar material adverse effect on our business, results of operations, financial condition and prospects. We own or in-license pending patent applications from MSK and others covering our proprietary technologies or our product candidates that if issued as patents are expected to expire from 2031 through 2041, without taking into account any possible patent term adjustments, extensions or supplementary protections. However, no assurance can be given that the USPTO or relevant foreign patent offices will grant any of these patent applications. Even if granted, we may fail to obtain patent term extensions or supplementary protection certificates covering our products.</w:t>
      </w:r>
    </w:p>
    <w:p>
      <w:pPr>
        <w:spacing w:after="0" w:line="183"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substantial costs because of litigation or other proceedings relating to patents, and we may be unable to protect our rights to our product candidates, products and technologies.</w:t>
      </w:r>
    </w:p>
    <w:p>
      <w:pPr>
        <w:spacing w:after="0" w:line="159"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If we or our licensors choose to go to court to stop a third-party from using the inventions claimed in our owned or in-licensed patents, that third-party may ask the court to rule that the patents are invalid and/or should not be enforced against that third-party.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w:t>
      </w:r>
    </w:p>
    <w:p>
      <w:pPr>
        <w:spacing w:after="0" w:line="18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There is also a risk that, even if the validity of these patents is upheld, the court will refuse to stop the third-party on the ground that such third-party’s activities do not infringe our owned or in-licensed patents. In addition, the U.S. Supreme Court has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 Similar considerations pertain to patents granted outside of the United States, for which the validity, enforceability and/or scope of protection may be influenced by changing national and/or international legal principles.</w:t>
      </w:r>
    </w:p>
    <w:p>
      <w:pPr>
        <w:spacing w:after="0" w:line="188"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 If another party questions the patentability of any of our claims in our owned or in-licensed U.S. patents, the third party can request that the USPTO review the patent claims such as in an inter partes review, ex parte re-exam or post-grant review proceedings. These proceedings are expensive and may result in a loss of scope of some claims or a loss of the entire patent. In addition to potential USPTO review proceedings, we may become a party to patent opposition proceedings in the European Patent Office, or EPO, or similar proceedings in other foreign patent offices, where either our owned or in-licensed foreign patents are challenged. The costs of these opposition or similar proceedings could be substantial, and such oppositions may result in a loss of scope of some claims or a loss of the entire patent. An unfavorable result at the USPTO, EPO or other patent office may result in the loss of our right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exclude others from practicing one or more of our inventions in the relevant country or jurisdiction, which could have a material adverse effect on our business.</w:t>
      </w:r>
    </w:p>
    <w:p>
      <w:pPr>
        <w:spacing w:after="0" w:line="158"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substantial costs because of litigation or other proceedings relating to intellectual property rights other than patents, and we may be unable to protect our rights to our product candidates, products and technologies.</w:t>
      </w:r>
    </w:p>
    <w:p>
      <w:pPr>
        <w:spacing w:after="0" w:line="159"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We may rely on trade secrets and confidentiality or nondisclosure agreements to protect our proprietary technology and know-how, especially where we do not believe patent protection is appropriate or obtainable. Where we enter into agreements imposing confidentiality or nondisclosure obligations upon employees or third parties to protect our proprietary technology and know-how, these confidentiality obligations may be breached or may not provide meaningful protection for our trade secrets or proprietary technology and know-how. Furthermore, despite the existence of such confidentiality and nondisclosure agreements, or other contractual restrictions, we may not be able to prevent the unauthorized disclosure or use of our confidential proprietary information or trade secrets by consultants, vendors, former employees or current employees. In addition, adequate remedies may not be available in the event of an unauthorized access, use, or disclosure of our trade secrets or know-how.</w:t>
      </w:r>
    </w:p>
    <w:p>
      <w:pPr>
        <w:spacing w:after="0" w:line="188"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Enforcing a claim that a third party illegally obtained and is using any of our trade secrets is expensive and time consuming, and the outcome is unpredictable. In addition, courts outside the United States may be less willing to protect trade secrets effectively or to the same extent as the laws of the United States. If we choose to go to court to stop a third party from using any of our trade secrets, we may incur substantial costs. These lawsuits may consume our time and other resources even if we are successful.</w:t>
      </w:r>
    </w:p>
    <w:p>
      <w:pPr>
        <w:spacing w:after="0" w:line="183"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Third parties may obtain knowledge of our trade secrets through independent development or other access by legal means. The occurrence of such events could limit or preclude our ability to produce or sell our products in a competitive manner or otherwise have a material adverse effect on our business.</w:t>
      </w:r>
    </w:p>
    <w:p>
      <w:pPr>
        <w:spacing w:after="0" w:line="172" w:lineRule="exact"/>
        <w:rPr>
          <w:sz w:val="20"/>
          <w:szCs w:val="20"/>
          <w:color w:val="auto"/>
        </w:rPr>
      </w:pPr>
    </w:p>
    <w:p>
      <w:pPr>
        <w:ind w:left="60" w:right="5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are sued for infringing patents or other intellectual property rights of third parties, it will be costly and time consuming, and an unfavorable outcome in that litigation may have a material adverse effect on our business.</w:t>
      </w:r>
    </w:p>
    <w:p>
      <w:pPr>
        <w:spacing w:after="0" w:line="136"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products or product candidates and use our proprietary technologies without infringing the proprietary rights of third parties. U.S. and foreign issued patents and pending patent applications, which are owned by third parties, exist in the fields relating to our product candidates or products. As the biotechnology and pharmaceutical industries expand and more patents are issued, the risk increases that others may assert that our products or product candidates infringe others’ patent rights.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or products, technologies or methods.</w:t>
      </w:r>
    </w:p>
    <w:p>
      <w:pPr>
        <w:spacing w:after="0" w:line="188" w:lineRule="exact"/>
        <w:rPr>
          <w:sz w:val="20"/>
          <w:szCs w:val="20"/>
          <w:color w:val="auto"/>
        </w:rPr>
      </w:pPr>
    </w:p>
    <w:p>
      <w:pPr>
        <w:ind w:left="60" w:right="219" w:firstLine="648"/>
        <w:spacing w:after="0" w:line="276" w:lineRule="auto"/>
        <w:rPr>
          <w:sz w:val="20"/>
          <w:szCs w:val="20"/>
          <w:color w:val="auto"/>
        </w:rPr>
      </w:pPr>
      <w:r>
        <w:rPr>
          <w:rFonts w:ascii="Times New Roman" w:cs="Times New Roman" w:eastAsia="Times New Roman" w:hAnsi="Times New Roman"/>
          <w:sz w:val="17"/>
          <w:szCs w:val="17"/>
          <w:color w:val="auto"/>
        </w:rPr>
        <w:t>In addition, because some patent applications in the United States may be maintained in secrecy until the patents are issued, patent applications in the United States and many foreign jurisdictions are typically not published until</w:t>
      </w:r>
    </w:p>
    <w:p>
      <w:pPr>
        <w:spacing w:after="0" w:line="1"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18 months after filing, and publications in the scientific literature often lag behind actual discoveries, we cannot be certain that others have not filed patent applications for technology related to our products or product candidates,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affect technology covered by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There is a substantial amount of litigation involving patent and other intellectual property rights in the biotechnology and pharmaceutical industries generally. We may be subject to, or threatened with litigation by third parties having patent or other intellectual property rights alleging that our product candidates or products and/or proprietary technologies infringe, misappropriate or violate their intellectual property rights.</w:t>
      </w:r>
    </w:p>
    <w:p>
      <w:pPr>
        <w:spacing w:after="0" w:line="180"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If a third-party claims that we infringe its intellectual property rights, we may face a number of issues, including, but not limited to:</w:t>
      </w:r>
    </w:p>
    <w:p>
      <w:pPr>
        <w:spacing w:after="0" w:line="162" w:lineRule="exact"/>
        <w:rPr>
          <w:sz w:val="20"/>
          <w:szCs w:val="20"/>
          <w:color w:val="auto"/>
        </w:rPr>
      </w:pPr>
    </w:p>
    <w:p>
      <w:pPr>
        <w:ind w:left="1040" w:right="239" w:hanging="315"/>
        <w:spacing w:after="0" w:line="282" w:lineRule="auto"/>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which, regardless of merit, may be expensive and time-consuming to litigate and may divert our management’s attention from our core business;</w:t>
      </w:r>
    </w:p>
    <w:p>
      <w:pPr>
        <w:spacing w:after="0" w:line="161" w:lineRule="exact"/>
        <w:rPr>
          <w:rFonts w:ascii="Times New Roman" w:cs="Times New Roman" w:eastAsia="Times New Roman" w:hAnsi="Times New Roman"/>
          <w:sz w:val="18"/>
          <w:szCs w:val="18"/>
          <w:color w:val="auto"/>
        </w:rPr>
      </w:pPr>
    </w:p>
    <w:p>
      <w:pPr>
        <w:ind w:left="1040" w:right="99" w:hanging="315"/>
        <w:spacing w:after="0" w:line="266" w:lineRule="auto"/>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spacing w:after="0" w:line="175" w:lineRule="exact"/>
        <w:rPr>
          <w:rFonts w:ascii="Times New Roman" w:cs="Times New Roman" w:eastAsia="Times New Roman" w:hAnsi="Times New Roman"/>
          <w:sz w:val="18"/>
          <w:szCs w:val="18"/>
          <w:color w:val="auto"/>
        </w:rPr>
      </w:pPr>
    </w:p>
    <w:p>
      <w:pPr>
        <w:ind w:left="1040" w:right="279" w:hanging="315"/>
        <w:spacing w:after="0" w:line="266" w:lineRule="auto"/>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product candidates or products, or from using our proprietary technologies, unless the third party licenses its product rights to us, which it is not required to do;</w:t>
      </w:r>
    </w:p>
    <w:p>
      <w:pPr>
        <w:spacing w:after="0" w:line="175" w:lineRule="exact"/>
        <w:rPr>
          <w:rFonts w:ascii="Times New Roman" w:cs="Times New Roman" w:eastAsia="Times New Roman" w:hAnsi="Times New Roman"/>
          <w:sz w:val="18"/>
          <w:szCs w:val="18"/>
          <w:color w:val="auto"/>
        </w:rPr>
      </w:pPr>
    </w:p>
    <w:p>
      <w:pPr>
        <w:jc w:val="both"/>
        <w:ind w:left="1040" w:right="159" w:hanging="315"/>
        <w:spacing w:after="0" w:line="266" w:lineRule="auto"/>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it may not be offered on reasonable terms and may require that we pay substantial royalties, upfront fees and other amounts, and/or grant cross-licenses to intellectual property rights for our products; and</w:t>
      </w:r>
    </w:p>
    <w:p>
      <w:pPr>
        <w:spacing w:after="0" w:line="175" w:lineRule="exact"/>
        <w:rPr>
          <w:rFonts w:ascii="Times New Roman" w:cs="Times New Roman" w:eastAsia="Times New Roman" w:hAnsi="Times New Roman"/>
          <w:sz w:val="18"/>
          <w:szCs w:val="18"/>
          <w:color w:val="auto"/>
        </w:rPr>
      </w:pPr>
    </w:p>
    <w:p>
      <w:pPr>
        <w:ind w:left="1040" w:right="619" w:hanging="315"/>
        <w:spacing w:after="0" w:line="282" w:lineRule="auto"/>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products or product candidates or processes so they do not infringe, which may not be possible or may require substantial monetary expenditures and time.</w:t>
      </w:r>
    </w:p>
    <w:p>
      <w:pPr>
        <w:spacing w:after="0" w:line="162"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83"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may choose to challenge the patentability of claims in a third party’s U.S. patent by requesting that the USPTO review the patent claims in an ex-parte re-exam, inter partes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such proceedings may consume our time or other resources. If we fail to obtain a favorable result at the USPTO, EPO or other patent office then we may be exposed to litigation by a third party alleging that the patent may be infringed by our product candidates or products or proprietary technologies.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with patents throughout the world.</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Filing, prosecuting and defending patents on all of our products or product candidates throughout the world would be prohibitively expensive. Competitors may use our technology in jurisdictions where we have not obtained patent protection to develop their own products and, further, may export otherwise infringing products to territories where we have patent protection but where enforcement is not as strong as in the United States. These products may compete with our products or product candidates in jurisdictions where we do not have any issued patents and our patent claims or other intellectual property rights may not be effective or sufficient to prevent them from so competing.</w:t>
      </w:r>
    </w:p>
    <w:p>
      <w:pPr>
        <w:spacing w:after="0" w:line="187"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w:t>
      </w:r>
    </w:p>
    <w:p>
      <w:pPr>
        <w:spacing w:after="0" w:line="176" w:lineRule="exact"/>
        <w:rPr>
          <w:sz w:val="20"/>
          <w:szCs w:val="20"/>
          <w:color w:val="auto"/>
        </w:rPr>
      </w:pPr>
    </w:p>
    <w:p>
      <w:pPr>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upon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prosecution process and following the issuance of a patent. Our failure to comply with such requirements could result in abandonment or lapse of a patent or patent application, resulting in partial or complete loss of patent rights in the relevant jurisdiction. In such an event, competitors might be able to enter the market earlier than would otherwise have been the case if our patent were in force, which would have a material adverse effect on our business.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Failure to secure trademark registrations could adversely affect our business.</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If we do not successfully register our trademarks, we may encounter difficulty in enforcing, or be unable to enforce, our trademark rights against third parties, which could adversely affect our business and our ability to effectively compete in the marketplace. When we file registration applications for trademarks relating to our products or product candidates, those applications may be rejected, and registered trademarks may not be obtained, maintained or enforced. During trademark registration proceedings in the United States and foreign jurisdictions, we may receive rejections. We are given an opportunity to respond to those rejections, but we may not be able to overcome such rejections. In addition, in the United States Patent and Trademark Office and in comparable agencies in many foreign jurisdictions, third parties may oppose pending trademark registration applications or seek to cancel registered trademarks. Opposition or cancellation proceedings may be filed against our trademarks, and our trademark registrations may not survive such proceedings.</w:t>
      </w:r>
    </w:p>
    <w:p>
      <w:pPr>
        <w:spacing w:after="0" w:line="188"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In addition, any proprietary name we use, such as DANYELZA, or propose to use with any of our products or product candidates in the United States must be approved by the FDA, regardless of whether we have registered, or applied to register, the proposed proprietary name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185"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which may have a material adverse effect on our business.</w:t>
      </w:r>
    </w:p>
    <w:p>
      <w:pPr>
        <w:spacing w:after="0" w:line="15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rely on our trademarks, trade names, service marks, domain names and logos, as appropriate, to market our brands and to build and maintain brand recognition. We rely on trademark protections to protect our business and our products and services. We generally seek to register and continue to register and renew, or secure by contract where appropriate, trademarks, trade names and service marks as they are developed and used, and reserve, register and renew domain names as appropriate. Our registered trademarks or unregistered trademarks, trade names or service marks may be challenged, infringed, circumvented or declared generic or determined to be infringing on other marks. Effective trademark protection may not be available or may not be sought in every country in which our products are made available and contractual disputes may affect the use of marks governed by private contract. Similarly, not every variation of a domain name may be available or be registered, even if available. We may not be able to protect our rights to these trademarks, trade names, service marks and domain names, which we need to build brand name recognition in our markets of interest. And while we seek to protect the trademarks we use in the United States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Over the long-term, if we are unable to establish name recognition based on our trademarks,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trade names, service marks and domain names, then we may not be able to compete effectively, resulting in a material adverse effect on our business.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225"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our executive officers. Our future success depends on our ability to retain our senior management and other key executives and to attract, retain and motivate qualified personnel. The loss of their services could materially harm our business.</w:t>
      </w:r>
    </w:p>
    <w:p>
      <w:pPr>
        <w:spacing w:after="0" w:line="175"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We currently have limited internal research and development capabilities. We conduct independent clinical trials and perform pre-clinical research, but we also rely on third-party research institutions for both clinical trials and pre-clinical research.</w:t>
      </w:r>
    </w:p>
    <w:p>
      <w:pPr>
        <w:spacing w:after="0" w:line="176"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We are highly dependent on the members of our executive management as well as the other principal members of our management and scientific teams. Our agreements with any of them do not prevent them from terminating their employment with us at any time.</w:t>
      </w:r>
    </w:p>
    <w:p>
      <w:pPr>
        <w:spacing w:after="0" w:line="17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October 2023, we announced the appointment of a new President and Chief Executive Officer and transition of our President and Interim Chief Executive Officer to Chief Business Officer. In March 2024, we announced the resignation of our Executive Vice President, Chief Financial Officer, Secretary and Treasurer, which resignation became effective in July 2024 when his successor commenced employment with us in July 2024. We cannot assure you that these management changes or any future management changes, or any other changes that we have or may make with respect to our workforce, will not have an adverse impact on our business operations. The loss of the services of members of our executive management and other functions and the failure to find appropriate replacements in a timely fashion could impede the achievement of our research, development and commercialization objectives.</w:t>
      </w:r>
    </w:p>
    <w:p>
      <w:pPr>
        <w:spacing w:after="0" w:line="192"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It is important to our success that any key employees who have recently joined us or who will join us in the future quickly adapt to and excel in their new roles. If they are unable to do so, our business and financial results could be materially adversely affected.</w:t>
      </w:r>
    </w:p>
    <w:p>
      <w:pPr>
        <w:spacing w:after="0" w:line="176"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remains critical to our success. We currently conduct a significant portion of our operations in the New York City metropolitan area,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will need to recruit talent from outside of our region, and doing so may be costly and difficult.</w:t>
      </w:r>
    </w:p>
    <w:p>
      <w:pPr>
        <w:spacing w:after="0" w:line="187"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To induce valuable employees to join and remain at our company, in addition to salary and cash incentives, we have provided, and intend to continue to provide, stock option and/or restricted stock grants that vest over time. The value to employees of these equity grants that vest over time may be significantly affected by movements in the fair market value of our capital stock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person” insurance for any of our executives or other employees.</w:t>
      </w:r>
    </w:p>
    <w:p>
      <w:pPr>
        <w:spacing w:after="0" w:line="18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176"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expected benefits from our recent business realignment and workforce reduction and we may incur additional costs implementing it or other difficulties.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79" w:firstLine="648"/>
        <w:spacing w:after="0" w:line="272" w:lineRule="auto"/>
        <w:rPr>
          <w:sz w:val="20"/>
          <w:szCs w:val="20"/>
          <w:color w:val="auto"/>
        </w:rPr>
      </w:pPr>
      <w:r>
        <w:rPr>
          <w:rFonts w:ascii="Times New Roman" w:cs="Times New Roman" w:eastAsia="Times New Roman" w:hAnsi="Times New Roman"/>
          <w:sz w:val="17"/>
          <w:szCs w:val="17"/>
          <w:color w:val="auto"/>
        </w:rPr>
        <w:t>In January 2025, we announced a business realignment plan designed to optimize our operations by aligning dedicated internal resources to two business units, with the goal of increasing operational flexibility and speed, and accelerating clinical development within our radiopharmaceutical platform. Pursuant to the plan, we now have two business units, one that is focused on expanding market access to DANYELZA and progressing the clinical and commercial development of naxitamab in other indications and for potential label expansion, and another that is focused on progressing the radiopharmaceutical platform, including the SADA PRIT technology platform and our early-stage pipeline, with a shared general administrative function. In connection with this business realignment, we expect a reduction in our current workforce by up to approximately 13%, which we expect will be completed by the first half of 2026.</w:t>
      </w:r>
    </w:p>
    <w:p>
      <w:pPr>
        <w:spacing w:after="0" w:line="172"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However, the changes to our operating structure and the reduction in workforce may yield unintended consequences and costs, such as the loss of institutional knowledge and expertise, attrition beyond our intended reduction-in-force, a reduction in morale among our remaining employees, and the risk that we may not achieve the anticipated benefits, all of which may have an adverse effect on our commercialization efforts, development activities, and results of operations or financial condition. As a result of the reduction in workforce and realignment plan, we expect to incur business alignment expenses of up to approximately $2.6 million, consisting predominantly of severance benefits of approximately $2.1 million and acceleration of stock-based compensation of up to approximately $0.5 million. We recognized $1.5 million of these business realignment expenses in the year ended December 31, 2024, and we anticipate that there expenses will impact our results of operations during the first quarter of 2025, as well, and that the cash payments will occur through the first half of 2026.</w:t>
      </w:r>
    </w:p>
    <w:p>
      <w:pPr>
        <w:spacing w:after="0" w:line="194"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may also incur other charges, costs, future cash expenditures or impairments not currently contemplated due to events that may occur because of, or in connection with, our new operating structure and reduction in the workforce. If we discover that the reductions in the workforce will make it difficult for us to pursue new opportunities and initiatives and require us to hire qualified replacement personnel, this may require us to incur additional and unanticipated costs and expenses.</w:t>
      </w:r>
    </w:p>
    <w:p>
      <w:pPr>
        <w:spacing w:after="0" w:line="183"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Furthermore, the separation of our operations may make it more difficult to achieve synergies between our commercial and development activities. If we are unable to efficiently integrate our expertise and resources across both business units, we may not fully realize the potential benefits of our SADA-PRIT platform, and the commercialization of DANYELZA may be negatively impacted.</w:t>
      </w:r>
    </w:p>
    <w:p>
      <w:pPr>
        <w:spacing w:after="0" w:line="180" w:lineRule="exact"/>
        <w:rPr>
          <w:sz w:val="20"/>
          <w:szCs w:val="20"/>
          <w:color w:val="auto"/>
        </w:rPr>
      </w:pPr>
    </w:p>
    <w:p>
      <w:pPr>
        <w:ind w:left="60" w:right="199" w:firstLine="693"/>
        <w:spacing w:after="0" w:line="258" w:lineRule="auto"/>
        <w:rPr>
          <w:sz w:val="20"/>
          <w:szCs w:val="20"/>
          <w:color w:val="auto"/>
        </w:rPr>
      </w:pPr>
      <w:r>
        <w:rPr>
          <w:rFonts w:ascii="Times New Roman" w:cs="Times New Roman" w:eastAsia="Times New Roman" w:hAnsi="Times New Roman"/>
          <w:sz w:val="18"/>
          <w:szCs w:val="18"/>
          <w:color w:val="auto"/>
        </w:rPr>
        <w:t>It is possible that our management may need to divert a disproportionate amount of its attention away from our day-to-day strategic and operational activities and devote a substantial amount of time to managing these organizational changes. Moreover, there is no assurance we will be successful in our pursuit of any of our goals. Our failure to successfully accomplish any of the above activities and/or realize the stated goals of our business realignment may have a material adverse impact on our business, financial condition, and results of operations.</w:t>
      </w:r>
    </w:p>
    <w:p>
      <w:pPr>
        <w:spacing w:after="0" w:line="179" w:lineRule="exact"/>
        <w:rPr>
          <w:sz w:val="20"/>
          <w:szCs w:val="20"/>
          <w:color w:val="auto"/>
        </w:rPr>
      </w:pPr>
    </w:p>
    <w:p>
      <w:pPr>
        <w:ind w:left="60" w:right="3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need to increase the size of our organization in the future, and we may experience difficulties managing growth. If we are unable to manage the anticipated growth of our business, our future revenue and operating results may be adversely affected.</w:t>
      </w:r>
    </w:p>
    <w:p>
      <w:pPr>
        <w:spacing w:after="0" w:line="175"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We may need to expand the size of our organization in the future. The growth we may experience in the future may provide challenges to our organization, requiring us to also rapidly expand other aspects of our business, including our manufacturing operations. Rapid expansion in personnel may result in less experienced people producing and selling our products, which could result in unanticipated costs and disruptions to our operations. If we cannot scale and manage our business appropriately, our potential growth may be impaired and our financial results will suffer.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have ownership of a significant percentage of our stock and will be able to exercise significant influence over matters subject to stockholder approval.</w:t>
      </w:r>
    </w:p>
    <w:p>
      <w:pPr>
        <w:spacing w:after="0" w:line="159"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As of February 25, 2025, our executive officers and directors own shares representing approximately 19.8% of our common stock. As a result, if these stockholders were to choose to act together, they would be able to exert significant influence over all matters submitted to our stockholders for approval, as well as our management and affairs. For example, these persons, if they chose to act together, would have significant influence over the election of directors and approval of any merger, consolidation or sale of all or substantially all of our assets. This concentration of voting power could delay or prevent an acquisition of our company on terms that other stockholders may desire.</w:t>
      </w:r>
    </w:p>
    <w:p>
      <w:pPr>
        <w:spacing w:after="0" w:line="183"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 or members of our board of directors.</w:t>
      </w:r>
    </w:p>
    <w:p>
      <w:pPr>
        <w:spacing w:after="0" w:line="17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a stockholder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92" w:lineRule="exact"/>
        <w:rPr>
          <w:sz w:val="20"/>
          <w:szCs w:val="20"/>
          <w:color w:val="auto"/>
        </w:rPr>
      </w:pPr>
    </w:p>
    <w:p>
      <w:pPr>
        <w:ind w:left="1040" w:hanging="315"/>
        <w:spacing w:after="0"/>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not all members of the board are elected at one time;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225" w:lineRule="exact"/>
        <w:rPr>
          <w:rFonts w:ascii="Times New Roman" w:cs="Times New Roman" w:eastAsia="Times New Roman" w:hAnsi="Times New Roman"/>
          <w:sz w:val="18"/>
          <w:szCs w:val="18"/>
          <w:color w:val="auto"/>
        </w:rPr>
      </w:pPr>
    </w:p>
    <w:p>
      <w:pPr>
        <w:ind w:left="1040" w:right="139" w:hanging="315"/>
        <w:spacing w:after="0" w:line="282" w:lineRule="auto"/>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161" w:lineRule="exact"/>
        <w:rPr>
          <w:rFonts w:ascii="Times New Roman" w:cs="Times New Roman" w:eastAsia="Times New Roman" w:hAnsi="Times New Roman"/>
          <w:sz w:val="18"/>
          <w:szCs w:val="18"/>
          <w:color w:val="auto"/>
        </w:rPr>
      </w:pPr>
    </w:p>
    <w:p>
      <w:pPr>
        <w:ind w:left="1040" w:right="119" w:hanging="315"/>
        <w:spacing w:after="0" w:line="282" w:lineRule="auto"/>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225" w:lineRule="exact"/>
        <w:rPr>
          <w:rFonts w:ascii="Times New Roman" w:cs="Times New Roman" w:eastAsia="Times New Roman" w:hAnsi="Times New Roman"/>
          <w:sz w:val="18"/>
          <w:szCs w:val="18"/>
          <w:color w:val="auto"/>
        </w:rPr>
      </w:pPr>
    </w:p>
    <w:p>
      <w:pPr>
        <w:ind w:left="1040" w:right="259" w:hanging="315"/>
        <w:spacing w:after="0" w:line="266" w:lineRule="auto"/>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75" w:lineRule="exact"/>
        <w:rPr>
          <w:rFonts w:ascii="Times New Roman" w:cs="Times New Roman" w:eastAsia="Times New Roman" w:hAnsi="Times New Roman"/>
          <w:sz w:val="18"/>
          <w:szCs w:val="18"/>
          <w:color w:val="auto"/>
        </w:rPr>
      </w:pPr>
    </w:p>
    <w:p>
      <w:pPr>
        <w:ind w:left="1040" w:right="219" w:hanging="315"/>
        <w:spacing w:after="0" w:line="282" w:lineRule="auto"/>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certain provisions of our charter or bylaws.</w:t>
      </w:r>
    </w:p>
    <w:p>
      <w:pPr>
        <w:spacing w:after="0" w:line="162"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General Corporation Law of the State of Delaware, or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2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Our ability to utilize our net operating loss carry-forwards and certain other tax attributes depends on many factors, including our future income, which cannot be assured, and the impact of any tax reform legislation or proposals. Under current law, U.S. federal net operating loss carryforwards generated in tax years beginning before January 1, 2018 may be carried forward for 20 tax years. U.S. federal net operating loss carryforwards generated in tax years beginning after December 31, 2017 may be carried forward indefinitely, but the deductibility of such net operating loss carryforwards is limited to 80% of taxable income. It is uncertain if and to what extent various states will conform to U.S. federal income tax law.</w:t>
      </w:r>
    </w:p>
    <w:p>
      <w:pPr>
        <w:spacing w:after="0" w:line="18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or the Code, if a corporation undergoes an “ownership change” (generally defined as a greater than 50 percentage point cumulative change (by value) in the equity ownership of certain stockholders over a rolling three-year period), an annual limitation is imposed on the corporation’s use of its change net operating loss carry-forwards and certain other pre-change tax attributes to offset its post-change taxable income or taxes. Based on our analysis of our Section 382 ownership changes through December 31, 2023, we believe that it is more likely than not that none of our net operating loss carryforwards will expire because of existing limitations under Section 382 of the Code, due to the large size of such limitations. We may experience Section</w:t>
      </w:r>
    </w:p>
    <w:p>
      <w:pPr>
        <w:spacing w:after="0" w:line="3"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382 ownership changes in the future as a result of subsequent shifts in our equity ownership, many of which are outside our control. State net operating loss carryforwards may be similarly limited, and there may be periods during which the use of such net operating loss carryforwards is suspended or otherwise limited, which could accelerate or permanently increase our state taxes owed.</w:t>
      </w:r>
    </w:p>
    <w:p>
      <w:pPr>
        <w:spacing w:after="0" w:line="189"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Changes in tax laws or regulations that are applied adversely to us or our customers may have a material adverse effect on our business, cash flow, financial condition, or results of operations.</w:t>
      </w:r>
    </w:p>
    <w:p>
      <w:pPr>
        <w:spacing w:after="0" w:line="16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New income, sales and use, or other tax laws or regulations could be enacted at any time, and existing tax laws and regulations could be interpreted, modified, or applied adversely to us. These events could require us to pay additional taxes on a prospective or retroactive basis, as well as penalties, interest, and other costs for past amounts deemed to be due. New laws, or laws that are changed, modified, or interpreted or applied differently also could increase our compliance, operating, and other costs, as well as the costs of our products. For example, the Inflation Reduction Act, enacts a 15% minimum tax on the adjusted financial statement income of certain large U.S. corporations for tax years beginning after December 31, 2022, as well as a 1% excise tax on stock repurchases made by public corporations after December 31, 2022. Further, the Tax Cuts and Jobs Act of 2017 amended the Code to require that certain research and experimental expenditures be capitalized and amortized over five years if incurred in the United States or fifteen years if incurred in foreign jurisdictions for tax years beginning after December 31, 2021. Although the U.S. Congress has considered legislation that would defer, modify, or repeal the capitalization and amortization requirement, there is no assurance that such changes will be made. If the requirement is not deferred, repealed, or otherwise modified, it may increase our cash taxes and effective tax rate. In addition, it is uncertain if and to what extent various states will conform to current federal law, or any newly enacted federal tax legislation. Changes in corporate tax rates, the realization of net operating losses and other deferred tax assets relating to our operations, the taxation of foreign earnings, and the deductibility of expenses could have a material impact on the value of our deferred tax assets and could increase our future tax expense.</w:t>
      </w:r>
    </w:p>
    <w:p>
      <w:pPr>
        <w:spacing w:after="0" w:line="191" w:lineRule="exact"/>
        <w:rPr>
          <w:sz w:val="20"/>
          <w:szCs w:val="20"/>
          <w:color w:val="auto"/>
        </w:rPr>
      </w:pPr>
    </w:p>
    <w:p>
      <w:pPr>
        <w:ind w:left="60" w:right="2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Because we do not anticipate paying any cash dividends on our capital stock for the foreseeable future, capital appreciation, if any, of our common stock will be the source of gain associated with investment in our common stock.</w:t>
      </w:r>
    </w:p>
    <w:p>
      <w:pPr>
        <w:spacing w:after="0" w:line="136"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associated with investment in our common stock for the foreseeable future.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common stock by us or our stockholders may cause substantial dilution to our existing stockholders and have an adverse effect on the then prevailing market price of our common stock.</w:t>
      </w:r>
    </w:p>
    <w:p>
      <w:pPr>
        <w:spacing w:after="0" w:line="15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76"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Sales of our common stock may be made by holders of our public float or by holders of restricted securities in compliance with the provisions of Rule 144 of the Securities Act of 1933, or the Securities Act. There were 45,218,177 shares of common stock outstanding as of February 25, 2025. In addition, we have issued stock options and other equity awards under our equity compensation plans. The shares underlying these awards are registered on a registration statement on Form S-8. As a result, upon vesting, these shares can be freely exercised, as applicable, and sold in the public market upon issuance, subject to volume limitations applicable to affiliates.</w:t>
      </w:r>
    </w:p>
    <w:p>
      <w:pPr>
        <w:spacing w:after="0" w:line="187"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have also registered 16,025,771 shares of our common stock that we may issue under our equity compensation plans as of February 25, 2025, and we plan to increase that number further.</w:t>
      </w:r>
    </w:p>
    <w:p>
      <w:pPr>
        <w:spacing w:after="0" w:line="162"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Also, in general under Rule 144, a non-affiliated person who has satisfied a six-month holding period in a company registered under the Exchange Act, as amended, may, sell their restricted common stock without volume limitation, so long as the issuer is current with all reports under the Exchange Act in order for there to be adequate common public information.</w:t>
      </w:r>
    </w:p>
    <w:p>
      <w:pPr>
        <w:spacing w:after="0" w:line="180" w:lineRule="exact"/>
        <w:rPr>
          <w:sz w:val="20"/>
          <w:szCs w:val="20"/>
          <w:color w:val="auto"/>
        </w:rPr>
      </w:pPr>
    </w:p>
    <w:p>
      <w:pPr>
        <w:ind w:left="60" w:right="299" w:firstLine="648"/>
        <w:spacing w:after="0" w:line="256" w:lineRule="auto"/>
        <w:rPr>
          <w:sz w:val="20"/>
          <w:szCs w:val="20"/>
          <w:color w:val="auto"/>
        </w:rPr>
      </w:pPr>
      <w:r>
        <w:rPr>
          <w:rFonts w:ascii="Times New Roman" w:cs="Times New Roman" w:eastAsia="Times New Roman" w:hAnsi="Times New Roman"/>
          <w:sz w:val="18"/>
          <w:szCs w:val="18"/>
          <w:color w:val="auto"/>
        </w:rPr>
        <w:t>Affiliated persons may also sell their common shares held for at least six months, but affiliated persons will be required to meet certain other requirements, including manner of sale, notice requirements and volume limitations. Non-affiliated persons who hold their common shares for at least one year will be able to sell their common stock without the need for there to be current public information in the hands of the public. Future sales of shares of our public float or by restricted common stock made in compliance with Rule 144 may have an adverse effect on the then prevailing market price, if any, of our common stock.</w:t>
      </w:r>
    </w:p>
    <w:p>
      <w:pPr>
        <w:spacing w:after="0" w:line="187"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We may issue additional shares of our common stock or securities convertible into our common stock from time to time in connection with a financing, acquisition, investments or otherwise. Any such issuance could result in substantial dilution to our existing stockholders and cause the trading price of our common stock to decline.</w:t>
      </w:r>
    </w:p>
    <w:p>
      <w:pPr>
        <w:spacing w:after="0" w:line="176"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currently have on file with the SEC a shelf registration statement, which allows us to offer and sell certain registered securities, such as common stock, preferred stock, debt securities, warrants and units, from time to time pursuant to one or more offerings at prices and terms to be determined at the time of sale. We may sell common stock, convertible securities or other equity or debt securities in one or more transactions at prices and in a manner we determine from time to time. If we sell common stock, convertible securities or other equity or debt securities in more than one transaction, investors may be materially diluted by subsequent sales. These sales may also result in material dilution to our existing stockholders, and new investors could gain rights superior to our existing stockholders.</w:t>
      </w:r>
    </w:p>
    <w:p>
      <w:pPr>
        <w:spacing w:after="0" w:line="185" w:lineRule="exact"/>
        <w:rPr>
          <w:sz w:val="20"/>
          <w:szCs w:val="20"/>
          <w:color w:val="auto"/>
        </w:rPr>
      </w:pPr>
    </w:p>
    <w:p>
      <w:pPr>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and our directors, officers and employees.</w:t>
      </w:r>
    </w:p>
    <w:p>
      <w:pPr>
        <w:spacing w:after="0" w:line="180"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(or, if the Court of Chancery does not have jurisdiction, the federal district court for the District of Delaware) is the sole and exclusive forum for any derivative action or proceeding brought on our behalf, any action asserting a claim of breach of a fiduciary duty owed by any of our directors, officers or employees to our company or our stockholders, any action asserting a claim against us arising pursuant to any provision of the DGCL or our amended and restated certificate of incorporation or amended and restated bylaws, or any action asserting a claim against us governed by the internal affairs doctrine. This exclusive forum provision may limit the ability of our stockholders to bring a claim in a judicial forum that such stockholders find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favorable for disputes with us or our directors, officers or employees, which may discourage such lawsuits against us and our sales of our common stock by us, our insiders or other stockholders.</w:t>
      </w:r>
    </w:p>
    <w:p>
      <w:pPr>
        <w:spacing w:after="0" w:line="158" w:lineRule="exact"/>
        <w:rPr>
          <w:sz w:val="20"/>
          <w:szCs w:val="20"/>
          <w:color w:val="auto"/>
        </w:rPr>
      </w:pPr>
    </w:p>
    <w:p>
      <w:pPr>
        <w:jc w:val="both"/>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is likely to be volatile and fluctuate substantially, which could result in substantial losses for purchasers of our common stock. Also, the volatility of our stock price may adversely affect our ability to attract equity funding in the future on reasonable terms or at all.</w:t>
      </w:r>
    </w:p>
    <w:p>
      <w:pPr>
        <w:spacing w:after="0" w:line="17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Our stock price has been and is likely to be volatile. The stock market in general and the market for pharmaceutical and biotechnology companies in particular have experienced extreme volatility that has often been unrelated to the operating performance of particular companies. Since our common stock began trading on The Nasdaq Global Select Market on September 22, 2018, our stock has traded at prices as low as $2.70 per share and as high as $55.22 per share through February 25, 2025. In the last 12 months, our stock has traded at prices as low as $5.47 per share and as high as $20.90 per share through February 25, 2025. As a result of this volatility, investors in our common stock may not be able to sell their shares at or above the prices they paid. Further, as a result of this volatility it may be difficult for us to attract new equity investments, including additional public offerings of our common stock, on terms we consider reasonable, or at all.</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market price for our common stock may be influenced by many factors, including:</w:t>
      </w:r>
    </w:p>
    <w:p>
      <w:pPr>
        <w:spacing w:after="0" w:line="225" w:lineRule="exact"/>
        <w:rPr>
          <w:sz w:val="20"/>
          <w:szCs w:val="20"/>
          <w:color w:val="auto"/>
        </w:rPr>
      </w:pPr>
    </w:p>
    <w:p>
      <w:pPr>
        <w:ind w:left="1040" w:right="559" w:hanging="315"/>
        <w:spacing w:after="0" w:line="282" w:lineRule="auto"/>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grow or maintain sale of DANYELZA and commercialize any other product candidates, if approved;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clinical trials of any of our product candidates;</w:t>
      </w:r>
    </w:p>
    <w:p>
      <w:pPr>
        <w:spacing w:after="0" w:line="225" w:lineRule="exact"/>
        <w:rPr>
          <w:rFonts w:ascii="Times New Roman" w:cs="Times New Roman" w:eastAsia="Times New Roman" w:hAnsi="Times New Roman"/>
          <w:sz w:val="18"/>
          <w:szCs w:val="18"/>
          <w:color w:val="auto"/>
        </w:rPr>
      </w:pPr>
    </w:p>
    <w:p>
      <w:pPr>
        <w:ind w:left="1040" w:right="619" w:hanging="315"/>
        <w:spacing w:after="0" w:line="282" w:lineRule="auto"/>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product candidates or our competitors’ products and product candidates;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products or technologies;</w:t>
      </w:r>
    </w:p>
    <w:p>
      <w:pPr>
        <w:spacing w:after="0" w:line="225" w:lineRule="exact"/>
        <w:rPr>
          <w:rFonts w:ascii="Times New Roman" w:cs="Times New Roman" w:eastAsia="Times New Roman" w:hAnsi="Times New Roman"/>
          <w:sz w:val="18"/>
          <w:szCs w:val="18"/>
          <w:color w:val="auto"/>
        </w:rPr>
      </w:pPr>
    </w:p>
    <w:p>
      <w:pPr>
        <w:ind w:left="1040" w:right="399" w:hanging="315"/>
        <w:spacing w:after="0" w:line="282" w:lineRule="auto"/>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collaborations or capital commitments;</w:t>
      </w:r>
    </w:p>
    <w:p>
      <w:pPr>
        <w:spacing w:after="0" w:line="161" w:lineRule="exact"/>
        <w:rPr>
          <w:rFonts w:ascii="Times New Roman" w:cs="Times New Roman" w:eastAsia="Times New Roman" w:hAnsi="Times New Roman"/>
          <w:sz w:val="18"/>
          <w:szCs w:val="18"/>
          <w:color w:val="auto"/>
        </w:rPr>
      </w:pPr>
    </w:p>
    <w:p>
      <w:pPr>
        <w:ind w:left="1040" w:right="579" w:hanging="315"/>
        <w:spacing w:after="0" w:line="282" w:lineRule="auto"/>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or termination of collaborations for our products and product candidates or development programs;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development programs;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product candidates of our competitors;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25" w:lineRule="exact"/>
        <w:rPr>
          <w:rFonts w:ascii="Times New Roman" w:cs="Times New Roman" w:eastAsia="Times New Roman" w:hAnsi="Times New Roman"/>
          <w:sz w:val="18"/>
          <w:szCs w:val="18"/>
          <w:color w:val="auto"/>
        </w:rPr>
      </w:pPr>
    </w:p>
    <w:p>
      <w:pPr>
        <w:ind w:left="1040" w:right="699" w:hanging="315"/>
        <w:spacing w:after="0" w:line="282" w:lineRule="auto"/>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revenues and expenses related to any of our products, product candidates or development programs;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product candidates or products;</w:t>
      </w:r>
    </w:p>
    <w:p>
      <w:pPr>
        <w:spacing w:after="0" w:line="225" w:lineRule="exact"/>
        <w:rPr>
          <w:rFonts w:ascii="Times New Roman" w:cs="Times New Roman" w:eastAsia="Times New Roman" w:hAnsi="Times New Roman"/>
          <w:sz w:val="18"/>
          <w:szCs w:val="18"/>
          <w:color w:val="auto"/>
        </w:rPr>
      </w:pPr>
    </w:p>
    <w:p>
      <w:pPr>
        <w:ind w:left="1040" w:right="579" w:hanging="315"/>
        <w:spacing w:after="0" w:line="282" w:lineRule="auto"/>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demand for our products, actual or anticipated changes in forecasts of financial performance, or changes in development timelines;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hanging="315"/>
        <w:spacing w:after="0"/>
        <w:tabs>
          <w:tab w:leader="none" w:pos="10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other stockholders;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or recommendations by securities analysts, if any, that cover our stock;</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and investor sentiment in the pharmaceutical and biotechnology sectors;</w:t>
      </w:r>
    </w:p>
    <w:p>
      <w:pPr>
        <w:spacing w:after="0" w:line="225"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such as an increased rate of inflation, increased cost of goods, supply-chain disruptions and uncertain global financial markets, and geopolitical events;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In the past, securities class-action litigation has often been instituted against companies following periods of volatility in the price of their common stock. For example, following volatility in the price of our common stock following the ODAC meeting in October 2022, one of our stockholders filed a putative class action lawsuit in the federal district court for alleged violations of the Securities Exchange Act of 1934, as amended. Litigation could result in substantial costs and divert our management’s attention and resources, which could have a material and adverse effect on our financial condition, business, and the per share trading price of our common stock.</w:t>
      </w:r>
    </w:p>
    <w:p>
      <w:pPr>
        <w:spacing w:after="0" w:line="183"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named, and may in the future be named, as defendants in lawsuits or other legal proceedings that could result in substantial costs and divert management’s attention.</w:t>
      </w:r>
    </w:p>
    <w:p>
      <w:pPr>
        <w:spacing w:after="0" w:line="157"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 xml:space="preserve">As described elsewhere in this report </w:t>
      </w:r>
      <w:r>
        <w:rPr>
          <w:rFonts w:ascii="Times New Roman" w:cs="Times New Roman" w:eastAsia="Times New Roman" w:hAnsi="Times New Roman"/>
          <w:sz w:val="18"/>
          <w:szCs w:val="18"/>
          <w:i w:val="1"/>
          <w:iCs w:val="1"/>
          <w:color w:val="auto"/>
        </w:rPr>
        <w:t>NOTE 9—LICENSE AGREEMENTS AND COMMITMENTS</w:t>
      </w:r>
      <w:r>
        <w:rPr>
          <w:rFonts w:ascii="Times New Roman" w:cs="Times New Roman" w:eastAsia="Times New Roman" w:hAnsi="Times New Roman"/>
          <w:sz w:val="18"/>
          <w:szCs w:val="18"/>
          <w:color w:val="auto"/>
        </w:rPr>
        <w:t xml:space="preserve"> in the notes to the consolidated financial statements included in Item 8. Financial Statements and Supplementary Data, we and our Chief Business Officer and Vice Chairman Mr. Thomas Gad, and our former Chief Executive Officer Dr. Claus Juan Møller San Pedro, were named as defendants in a class-action lawsuit alleging that we and the individuals named in the lawsuit violated Sections 10(b) and/or 20(a) of the Exchange Act and Rule 10b-5 promulgated thereunder.</w:t>
      </w:r>
    </w:p>
    <w:p>
      <w:pPr>
        <w:spacing w:after="0" w:line="185"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We are also from time to time subject to legal proceedings arising out of our business and/or operations. Such legal proceedings may involve product liability claims, shareholder lawsuits and other claims by third parties, and employment claims made by our current or former employees. Such proceedings may result in substantial costs and may divert management’s attention and resources, may negatively impact our reputation and may lead to additional legal proceedings, investigations or claims, among other things, which may harm our business.</w:t>
      </w:r>
    </w:p>
    <w:p>
      <w:pPr>
        <w:spacing w:after="0" w:line="183"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Although we have insurance, it provides for a substantial retention of liability and is subject to limitations and may not cover a significant portion, or any, of the expenses or liabilities we may incur or be subject to in connection with the litigation to which we are party. Moreover, any conclusion of a matter in a manner adverse to us and for which we incur substantial costs or damages not covered by our directors’ and officers’ liability insurance would have a material adverse effect on our financial condition and business. In addition, litigation has caused and will continue to cause our management and board of directors to divert time and attention and could adversely impact our reputation and further divert management and our board of directors’ attention and resources from other priorities, including the execution of our business plan and strategies that are important to our ability to grow our business and advance our product candidates, any of which could have a material adverse effect on our business.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have been and may in the future be adversely affected by pandemics or similar health crises, macroeconomic conditions, including escalating trade tensions, and by geopolitical events.</w:t>
      </w:r>
    </w:p>
    <w:p>
      <w:pPr>
        <w:spacing w:after="0" w:line="175" w:lineRule="exact"/>
        <w:rPr>
          <w:sz w:val="20"/>
          <w:szCs w:val="20"/>
          <w:color w:val="auto"/>
        </w:rPr>
      </w:pPr>
    </w:p>
    <w:p>
      <w:pPr>
        <w:ind w:left="60" w:right="119" w:firstLine="648"/>
        <w:spacing w:after="0" w:line="281" w:lineRule="auto"/>
        <w:rPr>
          <w:sz w:val="20"/>
          <w:szCs w:val="20"/>
          <w:color w:val="auto"/>
        </w:rPr>
      </w:pPr>
      <w:r>
        <w:rPr>
          <w:rFonts w:ascii="Times New Roman" w:cs="Times New Roman" w:eastAsia="Times New Roman" w:hAnsi="Times New Roman"/>
          <w:sz w:val="17"/>
          <w:szCs w:val="17"/>
          <w:color w:val="auto"/>
        </w:rPr>
        <w:t>Our financial condition, results of operations, business and cash flow may be negatively affected by general conditions in the global economy and in the global financial markets and uncertainty about economic stability. The global economy has experienced extreme volatility and disruptions, including as a result of the COVID-19 pandemic, inflationary conditions and escalating trade tensions, as well as from international conflicts, terrorism or other geopolitical events.</w:t>
      </w:r>
    </w:p>
    <w:p>
      <w:pPr>
        <w:spacing w:after="0" w:line="164" w:lineRule="exact"/>
        <w:rPr>
          <w:sz w:val="20"/>
          <w:szCs w:val="20"/>
          <w:color w:val="auto"/>
        </w:rPr>
      </w:pPr>
    </w:p>
    <w:p>
      <w:pPr>
        <w:jc w:val="both"/>
        <w:ind w:left="60" w:right="499" w:firstLine="648"/>
        <w:spacing w:after="0" w:line="266" w:lineRule="auto"/>
        <w:rPr>
          <w:sz w:val="20"/>
          <w:szCs w:val="20"/>
          <w:color w:val="auto"/>
        </w:rPr>
      </w:pPr>
      <w:r>
        <w:rPr>
          <w:rFonts w:ascii="Times New Roman" w:cs="Times New Roman" w:eastAsia="Times New Roman" w:hAnsi="Times New Roman"/>
          <w:sz w:val="18"/>
          <w:szCs w:val="18"/>
          <w:color w:val="auto"/>
        </w:rPr>
        <w:t>Sanctions imposed by the United States and other countries in response to such conflicts, may also adversely impact the financial markets and the global economy, and the economic countermeasures by the affected countries or others could exacerbate market and economic instability.</w:t>
      </w:r>
    </w:p>
    <w:p>
      <w:pPr>
        <w:spacing w:after="0" w:line="176"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Moreover, the new Trump administration has recently imposed tariffs on certain U.S. imports, and China and other countries have responded with retaliatory tariffs on certain U.S. exports. We cannot predict what effects these tariffs and potential additional tariffs will have on our business. However, these tariffs and other trade restrictions could increase our operating costs, reduce our gross margins or otherwise negatively impact our financial results.</w:t>
      </w:r>
    </w:p>
    <w:p>
      <w:pPr>
        <w:spacing w:after="0" w:line="180"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There can be no assurance that further deterioration in credit and financial markets, global banking stability, and confidence in economic conditions will not occur. A severe or prolonged economic downturn could result in a variety of risks to our business, including weakened demand for any product candidates we may develop and our ability to raise additional capital when needed on acceptable terms, if at all. A weak or declining economy could also strain our suppliers, possibly resulting in supply disruption. If the equity and credit markets deteriorate, it may make any necessary debt or equity financing more difficult, more costly, and more dilutive. Failure to secure any necessary financing in a timely manner and on favorable terms could impair our ability to achieve our growth strategy, could harm our financial performance and stock price and could require us to delay or abandon clinical development plans. In addition, there is a risk that our current or future service providers, manufacturers or other collaborators may not survive such difficult economic times, which could directly affect our ability to attain our operating goals on schedule and on budget. We cannot anticipate all of the ways in which the current economic climate and financial market conditions could adversely impact our business.</w:t>
      </w:r>
    </w:p>
    <w:p>
      <w:pPr>
        <w:spacing w:after="0" w:line="186" w:lineRule="exact"/>
        <w:rPr>
          <w:sz w:val="20"/>
          <w:szCs w:val="20"/>
          <w:color w:val="auto"/>
        </w:rPr>
      </w:pPr>
    </w:p>
    <w:p>
      <w:pPr>
        <w:jc w:val="both"/>
        <w:ind w:left="60" w:right="779" w:firstLine="4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partnerships, or other strategic transactions, this may increase our capital requirements, dilute our stockholders if we issue equity securities, cause us to incur debt or assume contingent liabilities, and subject us to other risks.</w:t>
      </w:r>
    </w:p>
    <w:p>
      <w:pPr>
        <w:spacing w:after="0" w:line="175"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may evaluate various acquisitions, partnerships or other strategic transactions, including licensing or acquiring complementary products, intellectual property rights, technologies, or businesses. Any potential acquisition or strategic partnership may entail numerous risks, including:</w:t>
      </w:r>
    </w:p>
    <w:p>
      <w:pPr>
        <w:spacing w:after="0" w:line="176" w:lineRule="exact"/>
        <w:rPr>
          <w:sz w:val="20"/>
          <w:szCs w:val="20"/>
          <w:color w:val="auto"/>
        </w:rPr>
      </w:pPr>
    </w:p>
    <w:p>
      <w:pPr>
        <w:ind w:left="1040" w:hanging="315"/>
        <w:spacing w:after="0"/>
        <w:tabs>
          <w:tab w:leader="none" w:pos="10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equity securities;</w:t>
      </w:r>
    </w:p>
    <w:p>
      <w:pPr>
        <w:spacing w:after="0" w:line="225"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including difficulties associated with integration;</w:t>
      </w:r>
    </w:p>
    <w:p>
      <w:pPr>
        <w:spacing w:after="0" w:line="161" w:lineRule="exact"/>
        <w:rPr>
          <w:rFonts w:ascii="Times New Roman" w:cs="Times New Roman" w:eastAsia="Times New Roman" w:hAnsi="Times New Roman"/>
          <w:sz w:val="18"/>
          <w:szCs w:val="18"/>
          <w:color w:val="auto"/>
        </w:rPr>
      </w:pPr>
    </w:p>
    <w:p>
      <w:pPr>
        <w:ind w:left="1040" w:right="259" w:hanging="315"/>
        <w:spacing w:after="0" w:line="282" w:lineRule="auto"/>
        <w:tabs>
          <w:tab w:leader="none" w:pos="10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product programs and initiatives in pursuing such a strategic merger or acquisition;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right="679" w:hanging="315"/>
        <w:spacing w:after="0" w:line="282" w:lineRule="auto"/>
        <w:tabs>
          <w:tab w:leader="none" w:pos="10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161" w:lineRule="exact"/>
        <w:rPr>
          <w:rFonts w:ascii="Times New Roman" w:cs="Times New Roman" w:eastAsia="Times New Roman" w:hAnsi="Times New Roman"/>
          <w:sz w:val="18"/>
          <w:szCs w:val="18"/>
          <w:color w:val="auto"/>
        </w:rPr>
      </w:pPr>
    </w:p>
    <w:p>
      <w:pPr>
        <w:ind w:left="1040" w:right="339" w:hanging="315"/>
        <w:spacing w:after="0" w:line="282" w:lineRule="auto"/>
        <w:tabs>
          <w:tab w:leader="none" w:pos="10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161" w:lineRule="exact"/>
        <w:rPr>
          <w:rFonts w:ascii="Times New Roman" w:cs="Times New Roman" w:eastAsia="Times New Roman" w:hAnsi="Times New Roman"/>
          <w:sz w:val="18"/>
          <w:szCs w:val="18"/>
          <w:color w:val="auto"/>
        </w:rPr>
      </w:pPr>
    </w:p>
    <w:p>
      <w:pPr>
        <w:ind w:left="1040" w:right="199" w:hanging="315"/>
        <w:spacing w:after="0" w:line="282" w:lineRule="auto"/>
        <w:tabs>
          <w:tab w:leader="none" w:pos="10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62"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which could impair our ability to grow or obtain access to technology or products that may be important to the development of our business.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expect our operating results to fluctuate in future periods, which may adversely affect our stock price.</w:t>
      </w:r>
    </w:p>
    <w:p>
      <w:pPr>
        <w:spacing w:after="0" w:line="229"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Our operating results have fluctuated in the past, and we believe they will continue to do so in the future. Our operating results may fluctuate due to the level of success of our commercial efforts, as well as the variable nature of our operating expenses as a result of the timing and magnitude of expenditures. In one or more future periods, our results of operations may fall below the expectations of securities analysts and investors. In that event, the market price of our common stock could decline.</w:t>
      </w:r>
    </w:p>
    <w:p>
      <w:pPr>
        <w:spacing w:after="0" w:line="179"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operating our business internationally, including through collaboration partners, could materially adversely affect our business.</w:t>
      </w:r>
    </w:p>
    <w:p>
      <w:pPr>
        <w:spacing w:after="0" w:line="15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We have obtained and plan to continue to seek regulatory approval of our product candidates outside of the United States. We also have existing commercialization collaborations in certain territories outside the United States such as with SciClone, Takeda Israel, Swixx Biopharma AG, Adium and WEP. In addition, we have entered into distribution agreement with INPHARMUS and Nobelpharma in 2024. Accordingly, we and our existing and potential collaborators in jurisdictions outside the US, are subject to additional risks related to operating in foreign countries, including:</w:t>
      </w:r>
    </w:p>
    <w:p>
      <w:pPr>
        <w:spacing w:after="0" w:line="183" w:lineRule="exact"/>
        <w:rPr>
          <w:sz w:val="20"/>
          <w:szCs w:val="20"/>
          <w:color w:val="auto"/>
        </w:rPr>
      </w:pPr>
    </w:p>
    <w:p>
      <w:pPr>
        <w:ind w:left="1040" w:hanging="315"/>
        <w:spacing w:after="0"/>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w:t>
      </w:r>
    </w:p>
    <w:p>
      <w:pPr>
        <w:spacing w:after="0" w:line="225" w:lineRule="exact"/>
        <w:rPr>
          <w:rFonts w:ascii="Times New Roman" w:cs="Times New Roman" w:eastAsia="Times New Roman" w:hAnsi="Times New Roman"/>
          <w:sz w:val="18"/>
          <w:szCs w:val="18"/>
          <w:color w:val="auto"/>
        </w:rPr>
      </w:pPr>
    </w:p>
    <w:p>
      <w:pPr>
        <w:ind w:left="1040" w:right="259" w:hanging="315"/>
        <w:spacing w:after="0" w:line="282" w:lineRule="auto"/>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and escalating trade tensions, trade barriers, price and exchange controls, and other regulatory requirements;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local transfer pricing regulations and withholding of payroll taxes;</w:t>
      </w:r>
    </w:p>
    <w:p>
      <w:pPr>
        <w:spacing w:after="0" w:line="225" w:lineRule="exact"/>
        <w:rPr>
          <w:rFonts w:ascii="Times New Roman" w:cs="Times New Roman" w:eastAsia="Times New Roman" w:hAnsi="Times New Roman"/>
          <w:sz w:val="18"/>
          <w:szCs w:val="18"/>
          <w:color w:val="auto"/>
        </w:rPr>
      </w:pPr>
    </w:p>
    <w:p>
      <w:pPr>
        <w:ind w:left="1040" w:right="259" w:hanging="315"/>
        <w:spacing w:after="0" w:line="282" w:lineRule="auto"/>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225" w:lineRule="exact"/>
        <w:rPr>
          <w:rFonts w:ascii="Times New Roman" w:cs="Times New Roman" w:eastAsia="Times New Roman" w:hAnsi="Times New Roman"/>
          <w:sz w:val="18"/>
          <w:szCs w:val="18"/>
          <w:color w:val="auto"/>
        </w:rPr>
      </w:pPr>
    </w:p>
    <w:p>
      <w:pPr>
        <w:ind w:left="1040" w:right="519" w:hanging="315"/>
        <w:spacing w:after="0" w:line="282" w:lineRule="auto"/>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FCPA, or OFAC, Anti-Money Laundering Program as required by the Bank Secrecy Act and its implementing regulations, or comparable foreign laws;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right="79" w:hanging="315"/>
        <w:spacing w:after="0" w:line="282" w:lineRule="auto"/>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61" w:lineRule="exact"/>
        <w:rPr>
          <w:rFonts w:ascii="Times New Roman" w:cs="Times New Roman" w:eastAsia="Times New Roman" w:hAnsi="Times New Roman"/>
          <w:sz w:val="18"/>
          <w:szCs w:val="18"/>
          <w:color w:val="auto"/>
        </w:rPr>
      </w:pPr>
    </w:p>
    <w:p>
      <w:pPr>
        <w:ind w:left="1040" w:right="279" w:hanging="315"/>
        <w:spacing w:after="0" w:line="282" w:lineRule="auto"/>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225"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our current and planned international operations may materially adversely affect our ability to attain or maintain profitable operations.</w:t>
      </w:r>
    </w:p>
    <w:p>
      <w:pPr>
        <w:spacing w:after="0" w:line="158" w:lineRule="exact"/>
        <w:rPr>
          <w:sz w:val="20"/>
          <w:szCs w:val="20"/>
          <w:color w:val="auto"/>
        </w:rPr>
      </w:pPr>
    </w:p>
    <w:p>
      <w:pPr>
        <w:ind w:left="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59"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Our operations, and those of our third-party research institution collaborators, CROs, CMOs, suppliers, other contractors and consultants, could be subject to earthquakes, power shortages, telecommunications failures, water shortages, droughts, floods, hurricanes, typhoons, fires, extreme weather conditions, climate change events, medical epidemics, terrorist activities, wars or other armed conflicts, geopolitical tensions and related sanctions, and the potential resumption of the conflict between Hamas and Israel and a potential larger conflict, cyber security attacks and other natural or man-made disasters or business interruptions, for which we are predominantly self-insured, and other severe hazards or global health crises, such as an outbreak of Ebola or COVID-19, or other actual or threatened epidemic, pandemic, outbreak and spread of a communicable disease or virus, in the countries where we operate or plan to sell our products, if approved, could adversely affect our operations and financial performance.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We rely on third-party manufacturers to produce and process DANYELZA, and our product candidates. Our ability to obtain commercial supplies of DANYELZA and clinical supplies of our product candidates could be disrupted if the operations of these suppliers are affected by a man-made or natural disaster or other business interruption, and we anticipate that our ability to obtain commercial and clinical supplies of DANYELZA will be interrupted in connection with the transition of production of DANYELZA drug product from our supplier Patheon/Thermo Fisher’s manufacturing facility in Greenville, North Carolina to its manufacturing facility in Monza, Italy. See “We rely on third parties to manufacture DANYELZA for commercial and clinical supply and our product candidates, including our antibody constructs based on the SADA PRIT Technology, for our ongoing and planned pre-clinical studies and clinical studies. Our business could be harmed if third parties fail to provide us enough DANYELZA or our other product candidates, including our antibody constructs based on the SADA PRIT Technology, or fail to do so at acceptable quantities, quality levels or prices or fail to maintain adequate compliance with CMC guidelines of the FDA and comparable foreign regulatory authorities. Our third-party manufacturers have in the past and may in the future experience manufacturing difficulties, and any such difficulties could harm our business.” elsewhere in this Part I., Item 1A. . Damage or extended periods of interruption to our third-party collaborators’, including MSK’s, corporate, development or research facilities due to fire, natural disaster, power loss, communications failure, unauthorized entry or other events could cause us to cease or delay development of some or all of our product candidates. Although we intend to maintain property damage and business interruption insurance coverage on these facilities, our insurance might not cover all losses under such circumstances and our business may be seriously harmed by such delays and interruption. The ultimate extent of the impact of any epidemic, pandemic or other global health crisis, such as COVID-19, on our business, financial condition and results of operations will depend on future developments which are highly uncertain and cannot be predicted, including new information that may emerge concerning the duration and severity of such epidemic, pandemic or other global health crisis, actions taken to contain or prevent their further spread and the pace of global economic recovery following containment of the spread.</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5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sale of DANYELZA and clinical testing of our product candidates and will face an even greater risk if we commercialize more products. For example, we may be sued if our product candidates cause or are perceived to cause injury or are found to be otherwise unsuitable during use,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88" w:lineRule="exact"/>
        <w:rPr>
          <w:sz w:val="20"/>
          <w:szCs w:val="20"/>
          <w:color w:val="auto"/>
        </w:rPr>
      </w:pPr>
    </w:p>
    <w:p>
      <w:pPr>
        <w:ind w:left="1040" w:hanging="315"/>
        <w:spacing w:after="0"/>
        <w:tabs>
          <w:tab w:leader="none" w:pos="1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and inability to continue clinical trials;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any potential future revenue;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share price.</w:t>
      </w:r>
    </w:p>
    <w:p>
      <w:pPr>
        <w:spacing w:after="0" w:line="22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inability to obtain sufficient product liability insurance at an acceptable cost to protect against potential product liability claims could prevent or inhibit the commercialization of DANYELZA or any product candidates we develop, alone or with collaborators. The amount of clinical trial and product liability insurance coverage that we may obtain, may not be adequate, we may be unable to maintain such insurance, or we may not be able to obtain additional or replacement insurance at a reasonable cost, if at all.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90"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59" w:lineRule="exact"/>
        <w:rPr>
          <w:sz w:val="20"/>
          <w:szCs w:val="20"/>
          <w:color w:val="auto"/>
        </w:rPr>
      </w:pPr>
    </w:p>
    <w:p>
      <w:pPr>
        <w:ind w:left="60" w:right="799" w:firstLine="648"/>
        <w:spacing w:after="0" w:line="312" w:lineRule="auto"/>
        <w:rPr>
          <w:sz w:val="20"/>
          <w:szCs w:val="20"/>
          <w:color w:val="auto"/>
        </w:rPr>
      </w:pPr>
      <w:r>
        <w:rPr>
          <w:rFonts w:ascii="Times New Roman" w:cs="Times New Roman" w:eastAsia="Times New Roman" w:hAnsi="Times New Roman"/>
          <w:sz w:val="17"/>
          <w:szCs w:val="17"/>
          <w:color w:val="auto"/>
        </w:rPr>
        <w:t>We are exposed to the risk of fraud, misconduct or other illegal activity by our employees, independent contractors, consultants, commercial partners and vendors. Misconduct by these parties could include intentional,</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reckless and negligent conduct that fails to: comply with the regulations of the FDA, the EU and other similar foreign regulatory requirements; provide true, complete and accurate information to the FDA, the EMA, the European Commission,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As we have obtained FDA approval of DANYELZA and have begun commercializing DANYELZA in the United States, our exposure under such laws has increased significantly, and our costs associated with compliance with such laws have increased significantly and are likely to continue to increase. These laws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It is not always possible to identify and deter misconduct by employees and other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5"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licensors, employees, consultants or advisors have wrongfully used or disclosed alleged trade secrets of their former employers or their clients.</w:t>
      </w:r>
    </w:p>
    <w:p>
      <w:pPr>
        <w:spacing w:after="0" w:line="159" w:lineRule="exact"/>
        <w:rPr>
          <w:sz w:val="20"/>
          <w:szCs w:val="20"/>
          <w:color w:val="auto"/>
        </w:rPr>
      </w:pPr>
    </w:p>
    <w:p>
      <w:pPr>
        <w:ind w:left="60" w:right="219" w:firstLine="648"/>
        <w:spacing w:after="0" w:line="252"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increasing use of social media platforms presents new risks and challenges.</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Social media is increasingly being used to communicate about our drug, clinical development programs, and the diseases our drug and drug candidates are being developed to treat, and we are utilizing what we believe is appropriate social media in connection with our commercialization efforts for DANYELZA and we intend to do the same for our future products, if approved. Social media practices in the biopharmaceutical industry continue to evolve and regulations relating to such use are not always clear. This evolution creates uncertainty and risk of noncompliance with regulations applicable to our business, resulting in potential regulatory actions against us. For example, patients may use social media channels to comment on their experience in an ongoing blinded clinical study or to report an alleged adverse event, or AE. When such disclosures occur, there is a risk that we fail to monitor and comply with applicable AE reporting obligations or we may not be able to defend our business or the public’s legitimate interests in the face of the political and market pressures generated by social media due to restrictions on what we may say about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0" w:right="199"/>
        <w:spacing w:after="0" w:line="289" w:lineRule="auto"/>
        <w:rPr>
          <w:sz w:val="20"/>
          <w:szCs w:val="20"/>
          <w:color w:val="auto"/>
        </w:rPr>
      </w:pPr>
      <w:r>
        <w:rPr>
          <w:rFonts w:ascii="Times New Roman" w:cs="Times New Roman" w:eastAsia="Times New Roman" w:hAnsi="Times New Roman"/>
          <w:sz w:val="17"/>
          <w:szCs w:val="17"/>
          <w:color w:val="auto"/>
        </w:rPr>
        <w:t>investigational products.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spacing w:after="0" w:line="154"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5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If one or more of the analysts covering our business downgrades their evaluations of our stock, the price of our stock could decline. If one or more of these analysts cease to cover our stock, we could lose visibility in the market for our stock, which in turn could cause our stock price to decline.</w:t>
      </w:r>
    </w:p>
    <w:p>
      <w:pPr>
        <w:spacing w:after="0" w:line="176" w:lineRule="exact"/>
        <w:rPr>
          <w:sz w:val="20"/>
          <w:szCs w:val="20"/>
          <w:color w:val="auto"/>
        </w:rPr>
      </w:pPr>
    </w:p>
    <w:p>
      <w:pPr>
        <w:jc w:val="both"/>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our ability to produce accurate and timely consolidated financial statements could be impaired, which could harm our operating results, investors’ views of us and, as a result, the value of our common stock.</w:t>
      </w:r>
    </w:p>
    <w:p>
      <w:pPr>
        <w:spacing w:after="0" w:line="175"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qualified as a smaller reporting company and as a non-accelerated filer for the years ended December 31, 2024 and 2023, respectively. As a public company we are required to provide management’s attestation on internal controls pursuant to Section 404 of the Sarbanes-Oxley Act. However, as a non-accelerated filer, we are not required to include an attestation report on internal control over financial reporting issued by our independent registered public accounting firm in this Annual Report on Form 10-K for the fiscal year ended December 31, 2024.</w:t>
      </w:r>
    </w:p>
    <w:p>
      <w:pPr>
        <w:spacing w:after="0" w:line="183"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Our inability to operate controls effectively could cause material weaknesses in our internal control over financial reporting in the future, could have a material adverse impact on our company and consolidated financial statements and we may not be able to accurately or timely report our financial condition or results of operations, which may adversely affect investor confidence in us and, as a result, the value of our common stock. In addition, we may in the future be required to provide Section 404 of the Sarbanes-Oxley Act, or Section 404, reports by our independent registered public accounting attesting to the effectiveness of our internal control over financial reporting. An adverse report could have a material adverse impact on our company and consolidated financial statements, investor confidence in us and, as a result, the value of our common stock.</w:t>
      </w:r>
    </w:p>
    <w:p>
      <w:pPr>
        <w:spacing w:after="0" w:line="192"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rules governing the standards that must be met for management and, when applicable, our independent registered public accounting firm to assess our internal control over financial reporting are complex and require significant documentation, testing, and possible remediation. In connection with our and our independent registered public accounting firm’s evaluations of our internal control over financial reporting, we may need to upgrade systems, including information technology, implement additional financial and management controls, reporting systems, and procedures, and hire additional accounting and finance staff.</w:t>
      </w:r>
    </w:p>
    <w:p>
      <w:pPr>
        <w:spacing w:after="0" w:line="187"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Any failure to implement required new or improved controls, or difficulties encountered in their implementation, could cause us to fail to meet our reporting obligations. In addition, any testing conducted by us or our independent registered public accounting firm may reveal deficiencies in our internal control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stock. Internal control deficiencies could also result in a restatement of our financial results in the future. We could become subject to stockholder or other third-party litigation, as well as investigations by the SEC, the Nasdaq Global Select Market, or other regulatory authorities, which could require additional financial and management resources and could result in fines, trading suspensions, payment of damages or other remedies. Further, any delay in compliance with the auditor attestation provisions of Section 404, if and when applicable, could subject us to a variety of administrative sanctions, including ineligibility for short-form resale registration, action by the SEC and the suspension or delisting of our common stock, which could reduce the trading price of our common stock and could harm our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costs associated with satisfying our obligations as public company, and our management is required to devote substantial time to new compliance initiatives.</w:t>
      </w:r>
    </w:p>
    <w:p>
      <w:pPr>
        <w:spacing w:after="0" w:line="159" w:lineRule="exact"/>
        <w:rPr>
          <w:sz w:val="20"/>
          <w:szCs w:val="20"/>
          <w:color w:val="auto"/>
        </w:rPr>
      </w:pPr>
    </w:p>
    <w:p>
      <w:pPr>
        <w:ind w:left="60" w:right="259" w:firstLine="648"/>
        <w:spacing w:after="0" w:line="255" w:lineRule="auto"/>
        <w:rPr>
          <w:sz w:val="20"/>
          <w:szCs w:val="20"/>
          <w:color w:val="auto"/>
        </w:rPr>
      </w:pPr>
      <w:r>
        <w:rPr>
          <w:rFonts w:ascii="Times New Roman" w:cs="Times New Roman" w:eastAsia="Times New Roman" w:hAnsi="Times New Roman"/>
          <w:sz w:val="18"/>
          <w:szCs w:val="18"/>
          <w:color w:val="auto"/>
        </w:rPr>
        <w:t>As a public company, we continue to incur significant legal, accounting and other expenses. In addition, the Sarbanes-Oxley Act and rules subsequently implemented by the SEC and Nasdaq have imposed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increase our legal and financial compliance costs and make some activities more time-consuming and costly. For example, these rules and regulations make it more difficult and more expensive for us to obtain director and officer liability insurance.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global climate change or by legal, regulatory or market responses to such change.</w:t>
      </w:r>
    </w:p>
    <w:p>
      <w:pPr>
        <w:spacing w:after="0" w:line="22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Increasing stakeholder environmental, social and governance, or ESG, expectations, physical and transition risks associated with climate change, and emerging ESG regulation and policy requirements may pose risk to our market outlook, and reputation, financial outlook, cost of capital, supply-chain and production continuity, which may impact our ability to achieve our business objectives. Changes in environmental and climate change laws or regulations could lead to additional operational restrictions and compliance requirements upon us or our third-party providers or otherwise could negatively impact our business. Changes in market dynamics, stakeholder expectations, local, national and international climate change policies, and the frequency and intensity of extreme weather events on critical infrastructure in the United States and abroad, all have the potential to disrupt our business and operations. Such events could result in a significant increase in our costs and expenses and harm our future revenue, cash flows and financial performance. Global climate change is resulting in, and may continue to result, in certain natural disasters and adverse weather events, such as droughts, wildfires, storms, sea-level rise and flooding, occurring more frequently or with greater intensity, which could cause business disruptions and impact employees’ abilities to commute or to work from home effectively. Government failure to address climate change in line with the Paris Agreement could result in greater exposure to economic and other risks from climate change and impact our ability to achieve our goals.</w:t>
      </w:r>
    </w:p>
    <w:p>
      <w:pPr>
        <w:spacing w:after="0" w:line="193"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information related to our clinical trials and product, product candidates, and technology or our Information Systems and Data.</w:t>
      </w:r>
    </w:p>
    <w:p>
      <w:pPr>
        <w:spacing w:after="0" w:line="183"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have a multi-stakeholder team to help identify, assess, and manage the Company’s cybersecurity threats and risks, comprised of representatives from our third-party IT administrator, and from our Legal and Compliance, and Finance departments. This team, along with our third-party IT service providers, identifies and assesses risks from cybersecurity threats by monitoring and evaluating our threat environment using various methods including, for example, using automated monitoring tools, subscribing to analysis and services that identify cybersecurity threats, conducting scans of the threat environment, conducting internal and external review of certain data and systems, and having third parties conduct periodic assessments of our threat environment. We continue to invest in talent and infrastructure in our IT department to manage IT operations and mitigate cyber risk.</w:t>
      </w:r>
    </w:p>
    <w:p>
      <w:pPr>
        <w:spacing w:after="0" w:line="192"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Depending on the environment, we implement and maintain various technical, physical, and organizational measures, processes, standards and policies designed to manage and mitigate material risks from cybersecurity threats to our Information Systems and Data, including, for example maintaining an incident response policy and incident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detection and response procedures, disaster recovery and business continuity plans and an IT contingency policy, encrypting certain data, conducting risk assessments for certain data and systems, implementing certain network security, physical and access controls, monitoring our systems, providing periodic training to employees and using tools such as penetration testing tools.</w:t>
      </w:r>
    </w:p>
    <w:p>
      <w:pPr>
        <w:spacing w:after="0" w:line="180"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Our assessment and management of material risks from cybersecurity threats are integrated into the Company’s overall risk management processes. For example, our IT and Legal and Compliance departments work with management to prioritize our risk management processes and mitigate cybersecurity threats that are more likely to lead to a material impact to our business.</w:t>
      </w:r>
    </w:p>
    <w:p>
      <w:pPr>
        <w:spacing w:after="0" w:line="180" w:lineRule="exact"/>
        <w:rPr>
          <w:sz w:val="20"/>
          <w:szCs w:val="20"/>
          <w:color w:val="auto"/>
        </w:rPr>
      </w:pPr>
    </w:p>
    <w:p>
      <w:pPr>
        <w:jc w:val="both"/>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We use third-party service providers to assist us from time to time to identify, assess, and manage material risks from cybersecurity threats, including for example, our third-party IT service provider, cybersecurity consultants, outside legal counsel, software providers, and penetration testing firms.</w:t>
      </w:r>
    </w:p>
    <w:p>
      <w:pPr>
        <w:spacing w:after="0" w:line="176"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We use third-party service providers to perform a variety of functions throughout our business, including hosting providers, CROs, and CMOs. We have a vendor management program to manage cybersecurity risks associated with our use of these providers. The program includes, as appropriate, risk assessments of vendors, reviewing our vendors’ information security program, reports, audits, and imposing relevant contractual obligations on our vendors.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w:t>
      </w:r>
    </w:p>
    <w:p>
      <w:pPr>
        <w:spacing w:after="0" w:line="189" w:lineRule="exact"/>
        <w:rPr>
          <w:sz w:val="20"/>
          <w:szCs w:val="20"/>
          <w:color w:val="auto"/>
        </w:rPr>
      </w:pPr>
    </w:p>
    <w:p>
      <w:pPr>
        <w:ind w:left="60" w:right="279" w:firstLine="648"/>
        <w:spacing w:after="0" w:line="256" w:lineRule="auto"/>
        <w:rPr>
          <w:sz w:val="20"/>
          <w:szCs w:val="20"/>
          <w:color w:val="auto"/>
        </w:rPr>
      </w:pPr>
      <w:r>
        <w:rPr>
          <w:rFonts w:ascii="Times New Roman" w:cs="Times New Roman" w:eastAsia="Times New Roman" w:hAnsi="Times New Roman"/>
          <w:sz w:val="18"/>
          <w:szCs w:val="18"/>
          <w:color w:val="auto"/>
        </w:rPr>
        <w:t>For a description of the risks from cybersecurity threats that may materially affect the Company and how they may do so, see our risk factors under Part 1. Item 1A. Risk Factors in this Annual Report on Form 10-K, including under the heading “If our information technology systems or data,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addresses the Company’s cybersecurity risk management as part of its general oversight function. The board of directors’ audit committee is responsible for overseeing the Company’s cybersecurity risk management processes, including oversight and mitigation of risks from cybersecurity threats.</w:t>
      </w:r>
    </w:p>
    <w:p>
      <w:pPr>
        <w:spacing w:after="0" w:line="176"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individuals in Company management, including our Senior Director of IT, and our Chief Financial Officer, and Treasurer, or the CFO.</w:t>
      </w:r>
    </w:p>
    <w:p>
      <w:pPr>
        <w:spacing w:after="0" w:line="176"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Our Senior Director of IT is currently responsible for integrating cybersecurity risk considerations into the Company’s overall risk management strategy, and communicating key priorities to relevant personnel. Our CFO has the overall IT and cybersecurity responsibility and is currently responsible for approving IT and cybersecurity related policies, processes, and procedures, approving related activities and budgets, helping prepare for cybersecurity incidents, and reviewing security assessments and other security-related reports.</w:t>
      </w:r>
    </w:p>
    <w:p>
      <w:pPr>
        <w:spacing w:after="0" w:line="183"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Our cybersecurity incident response policy is designed to escalate certain cybersecurity incidents to members of management depending on the circumstances, including our CFO and our President and Chief Executive Officer, as appropriate and provides for our management team to work with the Company’s incident response team to help the Company mitigate and remediate cybersecurity incidents of which they are notified. In addition, the Company’s incident response policy includes reporting to the audit committee of the board of directors for certain cybersecurity incidents.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As part of its oversight of the Company’s overall risk management, the audit committee is periodically updated by our CFO concerning cybersecurity threats and risks and the processes the Company has implemented to address them.</w:t>
      </w:r>
    </w:p>
    <w:p>
      <w:pPr>
        <w:spacing w:after="0" w:line="374"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Our corporate headquarters are located in Princeton, New Jersey, where we lease 10,817 square feet pursuant to a lease agreement dated as of September 11, 2024. The term of the lease is ten years and nine months from the date that the Company began to occupy the premises in the first quarter of 2025. We also currently lease 4,312 square feet of office space in New York, New York, pursuant to a lease agreement dated as of January 10, 2018. This lease was for six years from the date the Company began to occupy the premises and was to expire in April 2024. In August 2023, we entered into a lease amendment to extend the term to April 2025. In addition, we lease 4,783 square feet of combined office and laboratory space located in Nutley, New Jersey pursuant to a lease agreement dated as of February 11, 2019, as amended, which expires on February 14, 2027.</w:t>
      </w:r>
    </w:p>
    <w:p>
      <w:pPr>
        <w:spacing w:after="0" w:line="192"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Our wholly owned Danish subsidiary, Y-mAbs Therapeutics A/S, leases approximately 21,955 square feet of office space in Hørsholm, Denmark pursuant to a lease agreement dated September 26, 2021, which commenced on November 1, 2021. The lease is expected to last for 48 months, and we have the option, at our discretion, to terminate a portion of the lease. In January 2023, the Company notified the landlord of the Company’s intention to reduce the leased premises as a result of the Company’s January 2023 strategic restructuring.</w:t>
      </w:r>
    </w:p>
    <w:p>
      <w:pPr>
        <w:spacing w:after="0" w:line="183" w:lineRule="exact"/>
        <w:rPr>
          <w:sz w:val="20"/>
          <w:szCs w:val="20"/>
          <w:color w:val="auto"/>
        </w:rPr>
      </w:pPr>
    </w:p>
    <w:p>
      <w:pPr>
        <w:jc w:val="both"/>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We believe that suitable additional or alternative space for both our U.S. and Danish locations would be available as required in the future on commercially reasonable terms.</w:t>
      </w:r>
    </w:p>
    <w:p>
      <w:pPr>
        <w:spacing w:after="0" w:line="158"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7" w:lineRule="exact"/>
        <w:rPr>
          <w:sz w:val="20"/>
          <w:szCs w:val="20"/>
          <w:color w:val="auto"/>
        </w:rPr>
      </w:pPr>
    </w:p>
    <w:p>
      <w:pPr>
        <w:jc w:val="both"/>
        <w:ind w:left="60" w:right="159"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information called for by this item is incorporated herein by reference to the information set forth in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—LICENSE AGREEMENTS AND COMMITMENTS </w:t>
      </w:r>
      <w:r>
        <w:rPr>
          <w:rFonts w:ascii="Times New Roman" w:cs="Times New Roman" w:eastAsia="Times New Roman" w:hAnsi="Times New Roman"/>
          <w:sz w:val="18"/>
          <w:szCs w:val="18"/>
          <w:color w:val="auto"/>
        </w:rPr>
        <w:t>in the notes to the consolidated financial statements included in Item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 Financial Statements and Supplementary Data.</w:t>
      </w:r>
    </w:p>
    <w:p>
      <w:pPr>
        <w:spacing w:after="0" w:line="171"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w:t>
      </w:r>
    </w:p>
    <w:p>
      <w:pPr>
        <w:spacing w:after="0" w:line="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MATTERS AND ISSUER PURCHASES OF EQUITY SECURITIES.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Certain Information Regarding the Trading of Our Common Stock</w:t>
      </w:r>
    </w:p>
    <w:p>
      <w:pPr>
        <w:spacing w:after="0" w:line="229"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Our common stock trades under the symbol “YMAB” on The Nasdaq Global Select Market and has been publicly traded since September 21, 2018. Prior to this time, there was no public market for our common stock.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 of Our Common Stock</w:t>
      </w:r>
    </w:p>
    <w:p>
      <w:pPr>
        <w:spacing w:after="0" w:line="229"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As of February 25, 2025 there were 6 holders of record of shares of our common stock. This number does not include stockholders for whom shares are held in “nominee” or “street” name.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any future earnings for use in the operation of our business and do not anticipate paying any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72"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225" w:lineRule="exact"/>
        <w:rPr>
          <w:sz w:val="20"/>
          <w:szCs w:val="20"/>
          <w:color w:val="auto"/>
        </w:rPr>
      </w:pPr>
    </w:p>
    <w:p>
      <w:pPr>
        <w:ind w:left="1340" w:right="739" w:hanging="1295"/>
        <w:spacing w:after="0" w:line="286"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57"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accompanying consolidated financial statements and related notes thereto included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For a detailed discussion of these risks and uncertainties, see Item 1A “Risk Factors” in this Annual Report on Form 10-K. See also “Forward-Looking Statements.” We caution the reader not to place undue reliance on these forward-looking statements, which reflect management’s analysis only as of the date of this Annual Report on Form 10-K. We undertake no obligation to update forward-looking statements, to reflect events or circumstances occurring after the date of this Annual Report, except as required by law. For convenience of presentation some of the numbers have been rounded in the text below.</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We are a commercial-stage biopharmaceutical company focused on the development and commercialization of novel radioimmunotherapy, and antibody-based therapeutic products for the treatment of cancer. We are leveraging our proprietary radioimmunotherapy and antibody platforms, and our deep expertise in the field of radioimmunotherapy and antibodies to develop a broad portfolio of innovative medicines largely in the space of pre-targeted radio-isotope labeled therapeutics.</w:t>
      </w:r>
    </w:p>
    <w:p>
      <w:pPr>
        <w:spacing w:after="0" w:line="183"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Our mission is to become a global leader in developing better and safer radioimmunotherapy and antibody-based oncology therapies addressing clear unmet medical needs and, as such, have a transformational impact on the lives of patients. We intend to advance and expand our pipeline of therapeutic and diagnostic candidates into select adult and pediatric cancer indications either independently or in collaboration with potential partners.</w:t>
      </w:r>
    </w:p>
    <w:p>
      <w:pPr>
        <w:spacing w:after="0" w:line="180"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Our only approved drug DANYELZA (naxitamab-gqgk) received accelerated approval by the United States Food and Drug Administration, or the FDA, in November 2020 for the treatment, in combination with Granulocyte Macrophage Colony Stimulating Factor, or GM-CSF, of pediatric patients one year of age and older and adult patients with relapsed or refractory, or R/R, high risk neuroblastoma, or NB, in the bone or bone marrow who have demonstrated a partial response, minor response, or stable disease to prior therapy. We are commercializing DANYELZA in the United States and began shipping in February 2021. In October 2024, we achieved a three-year extension of DANYELZA U.S. patent through February 2034.</w:t>
      </w:r>
    </w:p>
    <w:p>
      <w:pPr>
        <w:spacing w:after="0" w:line="18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DANYELZA in combination with GM-CSF has been evaluated in a Phase 2 clinical study in front-line high-risk NB, or HR NB, for patients in first complete remission, including those that did not undergo autologous stem cell transplant. DANYELZA plus GM-CSF in combination with chemotherapy (irinotecan + temozolamide) was also evaluated and shown to be effective in patients with refractory or multiple relapsed HR-NB disease. DANYELZA is currently being evaluated in an ongoing pivotal-stage multicenter trial (Study 201) which is designed to satisfy the accelerated approval confirmatory study and post-marketing requirements of the FDA. The confirmatory post-marketing clinical trial required by the FDA to verify and to further characterize the clinical benefit is our ongoing Study 201, which is required to enroll a minimum of 80 evaluable patients with evaluable disease, with a minimal follow-up of 12 months from the onset of Complete Response/Partial Response, which is equivalent to at least a total 122 patients in Study 201. The study will report ORR, DOR, PFS and OS. The ORR is the primary endpoint for the study, DOR is the secondary endpoint, and PFS and OS are secondary endpoints in long-term follow-up. We have enrolled 109 patients, and we anticipate completing the study by March 31, 2027.</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addition, a Phase 2 clinical study in second line relapsed osteosarcoma patients with pulmonary-only recurrence and with complete surgical remission, has completed enrolment and is undergoing evaluation of results. On November 24, 2024 MSK published an abstract at Connective Tissue Oncology Society using DANYELZA Anti-Gd2 Antibody in an ISS multi-center osteosarcoma trial (Study 15-096). Per the results of this trial, the data missed the established end point of 12-month event free survival, or EFS, of 40%. The underlying EFS response rates were as follows:</w:t>
      </w:r>
    </w:p>
    <w:p>
      <w:pPr>
        <w:spacing w:after="0" w:line="183" w:lineRule="exact"/>
        <w:rPr>
          <w:sz w:val="20"/>
          <w:szCs w:val="20"/>
          <w:color w:val="auto"/>
        </w:rPr>
      </w:pPr>
    </w:p>
    <w:p>
      <w:pPr>
        <w:ind w:left="1380" w:hanging="331"/>
        <w:spacing w:after="0"/>
        <w:tabs>
          <w:tab w:leader="none" w:pos="13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population 14 out of 39 patients – 12-month EFS: 36%</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2nd CR: 37%</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3rd CR: 33%</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Looking into further association between 12-month EFS and GD2 expression</w:t>
      </w:r>
    </w:p>
    <w:p>
      <w:pPr>
        <w:spacing w:after="0" w:line="225" w:lineRule="exact"/>
        <w:rPr>
          <w:sz w:val="20"/>
          <w:szCs w:val="20"/>
          <w:color w:val="auto"/>
        </w:rPr>
      </w:pPr>
    </w:p>
    <w:p>
      <w:pPr>
        <w:ind w:left="1380" w:hanging="331"/>
        <w:spacing w:after="0"/>
        <w:tabs>
          <w:tab w:leader="none" w:pos="1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of 16 GD2 positive patients (31%) were event free at 12 months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of 8 GD2 positive patients (50%) with 4+ staining intensity were event free at 12 months</w:t>
      </w:r>
    </w:p>
    <w:p>
      <w:pPr>
        <w:spacing w:after="0" w:line="225"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believe that this data shows DANYELZA’s potential to serve a high unmet need within osteosarcoma where survival rates have shown little or no improvement in decades. With the current standard of care, 12-months EFS is typically approximately 20% (as reported in various published reports). We also believe that the data supporting the use of DANYELZA for targeting GD2 is very compelling and worth further development. We are considering the advancement of a diagnostic tool for GD2, which could prove to be a valuable tool for a potential pivotal trial in this or other GD2 related indications.</w:t>
      </w:r>
    </w:p>
    <w:p>
      <w:pPr>
        <w:spacing w:after="0" w:line="18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Our partner the Beat Childhood Cancer Research Consortium, or BCC, is leading a multi-center Phase 2 trial evaluating naxitamab in combination with standard induction therapy for patients with newly diagnosed HR NB. Twenty-two sites are active with additional sites pending, 12 patients have been treated with recruitment ongoing. An amended protocol transitioning to a comparison with an external control is currently in process and being evaluated. We expect the trial to transition from a single-arm trial, to a comparative trial with an external control arm that reflects current standard of care for induction therapy with comparable patient population that is carefully selected and propensity score matched. The trial aim is to demonstrate superiority in complete response at the end of induction therapy in the naxitamab arm versus the standard of care.</w:t>
      </w:r>
    </w:p>
    <w:p>
      <w:pPr>
        <w:spacing w:after="0" w:line="192" w:lineRule="exact"/>
        <w:rPr>
          <w:sz w:val="20"/>
          <w:szCs w:val="20"/>
          <w:color w:val="auto"/>
        </w:rPr>
      </w:pPr>
    </w:p>
    <w:p>
      <w:pPr>
        <w:jc w:val="both"/>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BCC is also conducting a Phase 2, multi-center, non-randomized, trial evaluating naxitamab in combination with tipifarnib (farnesyltransferase inhibitor) in patients with relapsed/refractory HR NB. The study was initiated in December 2024, and currently has one active site, is expected to be multi-center with a target enrollment of 98 patients by 2030. The trial is utilizing commercial supply of naxitamab.</w:t>
      </w:r>
    </w:p>
    <w:p>
      <w:pPr>
        <w:spacing w:after="0" w:line="180" w:lineRule="exact"/>
        <w:rPr>
          <w:sz w:val="20"/>
          <w:szCs w:val="20"/>
          <w:color w:val="auto"/>
        </w:rPr>
      </w:pPr>
    </w:p>
    <w:p>
      <w:pPr>
        <w:ind w:left="60" w:right="219" w:firstLine="648"/>
        <w:spacing w:after="0" w:line="277" w:lineRule="auto"/>
        <w:rPr>
          <w:sz w:val="20"/>
          <w:szCs w:val="20"/>
          <w:color w:val="auto"/>
        </w:rPr>
      </w:pPr>
      <w:r>
        <w:rPr>
          <w:rFonts w:ascii="Times New Roman" w:cs="Times New Roman" w:eastAsia="Times New Roman" w:hAnsi="Times New Roman"/>
          <w:sz w:val="17"/>
          <w:szCs w:val="17"/>
          <w:color w:val="auto"/>
        </w:rPr>
        <w:t>In advanced breast cancer, we are partnering with the Ohio State University on a Phase 1b/2 trial investigating TGFβ natural killer, or NK cells, gemcitabine plus naxitamab in patients with GD2-positive, HER2-negative metastatic breast cancer. The recruiting for patients was initiated in the third quarter of 2024. Evaluation of dose-limiting toxicities with the combination of gemcitabine and NK cells, and the persistence of NK cells in the blood, will be followed by the addition of naxitamab. Upon the outcome of this trial, we may consider moving forward with a multi-center Phase 2 trial.</w:t>
      </w:r>
    </w:p>
    <w:p>
      <w:pPr>
        <w:spacing w:after="0" w:line="168"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In patients with GD2-positive refractory Ewing sarcoma, the Institute of Mother and Child in Poland is leading a randomized Phase 2 trial evaluating the efficacy and safety of naxitamab. This trial was initiated during the fourth quarter of 2023. Three patients have been treated in the naxitamab arm and recruitment is ongoing as of December 31, 2024. A total of 16 patients are expected in the naxitamab arm. The trial is expected to complete in 2028.</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In addition, we are in discussions with the MD Anderson Cancer Center to initiate a multi-center Phase 1/2 study with a Phase 1 run-in, that seeks to test the hypothesis that the addition of naxitamab to current standard of care will increase the objective response rate in patients with metastatic Triple Negative Breast Cancer who have received at least one prior line of systemic therapy for metastatic disease. The study, which is anticipated to start in the first quarter of 2026, is anticipated to further inform us on a future Phase 2 program in Triple Negative Breast Cancer..</w:t>
      </w:r>
    </w:p>
    <w:p>
      <w:pPr>
        <w:spacing w:after="0" w:line="183"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We are using our proprietary SADA PRIT Technology to advance a series of antibody fragments, using a two-step pre-targeting approach. The antibody fragments bind to the tumor before a radioactive payload is subsequently injected. The aim is specifically to deliver the radioactive payload to the tumor while minimizing exposure to normal tissue as indicated in non-clinical studies.</w:t>
      </w:r>
    </w:p>
    <w:p>
      <w:pPr>
        <w:spacing w:after="0" w:line="180"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GD2-SADA for potential use in GD2-positive solid tumors is our first SADA PRIT construct, and we had our first clinical patients dosed in April 2023 in our Phase 1, dose-escalation, single-arm, open-label, non-randomized, multicenter trial, for the treatment of certain solid tumor cancers, including small cell lung cancer, sarcoma, and malignant melanoma. The latest patient cohort, cohort 6, started to dose patients in the fourth quarter of 2024, and has expanded to include patients with HR NB (16 years of age or above). We currently have seven active treatment sites. Patients dosed with the GD2-SADA protein have not experienced dose limiting toxicities or treatment related serious adverse events. Based on the SPECT/CT scans performed, we believe that we have demonstrated proof of concept for GD2-SADA by demonstrating that the GD2-SADA molecules can find and bind to tumors and that the radionuclide targets the SADA molecules. We have completed cohorts 1 to 5, using a radioactive payload up to 200 mCi and a two to five days interval between the SADA protein and the payload. The initial blood pharmacokinetic (“PK”) profile of the construct in these patients dosed with the 0.3 mg/kg, 1 mg/kg and 3 mg/kg of protein appears to match our pre-clinical models in terms of clearance data, and the blood PK profiles from patients are comparable and supportive of the current dose interval of two to five days.</w:t>
      </w:r>
    </w:p>
    <w:p>
      <w:pPr>
        <w:spacing w:after="0" w:line="179"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We are currently enrolling and evaluating patients for our first hematological target, the CD38-SADA construct for the treatment of patients with Relapsed or Refractory Non-Hodgkin Lymphoma. We believe the SADA PRIT Technology could potentially improve the efficacy of immunological therapeutics, e.g., naked monoclonal antibodies, in tumors that have not historically demonstrated meaningful responses to immunological agents.</w:t>
      </w:r>
    </w:p>
    <w:p>
      <w:pPr>
        <w:spacing w:after="0" w:line="180" w:lineRule="exact"/>
        <w:rPr>
          <w:sz w:val="20"/>
          <w:szCs w:val="20"/>
          <w:color w:val="auto"/>
        </w:rPr>
      </w:pPr>
    </w:p>
    <w:p>
      <w:pPr>
        <w:ind w:left="60" w:right="79" w:firstLine="648"/>
        <w:spacing w:after="0" w:line="242" w:lineRule="auto"/>
        <w:rPr>
          <w:sz w:val="20"/>
          <w:szCs w:val="20"/>
          <w:color w:val="auto"/>
        </w:rPr>
      </w:pPr>
      <w:r>
        <w:rPr>
          <w:rFonts w:ascii="Times New Roman" w:cs="Times New Roman" w:eastAsia="Times New Roman" w:hAnsi="Times New Roman"/>
          <w:sz w:val="18"/>
          <w:szCs w:val="18"/>
          <w:color w:val="auto"/>
        </w:rPr>
        <w:t xml:space="preserve">In January 2023, following receipt of a complete response letter in November 2022 from the FDA for our Biologics License Application for radiolabeled </w:t>
      </w:r>
      <w:r>
        <w:rPr>
          <w:rFonts w:ascii="Times New Roman" w:cs="Times New Roman" w:eastAsia="Times New Roman" w:hAnsi="Times New Roman"/>
          <w:sz w:val="26"/>
          <w:szCs w:val="26"/>
          <w:color w:val="auto"/>
          <w:vertAlign w:val="superscript"/>
        </w:rPr>
        <w:t>131</w:t>
      </w:r>
      <w:r>
        <w:rPr>
          <w:rFonts w:ascii="Times New Roman" w:cs="Times New Roman" w:eastAsia="Times New Roman" w:hAnsi="Times New Roman"/>
          <w:sz w:val="18"/>
          <w:szCs w:val="18"/>
          <w:color w:val="auto"/>
        </w:rPr>
        <w:t>I-omburtamab for central nervous system leptomeningeal metastases, or CNS-LM, we announced a strategic restructuring plan designed to extend our cash resources and prioritize resources on the commercialization and potential label extension of DANYELZA and development of the SADA PRIT Technology platform. In connection with the restructuring, we determined to deprioritize our radiolabeled omburtamab development program for CNS-LM, which was ultimately stopped in November 2024 in connection with an amendment to our license agreement with MSK. In addition, as part of the restructuring plan, we deprioritized other pipeline programs, including activities relating to the GD2-GD3 Vaccine and CD33 bispecific antibody constructs by delaying trial initiation and overall timelines to continue focusing our development resources on additional indications for DANYELZA and potential applications for our SADA PRIT technology platform as part of the restructuring plan. We completed the restructuring in May 2023, which resulted in an approximately 35% reduction to our then workforce.</w:t>
      </w:r>
    </w:p>
    <w:p>
      <w:pPr>
        <w:spacing w:after="0" w:line="203"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January 2025, we announced a business realignment plan designed to optimize our operations by aligning dedicated internal resources to two business units, with the goal of increasing operational flexibility and speed, and accelerating clinical development within our radiopharmaceutical platform. Pursuant to the plan, the Company now has two business units, one that is focused on expanding market access to DANYELZA and progressing the clinical and commercial development of naxitamab in other indications and for potential label expansion, and another that is focused on progressing the radiopharmaceutical platform, including the SADA PRIT technology platform and our early-stage pipeline, with a shared general administrative function. In connection with this business realignment, the Company expects a reduction in its current workforce by up to approximately 13%, which we expect will be completed by the first half of 2026. Following this business realignment, we will have two business units – DANYELZA and Radiotherapies. Each of them will comprise a reportable segment. All historical segment financial information will be recast to conform to this new reporting structure in our financial statements and accompanying notes beginning with our Quarterly Report on Form 10-Q for the quarter ending March 31,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auto"/>
        </w:rPr>
        <w:t>We estimate that our cash and cash equivalents, when combined with anticipated DANYELZA revenues, are sufficient to fund operations as currently planned into 2027.</w:t>
      </w:r>
    </w:p>
    <w:p>
      <w:pPr>
        <w:spacing w:after="0" w:line="162"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This estimate reflects our current business plan, including our development plans and business strategy following the business realignment which is supported by assumptions that may prove to be inaccurate, such that we could use our available capital resources sooner than we currently expect.</w:t>
      </w:r>
    </w:p>
    <w:p>
      <w:pPr>
        <w:spacing w:after="0" w:line="176"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Since our inception on April 30, 2015, we have devoted substantially all of our resources to organizing and staffing our company, business planning, identifying potential product candidates, conducting pre-clinical studies of our product candidates and clinical trials of our lead product candidates, commercializing our approved product, raising capital, and acquiring and developing our technology platform among other matters. We developed DANYELZA and our product candidates based on intellectual property subject to several license agreements with MSK, and one agreement with the Massachusetts Institute of Technology. These agreements are important to our business; for a more detailed discussion of their terms and conditions, see </w:t>
      </w:r>
      <w:r>
        <w:rPr>
          <w:rFonts w:ascii="Times New Roman" w:cs="Times New Roman" w:eastAsia="Times New Roman" w:hAnsi="Times New Roman"/>
          <w:sz w:val="18"/>
          <w:szCs w:val="18"/>
          <w:i w:val="1"/>
          <w:iCs w:val="1"/>
          <w:color w:val="auto"/>
        </w:rPr>
        <w:t>NOTE 9—LICENSE AGREEMENTS AND COMMITMENTS</w:t>
      </w:r>
      <w:r>
        <w:rPr>
          <w:rFonts w:ascii="Times New Roman" w:cs="Times New Roman" w:eastAsia="Times New Roman" w:hAnsi="Times New Roman"/>
          <w:sz w:val="18"/>
          <w:szCs w:val="18"/>
          <w:color w:val="auto"/>
        </w:rPr>
        <w:t xml:space="preserve"> in the notes to the consolidated financial statements included in Item 8. Financial Statements and Supplementary Data.</w:t>
      </w:r>
    </w:p>
    <w:p>
      <w:pPr>
        <w:spacing w:after="0" w:line="192"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private placements of our securities, proceeds from our IPO and proceeds from our two subsequent public offerings, product and license revenues generated from DANYELZA, and the proceeds from our sale of the Priority Review Voucher, or PRV, obtained upon FDA approval of DANYELZA.</w:t>
      </w:r>
    </w:p>
    <w:p>
      <w:pPr>
        <w:spacing w:after="0" w:line="180"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2024 and December 31, 2023, we had an accumulated deficit of $487.1 million and $457.5 million, respectively. For the years ended December 31, 2024 and 2023, our net loss was $29.7 million and $21.4 million, respectively. We have incurred significant net operating losses in every year since our inception. We expect our net operating losses to continue in the future until, if ever, our DANYELZA product revenue provides sufficient funds to help fund our significant research and development expenses. Our net losses may fluctuate significantly from quarter to quarter and year to year as we:</w:t>
      </w:r>
    </w:p>
    <w:p>
      <w:pPr>
        <w:spacing w:after="0" w:line="187" w:lineRule="exact"/>
        <w:rPr>
          <w:sz w:val="20"/>
          <w:szCs w:val="20"/>
          <w:color w:val="auto"/>
        </w:rPr>
      </w:pPr>
    </w:p>
    <w:p>
      <w:pPr>
        <w:ind w:left="1020" w:right="799" w:hanging="322"/>
        <w:spacing w:after="0" w:line="282" w:lineRule="auto"/>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our lead product candidates through the regulatory process both in the U.S. and internationally;</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our other product candidates through pre-clinical and clinical development;</w:t>
      </w:r>
    </w:p>
    <w:p>
      <w:pPr>
        <w:spacing w:after="0" w:line="225" w:lineRule="exact"/>
        <w:rPr>
          <w:rFonts w:ascii="Times New Roman" w:cs="Times New Roman" w:eastAsia="Times New Roman" w:hAnsi="Times New Roman"/>
          <w:sz w:val="18"/>
          <w:szCs w:val="18"/>
          <w:color w:val="auto"/>
        </w:rPr>
      </w:pPr>
    </w:p>
    <w:p>
      <w:pPr>
        <w:ind w:left="1020" w:right="439" w:hanging="322"/>
        <w:spacing w:after="0" w:line="282" w:lineRule="auto"/>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identify additional research programs and additional product candidates, as well as additional indications for existing product candidates;</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studies and clinical trials for any additional product candidates we identify;</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expand and protect our intellectual property portfolio; and</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research, sales force, commercialization, clinical and scientific personnel.</w:t>
      </w:r>
    </w:p>
    <w:p>
      <w:pPr>
        <w:spacing w:after="0" w:line="225"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For DANYELZA, and for any other product candidates for which we obtain regulatory approval, if any, we expect to incur milestone costs, as well as commercialization expenses related to product sales, marketing, manufacturing and distribution. Accordingly, we may continue to fund our operations through public or private equity or debt financing or other sources, including strategic collaborations.</w:t>
      </w:r>
    </w:p>
    <w:p>
      <w:pPr>
        <w:spacing w:after="0" w:line="180"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We may, however, be unable to raise additional funds or enter into such other arrangements when needed on favorable terms or at all. Our failure to raise capital or enter into such other arrangements as and when needed would have a negative impact on our financial condition and our ability to develop our current product candidates, or any additional product candidates. Because of the numerous risks and uncertainties associated with the development of our existing product candidates and any future product candidates, our platform and technology and because the extent to which we may enter into collaborations with third parties for development of any of our product candidates is uncertain, we are unable to estimate the amounts of increased capital outlays and operating expenses associated with completing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the research and development of our product candidates. If we raise additional funds through collaborations, strategic alliances, or licensing arrangements with third parties, we may have to relinquish valuable rights to our technologies, future revenue streams, research programs, product candidates or grant licenses on terms that may not be favorable to us and could have a negative impact on our financial condition.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Product Revenue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Product revenue consists of sales of DANYELZA, and royalty revenue generated from the sales of DANYELZA.</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License Revenue</w:t>
      </w:r>
    </w:p>
    <w:p>
      <w:pPr>
        <w:spacing w:after="0" w:line="227" w:lineRule="exact"/>
        <w:rPr>
          <w:sz w:val="20"/>
          <w:szCs w:val="20"/>
          <w:color w:val="auto"/>
        </w:rPr>
      </w:pPr>
    </w:p>
    <w:p>
      <w:pPr>
        <w:ind w:left="60" w:right="99" w:firstLine="648"/>
        <w:spacing w:after="0" w:line="267" w:lineRule="auto"/>
        <w:rPr>
          <w:sz w:val="20"/>
          <w:szCs w:val="20"/>
          <w:color w:val="auto"/>
        </w:rPr>
      </w:pPr>
      <w:r>
        <w:rPr>
          <w:rFonts w:ascii="Times New Roman" w:cs="Times New Roman" w:eastAsia="Times New Roman" w:hAnsi="Times New Roman"/>
          <w:sz w:val="18"/>
          <w:szCs w:val="18"/>
          <w:color w:val="auto"/>
        </w:rPr>
        <w:t xml:space="preserve">License revenue consists of payments received for the licensing rights to DANYELZA. Refer to </w:t>
      </w:r>
      <w:r>
        <w:rPr>
          <w:rFonts w:ascii="Times New Roman" w:cs="Times New Roman" w:eastAsia="Times New Roman" w:hAnsi="Times New Roman"/>
          <w:sz w:val="18"/>
          <w:szCs w:val="18"/>
          <w:i w:val="1"/>
          <w:iCs w:val="1"/>
          <w:color w:val="auto"/>
        </w:rPr>
        <w:t>NOTE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SUMMARY OF SIGNIFICANT ACCOUNTING POLICIES </w:t>
      </w:r>
      <w:r>
        <w:rPr>
          <w:rFonts w:ascii="Times New Roman" w:cs="Times New Roman" w:eastAsia="Times New Roman" w:hAnsi="Times New Roman"/>
          <w:sz w:val="18"/>
          <w:szCs w:val="18"/>
          <w:color w:val="auto"/>
        </w:rPr>
        <w:t>in the notes to the consolidated financial statements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Item 8. Financial Statements and Supplementary Data for additional details.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Cost of goods sold includes direct and indirect costs related to the manufacturing and distribution of DANYELZA, including materials, third-party manufacturing costs, packaging services, freight, labor costs for personnel involved in the manufacturing process, indirect overhead costs, third-party royalties payable on our net product revenues and charges for excess and obsolete inventory reserves and inventory write-offs.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royalties</w:t>
      </w:r>
    </w:p>
    <w:p>
      <w:pPr>
        <w:spacing w:after="0" w:line="227"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License royalties include third-party royalty expenses related to license revenues that have been recognized by the Company.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of expenses incurred in connection with the discovery and development of our product candidates. We expense research and development costs as incurred. These expenses include, but are not limited to:</w:t>
      </w:r>
    </w:p>
    <w:p>
      <w:pPr>
        <w:spacing w:after="0" w:line="189" w:lineRule="exact"/>
        <w:rPr>
          <w:sz w:val="20"/>
          <w:szCs w:val="20"/>
          <w:color w:val="auto"/>
        </w:rPr>
      </w:pPr>
    </w:p>
    <w:p>
      <w:pPr>
        <w:ind w:left="1000" w:right="539" w:hanging="275"/>
        <w:spacing w:after="0" w:line="362" w:lineRule="auto"/>
        <w:tabs>
          <w:tab w:leader="none" w:pos="10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sponsored research, laboratory facility services, clinical trial and data service at MSK under the Sponsored Research Agreements, or the SRAs, the two CFSAs, the MCTA, and the MDSA, with MSK;</w:t>
      </w:r>
    </w:p>
    <w:p>
      <w:pPr>
        <w:spacing w:after="0" w:line="125" w:lineRule="exact"/>
        <w:rPr>
          <w:rFonts w:ascii="Times New Roman" w:cs="Times New Roman" w:eastAsia="Times New Roman" w:hAnsi="Times New Roman"/>
          <w:sz w:val="17"/>
          <w:szCs w:val="17"/>
          <w:color w:val="auto"/>
        </w:rPr>
      </w:pPr>
    </w:p>
    <w:p>
      <w:pPr>
        <w:ind w:left="1000" w:right="959" w:hanging="275"/>
        <w:spacing w:after="0" w:line="329"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CROs, as well as investigative sites and consultants that conduct our non-clinical and pre-clinical studies and clinical trials;</w:t>
      </w:r>
    </w:p>
    <w:p>
      <w:pPr>
        <w:spacing w:after="0" w:line="148" w:lineRule="exact"/>
        <w:rPr>
          <w:rFonts w:ascii="Times New Roman" w:cs="Times New Roman" w:eastAsia="Times New Roman" w:hAnsi="Times New Roman"/>
          <w:sz w:val="18"/>
          <w:szCs w:val="18"/>
          <w:color w:val="auto"/>
        </w:rPr>
      </w:pPr>
    </w:p>
    <w:p>
      <w:pPr>
        <w:ind w:left="1000" w:right="399" w:hanging="275"/>
        <w:spacing w:after="0" w:line="289"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CMOs, including manufacturing scale-up expenses and the cost of acquiring and manufacturing pre-clinical study and clinical trial materials, including manufacturing of validation batches;</w:t>
      </w:r>
    </w:p>
    <w:p>
      <w:pPr>
        <w:spacing w:after="0" w:line="156" w:lineRule="exact"/>
        <w:rPr>
          <w:rFonts w:ascii="Times New Roman" w:cs="Times New Roman" w:eastAsia="Times New Roman" w:hAnsi="Times New Roman"/>
          <w:sz w:val="18"/>
          <w:szCs w:val="18"/>
          <w:color w:val="auto"/>
        </w:rPr>
      </w:pPr>
    </w:p>
    <w:p>
      <w:pPr>
        <w:ind w:left="1000" w:hanging="275"/>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upfront, milestone and other non-revenue related payments due under our third-party licensing agreements;</w:t>
      </w:r>
    </w:p>
    <w:p>
      <w:pPr>
        <w:spacing w:after="0" w:line="225" w:lineRule="exact"/>
        <w:rPr>
          <w:rFonts w:ascii="Times New Roman" w:cs="Times New Roman" w:eastAsia="Times New Roman" w:hAnsi="Times New Roman"/>
          <w:sz w:val="18"/>
          <w:szCs w:val="18"/>
          <w:color w:val="auto"/>
        </w:rPr>
      </w:pPr>
    </w:p>
    <w:p>
      <w:pPr>
        <w:ind w:left="1000" w:hanging="275"/>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which include salaries, benefits, travel and stock-based compensation;</w:t>
      </w:r>
    </w:p>
    <w:p>
      <w:pPr>
        <w:spacing w:after="0" w:line="225" w:lineRule="exact"/>
        <w:rPr>
          <w:rFonts w:ascii="Times New Roman" w:cs="Times New Roman" w:eastAsia="Times New Roman" w:hAnsi="Times New Roman"/>
          <w:sz w:val="18"/>
          <w:szCs w:val="18"/>
          <w:color w:val="auto"/>
        </w:rPr>
      </w:pPr>
    </w:p>
    <w:p>
      <w:pPr>
        <w:ind w:left="1000" w:hanging="275"/>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regulatory activities, including filing fees paid to regulatory agencies;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00" w:hanging="275"/>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outsourced professional scientific development services; and</w:t>
      </w:r>
    </w:p>
    <w:p>
      <w:pPr>
        <w:spacing w:after="0" w:line="238" w:lineRule="exact"/>
        <w:rPr>
          <w:rFonts w:ascii="Times New Roman" w:cs="Times New Roman" w:eastAsia="Times New Roman" w:hAnsi="Times New Roman"/>
          <w:sz w:val="18"/>
          <w:szCs w:val="18"/>
          <w:color w:val="auto"/>
        </w:rPr>
      </w:pPr>
    </w:p>
    <w:p>
      <w:pPr>
        <w:ind w:left="1000" w:right="739" w:hanging="275"/>
        <w:spacing w:after="0" w:line="329"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expenses for utilities and other facility-related costs, including rent, insurance, supplies and maintenance expenses, and other operating costs.</w:t>
      </w:r>
    </w:p>
    <w:p>
      <w:pPr>
        <w:spacing w:after="0" w:line="135"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The successful development and regulatory approval of our product candidates is highly uncertain. At this time, we cannot reasonably estimate or know the nature, timing and costs of the efforts that will be necessary to complete the remainder of the development of DANYELZA or any other product candidates we may develop. This uncertainty is due to the numerous risks and uncertainties associated with the duration and cost of clinical trials, which vary significantly over the life of a project as a result of many factors, including, but not limited to:</w:t>
      </w:r>
    </w:p>
    <w:p>
      <w:pPr>
        <w:spacing w:after="0" w:line="197" w:lineRule="exact"/>
        <w:rPr>
          <w:sz w:val="20"/>
          <w:szCs w:val="20"/>
          <w:color w:val="auto"/>
        </w:rPr>
      </w:pPr>
    </w:p>
    <w:p>
      <w:pPr>
        <w:ind w:left="1000" w:hanging="275"/>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sites included in the trials;</w:t>
      </w:r>
    </w:p>
    <w:p>
      <w:pPr>
        <w:spacing w:after="0" w:line="265" w:lineRule="exact"/>
        <w:rPr>
          <w:rFonts w:ascii="Times New Roman" w:cs="Times New Roman" w:eastAsia="Times New Roman" w:hAnsi="Times New Roman"/>
          <w:sz w:val="18"/>
          <w:szCs w:val="18"/>
          <w:color w:val="auto"/>
        </w:rPr>
      </w:pPr>
    </w:p>
    <w:p>
      <w:pPr>
        <w:ind w:left="1000" w:right="959" w:hanging="275"/>
        <w:spacing w:after="0" w:line="329"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length of time required to enroll a sufficient number of suitable patients in our clinical trials;</w:t>
      </w:r>
    </w:p>
    <w:p>
      <w:pPr>
        <w:spacing w:after="0" w:line="148" w:lineRule="exact"/>
        <w:rPr>
          <w:rFonts w:ascii="Times New Roman" w:cs="Times New Roman" w:eastAsia="Times New Roman" w:hAnsi="Times New Roman"/>
          <w:sz w:val="18"/>
          <w:szCs w:val="18"/>
          <w:color w:val="auto"/>
        </w:rPr>
      </w:pPr>
    </w:p>
    <w:p>
      <w:pPr>
        <w:ind w:left="1000" w:right="899" w:hanging="275"/>
        <w:spacing w:after="0" w:line="329"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probability of success for our product candidates, including the safety and efficacy, early clinical data, competition, manufacturing capability and commercial viability;</w:t>
      </w:r>
    </w:p>
    <w:p>
      <w:pPr>
        <w:spacing w:after="0" w:line="134" w:lineRule="exact"/>
        <w:rPr>
          <w:rFonts w:ascii="Times New Roman" w:cs="Times New Roman" w:eastAsia="Times New Roman" w:hAnsi="Times New Roman"/>
          <w:sz w:val="18"/>
          <w:szCs w:val="18"/>
          <w:color w:val="auto"/>
        </w:rPr>
      </w:pPr>
    </w:p>
    <w:p>
      <w:pPr>
        <w:ind w:left="1000" w:hanging="275"/>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and regulatory guidance;</w:t>
      </w:r>
    </w:p>
    <w:p>
      <w:pPr>
        <w:spacing w:after="0" w:line="225" w:lineRule="exact"/>
        <w:rPr>
          <w:rFonts w:ascii="Times New Roman" w:cs="Times New Roman" w:eastAsia="Times New Roman" w:hAnsi="Times New Roman"/>
          <w:sz w:val="18"/>
          <w:szCs w:val="18"/>
          <w:color w:val="auto"/>
        </w:rPr>
      </w:pPr>
    </w:p>
    <w:p>
      <w:pPr>
        <w:ind w:left="1000" w:hanging="275"/>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existing and any future collaborators;</w:t>
      </w:r>
    </w:p>
    <w:p>
      <w:pPr>
        <w:spacing w:after="0" w:line="225" w:lineRule="exact"/>
        <w:rPr>
          <w:rFonts w:ascii="Times New Roman" w:cs="Times New Roman" w:eastAsia="Times New Roman" w:hAnsi="Times New Roman"/>
          <w:sz w:val="18"/>
          <w:szCs w:val="18"/>
          <w:color w:val="auto"/>
        </w:rPr>
      </w:pPr>
    </w:p>
    <w:p>
      <w:pPr>
        <w:ind w:left="1000" w:hanging="275"/>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patients receive;</w:t>
      </w:r>
    </w:p>
    <w:p>
      <w:pPr>
        <w:spacing w:after="0" w:line="225" w:lineRule="exact"/>
        <w:rPr>
          <w:rFonts w:ascii="Times New Roman" w:cs="Times New Roman" w:eastAsia="Times New Roman" w:hAnsi="Times New Roman"/>
          <w:sz w:val="18"/>
          <w:szCs w:val="18"/>
          <w:color w:val="auto"/>
        </w:rPr>
      </w:pPr>
    </w:p>
    <w:p>
      <w:pPr>
        <w:ind w:left="1000" w:hanging="275"/>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w:t>
      </w:r>
    </w:p>
    <w:p>
      <w:pPr>
        <w:spacing w:after="0" w:line="225" w:lineRule="exact"/>
        <w:rPr>
          <w:rFonts w:ascii="Times New Roman" w:cs="Times New Roman" w:eastAsia="Times New Roman" w:hAnsi="Times New Roman"/>
          <w:sz w:val="18"/>
          <w:szCs w:val="18"/>
          <w:color w:val="auto"/>
        </w:rPr>
      </w:pPr>
    </w:p>
    <w:p>
      <w:pPr>
        <w:ind w:left="1000" w:hanging="275"/>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and pre-clinical studies;</w:t>
      </w:r>
    </w:p>
    <w:p>
      <w:pPr>
        <w:spacing w:after="0" w:line="225" w:lineRule="exact"/>
        <w:rPr>
          <w:rFonts w:ascii="Times New Roman" w:cs="Times New Roman" w:eastAsia="Times New Roman" w:hAnsi="Times New Roman"/>
          <w:sz w:val="18"/>
          <w:szCs w:val="18"/>
          <w:color w:val="auto"/>
        </w:rPr>
      </w:pPr>
    </w:p>
    <w:p>
      <w:pPr>
        <w:ind w:left="1000" w:hanging="275"/>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commercial manufacturing capabilities;</w:t>
      </w:r>
    </w:p>
    <w:p>
      <w:pPr>
        <w:spacing w:after="0" w:line="238" w:lineRule="exact"/>
        <w:rPr>
          <w:rFonts w:ascii="Times New Roman" w:cs="Times New Roman" w:eastAsia="Times New Roman" w:hAnsi="Times New Roman"/>
          <w:sz w:val="18"/>
          <w:szCs w:val="18"/>
          <w:color w:val="auto"/>
        </w:rPr>
      </w:pPr>
    </w:p>
    <w:p>
      <w:pPr>
        <w:ind w:left="1000" w:right="839" w:hanging="275"/>
        <w:spacing w:after="0" w:line="329"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ongoing availability of raw materials and drug substance for clinical development and any commercial sales;</w:t>
      </w:r>
    </w:p>
    <w:p>
      <w:pPr>
        <w:spacing w:after="0" w:line="148" w:lineRule="exact"/>
        <w:rPr>
          <w:rFonts w:ascii="Times New Roman" w:cs="Times New Roman" w:eastAsia="Times New Roman" w:hAnsi="Times New Roman"/>
          <w:sz w:val="18"/>
          <w:szCs w:val="18"/>
          <w:color w:val="auto"/>
        </w:rPr>
      </w:pPr>
    </w:p>
    <w:p>
      <w:pPr>
        <w:ind w:left="1000" w:right="579" w:hanging="275"/>
        <w:spacing w:after="0" w:line="329"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potential regulatory approvals, including the timing of any BLA and Marketing Authorization Application, or MAA, submissions and their acceptance;</w:t>
      </w:r>
    </w:p>
    <w:p>
      <w:pPr>
        <w:spacing w:after="0" w:line="148" w:lineRule="exact"/>
        <w:rPr>
          <w:rFonts w:ascii="Times New Roman" w:cs="Times New Roman" w:eastAsia="Times New Roman" w:hAnsi="Times New Roman"/>
          <w:sz w:val="18"/>
          <w:szCs w:val="18"/>
          <w:color w:val="auto"/>
        </w:rPr>
      </w:pPr>
    </w:p>
    <w:p>
      <w:pPr>
        <w:ind w:left="1000" w:right="699" w:hanging="275"/>
        <w:spacing w:after="0" w:line="289"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receipt of marketing approvals, including a safety, tolerability and efficacy profile that is satisfactory to the FDA, the EMA, and the European Commission or any other non-U.S. regulatory authority;</w:t>
      </w:r>
    </w:p>
    <w:p>
      <w:pPr>
        <w:spacing w:after="0" w:line="170" w:lineRule="exact"/>
        <w:rPr>
          <w:rFonts w:ascii="Times New Roman" w:cs="Times New Roman" w:eastAsia="Times New Roman" w:hAnsi="Times New Roman"/>
          <w:sz w:val="18"/>
          <w:szCs w:val="18"/>
          <w:color w:val="auto"/>
        </w:rPr>
      </w:pPr>
    </w:p>
    <w:p>
      <w:pPr>
        <w:ind w:left="1000" w:right="619" w:hanging="275"/>
        <w:spacing w:after="0" w:line="329"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by the FDA, the EMA and the European Commission or any other non-US regulatory authority to conduct post market surveillance or safety studies;</w:t>
      </w:r>
    </w:p>
    <w:p>
      <w:pPr>
        <w:spacing w:after="0" w:line="148" w:lineRule="exact"/>
        <w:rPr>
          <w:rFonts w:ascii="Times New Roman" w:cs="Times New Roman" w:eastAsia="Times New Roman" w:hAnsi="Times New Roman"/>
          <w:sz w:val="18"/>
          <w:szCs w:val="18"/>
          <w:color w:val="auto"/>
        </w:rPr>
      </w:pPr>
    </w:p>
    <w:p>
      <w:pPr>
        <w:ind w:left="1000" w:right="899" w:hanging="275"/>
        <w:spacing w:after="0" w:line="329"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of filing, prosecuting, defending and enforcing any patent claims and other intellectual property rights; and</w:t>
      </w:r>
    </w:p>
    <w:p>
      <w:pPr>
        <w:spacing w:after="0" w:line="134" w:lineRule="exact"/>
        <w:rPr>
          <w:rFonts w:ascii="Times New Roman" w:cs="Times New Roman" w:eastAsia="Times New Roman" w:hAnsi="Times New Roman"/>
          <w:sz w:val="18"/>
          <w:szCs w:val="18"/>
          <w:color w:val="auto"/>
        </w:rPr>
      </w:pPr>
    </w:p>
    <w:p>
      <w:pPr>
        <w:ind w:left="1000" w:hanging="275"/>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commercialization of approved products.</w:t>
      </w:r>
    </w:p>
    <w:p>
      <w:pPr>
        <w:spacing w:after="0" w:line="225" w:lineRule="exact"/>
        <w:rPr>
          <w:sz w:val="20"/>
          <w:szCs w:val="20"/>
          <w:color w:val="auto"/>
        </w:rPr>
      </w:pPr>
    </w:p>
    <w:p>
      <w:pPr>
        <w:ind w:left="60" w:right="279" w:firstLine="648"/>
        <w:spacing w:after="0" w:line="312" w:lineRule="auto"/>
        <w:rPr>
          <w:sz w:val="20"/>
          <w:szCs w:val="20"/>
          <w:color w:val="auto"/>
        </w:rPr>
      </w:pPr>
      <w:r>
        <w:rPr>
          <w:rFonts w:ascii="Times New Roman" w:cs="Times New Roman" w:eastAsia="Times New Roman" w:hAnsi="Times New Roman"/>
          <w:sz w:val="17"/>
          <w:szCs w:val="17"/>
          <w:color w:val="auto"/>
        </w:rPr>
        <w:t>A change in the outcome of any of these variables with respect to the development of a product candidate could mean a significant change in the costs and timing associated with the development of that product candidate or we could</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determine to cease development of that product candidate altogether. For example, in its CRL for omburtamab, and in our Type A meeting held subsequent to receipt of the CRL, the FDA made recommendations for us to consider in terms of a potential trial design to demonstrate substantial evidence of effectiveness and a favorable benefit-risk profile, and we have subsequently determined to stop development of omburtamab.</w:t>
      </w:r>
    </w:p>
    <w:p>
      <w:pPr>
        <w:spacing w:after="0" w:line="180" w:lineRule="exact"/>
        <w:rPr>
          <w:sz w:val="20"/>
          <w:szCs w:val="20"/>
          <w:color w:val="auto"/>
        </w:rPr>
      </w:pPr>
    </w:p>
    <w:p>
      <w:pPr>
        <w:ind w:left="60" w:right="79" w:firstLine="648"/>
        <w:spacing w:after="0" w:line="267" w:lineRule="auto"/>
        <w:rPr>
          <w:sz w:val="20"/>
          <w:szCs w:val="20"/>
          <w:color w:val="auto"/>
        </w:rPr>
      </w:pPr>
      <w:r>
        <w:rPr>
          <w:rFonts w:ascii="Times New Roman" w:cs="Times New Roman" w:eastAsia="Times New Roman" w:hAnsi="Times New Roman"/>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Our research and development expenses include personnel costs, including stock-based compensation, and the costs of conducting clinical trials and potentially preparing regulatory submissions for our pipeline candidates, including supplementary regulatory submissions for DANYELZA. In January 2023, we announced a strategic restructuring plan designed to extend our cash resources and prioritize resources, and we are currently focused on the continued commercialization and potential label extension of DANYELZA and development of the SADA PRIT technology platform. In addition to deprioritizing development of omburtamab, which was ultimately stopped in November 2024 in connection with an amendment to our license agreement with MSK. We deprioritized further work related to the GD2-GD3 Vaccine and CD33 bispecific antibody constructs. Following the January 2023 restructuring, our research and development expenses decreased from historic averages. Our research and development expenses have decreased for the year ended December 31, 2024 when compared to the same period in 2023. We expect that the manufacturer of the DANYELZA drug substance will transition the manufacturing from its facility in Greenville, North Carolina, to a facility in Monza, Italy and that no DANYELZA drug product will be manufactured from the date manufacturing ceases in Greenville, North Carolina, estimated to be in the second half of 2026, until the new facility becomes FDA approved to produce and begin production of the DANYELZA drug product. We are expecting higher research and development expenses resulting from the FDA approval process at the new manufacturing facility in Monza, Italy, and may experience higher production costs and tariffs with respect to the planned transition.</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employee related expenses, including salaries, bonus, benefits, and stock-based compensation expenses for personnel in executive, commercial, finance and administrative functions. Other significant costs include facility costs not otherwise included in research and development expenses or cost of goods sold, legal fees relating to corporate matters, and fees for patent, accounting, tax, and consulting services.</w:t>
      </w:r>
    </w:p>
    <w:p>
      <w:pPr>
        <w:spacing w:after="0" w:line="183"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Our selling, general, and administrative expenses include administrative costs to support continued research and development activities, potential commercialization of additional product candidates and additional indications and costs associated with operating as a public company, including expenses related to services associated with maintaining compliance with exchange listing and SEC requirements, director and officer insurance costs and investor and public relations costs.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Other income, net primarily consists of interest income earned on our money market fund and foreign currency transaction gains and losses. Other income, net can vary quarter-to-quarter based on interest rates and foreign currency fluctuations.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we have prepared in accordance with U.S. generally accepted accounting principles, or GAAP. We believe that several accounting policies are significant to understanding our historical and future performance. We refer to these policies as critical because these specific areas generally require us to make judgments and estimates about matters that are uncertain at the time we make the estimate, and different estimates—which also would have been reasonable—could have been used. On an ongoing basis, we evaluate our estimates and judgments, including those described in greater detail below. We base our estimates on historical experience and other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market specific or other relevant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6" w:lineRule="exact"/>
        <w:rPr>
          <w:sz w:val="20"/>
          <w:szCs w:val="20"/>
          <w:color w:val="auto"/>
        </w:rPr>
      </w:pPr>
    </w:p>
    <w:p>
      <w:pPr>
        <w:jc w:val="both"/>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our consolidated financial statements appearing elsewhere in this Annual Report on Form 10-K, we believe the following accounting policies to be most critical to the judgments and estimates used in the preparation of our consolidated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net product revenues, the accrual for research and development expenses, the accrual of milestone and royalty payments, the valuation of stock options and asset impairments. Estimates are periodically reviewed in light of changes in circumstances, facts and experience. Changes in estimates are recorded in the period in which they become known. Actual results could differ from those estimates.</w:t>
      </w:r>
    </w:p>
    <w:p>
      <w:pPr>
        <w:spacing w:after="0" w:line="192" w:lineRule="exact"/>
        <w:rPr>
          <w:sz w:val="20"/>
          <w:szCs w:val="20"/>
          <w:color w:val="auto"/>
        </w:rPr>
      </w:pPr>
    </w:p>
    <w:p>
      <w:pPr>
        <w:jc w:val="both"/>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full extent to which the macroeconomic conditions will directly or indirectly impact our business, results of operations and financial condition, including revenues, expenses, manufacturing, clinical trials, research and development costs and employee-related amounts, will depend on future developments that are highly uncertain, including as a result of the economic impact on local, regional, national and international markets.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To determine revenue recognition for product revenue and license revenue arrangements that we determine are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we satisfy a performance obligation. We only apply the five-step model to arrangements that meet the definition of a contract with a customer under ASC 606, including when it is probable that we will collect the consideration we are entitled to in exchange for the goods or services we transfer to the customer. At contract inception, once the contract is determined to be within the scope of ASC 606, we assess the goods or services promised within each contract,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w:t>
      </w:r>
    </w:p>
    <w:p>
      <w:pPr>
        <w:spacing w:after="0" w:line="194"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We recognize revenue from sales of DANYELZA at a point in time when our customer is deemed to have obtained control of the product, which generally occurs upon receipt at the end-user hospital for sales in the United States, and upon delivery to the distributors for sales in the international territories.</w:t>
      </w:r>
    </w:p>
    <w:p>
      <w:pPr>
        <w:spacing w:after="0" w:line="176"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amount of revenue we recognize from sales of DANYELZA varies due to rebates, chargebacks, returns and discounts provided under governmental and other programs, distribution-related fees and other sales-related deductions. In order to determine those deductions, we estimate, utilizing the expected value method, the amount of revenue that we will ultimately be entitled to. This estimate is based upon contracts with customers and government agencies, statutorily-defined discounts applicable to government-funded programs, estimated payor mix, and other relevant factors. Calculating these amounts involves estimates and judgments, and we review these estimates quarterly. If actual results, rebates, chargeback, returns and discounts vary from our original estimates, we will adjust these estimates quarterly, which would affect net product revenue and earnings in the period such variances occur.</w:t>
      </w:r>
    </w:p>
    <w:p>
      <w:pPr>
        <w:spacing w:after="0" w:line="192" w:lineRule="exact"/>
        <w:rPr>
          <w:sz w:val="20"/>
          <w:szCs w:val="20"/>
          <w:color w:val="auto"/>
        </w:rPr>
      </w:pPr>
    </w:p>
    <w:p>
      <w:pPr>
        <w:jc w:val="both"/>
        <w:ind w:left="60" w:right="259" w:firstLine="648"/>
        <w:spacing w:after="0" w:line="289" w:lineRule="auto"/>
        <w:rPr>
          <w:sz w:val="20"/>
          <w:szCs w:val="20"/>
          <w:color w:val="auto"/>
        </w:rPr>
      </w:pPr>
      <w:r>
        <w:rPr>
          <w:rFonts w:ascii="Times New Roman" w:cs="Times New Roman" w:eastAsia="Times New Roman" w:hAnsi="Times New Roman"/>
          <w:sz w:val="17"/>
          <w:szCs w:val="17"/>
          <w:color w:val="auto"/>
        </w:rPr>
        <w:t>When evaluating arrangements with intellectual property licensing, in determining performance obligations, we evaluate whether the license is distinct from the other performance obligations with the distributors based on the relevant facts and circumstances for each arrangement. If the license to our intellectual property is determined to be distinct from</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the other performance obligations identified in the arrangement, we recognize revenues from non-refundable, up-front fees allocated to the license when the license is transferred to the distributor and the distributor is able to use and benefit from the license. For licenses that are bundled with other promises, we evaluate the nature of the combined performance obligation to determine whether the combined performance obligation is satisfied over time or at a point in time and, if over time, we determine the appropriate method of measuring progress for purposes of recognizing revenue from non-refundable, up-front fees. In assessing whether a promised good or service is distinct in the licensing arrangement, we consider factors such as the research, manufacturing and commercialization capabilities of the licensing partner and the availability of the associated expertise in the general marketplace. We also consider the intended benefit of the contract in assessing whether a promised good or service is separately identifiable from other promises in the contract. When evaluating arrangements that include regulatory and commercial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control of the licensee, such as regulatory approvals, are not considered probable of being achieved until those approvals are received. The sales-based milestones and royalty payments are recognized when the milestone is achieved or the related sales occur.</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Research and development costs are charged to operations when incurred and are included in operating expenses. Research and development costs consist principally of compensation cost for our employees and consultants that perform our research activities, the costs to obtain and maintain our licenses, the payments to third-party CMOs and CROs for additional product manufacturing and development, and consumables and other materials used in research and development. We record accruals for estimated ongoing research costs. When evaluating the adequacy of accrued liabilities, we analyze progress of the studies or clinical trials, including the phase or completion of events, invoices received and contracted costs. Actual results could differ from our estimates. We are obligated to make certain milestone and royalty payments in accordance with the contractual terms of the MSK License, and SADA License Agreement based upon the resolution of certain contingencies. Failure by the Company to meet certain conditions under the arrangements could cause the related license to such licensed products to be canceled and could result in termination of the entire arrangement with MSK and MIT. In addition, the Company may terminate the SADA License Agreement with prior written notice. Certain of these milestone payments are due and payable with the passage of time whether or not the milestones have actually been met. We record the milestone and royalty payment when the achievement of the milestone (including the passage of time) or payment of the milestone or royalty is probable, and the amount of the payment is reasonably estimable.</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GAAP. Fair value is defined as the price that would be received to sell an asset or paid to transfer a liability in an orderly transaction between market participants at the measurement date (i.e. an exit price). The accounting guidance includes a fair value hierarchy that prioritizes the inputs to valuation techniques used to measure fair value. The three levels of the fair value hierarchy are as follows:</w:t>
      </w:r>
    </w:p>
    <w:p>
      <w:pPr>
        <w:spacing w:after="0" w:line="180" w:lineRule="exact"/>
        <w:rPr>
          <w:sz w:val="20"/>
          <w:szCs w:val="20"/>
          <w:color w:val="auto"/>
        </w:rPr>
      </w:pPr>
    </w:p>
    <w:p>
      <w:pPr>
        <w:ind w:left="1040" w:hanging="315"/>
        <w:spacing w:after="0"/>
        <w:tabs>
          <w:tab w:leader="none" w:pos="10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for identical assets or liabilities in active markets;</w:t>
      </w:r>
    </w:p>
    <w:p>
      <w:pPr>
        <w:spacing w:after="0" w:line="225" w:lineRule="exact"/>
        <w:rPr>
          <w:rFonts w:ascii="Times New Roman" w:cs="Times New Roman" w:eastAsia="Times New Roman" w:hAnsi="Times New Roman"/>
          <w:sz w:val="18"/>
          <w:szCs w:val="18"/>
          <w:color w:val="auto"/>
        </w:rPr>
      </w:pPr>
    </w:p>
    <w:p>
      <w:pPr>
        <w:ind w:left="1040" w:right="679" w:hanging="315"/>
        <w:spacing w:after="0" w:line="282" w:lineRule="auto"/>
        <w:tabs>
          <w:tab w:leader="none" w:pos="10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 active markets for identical assets and liabilities that are observable either directly or indirectly for substantially the full term of the asset or liability; and</w:t>
      </w:r>
    </w:p>
    <w:p>
      <w:pPr>
        <w:spacing w:after="0" w:line="161" w:lineRule="exact"/>
        <w:rPr>
          <w:rFonts w:ascii="Times New Roman" w:cs="Times New Roman" w:eastAsia="Times New Roman" w:hAnsi="Times New Roman"/>
          <w:sz w:val="18"/>
          <w:szCs w:val="18"/>
          <w:color w:val="auto"/>
        </w:rPr>
      </w:pPr>
    </w:p>
    <w:p>
      <w:pPr>
        <w:ind w:left="1040" w:right="139" w:hanging="315"/>
        <w:spacing w:after="0" w:line="266" w:lineRule="auto"/>
        <w:tabs>
          <w:tab w:leader="none" w:pos="10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for the asset or liability, which include management's own assumption about the assumptions market participants would use in pricing the asset or liability, including assumptions about risk.</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cash equivalents are carried at fair value, determined according to the fair value hierarchy described above.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Stock-Based Compensation</w:t>
      </w:r>
    </w:p>
    <w:p>
      <w:pPr>
        <w:spacing w:after="0" w:line="229"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We measure stock options granted to employees and directors based on the fair value on the date of the grant and recognize compensation expense of those awards, over the requisite service period, which is the vesting period of the respective award for employees and directors. Forfeitures are accounted for as they occur. We issue stock options to employees and directors with only service-based vesting conditions and record the expense for these awards using the straight-line method over the requisite service period.</w:t>
      </w:r>
    </w:p>
    <w:p>
      <w:pPr>
        <w:spacing w:after="0" w:line="183" w:lineRule="exact"/>
        <w:rPr>
          <w:sz w:val="20"/>
          <w:szCs w:val="20"/>
          <w:color w:val="auto"/>
        </w:rPr>
      </w:pPr>
    </w:p>
    <w:p>
      <w:pPr>
        <w:ind w:left="60" w:right="119" w:firstLine="648"/>
        <w:spacing w:after="0" w:line="270" w:lineRule="auto"/>
        <w:rPr>
          <w:sz w:val="20"/>
          <w:szCs w:val="20"/>
          <w:color w:val="auto"/>
        </w:rPr>
      </w:pPr>
      <w:r>
        <w:rPr>
          <w:rFonts w:ascii="Times New Roman" w:cs="Times New Roman" w:eastAsia="Times New Roman" w:hAnsi="Times New Roman"/>
          <w:sz w:val="17"/>
          <w:szCs w:val="17"/>
          <w:color w:val="auto"/>
        </w:rPr>
        <w:t>The fair value of each stock option grant is estimated on the date of grant using the Black-Scholes option pricing model. Historically, we have been a private company and lack company-specific historical and implied volatility information for our shares. Therefore, we estimate our expected share price volatility based on a combination of the historical volatility of a group of publicly-traded peer companies and the historical volatility of the Y-mAbs share price, and we expect to continue to do so until such time as we have adequate historical data regarding the volatility of our own traded share price. The expected term of our stock options has been determined utilizing the “simplified” method for awards as we have limited historical data to support the expected term assumption. The risk-free interest rate is determined by reference to the U.S. Treasury yield curve in effect at the time of grant of the award for time periods approximately equal to the expected term of the award. The expected dividend yield is based on the fact that we have never paid cash dividends on shares of our common stock and do not expect to pay any cash dividends in the foreseeable future.</w:t>
      </w:r>
    </w:p>
    <w:p>
      <w:pPr>
        <w:spacing w:after="0" w:line="17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fair value of restricted stock units is determined at the grant-date price of our common stock.</w:t>
      </w:r>
    </w:p>
    <w:p>
      <w:pPr>
        <w:spacing w:after="0" w:line="225"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fair value of performance-based restricted stock units, or “PRSUs”, is determined using a Monte-Carlo simulation model. The vesting of each tranche of the award depends on the fulfillment of both a service condition and the achievement of a stock price hurdle at the end of each tranche’s performance period, based on an average of the closing stock price over the 30 consecutive trading days immediately preceding each tranche’s vesting date. The stock price volatility is simulated using the Company’s historical volatility calculated from daily stock returns over a lookback term which equals the remaining service period from the grant date. The risk-free rate is determined using the zero-coupon risk-free interest rate derived from the Treasury Constant Maturities yield curve on the grant date. The expected dividend yield is based on the fact that the Company has never paid cash dividends on common shares and does not expect to pay any cash dividends in the foreseeable future.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account for income taxes under the asset and liability approach for the financial accounting and reporting of income taxes. Deferred tax assets and liabilities are recognized for the estimated future tax consequences attributable to net operating loss carry forwards and temporary differences between the financial statement carrying amounts of existing assets and liabilities and their respective tax bases. These assets and liabilities are measured using enacted tax rates expected to apply to taxable income in the years in which the temporary differences are expected to reverse. A valuation allowance is established when management determines that it is more likely than not that some portion or all of the deferred tax assets will not be realized.</w:t>
      </w:r>
    </w:p>
    <w:p>
      <w:pPr>
        <w:spacing w:after="0" w:line="189"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We prepare and file tax returns based on our interpretation of tax laws and regulations. In the normal course of business, our tax returns are subject to examination by various taxing authorities. Such examinations may result in future tax and interest assessments by these taxing authorities. In determining our tax provision for financial reporting purposes, we establish a reserve for uncertain tax positions unless such positions are determined to be more likely than not of being sustained upon examination based on their technical merits. We consider many factors when evaluating and estimating our tax positions and tax benefits, which may require periodic adjustments and which may not accurately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anticipate actual outcomes. Accordingly, we will report a liability for unrecognized tax benefits resulting from any uncertain tax positions taken or expected to be taken on a tax return.</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policy is to recognize, when applicable, interest and penalties on uncertain tax positions as part of income tax</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expense.</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p>
      <w:pPr>
        <w:spacing w:after="0" w:line="229"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2024 and 2023, respectively:</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3"/>
            <w:vMerge w:val="restart"/>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98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4"/>
          </w:tcPr>
          <w:p>
            <w:pPr>
              <w:jc w:val="right"/>
              <w:ind w:right="251"/>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product revenue</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85,185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84,319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License revenue</w:t>
            </w:r>
          </w:p>
        </w:tc>
        <w:tc>
          <w:tcPr>
            <w:tcW w:w="1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87,685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84,819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1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72,684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73,453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License royalties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54,645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44,856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9,789</w:t>
            </w:r>
          </w:p>
        </w:tc>
        <w:tc>
          <w:tcPr>
            <w:tcW w:w="1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103,885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99,125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1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1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(Benefits)/provision for income taxes</w:t>
            </w:r>
          </w:p>
        </w:tc>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(8,239)</w:t>
            </w: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54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Net product revenue</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net product revenue was generated from sales of DANYELZA and consists of the following:</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5"/>
                <w:szCs w:val="15"/>
                <w:color w:val="auto"/>
              </w:rPr>
            </w:pPr>
          </w:p>
        </w:tc>
        <w:tc>
          <w:tcPr>
            <w:tcW w:w="140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23"/>
        </w:trPr>
        <w:tc>
          <w:tcPr>
            <w:tcW w:w="37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340" w:type="dxa"/>
            <w:vAlign w:val="bottom"/>
            <w:tcBorders>
              <w:top w:val="single" w:sz="8" w:color="auto"/>
              <w:bottom w:val="single" w:sz="8" w:color="auto"/>
            </w:tcBorders>
          </w:tcPr>
          <w:p>
            <w:pPr>
              <w:spacing w:after="0"/>
              <w:rPr>
                <w:sz w:val="19"/>
                <w:szCs w:val="19"/>
                <w:color w:val="auto"/>
              </w:rPr>
            </w:pPr>
          </w:p>
        </w:tc>
      </w:tr>
      <w:tr>
        <w:trPr>
          <w:trHeight w:val="223"/>
        </w:trPr>
        <w:tc>
          <w:tcPr>
            <w:tcW w:w="3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4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revenue by geographical location:</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r>
      <w:tr>
        <w:trPr>
          <w:trHeight w:val="24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65,981</w:t>
            </w:r>
          </w:p>
        </w:tc>
        <w:tc>
          <w:tcPr>
            <w:tcW w:w="220" w:type="dxa"/>
            <w:vAlign w:val="bottom"/>
          </w:tcPr>
          <w:p>
            <w:pPr>
              <w:spacing w:after="0"/>
              <w:rPr>
                <w:sz w:val="21"/>
                <w:szCs w:val="21"/>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67,814</w:t>
            </w:r>
          </w:p>
        </w:tc>
        <w:tc>
          <w:tcPr>
            <w:tcW w:w="260" w:type="dxa"/>
            <w:vAlign w:val="bottom"/>
          </w:tcPr>
          <w:p>
            <w:pPr>
              <w:spacing w:after="0"/>
              <w:rPr>
                <w:sz w:val="21"/>
                <w:szCs w:val="21"/>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(1,833)</w:t>
            </w:r>
          </w:p>
        </w:tc>
        <w:tc>
          <w:tcPr>
            <w:tcW w:w="280" w:type="dxa"/>
            <w:vAlign w:val="bottom"/>
          </w:tcPr>
          <w:p>
            <w:pPr>
              <w:spacing w:after="0"/>
              <w:rPr>
                <w:sz w:val="21"/>
                <w:szCs w:val="21"/>
                <w:color w:val="auto"/>
              </w:rPr>
            </w:pPr>
          </w:p>
        </w:tc>
        <w:tc>
          <w:tcPr>
            <w:tcW w:w="920" w:type="dxa"/>
            <w:vAlign w:val="bottom"/>
            <w:gridSpan w:val="2"/>
          </w:tcPr>
          <w:p>
            <w:pPr>
              <w:jc w:val="right"/>
              <w:ind w:right="63"/>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r>
      <w:tr>
        <w:trPr>
          <w:trHeight w:val="243"/>
        </w:trPr>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Western Europe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8,621</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(6,530)</w:t>
            </w:r>
          </w:p>
        </w:tc>
        <w:tc>
          <w:tcPr>
            <w:tcW w:w="280" w:type="dxa"/>
            <w:vAlign w:val="bottom"/>
          </w:tcPr>
          <w:p>
            <w:pPr>
              <w:spacing w:after="0"/>
              <w:rPr>
                <w:sz w:val="21"/>
                <w:szCs w:val="21"/>
                <w:color w:val="auto"/>
              </w:rPr>
            </w:pPr>
          </w:p>
        </w:tc>
        <w:tc>
          <w:tcPr>
            <w:tcW w:w="920" w:type="dxa"/>
            <w:vAlign w:val="bottom"/>
            <w:gridSpan w:val="2"/>
          </w:tcPr>
          <w:p>
            <w:pPr>
              <w:jc w:val="right"/>
              <w:ind w:right="63"/>
              <w:spacing w:after="0"/>
              <w:rPr>
                <w:sz w:val="20"/>
                <w:szCs w:val="20"/>
                <w:color w:val="auto"/>
              </w:rPr>
            </w:pPr>
            <w:r>
              <w:rPr>
                <w:rFonts w:ascii="Times New Roman" w:cs="Times New Roman" w:eastAsia="Times New Roman" w:hAnsi="Times New Roman"/>
                <w:sz w:val="18"/>
                <w:szCs w:val="18"/>
                <w:color w:val="auto"/>
              </w:rPr>
              <w:t>(76)</w:t>
            </w:r>
            <w:r>
              <w:rPr>
                <w:rFonts w:ascii="Calibri" w:cs="Calibri" w:eastAsia="Calibri" w:hAnsi="Calibri"/>
                <w:sz w:val="19"/>
                <w:szCs w:val="19"/>
                <w:color w:val="auto"/>
              </w:rPr>
              <w:t>%</w:t>
            </w:r>
          </w:p>
        </w:tc>
      </w:tr>
      <w:tr>
        <w:trPr>
          <w:trHeight w:val="243"/>
        </w:trPr>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Eastern Asia</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40" w:type="dxa"/>
            <w:vAlign w:val="bottom"/>
            <w:shd w:val="clear" w:color="auto" w:fill="CCEEFF"/>
          </w:tcPr>
          <w:p>
            <w:pPr>
              <w:ind w:left="40"/>
              <w:spacing w:after="0" w:line="234" w:lineRule="exact"/>
              <w:rPr>
                <w:sz w:val="20"/>
                <w:szCs w:val="20"/>
                <w:color w:val="auto"/>
              </w:rPr>
            </w:pPr>
            <w:r>
              <w:rPr>
                <w:rFonts w:ascii="Calibri" w:cs="Calibri" w:eastAsia="Calibri" w:hAnsi="Calibri"/>
                <w:sz w:val="20"/>
                <w:szCs w:val="20"/>
                <w:color w:val="auto"/>
              </w:rPr>
              <w:t>%</w:t>
            </w:r>
          </w:p>
        </w:tc>
      </w:tr>
      <w:tr>
        <w:trPr>
          <w:trHeight w:val="243"/>
        </w:trPr>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Latin America</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340" w:type="dxa"/>
            <w:vAlign w:val="bottom"/>
          </w:tcPr>
          <w:p>
            <w:pPr>
              <w:ind w:left="40"/>
              <w:spacing w:after="0" w:line="234" w:lineRule="exact"/>
              <w:rPr>
                <w:sz w:val="20"/>
                <w:szCs w:val="20"/>
                <w:color w:val="auto"/>
              </w:rPr>
            </w:pPr>
            <w:r>
              <w:rPr>
                <w:rFonts w:ascii="Calibri" w:cs="Calibri" w:eastAsia="Calibri" w:hAnsi="Calibri"/>
                <w:sz w:val="20"/>
                <w:szCs w:val="20"/>
                <w:color w:val="auto"/>
              </w:rPr>
              <w:t>%</w:t>
            </w:r>
          </w:p>
        </w:tc>
      </w:tr>
      <w:tr>
        <w:trPr>
          <w:trHeight w:val="243"/>
        </w:trPr>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Western Asia</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shd w:val="clear" w:color="auto" w:fill="CCEEFF"/>
          </w:tcPr>
          <w:p>
            <w:pPr>
              <w:spacing w:after="0"/>
              <w:rPr>
                <w:sz w:val="21"/>
                <w:szCs w:val="21"/>
                <w:color w:val="auto"/>
              </w:rPr>
            </w:pPr>
          </w:p>
        </w:tc>
      </w:tr>
      <w:tr>
        <w:trPr>
          <w:trHeight w:val="243"/>
        </w:trPr>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regions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21"/>
                <w:szCs w:val="21"/>
                <w:color w:val="auto"/>
              </w:rPr>
            </w:pPr>
          </w:p>
        </w:tc>
        <w:tc>
          <w:tcPr>
            <w:tcW w:w="920" w:type="dxa"/>
            <w:vAlign w:val="bottom"/>
            <w:gridSpan w:val="2"/>
          </w:tcPr>
          <w:p>
            <w:pPr>
              <w:jc w:val="right"/>
              <w:ind w:right="63"/>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international</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19,204</w:t>
            </w:r>
          </w:p>
        </w:tc>
        <w:tc>
          <w:tcPr>
            <w:tcW w:w="2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16,505</w:t>
            </w:r>
          </w:p>
        </w:tc>
        <w:tc>
          <w:tcPr>
            <w:tcW w:w="2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26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Borders>
              <w:top w:val="single" w:sz="8" w:color="auto"/>
              <w:bottom w:val="single" w:sz="8" w:color="auto"/>
            </w:tcBorders>
            <w:shd w:val="clear" w:color="auto" w:fill="CCEEFF"/>
          </w:tcPr>
          <w:p>
            <w:pPr>
              <w:ind w:left="40"/>
              <w:spacing w:after="0" w:line="234" w:lineRule="exact"/>
              <w:rPr>
                <w:sz w:val="20"/>
                <w:szCs w:val="20"/>
                <w:color w:val="auto"/>
              </w:rPr>
            </w:pPr>
            <w:r>
              <w:rPr>
                <w:rFonts w:ascii="Calibri" w:cs="Calibri" w:eastAsia="Calibri" w:hAnsi="Calibri"/>
                <w:sz w:val="20"/>
                <w:szCs w:val="20"/>
                <w:color w:val="auto"/>
              </w:rPr>
              <w:t>%</w:t>
            </w:r>
          </w:p>
        </w:tc>
      </w:tr>
      <w:tr>
        <w:trPr>
          <w:trHeight w:val="21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product revenue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85,185</w:t>
            </w:r>
          </w:p>
        </w:tc>
        <w:tc>
          <w:tcPr>
            <w:tcW w:w="220" w:type="dxa"/>
            <w:vAlign w:val="bottom"/>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84,319</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379" w:firstLine="648"/>
        <w:spacing w:after="0" w:line="261" w:lineRule="auto"/>
        <w:rPr>
          <w:sz w:val="20"/>
          <w:szCs w:val="20"/>
          <w:color w:val="auto"/>
        </w:rPr>
      </w:pPr>
      <w:r>
        <w:rPr>
          <w:rFonts w:ascii="Times New Roman" w:cs="Times New Roman" w:eastAsia="Times New Roman" w:hAnsi="Times New Roman"/>
          <w:sz w:val="18"/>
          <w:szCs w:val="18"/>
          <w:color w:val="auto"/>
        </w:rPr>
        <w:t>Our net product revenue increased from $84.3 million to $85.2 million for the year ended December 31, 2024. Our net product revenue from international regions for the year ended December 31, 2024 increased by $2.7 million, or 16%. Our net product revenue in the United States for the year ended December 31, 2024 decreased by $1.8 million, representing a 3% decline primarily due to an unfavorable price mix and slightly decreased volume.</w:t>
      </w:r>
    </w:p>
    <w:p>
      <w:pPr>
        <w:spacing w:after="0" w:line="180"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Net product revenue from Eastern Asia increased in the year ended December 31, 2024, where our distribution partner purchased inventory in 2024 to avoid potential supply disruption in advance of a planned post-marketing labeling change in 2025. We do not expect this volume of revenue to reoccur in 2025. Net product revenue from Eastern Asia in the year ended December 31, 2023 also included an initial commercial launch inventory stocking order for the commercial launch of DANYELZA in China during the year ended December 31, 2023. Our Latin America region experienced commercial launches in Brazil and Mexico and our net product revenue reflects an initial inventory stocking order for the region in the year ended December 31, 2024. Our Western Asia region experienced commercial launch in Turkey for the year ended December 31, 2024. Our distribution partner in Western Europe operates our named patient program in the region and the net product revenue for the year ended December 31, 2023 included the initial inventory stocking order in anticipation of the launch of the program, which did not recur in 2024. The decreased net product revenue from Western Europe was also driven by lower volume in connection with market competition in 2024.</w:t>
      </w:r>
    </w:p>
    <w:p>
      <w:pPr>
        <w:spacing w:after="0" w:line="192"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We recognized royalty revenue from our distribution partners of $7.0 million and $4.5 million for the years ended December 31, 2024 and 2023, respectively.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License revenue</w:t>
      </w:r>
    </w:p>
    <w:p>
      <w:pPr>
        <w:spacing w:after="0" w:line="227" w:lineRule="exact"/>
        <w:rPr>
          <w:sz w:val="20"/>
          <w:szCs w:val="20"/>
          <w:color w:val="auto"/>
        </w:rPr>
      </w:pPr>
    </w:p>
    <w:p>
      <w:pPr>
        <w:ind w:left="60" w:right="99" w:firstLine="648"/>
        <w:spacing w:after="0" w:line="281" w:lineRule="auto"/>
        <w:rPr>
          <w:sz w:val="20"/>
          <w:szCs w:val="20"/>
          <w:color w:val="auto"/>
        </w:rPr>
      </w:pPr>
      <w:r>
        <w:rPr>
          <w:rFonts w:ascii="Times New Roman" w:cs="Times New Roman" w:eastAsia="Times New Roman" w:hAnsi="Times New Roman"/>
          <w:sz w:val="17"/>
          <w:szCs w:val="17"/>
          <w:color w:val="auto"/>
        </w:rPr>
        <w:t>In November 2024, we recorded $2.0 million license revenue from Nobelpharma upon the execution of the distribution agreement in October 2024. We had license revenues of totaling $2.5 million for the year ended December 31, 2024, which included license revenue from our Latin America distribution partner, Adium, related to price approval for DANYELZA in Brazil from the Brazilian Medicines Market Regulation Chamber, and from Nobelpharma, as noted above.</w:t>
      </w:r>
    </w:p>
    <w:p>
      <w:pPr>
        <w:spacing w:after="0" w:line="164"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We had license revenues of $0.5 million for the year ended December 31, 2023 from Adium, recognized upon the September 2023 achievement of marketing authorization for DANYELZA in Mexico.</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Our cost of goods sold includes amounts related to materials, third-party contract manufacturing, third-party packaging services, freight, indirect labor costs, third-party royalties for approved products, and indirect overhead costs. Cost of goods sold was $15.0 million and $11.4 million for the years ended December 31, 2024 and 2023, respectively. Cost of goods sold included $0.6 million of inventory write-offs related to the product shelf-life expiration during the year ended December 31, 2024. This is our first inventory product shelf-life expiration since inception. We had $0.8 million of inventory write-offs in the years ended December 31, 2023, respectively.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Gross profit was $72.7 million and $73.5 million for the years ended December 31, 2024 and 2023, respectively. The decrease in gross profit was driven by the unfavorable price mix in connection with increased net product revenue from Eastern Asia, which generally have lower gross margins, as noted above.</w:t>
      </w:r>
    </w:p>
    <w:p>
      <w:pPr>
        <w:spacing w:after="0" w:line="176"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We define gross margin as gross profit excluding license revenue, divided by net product revenue. Our gross margin was 82% and for the year ended December 31, 2024, compared to 87% for the year ended December 31, 2023. Our gross margin decreased in the year ended December 31, 2024 due to an unfavorable mix of increased revenue in our Eastern Asia region, which generally have lower gross margins.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License Royalties</w:t>
      </w:r>
    </w:p>
    <w:p>
      <w:pPr>
        <w:spacing w:after="0" w:line="22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License royalties include third-party royalty expenses related to license revenues that have been recognized. During 2024 and 2023, license royalties related to MSK’s share of licensing revenues. We incurred license royalty expense of $0.3 million during the year ended December 31, 2024 upon execution of the distribution agreement with Nobelpharma, as noted above, and the price approval from CMED in January 2024. We incurred license royalty expense of $0.1 million during the year ended December 31, 2023 upon the September 2023 achievement of marketing authorization for DANYELZA in Mexico under our sublicense agreement with Adium, noted above.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We do not record our research and development expenses on a program-by-program or on a product-by-product basis as they primarily relate to personnel, research, manufacturing, license fees and consumable costs, which are simultaneously deployed across multiple projects under development. These costs are included in the table below.</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3"/>
          </w:tcPr>
          <w:p>
            <w:pPr>
              <w:jc w:val="center"/>
              <w:ind w:left="29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left="2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23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28"/>
        </w:trPr>
        <w:tc>
          <w:tcPr>
            <w:tcW w:w="3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3"/>
          </w:tcPr>
          <w:p>
            <w:pPr>
              <w:jc w:val="center"/>
              <w:ind w:left="29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Outsourced manufacturing</w:t>
            </w:r>
          </w:p>
        </w:tc>
        <w:tc>
          <w:tcPr>
            <w:tcW w:w="10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w:t>
            </w:r>
          </w:p>
        </w:tc>
        <w:tc>
          <w:tcPr>
            <w:tcW w:w="4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Clinical trials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Outsourced research and supplies</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Milestones and license acquisition costs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costs</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consulting fees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Information technology expenses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78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48,990</w:t>
            </w: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54,219</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$49.0 million and $54.2 million for the year ended December 31, 2024 and 2023, respectively. The $5.2 million decrease in research and development expenses is primarily driven by the recognition of $4.1 million in milestones and license acquisition costs during the year ended December 31, 2023, as noted below, and a $2.6 million decrease in outsourced manufacturing, partially offset by a $3.1 million increase in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 xml:space="preserve">clinical trials. We recognized $4.1 million in milestones and license acquisition costs related to our SADA License Agreement recognized in the year ended December 31, 2023, as we determined certain time-based clinical milestones within the agreement were probable based on the availability of necessary data and the assessment of clinical progress in 2023. Please refer details to </w:t>
      </w:r>
      <w:r>
        <w:rPr>
          <w:rFonts w:ascii="Times New Roman" w:cs="Times New Roman" w:eastAsia="Times New Roman" w:hAnsi="Times New Roman"/>
          <w:sz w:val="18"/>
          <w:szCs w:val="18"/>
          <w:i w:val="1"/>
          <w:iCs w:val="1"/>
          <w:color w:val="auto"/>
        </w:rPr>
        <w:t>NOTE 9— LICENSE AGREEMENTS AND COMMITMENTS</w:t>
      </w:r>
      <w:r>
        <w:rPr>
          <w:rFonts w:ascii="Times New Roman" w:cs="Times New Roman" w:eastAsia="Times New Roman" w:hAnsi="Times New Roman"/>
          <w:sz w:val="18"/>
          <w:szCs w:val="18"/>
          <w:color w:val="auto"/>
        </w:rPr>
        <w:t xml:space="preserve"> in the consolidated financial statements included in Item 8. Financial Statements and Supplementary Data. The $3.1 million increase in clinical trials is primarily driven by our increased SADA PRIT program clinical trial activities in 2024. The $2.6 million decrease in outsourced manufacturing was due to increased production for SADA PRIT technology in 2023 in anticipation of the clinical trial activities in 2023 and 2024.</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9" w:lineRule="exact"/>
        <w:rPr>
          <w:sz w:val="20"/>
          <w:szCs w:val="20"/>
          <w:color w:val="auto"/>
        </w:rPr>
      </w:pPr>
    </w:p>
    <w:p>
      <w:pPr>
        <w:ind w:left="60" w:right="299"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Selling, general, and administrative expenses were $54.6 million for the year ended December 31, 2024, as compared to $44.9 million for the year ended December 31, 2023. The $9.7 million increase in selling, general, and administrative expenses was partially attributable to a net impact of $3.8 million related to the legal settlements. Both settlements are described in </w:t>
      </w:r>
      <w:r>
        <w:rPr>
          <w:rFonts w:ascii="Times New Roman" w:cs="Times New Roman" w:eastAsia="Times New Roman" w:hAnsi="Times New Roman"/>
          <w:sz w:val="18"/>
          <w:szCs w:val="18"/>
          <w:i w:val="1"/>
          <w:iCs w:val="1"/>
          <w:color w:val="auto"/>
        </w:rPr>
        <w:t>NOTE 9— LICENSE AGREEMENT AND COMMITMENTS</w:t>
      </w:r>
      <w:r>
        <w:rPr>
          <w:rFonts w:ascii="Times New Roman" w:cs="Times New Roman" w:eastAsia="Times New Roman" w:hAnsi="Times New Roman"/>
          <w:sz w:val="18"/>
          <w:szCs w:val="18"/>
          <w:color w:val="auto"/>
        </w:rPr>
        <w:t xml:space="preserve"> in the notes to the consolidated financial statements included in Item 8. Financial Statements and Supplementary Data. The increase also includes a $1.2 million related to separation and consulting agreement with a former executive, and a $2.2 million increase in personnel cost inclusive of stock-based compensation.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w:t>
      </w:r>
    </w:p>
    <w:p>
      <w:pPr>
        <w:spacing w:after="0" w:line="229"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Interest and other income for the year ended December 31, 2024 was $1.4 million compared to $4.8 million for the year ended December 31, 2023. Our interest and other income decreased by $3.4 million primarily due to a $2.6 million decrease in foreign currency transactional gains, and a $0.7 million decrease in interest earned on our cash and cash equivalents.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(Benefits)/Provision for Income Taxes</w:t>
      </w:r>
    </w:p>
    <w:p>
      <w:pPr>
        <w:spacing w:after="0" w:line="22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Benefits for income taxes was $0.1 million and provision for income taxes expense was $0.6 million for the year ended December 31, 2024 and 2023, respectively. The increase in benefit for income taxes was primarily driven by increased loss before income taxes for the year ended December 31,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We have experienced significant use of cash to fund our net operating losses since inception. We expect our net operating losses to decrease in the future as revenues from our only approved product, DANYELZA, grow and contribute to funding our significant research expenses. Our net losses may fluctuate significantly from quarter to quarter and year to year.</w:t>
      </w:r>
    </w:p>
    <w:p>
      <w:pPr>
        <w:spacing w:after="0" w:line="180" w:lineRule="exact"/>
        <w:rPr>
          <w:sz w:val="20"/>
          <w:szCs w:val="20"/>
          <w:color w:val="auto"/>
        </w:rPr>
      </w:pPr>
    </w:p>
    <w:p>
      <w:pPr>
        <w:ind w:left="60" w:right="79" w:firstLine="648"/>
        <w:spacing w:after="0" w:line="274" w:lineRule="auto"/>
        <w:rPr>
          <w:sz w:val="20"/>
          <w:szCs w:val="20"/>
          <w:color w:val="auto"/>
        </w:rPr>
      </w:pPr>
      <w:r>
        <w:rPr>
          <w:rFonts w:ascii="Times New Roman" w:cs="Times New Roman" w:eastAsia="Times New Roman" w:hAnsi="Times New Roman"/>
          <w:sz w:val="17"/>
          <w:szCs w:val="17"/>
          <w:color w:val="auto"/>
        </w:rPr>
        <w:t>As of December 31, 2024 and 2023, we had cash and cash equivalents of $67.2 million and $78.6 million, respectively. We estimated that our cash and cash equivalents are anticipated to be sufficient to fund operations as currently planned into 2027. This estimate is based on our current business plan, and on assumptions that may prove to be wrong, and we could use our available capital resources sooner than we currently expect. This estimate assumes no income from new partnerships or other new business development activities. We cannot provide any assurance that we will be able to obtain additional capital from additional equity or debt financings, collaborations, licensing arrangements, or other sources.</w:t>
      </w:r>
    </w:p>
    <w:p>
      <w:pPr>
        <w:spacing w:after="0" w:line="173"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 xml:space="preserve">For an analysis of the type of contractual obligations and the relevant time periods for the related cash requirements of such obligations which may have a material impact on our liquidity and capital resources refer to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—LICENSE AGREEMENTS AND COMMITMENTS </w:t>
      </w:r>
      <w:r>
        <w:rPr>
          <w:rFonts w:ascii="Times New Roman" w:cs="Times New Roman" w:eastAsia="Times New Roman" w:hAnsi="Times New Roman"/>
          <w:sz w:val="18"/>
          <w:szCs w:val="18"/>
          <w:color w:val="auto"/>
        </w:rPr>
        <w:t>in the notes to the consolidated financial statements included in Item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 Financial Statements and Supplementary Data.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years ended December 31, 2024 and 2023, respectively:</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Borders>
              <w:bottom w:val="single" w:sz="8" w:color="auto"/>
            </w:tcBorders>
          </w:tcPr>
          <w:p>
            <w:pPr>
              <w:spacing w:after="0"/>
              <w:rPr>
                <w:sz w:val="15"/>
                <w:szCs w:val="15"/>
                <w:color w:val="auto"/>
              </w:rPr>
            </w:pPr>
          </w:p>
        </w:tc>
      </w:tr>
      <w:tr>
        <w:trPr>
          <w:trHeight w:val="142"/>
        </w:trPr>
        <w:tc>
          <w:tcPr>
            <w:tcW w:w="4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r>
      <w:tr>
        <w:trPr>
          <w:trHeight w:val="129"/>
        </w:trPr>
        <w:tc>
          <w:tcPr>
            <w:tcW w:w="4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00" w:type="dxa"/>
            <w:vAlign w:val="bottom"/>
            <w:gridSpan w:val="4"/>
          </w:tcPr>
          <w:p>
            <w:pPr>
              <w:jc w:val="right"/>
              <w:ind w:right="51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(15,714)</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(27,232)</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4,211 %</w:t>
            </w:r>
          </w:p>
        </w:tc>
      </w:tr>
      <w:tr>
        <w:trPr>
          <w:trHeight w:val="216"/>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N/A</w:t>
            </w:r>
          </w:p>
        </w:tc>
      </w:tr>
      <w:tr>
        <w:trPr>
          <w:trHeight w:val="210"/>
        </w:trPr>
        <w:tc>
          <w:tcPr>
            <w:tcW w:w="41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(27,125)</w:t>
            </w:r>
          </w:p>
        </w:tc>
        <w:tc>
          <w:tcPr>
            <w:tcW w:w="4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15,722</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4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jc w:val="both"/>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use of cash in all periods resulted primarily from our net losses adjusted for non-cash charges and changes in components of working capital.</w:t>
      </w:r>
    </w:p>
    <w:p>
      <w:pPr>
        <w:spacing w:after="0" w:line="162"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$15.7 million for the year ended December 31, 2024, as compared to net cash used in operating activities of $27.2 million for the year ended December 31, 2023. The $11.5 million decrease in cash used in operating activities due to a decrease in cash used for working capital of $16.1 million, partially offset by a $4.6 million increase in cash used to fund our net loss in 2024, which is a net of $3.7 million related to the change in non-cash items. The decrease in cash used for working capital of $16.1 million was primarily driven by an $12.2 million increase in accounts receivable collections, and a $6.1 million decrease in cash payments related to accounts payable and accrued liabilities, partially offset by $2.9 million of increased spending on inventories in connection with the preparation for the anticipated DANYELZA drug product manufacturing facility transition.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auto"/>
        </w:rPr>
        <w:t>We did not generate or use cash for investing activities during the years ended December 31, 2024 and 2023,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$4.3 million and $0.1 million for the years ended December 31, 2024 and 2023, respectively, and consisted of proceeds from the exercise of stock options in both years.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Future Funding Requirements</w:t>
      </w:r>
    </w:p>
    <w:p>
      <w:pPr>
        <w:spacing w:after="0" w:line="229"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Our cash and cash equivalents were $67.2 million as of December 31, 2024. We estimate that our cash and cash equivalents are anticipated to be sufficient to fund operations as currently planned into 2027. This estimate is based on our current business plan and on assumptions that may prove to be wrong, and we could use our available capital resources sooner than we currently expect.</w:t>
      </w:r>
    </w:p>
    <w:p>
      <w:pPr>
        <w:spacing w:after="0" w:line="180" w:lineRule="exact"/>
        <w:rPr>
          <w:sz w:val="20"/>
          <w:szCs w:val="20"/>
          <w:color w:val="auto"/>
        </w:rPr>
      </w:pPr>
    </w:p>
    <w:p>
      <w:pPr>
        <w:ind w:left="60" w:right="79" w:firstLine="693"/>
        <w:spacing w:after="0" w:line="254" w:lineRule="auto"/>
        <w:rPr>
          <w:sz w:val="20"/>
          <w:szCs w:val="20"/>
          <w:color w:val="auto"/>
        </w:rPr>
      </w:pPr>
      <w:r>
        <w:rPr>
          <w:rFonts w:ascii="Times New Roman" w:cs="Times New Roman" w:eastAsia="Times New Roman" w:hAnsi="Times New Roman"/>
          <w:sz w:val="18"/>
          <w:szCs w:val="18"/>
          <w:color w:val="auto"/>
        </w:rPr>
        <w:t>We plan to advance the development of our pipeline programs, initiate new research and pre-clinical development efforts, seek marketing approval for any additional product candidates and indications that we successfully develop, and promote commercialization of approved products. Accordingly, we may need to obtain substantial additional funding in connection with our continuing operations. We cannot provide any assurance that we will be able to obtain additional capital from any new equity or debt financing, collaborations, licensing arrangements, or other sources. If we are unable to raise capital when needed or on attractive terms, we would be forced to delay, reduce or eliminate our research and development programs and/or commercialization efforts. Our future capital requirements will depend on many factors, including: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right="579" w:hanging="315"/>
        <w:spacing w:after="0" w:line="282" w:lineRule="auto"/>
        <w:tabs>
          <w:tab w:leader="none" w:pos="10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for further developing DANYELZA, and conducting pre-clinical studies and clinical trials for our SADA constructs;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pre-clinical development efforts for any future product candidates that we may develop;</w:t>
      </w:r>
    </w:p>
    <w:p>
      <w:pPr>
        <w:spacing w:after="0" w:line="225" w:lineRule="exact"/>
        <w:rPr>
          <w:rFonts w:ascii="Times New Roman" w:cs="Times New Roman" w:eastAsia="Times New Roman" w:hAnsi="Times New Roman"/>
          <w:sz w:val="18"/>
          <w:szCs w:val="18"/>
          <w:color w:val="auto"/>
        </w:rPr>
      </w:pPr>
    </w:p>
    <w:p>
      <w:pPr>
        <w:ind w:left="1040" w:right="399" w:hanging="315"/>
        <w:spacing w:after="0" w:line="282" w:lineRule="auto"/>
        <w:tabs>
          <w:tab w:leader="none" w:pos="10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and the terms and timing of any collaborations, licensing agreements, distribution agreements or other arrangements;</w:t>
      </w:r>
    </w:p>
    <w:p>
      <w:pPr>
        <w:spacing w:after="0" w:line="161" w:lineRule="exact"/>
        <w:rPr>
          <w:rFonts w:ascii="Times New Roman" w:cs="Times New Roman" w:eastAsia="Times New Roman" w:hAnsi="Times New Roman"/>
          <w:sz w:val="18"/>
          <w:szCs w:val="18"/>
          <w:color w:val="auto"/>
        </w:rPr>
      </w:pPr>
    </w:p>
    <w:p>
      <w:pPr>
        <w:ind w:left="1040" w:right="779" w:hanging="315"/>
        <w:spacing w:after="0" w:line="282" w:lineRule="auto"/>
        <w:tabs>
          <w:tab w:leader="none" w:pos="10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collaboration or other agreements;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future product candidates that we may pursue and their development requirements;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seeking regulatory approvals;</w:t>
      </w:r>
    </w:p>
    <w:p>
      <w:pPr>
        <w:spacing w:after="0" w:line="225" w:lineRule="exact"/>
        <w:rPr>
          <w:rFonts w:ascii="Times New Roman" w:cs="Times New Roman" w:eastAsia="Times New Roman" w:hAnsi="Times New Roman"/>
          <w:sz w:val="18"/>
          <w:szCs w:val="18"/>
          <w:color w:val="auto"/>
        </w:rPr>
      </w:pPr>
    </w:p>
    <w:p>
      <w:pPr>
        <w:ind w:left="1040" w:right="99" w:hanging="315"/>
        <w:spacing w:after="0" w:line="266" w:lineRule="auto"/>
        <w:tabs>
          <w:tab w:leader="none" w:pos="10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any of our product candidates that may receive marketing approval to the extent such costs are not the responsibility of any future collaborators, including the costs and timing of establishing product sales, marketing, distribution and manufacturing capabilities;</w:t>
      </w:r>
    </w:p>
    <w:p>
      <w:pPr>
        <w:spacing w:after="0" w:line="175" w:lineRule="exact"/>
        <w:rPr>
          <w:rFonts w:ascii="Times New Roman" w:cs="Times New Roman" w:eastAsia="Times New Roman" w:hAnsi="Times New Roman"/>
          <w:sz w:val="18"/>
          <w:szCs w:val="18"/>
          <w:color w:val="auto"/>
        </w:rPr>
      </w:pPr>
    </w:p>
    <w:p>
      <w:pPr>
        <w:ind w:left="1040" w:right="379" w:hanging="315"/>
        <w:spacing w:after="0" w:line="282" w:lineRule="auto"/>
        <w:tabs>
          <w:tab w:leader="none" w:pos="10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future revenue, if any, received from commercial sales of our current and future product candidates upon any marketing approvals;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received, if any, from monetization of any future PRVs;</w:t>
      </w:r>
    </w:p>
    <w:p>
      <w:pPr>
        <w:spacing w:after="0" w:line="225" w:lineRule="exact"/>
        <w:rPr>
          <w:rFonts w:ascii="Times New Roman" w:cs="Times New Roman" w:eastAsia="Times New Roman" w:hAnsi="Times New Roman"/>
          <w:sz w:val="18"/>
          <w:szCs w:val="18"/>
          <w:color w:val="auto"/>
        </w:rPr>
      </w:pPr>
    </w:p>
    <w:p>
      <w:pPr>
        <w:ind w:left="1040" w:right="379" w:hanging="315"/>
        <w:spacing w:after="0" w:line="282" w:lineRule="auto"/>
        <w:tabs>
          <w:tab w:leader="none" w:pos="10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and associated costs as we focus our research and development efforts on additional indications for DANYELZA and our SADA PRIT technology and expand our commercial infrastructure;</w:t>
      </w:r>
    </w:p>
    <w:p>
      <w:pPr>
        <w:spacing w:after="0" w:line="161" w:lineRule="exact"/>
        <w:rPr>
          <w:rFonts w:ascii="Times New Roman" w:cs="Times New Roman" w:eastAsia="Times New Roman" w:hAnsi="Times New Roman"/>
          <w:sz w:val="18"/>
          <w:szCs w:val="18"/>
          <w:color w:val="auto"/>
        </w:rPr>
      </w:pPr>
    </w:p>
    <w:p>
      <w:pPr>
        <w:ind w:left="1040" w:right="199" w:hanging="315"/>
        <w:spacing w:after="0" w:line="282" w:lineRule="auto"/>
        <w:tabs>
          <w:tab w:leader="none" w:pos="10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and defending against intellectual property related claims;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We may never generate the necessary data or results required to obtain additional marketing approval and achieve commercial success. Accordingly, we will need to continue to rely on additional financing to achieve our business objectives. We expect to finance our cash needs potentially through a combination of securities offerings, debt financing, collaborations, strategic alliances and licensing or other arrangements, or a combination thereof. Further, adequate additional financing may not be available to us on acceptable terms, required timing, or at all.</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summary of the financial balances related to our material outstanding contractual commitments and the maximum financial impact related to milestones under those contractual obligations are included in </w:t>
      </w:r>
      <w:r>
        <w:rPr>
          <w:rFonts w:ascii="Times New Roman" w:cs="Times New Roman" w:eastAsia="Times New Roman" w:hAnsi="Times New Roman"/>
          <w:sz w:val="18"/>
          <w:szCs w:val="18"/>
          <w:i w:val="1"/>
          <w:iCs w:val="1"/>
          <w:color w:val="auto"/>
        </w:rPr>
        <w:t>NOTE 9—LICENSE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AGREEMENTS AND COMMITMENTS </w:t>
      </w:r>
      <w:r>
        <w:rPr>
          <w:rFonts w:ascii="Times New Roman" w:cs="Times New Roman" w:eastAsia="Times New Roman" w:hAnsi="Times New Roman"/>
          <w:sz w:val="18"/>
          <w:szCs w:val="18"/>
          <w:color w:val="auto"/>
        </w:rPr>
        <w:t>in the notes to the consolidated financial statements included in Item 8.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and Supplementary Data.</w:t>
      </w:r>
    </w:p>
    <w:p>
      <w:pPr>
        <w:spacing w:after="0" w:line="180"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Additional contractual obligations as of December 31, 2024 are related to payments of operating leases for our office spaces at our office in New York, New York, a laboratory space located in Nutley, New Jersey, and an office space in Hørsholm, Denmark. We entered into a lease agreement for our headquarters in Princeton, New Jersey with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3" w:name="page134"/>
    <w:bookmarkEnd w:id="1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expected lease commencement date in 2025. Our obligations and commitments are disclosed in the contractual obligations table below:</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60" w:type="dxa"/>
            <w:vAlign w:val="bottom"/>
            <w:gridSpan w:val="7"/>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Payments Due By Period (in thousands)</w:t>
            </w:r>
          </w:p>
        </w:tc>
      </w:tr>
      <w:tr>
        <w:trPr>
          <w:trHeight w:val="173"/>
        </w:trPr>
        <w:tc>
          <w:tcPr>
            <w:tcW w:w="4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60" w:type="dxa"/>
            <w:vAlign w:val="bottom"/>
          </w:tcPr>
          <w:p>
            <w:pPr>
              <w:spacing w:after="0"/>
              <w:rPr>
                <w:sz w:val="15"/>
                <w:szCs w:val="15"/>
                <w:color w:val="auto"/>
              </w:rPr>
            </w:pPr>
          </w:p>
        </w:tc>
        <w:tc>
          <w:tcPr>
            <w:tcW w:w="10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1 to 3 Years</w:t>
            </w:r>
          </w:p>
        </w:tc>
      </w:tr>
      <w:tr>
        <w:trPr>
          <w:trHeight w:val="142"/>
        </w:trPr>
        <w:tc>
          <w:tcPr>
            <w:tcW w:w="47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Commitments</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2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r>
      <w:tr>
        <w:trPr>
          <w:trHeight w:val="21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260" w:type="dxa"/>
            <w:vAlign w:val="bottom"/>
          </w:tcPr>
          <w:p>
            <w:pPr>
              <w:spacing w:after="0"/>
              <w:rPr>
                <w:sz w:val="18"/>
                <w:szCs w:val="18"/>
                <w:color w:val="auto"/>
              </w:rPr>
            </w:pPr>
          </w:p>
        </w:tc>
        <w:tc>
          <w:tcPr>
            <w:tcW w:w="4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w:t>
            </w:r>
          </w:p>
        </w:tc>
      </w:tr>
      <w:tr>
        <w:trPr>
          <w:trHeight w:val="20"/>
        </w:trPr>
        <w:tc>
          <w:tcPr>
            <w:tcW w:w="4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In addition, we enter into contracts in the normal course of business with CROs, CMOs, clinical sites and other third parties for clinical trials, pre-clinical research studies and testing, professional consultants for expert advice and other vendors for clinical supply, manufacturing and other services. We do not consider these contracts to be contractual obligations, as they provide for termination upon prior notice, and, therefore, are cancelable contracts and do not include any minimum purchase commitments. Payments due upon cancellation of these contracts consist only of payments for services provided or expenses incurred, including non-cancellable obligations of our service providers, up to the date of cancellation.</w:t>
      </w:r>
    </w:p>
    <w:p>
      <w:pPr>
        <w:spacing w:after="0" w:line="187" w:lineRule="exact"/>
        <w:rPr>
          <w:sz w:val="20"/>
          <w:szCs w:val="20"/>
          <w:color w:val="auto"/>
        </w:rPr>
      </w:pPr>
    </w:p>
    <w:p>
      <w:pPr>
        <w:jc w:val="both"/>
        <w:ind w:left="60" w:right="139" w:firstLine="648"/>
        <w:spacing w:after="0" w:line="290" w:lineRule="auto"/>
        <w:rPr>
          <w:sz w:val="20"/>
          <w:szCs w:val="20"/>
          <w:color w:val="auto"/>
        </w:rPr>
      </w:pPr>
      <w:r>
        <w:rPr>
          <w:rFonts w:ascii="Times New Roman" w:cs="Times New Roman" w:eastAsia="Times New Roman" w:hAnsi="Times New Roman"/>
          <w:sz w:val="17"/>
          <w:szCs w:val="17"/>
          <w:color w:val="auto"/>
        </w:rPr>
        <w:t xml:space="preserve">As further described in </w:t>
      </w:r>
      <w:r>
        <w:rPr>
          <w:rFonts w:ascii="Times New Roman" w:cs="Times New Roman" w:eastAsia="Times New Roman" w:hAnsi="Times New Roman"/>
          <w:sz w:val="17"/>
          <w:szCs w:val="17"/>
          <w:i w:val="1"/>
          <w:iCs w:val="1"/>
          <w:color w:val="auto"/>
        </w:rPr>
        <w:t>NOTE 9—LICENSE AGREEMENTS AND COMMITMENTS</w:t>
      </w:r>
      <w:r>
        <w:rPr>
          <w:rFonts w:ascii="Times New Roman" w:cs="Times New Roman" w:eastAsia="Times New Roman" w:hAnsi="Times New Roman"/>
          <w:sz w:val="17"/>
          <w:szCs w:val="17"/>
          <w:color w:val="auto"/>
        </w:rPr>
        <w:t xml:space="preserve"> of our enclosed consolidated financial statements included in Item 8. Financial Statements and Supplementary Data, under various licensing and related agreements with third parties, we have agreed to make milestone and royalty payments to third parties.</w:t>
      </w:r>
    </w:p>
    <w:p>
      <w:pPr>
        <w:spacing w:after="0" w:line="157"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Research and development is inherently uncertain and, should such research and development fail, the MSK License Agreement and SADA License Agreement are cancelable at our option. We have also considered the development risk and each party’s termination rights under the three license agreements when considering whether any contingent payments, certain of which also contain time-based payment requirements, were probable. In addition, to the extent we enter into sublicense arrangements, we are obligated to pay to MSK a percentage of certain payments that we receive from sublicensees of the rights licensed to us by MSK, for which the percentage varies based upon the nature of the clinical or development milestone. To date, we have not entered into any sublicenses related to the CD33 License or the SADA License. We have entered into sublicenses and distribution agreements with Swixx for the Eastern Europe region in 2020, SciClone for the Eastern Asia region in 2020, Takeda for Israel in 2020, Adium for the Latin America region in 2021, WEP for the Western Europe region in 2022, INPHARMUS for Turkey in 2024 and Nobelpharma for Japan in 2024, as allowed under the MSK License. Our failure to meet certain conditions under such arrangements could cause the related license to such licensed product to be canceled and could result in termination of the entire respective arrangement with MSK. In addition, we may terminate the MSK License, the CD33 License, or the SADA License with prior written notice to MSK.</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Known Trends, Geopolitical Events and Uncertainties</w:t>
      </w:r>
    </w:p>
    <w:p>
      <w:pPr>
        <w:spacing w:after="0" w:line="227"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We face various worldwide health care changes that may continue to result in pricing pressures, including health care cost containment and government legislation. Inflation may also materially affect our business and corresponding financial position and cash flows. Inflationary factors, such as increases in the cost of our clinical trial materials and supplies, interest rates and overhead costs have and may continue to adversely affect our operating results. We may also experience potential cost increases, supply delays or issues with collaborators or clinical trials in other countries due to current and potential sanctions under the current U.S. administration.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left="60" w:right="79" w:firstLine="648"/>
        <w:spacing w:after="0" w:line="267"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3—SUMMARY OF SIGNIFICANT ACCOUNTING POLICIES</w:t>
      </w:r>
      <w:r>
        <w:rPr>
          <w:rFonts w:ascii="Times New Roman" w:cs="Times New Roman" w:eastAsia="Times New Roman" w:hAnsi="Times New Roman"/>
          <w:sz w:val="18"/>
          <w:szCs w:val="18"/>
          <w:color w:val="auto"/>
        </w:rPr>
        <w:t xml:space="preserve"> in the notes to the consolidated financial statements included in Item 8. Financial Statements and Supplementary Data for a discussion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by Item 10 of Regulation S-K, we are not required to provide the information required by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6880" w:type="dxa"/>
            <w:vAlign w:val="bottom"/>
            <w:gridSpan w:val="7"/>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80" w:type="dxa"/>
            <w:vAlign w:val="bottom"/>
            <w:gridSpan w:val="5"/>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9"/>
              </w:rPr>
              <w:t>Y-MABS THERAPEUTICS, INC.</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60" w:type="dxa"/>
            <w:vAlign w:val="bottom"/>
            <w:gridSpan w:val="6"/>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Pages</w:t>
            </w:r>
          </w:p>
        </w:tc>
        <w:tc>
          <w:tcPr>
            <w:tcW w:w="0" w:type="dxa"/>
            <w:vAlign w:val="bottom"/>
          </w:tcPr>
          <w:p>
            <w:pPr>
              <w:spacing w:after="0"/>
              <w:rPr>
                <w:sz w:val="1"/>
                <w:szCs w:val="1"/>
                <w:color w:val="auto"/>
              </w:rPr>
            </w:pPr>
          </w:p>
        </w:tc>
      </w:tr>
      <w:tr>
        <w:trPr>
          <w:trHeight w:val="27"/>
        </w:trPr>
        <w:tc>
          <w:tcPr>
            <w:tcW w:w="80" w:type="dxa"/>
            <w:vAlign w:val="bottom"/>
            <w:vMerge w:val="restart"/>
          </w:tcPr>
          <w:p>
            <w:pPr>
              <w:spacing w:after="0"/>
              <w:rPr>
                <w:sz w:val="2"/>
                <w:szCs w:val="2"/>
                <w:color w:val="auto"/>
              </w:rPr>
            </w:pPr>
          </w:p>
        </w:tc>
        <w:tc>
          <w:tcPr>
            <w:tcW w:w="776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0" w:type="dxa"/>
            <w:vAlign w:val="bottom"/>
            <w:vMerge w:val="continue"/>
          </w:tcPr>
          <w:p>
            <w:pPr>
              <w:spacing w:after="0"/>
              <w:rPr>
                <w:sz w:val="14"/>
                <w:szCs w:val="14"/>
                <w:color w:val="auto"/>
              </w:rPr>
            </w:pPr>
          </w:p>
        </w:tc>
        <w:tc>
          <w:tcPr>
            <w:tcW w:w="7760" w:type="dxa"/>
            <w:vAlign w:val="bottom"/>
            <w:gridSpan w:val="8"/>
            <w:vMerge w:val="continue"/>
          </w:tcPr>
          <w:p>
            <w:pPr>
              <w:spacing w:after="0"/>
              <w:rPr>
                <w:sz w:val="14"/>
                <w:szCs w:val="14"/>
                <w:color w:val="auto"/>
              </w:rPr>
            </w:pPr>
          </w:p>
        </w:tc>
        <w:tc>
          <w:tcPr>
            <w:tcW w:w="10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21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Consolidated Balance Sheets</w:t>
            </w:r>
          </w:p>
        </w:tc>
        <w:tc>
          <w:tcPr>
            <w:tcW w:w="2120" w:type="dxa"/>
            <w:vAlign w:val="bottom"/>
            <w:tcBorders>
              <w:top w:val="single" w:sz="8" w:color="0000EE"/>
            </w:tcBorders>
            <w:gridSpan w:val="3"/>
          </w:tcPr>
          <w:p>
            <w:pPr>
              <w:spacing w:after="0"/>
              <w:rPr>
                <w:sz w:val="20"/>
                <w:szCs w:val="20"/>
                <w:color w:val="auto"/>
              </w:rPr>
            </w:pPr>
          </w:p>
        </w:tc>
        <w:tc>
          <w:tcPr>
            <w:tcW w:w="3540" w:type="dxa"/>
            <w:vAlign w:val="bottom"/>
            <w:gridSpan w:val="3"/>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45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Consolidated Statements of Net Loss and Comprehensive Loss</w:t>
            </w:r>
          </w:p>
        </w:tc>
        <w:tc>
          <w:tcPr>
            <w:tcW w:w="32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43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Consolidated Statements of Changes in Stockholders' Equity</w:t>
            </w:r>
          </w:p>
        </w:tc>
        <w:tc>
          <w:tcPr>
            <w:tcW w:w="3380" w:type="dxa"/>
            <w:vAlign w:val="bottom"/>
            <w:gridSpan w:val="2"/>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28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4880" w:type="dxa"/>
            <w:vAlign w:val="bottom"/>
            <w:gridSpan w:val="5"/>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4600" w:type="dxa"/>
            <w:vAlign w:val="bottom"/>
            <w:gridSpan w:val="4"/>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5" w:name="page136"/>
    <w:bookmarkEnd w:id="1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Board of Directors and Stockholders of Y-mAbs Therapeutics, Inc.</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Y-mAbs Therapeutics, Inc. and its subsidiary (the “Company”) as of December 31, 2024 and 2023, and the related consolidated statements of net loss and comprehensive loss, of changes in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the years then ended in conformity with accounting principles generally accepted in the United States of America.</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Recognition – United States (U.S.) Product Revenue</w:t>
      </w:r>
    </w:p>
    <w:p>
      <w:pPr>
        <w:spacing w:after="0" w:line="227"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As described in Notes 3 and 4 to the consolidated financial statements, product revenue is generated from sales of DANYELZA, which are recognized as revenue at the point in time when the customer is deemed to have obtained control of the product, which occurs upon receipt at the end-user hospital in the U.S. Product sales are primarily recognized through the Company's arrangements with three national U.S. specialty distributors. The Company’s consolidated net product revenue was $85.2 million for the year ended December 31, 2024, of which $66.0 million is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6" w:name="page137"/>
    <w:bookmarkEnd w:id="1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generated from the U.S.</w:t>
      </w:r>
    </w:p>
    <w:p>
      <w:pPr>
        <w:spacing w:after="0" w:line="225" w:lineRule="exact"/>
        <w:rPr>
          <w:sz w:val="20"/>
          <w:szCs w:val="20"/>
          <w:color w:val="auto"/>
        </w:rPr>
      </w:pPr>
    </w:p>
    <w:p>
      <w:pPr>
        <w:ind w:left="60" w:right="519"/>
        <w:spacing w:after="0" w:line="266"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revenue recognition for U.S. product revenue is a critical audit matter is a high degree of auditor effort in performing procedures related to the Company’s revenue recognition.</w:t>
      </w:r>
    </w:p>
    <w:p>
      <w:pPr>
        <w:spacing w:after="0" w:line="176" w:lineRule="exact"/>
        <w:rPr>
          <w:sz w:val="20"/>
          <w:szCs w:val="20"/>
          <w:color w:val="auto"/>
        </w:rPr>
      </w:pPr>
    </w:p>
    <w:p>
      <w:pPr>
        <w:ind w:left="60" w:right="79"/>
        <w:spacing w:after="0" w:line="273"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U.S. revenue recognition. These procedures also included, among others, (i) testing management’s reconciliation of gross revenue recognized from product sales to third-party information; (ii) evaluating the gross revenue recognized on a sample basis by obtaining and inspecting source documents, including the customer arrangements, purchase orders, invoices, proof of delivery, and cash receipts from customers; and (iii) confirming a sample of outstanding customer invoice balances as of December 31, 2024 and, for confirmations not returned, obtaining cash receipts from customers.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Florham Park, New Jersey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4, 2025</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7" w:name="page138"/>
    <w:bookmarkEnd w:id="1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30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96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6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67,234</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78,637</w:t>
            </w: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22,454</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98,509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111,111</w:t>
            </w: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Inventories, long-term</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119,904</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127,869</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6,060</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13,166</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20,128</w:t>
            </w: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milestones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long-term portion</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26,884</w:t>
            </w:r>
          </w:p>
        </w:tc>
        <w:tc>
          <w:tcPr>
            <w:tcW w:w="0" w:type="dxa"/>
            <w:vAlign w:val="bottom"/>
          </w:tcPr>
          <w:p>
            <w:pPr>
              <w:spacing w:after="0"/>
              <w:rPr>
                <w:sz w:val="1"/>
                <w:szCs w:val="1"/>
                <w:color w:val="auto"/>
              </w:rPr>
            </w:pPr>
          </w:p>
        </w:tc>
      </w:tr>
      <w:tr>
        <w:trPr>
          <w:trHeight w:val="209"/>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5,500,000 shares authorized and none issued at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 and December 31, 2023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at December 31, 2024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December 31, 2023; 44,988,313 and 43,672,112 shares issued and outstanding at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 and December 31, 2023, respectively</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576,872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558,002</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(487,136)</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(457,470)</w:t>
            </w: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100,985</w:t>
            </w:r>
          </w:p>
        </w:tc>
        <w:tc>
          <w:tcPr>
            <w:tcW w:w="0" w:type="dxa"/>
            <w:vAlign w:val="bottom"/>
          </w:tcPr>
          <w:p>
            <w:pPr>
              <w:spacing w:after="0"/>
              <w:rPr>
                <w:sz w:val="1"/>
                <w:szCs w:val="1"/>
                <w:color w:val="auto"/>
              </w:rPr>
            </w:pP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119,904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127,869</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8" w:name="page139"/>
    <w:bookmarkEnd w:id="1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Net Loss and Comprehensive Loss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product revenue</w:t>
            </w:r>
          </w:p>
        </w:tc>
        <w:tc>
          <w:tcPr>
            <w:tcW w:w="6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85,185</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84,319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License revenue</w:t>
            </w:r>
          </w:p>
        </w:tc>
        <w:tc>
          <w:tcPr>
            <w:tcW w:w="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4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87,685</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84,819</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72,684</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73,453</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License royalties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54,645</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44,856</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103,885</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99,125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(31,201)</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(25,672)</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4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4,806</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(Benefits)/provision for income taxes</w:t>
            </w:r>
          </w:p>
        </w:tc>
        <w:tc>
          <w:tcPr>
            <w:tcW w:w="4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(29,666)</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(21,427)</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20" w:type="dxa"/>
            <w:vAlign w:val="bottom"/>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(27,851)</w:t>
            </w:r>
          </w:p>
        </w:tc>
        <w:tc>
          <w:tcPr>
            <w:tcW w:w="220" w:type="dxa"/>
            <w:vAlign w:val="bottom"/>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(22,309)</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(0.67)</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(0.49)</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44,328,962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43,645,388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9" w:name="page140"/>
    <w:bookmarkEnd w:id="1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Y-MABS THERAPEUTICS,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3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2"/>
                <w:szCs w:val="12"/>
                <w:color w:val="auto"/>
              </w:rPr>
            </w:pPr>
          </w:p>
        </w:tc>
        <w:tc>
          <w:tcPr>
            <w:tcW w:w="92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130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060" w:type="dxa"/>
            <w:vAlign w:val="bottom"/>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1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1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Income / (Loss)</w:t>
            </w:r>
          </w:p>
        </w:tc>
        <w:tc>
          <w:tcPr>
            <w:tcW w:w="100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2"/>
                <w:szCs w:val="12"/>
                <w:color w:val="auto"/>
              </w:rPr>
            </w:pPr>
          </w:p>
        </w:tc>
        <w:tc>
          <w:tcPr>
            <w:tcW w:w="720" w:type="dxa"/>
            <w:vAlign w:val="bottom"/>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43,670,109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(436,043)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109,221</w:t>
            </w:r>
          </w:p>
        </w:tc>
        <w:tc>
          <w:tcPr>
            <w:tcW w:w="0" w:type="dxa"/>
            <w:vAlign w:val="bottom"/>
          </w:tcPr>
          <w:p>
            <w:pPr>
              <w:spacing w:after="0"/>
              <w:rPr>
                <w:sz w:val="1"/>
                <w:szCs w:val="1"/>
                <w:color w:val="auto"/>
              </w:rPr>
            </w:pPr>
          </w:p>
        </w:tc>
      </w:tr>
      <w:tr>
        <w:trPr>
          <w:trHeight w:val="20"/>
        </w:trPr>
        <w:tc>
          <w:tcPr>
            <w:tcW w:w="30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50,000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Retirement of treasury shares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(58,763)</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16"/>
        </w:trPr>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14,453</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(882)</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16"/>
        </w:trPr>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(21,427)</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(21,427)</w:t>
            </w:r>
          </w:p>
        </w:tc>
        <w:tc>
          <w:tcPr>
            <w:tcW w:w="0" w:type="dxa"/>
            <w:vAlign w:val="bottom"/>
          </w:tcPr>
          <w:p>
            <w:pPr>
              <w:spacing w:after="0"/>
              <w:rPr>
                <w:sz w:val="1"/>
                <w:szCs w:val="1"/>
                <w:color w:val="auto"/>
              </w:rPr>
            </w:pPr>
          </w:p>
        </w:tc>
      </w:tr>
      <w:tr>
        <w:trPr>
          <w:trHeight w:val="209"/>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43,672,112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(457,470)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100,985</w:t>
            </w:r>
          </w:p>
        </w:tc>
        <w:tc>
          <w:tcPr>
            <w:tcW w:w="0" w:type="dxa"/>
            <w:vAlign w:val="bottom"/>
          </w:tcPr>
          <w:p>
            <w:pPr>
              <w:spacing w:after="0"/>
              <w:rPr>
                <w:sz w:val="1"/>
                <w:szCs w:val="1"/>
                <w:color w:val="auto"/>
              </w:rPr>
            </w:pPr>
          </w:p>
        </w:tc>
      </w:tr>
      <w:tr>
        <w:trPr>
          <w:trHeight w:val="20"/>
        </w:trPr>
        <w:tc>
          <w:tcPr>
            <w:tcW w:w="30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8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1,188,304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4,311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4,311</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127,897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14,559</w:t>
            </w:r>
          </w:p>
        </w:tc>
        <w:tc>
          <w:tcPr>
            <w:tcW w:w="0" w:type="dxa"/>
            <w:vAlign w:val="bottom"/>
          </w:tcPr>
          <w:p>
            <w:pPr>
              <w:spacing w:after="0"/>
              <w:rPr>
                <w:sz w:val="1"/>
                <w:szCs w:val="1"/>
                <w:color w:val="auto"/>
              </w:rPr>
            </w:pPr>
          </w:p>
        </w:tc>
      </w:tr>
      <w:tr>
        <w:trPr>
          <w:trHeight w:val="216"/>
        </w:trPr>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(29,666)</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(29,666)</w:t>
            </w:r>
          </w:p>
        </w:tc>
        <w:tc>
          <w:tcPr>
            <w:tcW w:w="0" w:type="dxa"/>
            <w:vAlign w:val="bottom"/>
          </w:tcPr>
          <w:p>
            <w:pPr>
              <w:spacing w:after="0"/>
              <w:rPr>
                <w:sz w:val="1"/>
                <w:szCs w:val="1"/>
                <w:color w:val="auto"/>
              </w:rPr>
            </w:pPr>
          </w:p>
        </w:tc>
      </w:tr>
      <w:tr>
        <w:trPr>
          <w:trHeight w:val="20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44,988,313</w:t>
            </w: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576,872</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(487,136)</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92,004</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0" w:name="page141"/>
    <w:bookmarkEnd w:id="1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and other transactions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bad debt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 long-term</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(27,232)</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exercised stock options</w:t>
            </w: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7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period</w:t>
            </w: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105,762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the end of period</w:t>
            </w:r>
          </w:p>
        </w:tc>
        <w:tc>
          <w:tcPr>
            <w:tcW w:w="7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67,234</w:t>
            </w:r>
          </w:p>
        </w:tc>
        <w:tc>
          <w:tcPr>
            <w:tcW w:w="2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78,637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treasury shares upon repayment of secured promissory note</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1" w:name="page142"/>
    <w:bookmarkEnd w:id="1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Y-MABS THERAPEUTICS, INC.</w:t>
      </w:r>
    </w:p>
    <w:p>
      <w:pPr>
        <w:spacing w:after="0" w:line="22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1—ORGANIZATION AND DESCRIPTION OF BUSINESS</w:t>
      </w:r>
    </w:p>
    <w:p>
      <w:pPr>
        <w:spacing w:after="0" w:line="229" w:lineRule="exact"/>
        <w:rPr>
          <w:sz w:val="20"/>
          <w:szCs w:val="20"/>
          <w:color w:val="auto"/>
        </w:rPr>
      </w:pPr>
    </w:p>
    <w:p>
      <w:pPr>
        <w:ind w:left="100" w:right="519" w:firstLine="583"/>
        <w:spacing w:after="0" w:line="272" w:lineRule="auto"/>
        <w:rPr>
          <w:sz w:val="20"/>
          <w:szCs w:val="20"/>
          <w:color w:val="auto"/>
        </w:rPr>
      </w:pPr>
      <w:r>
        <w:rPr>
          <w:rFonts w:ascii="Times New Roman" w:cs="Times New Roman" w:eastAsia="Times New Roman" w:hAnsi="Times New Roman"/>
          <w:sz w:val="18"/>
          <w:szCs w:val="18"/>
          <w:color w:val="auto"/>
        </w:rPr>
        <w:t>Y-mAbs Therapeutics, Inc. (“we,” “us,” “our,” the “Company,” or “Y-mAbs”) is a commercial-stage biopharmaceutical company focused on the development and commercialization of novel radioimmunotherapy, and antibody-based therapeutic products for the treatment of cancer. Y-mAbs is leveraging the Company’s proprietary radioimmunotherapy and the antibody platforms, and the Company’s deep expertise in the field of radioimmunotherapy and antibodies to develop a broad portfolio of innovative medicines largely in the space of pre-targeted radio-isotope labeled therapeutics.</w:t>
      </w:r>
    </w:p>
    <w:p>
      <w:pPr>
        <w:spacing w:after="0" w:line="132"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The Company is headquartered in New Jersey and was incorporated on April 30, 2015 under the laws of the State of Delaware.</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2—BASIS OF PRESENTATION</w:t>
      </w:r>
    </w:p>
    <w:p>
      <w:pPr>
        <w:spacing w:after="0" w:line="22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The Company has incurred losses in every year since inception. Operations of the Company are subject to certain risks and uncertainties, including, among others, uncertainty of drug candidate development; technological uncertainty; uncertainty regarding patents and proprietary rights; uncertainty in obtaining the FDA approval in the United States and regulatory approval in other jurisdictions; marketing or sales capability or experience; uncertainty in getting adequate payor coverage and reimbursement; dependence on key personnel; compliance with government regulations and the need to obtain additional financing. The Company’s drug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w:t>
      </w:r>
    </w:p>
    <w:p>
      <w:pPr>
        <w:spacing w:after="0" w:line="188"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Company’s drug candidates are in various stages of development. DANYELZA received accelerated approval by the FDA in November 2020, but there can be no assurance that the Company’s other research and development efforts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and commercialization efforts are successful, it is uncertain when, if ever, the Company will become profitable. The Company operates in an environment of rapid change in technology and substantial competition from pharmaceutical and biotechnology companies.</w:t>
      </w:r>
    </w:p>
    <w:p>
      <w:pPr>
        <w:spacing w:after="0" w:line="189" w:lineRule="exact"/>
        <w:rPr>
          <w:sz w:val="20"/>
          <w:szCs w:val="20"/>
          <w:color w:val="auto"/>
        </w:rPr>
      </w:pPr>
    </w:p>
    <w:p>
      <w:pPr>
        <w:ind w:left="60" w:right="259" w:firstLine="648"/>
        <w:spacing w:after="0" w:line="254"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on the basis of continuity of operations, realization of assets and the satisfaction of liabilities in the ordinary course of business. The Company has experienced negative cash flows from operations since inception and had an accumulated deficit of $487,136,000 as of December 31, 2024 and $457,470,000 as of December 31, 2023. Through December 31, 2024, the Company has funded the operations primarily through proceeds from sales of shares of the Company’s common stock, including the initial public offering in September 2018 and the Company’s subsequent public offerings in November 2019 and February 2021, as well as additional funding from the sales of DANYELZA and from the sale of the Company’s Priority Review Voucher (“PRV”) obtained upon FDA approval of DANYELZA.</w:t>
      </w:r>
    </w:p>
    <w:p>
      <w:pPr>
        <w:spacing w:after="0" w:line="192"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Company had cash and cash equivalents of $67,234,000 and $78,637,000 as of December 31, 2024 and 2023, respectively. As of the issuance date of the consolidated financial statements for the year ended December 31, 2024, the Company expects that the cash and cash equivalents at December 31, 2024 will be sufficient to fund the Company’s operating expenses and capital expenditure requirements as currently planned through at least the next 12 months from the issuance of such financial statements.</w:t>
      </w:r>
    </w:p>
    <w:p>
      <w:pPr>
        <w:spacing w:after="0" w:line="183"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Company may raise additional capital to fund future operations through the sale of the Company’s securities, incurring debt, entering into licensing or collaboration agreements with partners, grants or other sources of</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2" w:name="page143"/>
    <w:bookmarkEnd w:id="1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financing. These potential financing sources are in addition to the successful commercialization of DANYELZA and our product candidates, for which the Company may obtain regulatory approval and marketing authorization. The Company’s commercialization strategy includes working with distributors and may include working with a collaborator. Sufficient funds may not be available to the Company on attractive terms or at all when needed from equity, debt or other financing. If the Company is unable to obtain additional financing from these or other sources when needed, it will likely be necessary to take other actions to enhance the Company’s liquidity position which may include significantly reducing the rate of spending through delaying or scaling back operations or suspending certain research and development programs and other operational programs in addition to other measures.</w:t>
      </w:r>
    </w:p>
    <w:p>
      <w:pPr>
        <w:spacing w:after="0" w:line="192" w:lineRule="exact"/>
        <w:rPr>
          <w:sz w:val="20"/>
          <w:szCs w:val="20"/>
          <w:color w:val="auto"/>
        </w:rPr>
      </w:pPr>
    </w:p>
    <w:p>
      <w:pPr>
        <w:ind w:left="60" w:right="439" w:firstLine="648"/>
        <w:spacing w:after="0" w:line="289" w:lineRule="auto"/>
        <w:rPr>
          <w:sz w:val="20"/>
          <w:szCs w:val="20"/>
          <w:color w:val="auto"/>
        </w:rPr>
      </w:pPr>
      <w:r>
        <w:rPr>
          <w:rFonts w:ascii="Times New Roman" w:cs="Times New Roman" w:eastAsia="Times New Roman" w:hAnsi="Times New Roman"/>
          <w:sz w:val="17"/>
          <w:szCs w:val="17"/>
          <w:color w:val="auto"/>
        </w:rPr>
        <w:t>The accompanying consolidated financial statements reflect the accounts of the Company and the Company’s wholly owned subsidiary and have been prepared in accordance with accounting principles generally accepted in the United States of America (“GAAP”). All intercompany balances and transactions have been eliminated.</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net product revenues, the accrual for research and development expenses, the accrual of milestone and royalty payments, the valuation of stock options, restricted stock units, performance restricted stock units and asset impairments. Estimates are periodically reviewed in light of changes in circumstances, facts and experience. Changes in estimates are recorded in the period in which they become known. Actual results could differ from those estimates.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Company considers all highly liquid instruments with original maturities of three months or less from date of purchase to be cash equivalents. All cash and cash equivalents are held in highly rated securities including a treasury money market fund, which is unrestricted as to withdrawal or use. To date, the Company has not experienced a loss on the cash and cash equivalents. The carrying amount of cash and cash equivalents approximates its fair value due to its short-term and liquid nature. The Company’s cash and cash equivalents are held at a large major federal, national bank. The Company maintains cash balances in excess of insured limits. The Company monitors the financial performance, credit ratings and liquidity of the money market fund to timely assess and respond to any changes in the asset values of the fund. The Company does not anticipate any loss with respect to such cash balances.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The Company’s accounts receivable, net balance consists of amounts due from sales of our approved product, DANYELZA. Receivables from product sales are recorded net of allowances which generally include chargebacks, doubtful accounts, rebates, returns, and discounts. The allowance is based primarily on assessment of specific identifiable customer accounts considered at risk or uncollectible, as well as an analysis of current receivables aging and expected future write-offs. The Company has not historically experienced any significant credit losses. All customer accounts are actively managed, and no losses are currently expected.</w:t>
      </w:r>
    </w:p>
    <w:p>
      <w:pPr>
        <w:spacing w:after="0" w:line="187"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The Company has not experienced any write-offs related to customer accounts receivables and has not reversed any allowances during the years ended December 31, 2024 and 2023. The Company recognized a $520,000 allowance for credit loss in the year ended December 31, 2024. There is no allowance for doubtful accounts in the year ended December 31, 2023.</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3" w:name="page144"/>
    <w:bookmarkEnd w:id="1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left="60" w:right="4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Company’s product sales are made through arrangements primarily with three national U.S. specialty distributors. As of December 31, 2024, the net accounts receivable balances from such distributors totaled 73% of the Company’s outstanding accounts receivable. See </w:t>
      </w:r>
      <w:r>
        <w:rPr>
          <w:rFonts w:ascii="Times New Roman" w:cs="Times New Roman" w:eastAsia="Times New Roman" w:hAnsi="Times New Roman"/>
          <w:sz w:val="18"/>
          <w:szCs w:val="18"/>
          <w:i w:val="1"/>
          <w:iCs w:val="1"/>
          <w:color w:val="auto"/>
        </w:rPr>
        <w:t>Note 4 – Net Product Revenue</w:t>
      </w:r>
      <w:r>
        <w:rPr>
          <w:rFonts w:ascii="Times New Roman" w:cs="Times New Roman" w:eastAsia="Times New Roman" w:hAnsi="Times New Roman"/>
          <w:sz w:val="18"/>
          <w:szCs w:val="18"/>
          <w:color w:val="auto"/>
        </w:rPr>
        <w:t>, for details of product sales to certain customers that accounted for more than 10% of total net product revenue. The remainder of the Company’s accounts receivable as of December 31, 2024 represented balances from international distribution partners. The Company has contractual payment terms with each customer and monitors their financial performance, historical payment terms and credit worthiness to timely assess and respond to any changes in their credit profile.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Company values the inventories at the lower of cost or net realizable value on a first-in, first-out basis. The Company’s inventory cost includes amounts related to materials, third-party contract manufacturing, third-party packaging services, freight, labor costs for personnel involved in the manufacturing process, and indirect overhead costs. Raw and intermediate materials that may be utilized for both commercial and clinical programs are identical and given the alternative future use such amounts are initially classified as inventories. Amounts in inventories associated with clinical development programs are charged to research and development expense when the product enters the research and development process and can no longer be used for commercial purposes and, therefore, does not have an alternative future use.</w:t>
      </w:r>
    </w:p>
    <w:p>
      <w:pPr>
        <w:spacing w:after="0" w:line="192" w:lineRule="exact"/>
        <w:rPr>
          <w:sz w:val="20"/>
          <w:szCs w:val="20"/>
          <w:color w:val="auto"/>
        </w:rPr>
      </w:pPr>
    </w:p>
    <w:p>
      <w:pPr>
        <w:ind w:left="60" w:right="79" w:firstLine="648"/>
        <w:spacing w:after="0" w:line="281" w:lineRule="auto"/>
        <w:rPr>
          <w:sz w:val="20"/>
          <w:szCs w:val="20"/>
          <w:color w:val="auto"/>
        </w:rPr>
      </w:pPr>
      <w:r>
        <w:rPr>
          <w:rFonts w:ascii="Times New Roman" w:cs="Times New Roman" w:eastAsia="Times New Roman" w:hAnsi="Times New Roman"/>
          <w:sz w:val="17"/>
          <w:szCs w:val="17"/>
          <w:color w:val="auto"/>
        </w:rPr>
        <w:t>The Company capitalizes inventory costs related to products to be sold in the ordinary course of business. The Company makes a determination of capitalizing inventory costs for a product based on, among other factors, status of regulatory approval, information regarding safety, efficacy and expectations relating to commercial sales and recoverability of costs. For DANYELZA, the Company commenced capitalization of inventory at the receipt of FDA approval.</w:t>
      </w:r>
    </w:p>
    <w:p>
      <w:pPr>
        <w:spacing w:after="0" w:line="1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performs an assessment of the recoverability of capitalized inventories during each reporting</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period, and writes down any excess and obsolete inventories to their estimated realizable value in the period in which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write-off occurs. Such write-off, should they occur, are recorded within cost of goods sold. The determination of whether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inventory costs will be realizable requires estimates by management. The Company had inventory write-offs totaling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$578,000 and $831,000 in the years ended December 31, 2024 and 2023, respectively, which were each recorded in cost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goods sold on the Consolidated Statements of Net Loss and Comprehensive Loss.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GAAP. Fair value is defined as the price that would be received to sell an asset or paid to transfer a liability in an orderly transaction between market participants at the measurement date (i.e. an exit price). The accounting guidance includes a fair value hierarchy that prioritizes the inputs to valuation techniques used to measure fair value. The three levels of the fair value hierarchy are as follows:</w:t>
      </w:r>
    </w:p>
    <w:p>
      <w:pPr>
        <w:spacing w:after="0" w:line="180" w:lineRule="exact"/>
        <w:rPr>
          <w:sz w:val="20"/>
          <w:szCs w:val="20"/>
          <w:color w:val="auto"/>
        </w:rPr>
      </w:pPr>
    </w:p>
    <w:p>
      <w:pPr>
        <w:ind w:left="1040" w:hanging="315"/>
        <w:spacing w:after="0"/>
        <w:tabs>
          <w:tab w:leader="none" w:pos="1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for identical assets or liabilities in active markets;</w:t>
      </w:r>
    </w:p>
    <w:p>
      <w:pPr>
        <w:spacing w:after="0" w:line="225" w:lineRule="exact"/>
        <w:rPr>
          <w:rFonts w:ascii="Times New Roman" w:cs="Times New Roman" w:eastAsia="Times New Roman" w:hAnsi="Times New Roman"/>
          <w:sz w:val="18"/>
          <w:szCs w:val="18"/>
          <w:color w:val="auto"/>
        </w:rPr>
      </w:pPr>
    </w:p>
    <w:p>
      <w:pPr>
        <w:ind w:left="1040" w:right="679" w:hanging="315"/>
        <w:spacing w:after="0" w:line="282" w:lineRule="auto"/>
        <w:tabs>
          <w:tab w:leader="none" w:pos="1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 active markets for identical assets and liabilities that are observable either directly or indirectly for substantially the full term of the asset or liability; and</w:t>
      </w:r>
    </w:p>
    <w:p>
      <w:pPr>
        <w:spacing w:after="0" w:line="161" w:lineRule="exact"/>
        <w:rPr>
          <w:rFonts w:ascii="Times New Roman" w:cs="Times New Roman" w:eastAsia="Times New Roman" w:hAnsi="Times New Roman"/>
          <w:sz w:val="18"/>
          <w:szCs w:val="18"/>
          <w:color w:val="auto"/>
        </w:rPr>
      </w:pPr>
    </w:p>
    <w:p>
      <w:pPr>
        <w:ind w:left="1040" w:right="139" w:hanging="315"/>
        <w:spacing w:after="0" w:line="266" w:lineRule="auto"/>
        <w:tabs>
          <w:tab w:leader="none" w:pos="1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for the asset or liability, which include management's own assumption about the assumptions market participants would use in pricing the asset or liability, including assumptions about risk.</w:t>
      </w:r>
    </w:p>
    <w:p>
      <w:pPr>
        <w:spacing w:after="0" w:line="176" w:lineRule="exact"/>
        <w:rPr>
          <w:sz w:val="20"/>
          <w:szCs w:val="20"/>
          <w:color w:val="auto"/>
        </w:rPr>
      </w:pPr>
    </w:p>
    <w:p>
      <w:pPr>
        <w:ind w:left="60" w:right="759" w:firstLine="648"/>
        <w:spacing w:after="0" w:line="312" w:lineRule="auto"/>
        <w:rPr>
          <w:sz w:val="20"/>
          <w:szCs w:val="20"/>
          <w:color w:val="auto"/>
        </w:rPr>
      </w:pPr>
      <w:r>
        <w:rPr>
          <w:rFonts w:ascii="Times New Roman" w:cs="Times New Roman" w:eastAsia="Times New Roman" w:hAnsi="Times New Roman"/>
          <w:sz w:val="17"/>
          <w:szCs w:val="17"/>
          <w:color w:val="auto"/>
        </w:rPr>
        <w:t>Cash equivalents held in money market funds are valued using other significant observable inputs, which represent a Level 2 measurement within the fair value hierarchy. The Company has no other cash equivalents.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4" w:name="page145"/>
    <w:bookmarkEnd w:id="1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cash equivalents, which are measured at fair value on a recurring basis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gridSpan w:val="10"/>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2024</w:t>
            </w:r>
          </w:p>
        </w:tc>
      </w:tr>
      <w:tr>
        <w:trPr>
          <w:trHeight w:val="209"/>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40" w:type="dxa"/>
            <w:vAlign w:val="bottom"/>
          </w:tcPr>
          <w:p>
            <w:pPr>
              <w:spacing w:after="0"/>
              <w:rPr>
                <w:sz w:val="18"/>
                <w:szCs w:val="18"/>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64,120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64,120</w:t>
            </w:r>
          </w:p>
        </w:tc>
      </w:tr>
      <w:tr>
        <w:trPr>
          <w:trHeight w:val="209"/>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64,120</w:t>
            </w:r>
          </w:p>
        </w:tc>
      </w:tr>
      <w:tr>
        <w:trPr>
          <w:trHeight w:val="20"/>
        </w:trPr>
        <w:tc>
          <w:tcPr>
            <w:tcW w:w="5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r>
      <w:tr>
        <w:trPr>
          <w:trHeight w:val="575"/>
        </w:trPr>
        <w:tc>
          <w:tcPr>
            <w:tcW w:w="5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10"/>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2023</w:t>
            </w:r>
          </w:p>
        </w:tc>
      </w:tr>
      <w:tr>
        <w:trPr>
          <w:trHeight w:val="209"/>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40" w:type="dxa"/>
            <w:vAlign w:val="bottom"/>
          </w:tcPr>
          <w:p>
            <w:pPr>
              <w:spacing w:after="0"/>
              <w:rPr>
                <w:sz w:val="18"/>
                <w:szCs w:val="18"/>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75,501</w:t>
            </w:r>
          </w:p>
        </w:tc>
      </w:tr>
      <w:tr>
        <w:trPr>
          <w:trHeight w:val="209"/>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75,501</w:t>
            </w:r>
          </w:p>
        </w:tc>
      </w:tr>
      <w:tr>
        <w:trPr>
          <w:trHeight w:val="20"/>
        </w:trPr>
        <w:tc>
          <w:tcPr>
            <w:tcW w:w="5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During the years ended December 31, 2024 and 2023, there were no transfers between Level 1, Level 2 and Level</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Right-of-Use Assets and Operating Lease Liabilities</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includes a lease at inception. Operating lease right-of-use assets represent the Company’s right to use an underlying asset for the lease term and operating lease liabilities represent the Company’s obligation to make lease payments arising from the lease. Operating lease right-of-use assets and liabilities are recognized at the lease commencement date based on the present value of lease payments over the lease term. Because most of the Company’s leases do not provide an implicit rate of return, an incremental borrowing rate is used based on the information available at the commencement date in determining the present value of lease payments on an individual lease basis. The Company’s incremental borrowing rate for a lease is the estimated rate of interest the Company would have to pay on a collateralized basis to borrow an amount equal to the lease payments under similar terms.</w:t>
      </w:r>
    </w:p>
    <w:p>
      <w:pPr>
        <w:spacing w:after="0" w:line="192"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The Company’s leases may include options to extend or terminate a lease which are included in the lease term when it is reasonably certain that the Company will exercise any such options. None of the Company’s leases contain any residual value guarantees. Lease expense is recognized on a straight-line basis over the expected lease term. Related variable lease costs incurred are not material to the Company.</w:t>
      </w:r>
    </w:p>
    <w:p>
      <w:pPr>
        <w:spacing w:after="0" w:line="180" w:lineRule="exact"/>
        <w:rPr>
          <w:sz w:val="20"/>
          <w:szCs w:val="20"/>
          <w:color w:val="auto"/>
        </w:rPr>
      </w:pPr>
    </w:p>
    <w:p>
      <w:pPr>
        <w:jc w:val="both"/>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currently elects the short-term lease recognition exemption for all leases that qualify. This means, for those leases that qualify, the Company will not recognize right-of-use assets or liabilities. The Company also elects the practical expedient to not separate lease and non-lease components for all of our leases. See the Lease Agreements section in </w:t>
      </w:r>
      <w:r>
        <w:rPr>
          <w:rFonts w:ascii="Times New Roman" w:cs="Times New Roman" w:eastAsia="Times New Roman" w:hAnsi="Times New Roman"/>
          <w:sz w:val="18"/>
          <w:szCs w:val="18"/>
          <w:i w:val="1"/>
          <w:iCs w:val="1"/>
          <w:color w:val="auto"/>
        </w:rPr>
        <w:t>NOTE 9—LICENSE AGREEMENTS AND COMMITMENTS</w:t>
      </w:r>
      <w:r>
        <w:rPr>
          <w:rFonts w:ascii="Times New Roman" w:cs="Times New Roman" w:eastAsia="Times New Roman" w:hAnsi="Times New Roman"/>
          <w:sz w:val="18"/>
          <w:szCs w:val="18"/>
          <w:color w:val="auto"/>
        </w:rPr>
        <w:t xml:space="preserve"> for the related disclosures.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To determine revenue recognition for product revenue and license revenue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arrangements that meet the definition of a contract with a customer under ASC 606, including when it is probable that the Company will collect the consideration the Company is entitled to in exchange for the goods or services it transfers to the customer. At contract inception, once the contract is determined to be within the scope of ASC 606, the Company assesses the goods or services promised within each contract, determines those that are performance obligations, and assesses whether each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5" w:name="page146"/>
    <w:bookmarkEnd w:id="1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promised good or service is distinct. The company then recognizes as revenue the amount of the transaction price that is allocated to the respective performance obligation when (or as) the performance obligation is satisfied.</w:t>
      </w:r>
    </w:p>
    <w:p>
      <w:pPr>
        <w:spacing w:after="0" w:line="162"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Under the practical expedient permitted under Topic 606, the Company expenses incremental costs of obtaining a contract as and when incurred if the expected amortization period of the assets is one year or less. If there are multiple distinct performance obligations, the Company allocates the transaction price to each distinct performance obligation based on its relative standalone selling price. The Company also considers the intended benefit of the contract in assessing whether a promised good or service is separately identifiable from other promises in the contract. If a promised good or service is not distinct, the Company combines that good or service with other promised goods or services until the Company identifies a bundle of goods or services that is distinct. The standalone selling price is generally determined based on the prices charged to customers.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Net product revenue</w:t>
      </w:r>
    </w:p>
    <w:p>
      <w:pPr>
        <w:spacing w:after="0" w:line="227"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revenue from sales of DANYELZA at a point in time when customer is deemed to have obtained control of the product, which generally occurs upon receipt at the end-user hospital for sales in the United States, and upon delivery to the distributors for sales in the international territories.</w:t>
      </w:r>
    </w:p>
    <w:p>
      <w:pPr>
        <w:spacing w:after="0" w:line="176"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The amount of revenue the Company recognizes from sales of DANYELZA varies due to rebates, chargebacks and discounts provided under governmental and other programs, distribution-related fees and other sales-related deductions. In order to determine those deductions, the Company estimates, utilizing the expected value method, the amount of revenue that the Company will ultimately be entitled to. This estimate is based upon contracts with customers and government agencies, statutorily-defined discounts applicable to government-funded programs, estimated payor mix, and other relevant factors. Calculating these amounts involves estimates and judgments, and the Company reviews these estimates quarterly. If actual results vary from the Company’s original estimates, the Company will adjust these estimates quarterly, which would affect net product revenue and earnings in the period such variances occur.</w:t>
      </w:r>
    </w:p>
    <w:p>
      <w:pPr>
        <w:spacing w:after="0" w:line="192" w:lineRule="exact"/>
        <w:rPr>
          <w:sz w:val="20"/>
          <w:szCs w:val="20"/>
          <w:color w:val="auto"/>
        </w:rPr>
      </w:pPr>
    </w:p>
    <w:p>
      <w:pPr>
        <w:ind w:left="1040" w:hanging="315"/>
        <w:spacing w:after="0"/>
        <w:tabs>
          <w:tab w:leader="none" w:pos="10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Rebates and chargebacks</w:t>
      </w:r>
    </w:p>
    <w:p>
      <w:pPr>
        <w:spacing w:after="0" w:line="225" w:lineRule="exact"/>
        <w:rPr>
          <w:sz w:val="20"/>
          <w:szCs w:val="20"/>
          <w:color w:val="auto"/>
        </w:rPr>
      </w:pPr>
    </w:p>
    <w:p>
      <w:pPr>
        <w:ind w:left="1020" w:right="79"/>
        <w:spacing w:after="0" w:line="253" w:lineRule="auto"/>
        <w:rPr>
          <w:sz w:val="20"/>
          <w:szCs w:val="20"/>
          <w:color w:val="auto"/>
        </w:rPr>
      </w:pPr>
      <w:r>
        <w:rPr>
          <w:rFonts w:ascii="Times New Roman" w:cs="Times New Roman" w:eastAsia="Times New Roman" w:hAnsi="Times New Roman"/>
          <w:sz w:val="18"/>
          <w:szCs w:val="18"/>
          <w:color w:val="auto"/>
        </w:rPr>
        <w:t>The Company contracts with United States governmental agencies to ensure that DANYELZA will be eligible for coverage under the various programs administered by the agencies. The Company estimates the rebates and chargebacks to be provided and deducts these estimated amounts from gross product revenues. These reserves are recorded in the same period the revenue is recognized, resulting in a reduction of product revenue and the establishment of accrued liabilities for the rebates and a reduction of accounts receivable for the chargebacks. The Company develops estimates for rebates and chargebacks based upon (i) the Company’s contracts with these agencies, (ii) the government-mandated discounts applicable to government-funded programs, and (iii) information obtained from hospitals and third-party consultants regarding the payor mix. The Company’s liability for these rebates and chargebacks mainly consists of claims for which invoices have not yet been received and paid. The Company does not maintain material levels of inventories in the wholesale or retail channel.</w:t>
      </w:r>
    </w:p>
    <w:p>
      <w:pPr>
        <w:spacing w:after="0" w:line="192" w:lineRule="exact"/>
        <w:rPr>
          <w:sz w:val="20"/>
          <w:szCs w:val="20"/>
          <w:color w:val="auto"/>
        </w:rPr>
      </w:pPr>
    </w:p>
    <w:p>
      <w:pPr>
        <w:ind w:left="1040" w:hanging="315"/>
        <w:spacing w:after="0"/>
        <w:tabs>
          <w:tab w:leader="none" w:pos="10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Discounts and distribution-related fees</w:t>
      </w:r>
    </w:p>
    <w:p>
      <w:pPr>
        <w:spacing w:after="0" w:line="225" w:lineRule="exact"/>
        <w:rPr>
          <w:sz w:val="20"/>
          <w:szCs w:val="20"/>
          <w:color w:val="auto"/>
        </w:rPr>
      </w:pPr>
    </w:p>
    <w:p>
      <w:pPr>
        <w:ind w:left="1020" w:right="139"/>
        <w:spacing w:after="0" w:line="255" w:lineRule="auto"/>
        <w:rPr>
          <w:sz w:val="20"/>
          <w:szCs w:val="20"/>
          <w:color w:val="auto"/>
        </w:rPr>
      </w:pPr>
      <w:r>
        <w:rPr>
          <w:rFonts w:ascii="Times New Roman" w:cs="Times New Roman" w:eastAsia="Times New Roman" w:hAnsi="Times New Roman"/>
          <w:sz w:val="18"/>
          <w:szCs w:val="18"/>
          <w:color w:val="auto"/>
        </w:rPr>
        <w:t>The Company provides invoice discounts on DANYELZA sales to distributors for prompt payment and fees for distribution services and invoice discounts reduce the original accounts receivable balances. The payment terms for sales to distributors generally include a 2% discount for prompt payment or fees for distribution services which are based on contractual rates agreed with the respective distributors. Based on historical data and experiences with the distributors, the Company expects the distributors to earn these discounts and fees and deduct the full amount of these discounts and fees from the Company’s gross product revenue at the time such revenues are recognized.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6" w:name="page147"/>
    <w:bookmarkEnd w:id="1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hanging="315"/>
        <w:spacing w:after="0"/>
        <w:tabs>
          <w:tab w:leader="none" w:pos="10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Returns</w:t>
      </w:r>
    </w:p>
    <w:p>
      <w:pPr>
        <w:spacing w:after="0" w:line="225" w:lineRule="exact"/>
        <w:rPr>
          <w:sz w:val="20"/>
          <w:szCs w:val="20"/>
          <w:color w:val="auto"/>
        </w:rPr>
      </w:pPr>
    </w:p>
    <w:p>
      <w:pPr>
        <w:ind w:left="1020" w:right="199"/>
        <w:spacing w:after="0" w:line="261" w:lineRule="auto"/>
        <w:rPr>
          <w:sz w:val="20"/>
          <w:szCs w:val="20"/>
          <w:color w:val="auto"/>
        </w:rPr>
      </w:pPr>
      <w:r>
        <w:rPr>
          <w:rFonts w:ascii="Times New Roman" w:cs="Times New Roman" w:eastAsia="Times New Roman" w:hAnsi="Times New Roman"/>
          <w:sz w:val="18"/>
          <w:szCs w:val="18"/>
          <w:color w:val="auto"/>
        </w:rPr>
        <w:t>The Company offers customers limited product return rights for damaged, defective, or expiring products. The Company estimates returns on sales of DANYELZA mainly based on information provided to the Company from the hospitals and distributors. The return reserves are recorded in the same period the related revenue is recognized, resulting in a reduction of product revenue and accounts receivable.</w:t>
      </w:r>
    </w:p>
    <w:p>
      <w:pPr>
        <w:spacing w:after="0" w:line="180"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December 2022, the Company announced a distribution agreement with WEP Clinical Ltd., or WEP, in connection with an early access program for DANYELZA in Europe. There are no regulatory-based or sales-based milestone payments or royalty arrangements under this distribution agreement. The Company recognizes revenue when WEP obtains control of the product upon delivery. The Company invoices WEP based on the terms of the distribution agreement, where a portion is billed upon shipment of product and the unbilled portion is billed at a later date based on terms of the distribution agreement. The Company has an unconditional right to the unbilled portion of the receivable and the Company estimates that the receivable will be collected within one year and therefore has recorded the balance at December 31, 2024, within accounts receivable on the Consolidated Balance Sheets. The unbilled accounts receivable from WEP was immaterial as of December 31, 2024.</w:t>
      </w:r>
    </w:p>
    <w:p>
      <w:pPr>
        <w:spacing w:after="0" w:line="188"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In May 2024, the Company entered into an exclusive named patient program license and distribution agreement with INPHARMUS İLAÇ SANAYİ TİCARET ANONİM ŞİRKETİ, or INPHARMUS, formerly TRPharm for the distribution of DANYELZA in Turkey. There are no regulatory or sales-based milestone payments or royalties under this distribution agreement. In January 2025 the Company entered into an amendment with INPHARMUS to expand the defined territories in the agreement to include certain countries in the Persian Gulf.</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License revenue</w:t>
      </w:r>
    </w:p>
    <w:p>
      <w:pPr>
        <w:spacing w:after="0" w:line="227" w:lineRule="exact"/>
        <w:rPr>
          <w:sz w:val="20"/>
          <w:szCs w:val="20"/>
          <w:color w:val="auto"/>
        </w:rPr>
      </w:pPr>
    </w:p>
    <w:p>
      <w:pPr>
        <w:ind w:left="60" w:right="179" w:firstLine="648"/>
        <w:spacing w:after="0" w:line="273" w:lineRule="auto"/>
        <w:rPr>
          <w:sz w:val="20"/>
          <w:szCs w:val="20"/>
          <w:color w:val="auto"/>
        </w:rPr>
      </w:pPr>
      <w:r>
        <w:rPr>
          <w:rFonts w:ascii="Times New Roman" w:cs="Times New Roman" w:eastAsia="Times New Roman" w:hAnsi="Times New Roman"/>
          <w:sz w:val="17"/>
          <w:szCs w:val="17"/>
          <w:color w:val="auto"/>
        </w:rPr>
        <w:t>The Company’s license agreements include regulatory-based milestone payments and sales-based milestone payments, in addition to royalties. The Company determines whether the achievement of each regulatory-based milestone is constrained as they are contingent upon regulatory approvals, which are not within the control of the Company and therefore not deemed probable until the regulatory approval is obtained. The Company expects that the sales-based milestones and royalty payments will be recognized when the milestone is achieved or the related sales occur. The Company re-evaluates the transaction price each quarter and as uncertain events are resolved or other changes in circumstances occur, the Company assesses whether this resolves the constraint and it is appropriate to recognize revenue.</w:t>
      </w:r>
    </w:p>
    <w:p>
      <w:pPr>
        <w:spacing w:after="0" w:line="171"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In December 2020, the Company entered into a development and commercialization arrangement with SciClone Pharmaceuticals International Ltd., or SciClone, for certain indications of DANYELZA and omburtamab for Greater China, including Mainland China, Taiwan, Hong Kong and Macau. Based on the terms of the agreement, the Company may receive regulatory-based milestone payments up to $40,000,000, of which $15,000,000 has already been recognized and received in December 2022 for the conditional approval of DANYELZA in China, and sales-based milestone payments up to $60,000,000 and is entitled to royalties based upon the net sales generated by SciClone related to the product indications in the territory. The Company expects that the remaining regulatory-based and sales-based milestones will be recognized when each milestone is achieved. In December 2024, the Company entered into the first amendment to the development and commercialization agreement with SciClone, which provides for a reduced royalty rate for future qualified sale made by SciClone. The amendment did not have material impact on consolidated financial statements as of December 31, 2024.</w:t>
      </w:r>
    </w:p>
    <w:p>
      <w:pPr>
        <w:spacing w:after="0" w:line="192"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In November 2020, the Company entered into an exclusive license and distribution agreement for DANYELZA and omburtamab with Takeda Israel, a wholly owned subsidiary of Takeda Pharmaceutical Company Limited covering the State of Israel, West Bank and Gaza Strip. Based on the terms of the arrangement, the Company may receive regulatory-based milestone payments up to $750,000, of which $250,000 has already been recognized, and sales-based milestone payments up to $500,000 and is entitled to royalties based upon the net sales generated by Takeda related to the product in the territory. The Company expects that the remaining regulatory-based and sales-based milestones will be recognized when the milestone is achieved, or the related sales occur.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7" w:name="page148"/>
    <w:bookmarkEnd w:id="1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339" w:firstLine="648"/>
        <w:spacing w:after="0" w:line="277" w:lineRule="auto"/>
        <w:rPr>
          <w:sz w:val="20"/>
          <w:szCs w:val="20"/>
          <w:color w:val="auto"/>
        </w:rPr>
      </w:pPr>
      <w:r>
        <w:rPr>
          <w:rFonts w:ascii="Times New Roman" w:cs="Times New Roman" w:eastAsia="Times New Roman" w:hAnsi="Times New Roman"/>
          <w:sz w:val="17"/>
          <w:szCs w:val="17"/>
          <w:color w:val="auto"/>
        </w:rPr>
        <w:t>In December 2020, the Company entered into a distribution agreement for DANYELZA and omburtamab with Swixx BioPharma AG for the Eastern European territories Bosnia &amp; Herzegovina, Bulgaria, Croatia, Czech Republic, Estonia, Hungary, Latvia, Lithuania, Poland, Romania, Russia, Serbia, Slovakia and Slovenia. In February 2025, the Company entered into an amended agreement with Swixx to remove Russia from its covered territories. There are no regulatory-based or sales-based milestone payments or royalty arrangements under this distribution agreement.</w:t>
      </w:r>
    </w:p>
    <w:p>
      <w:pPr>
        <w:spacing w:after="0" w:line="168"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In May 2021, the Company entered into an exclusive distribution agreement with Adium Pharma S.A. (“Adium”) for Adium to be the exclusive distributor in Latin America of DANYELZA. Under the terms of the agreement, the Company may receive regulatory-based milestone payments up to $3,000,000, of which $1,000,000 was received in April 2022 upon the submission of the updated FDA BLA dossier for DANYELZA. In addition, the Company is entitled to royalties based upon DANYELZA net sales generated by Adium in Latin America. The agreement with Adium does not contain a regulatory-based milestone related to the Brazilian Health Regulatory Agency’s approval for marketing authorization, which was granted during the three months ended June 30, 2023. During the year ended December 31, 2023, the Company recognized $500,000 in regulatory-based license revenue from Adium pursuant to the distribution agreement in connection with the September 2023 achievement of marketing authorization for DANYELZA in Mexico. In January 2024, the Company accepted the price approval for the first product in Brazil from the Brazilian Medicines Market Regulation Chamber, or CMED, and received $500,000 regulatory-based payment from Adium. The Company expects that the sales-based milestones and royalty payments will be recognized when and if the milestones are achieved or the related sales occur.</w:t>
      </w:r>
    </w:p>
    <w:p>
      <w:pPr>
        <w:spacing w:after="0" w:line="187"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In May 2024, the Company entered into an exclusive named patient program license and distribution agreement with INPHARMUS İLAÇ SANAYİ TİCARET ANONİM ŞİRKETİ, or INPHARMUS, formerly TRPharm for the distribution of DANYELZA in Turkey. There are no regulatory or sales-based milestone payments or royalties under this distribution agreement. In January 2025 the Company entered into an amendment with INPHARMUS to expand the defined territories in the agreement to include certain countries in the Persian Gulf. There are no regulatory-based or sales-based milestone payments or royalty arrangements under this distribution agreement.</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October 2024, the Company entered into a license agreement with Nobelpharma Co., Ltd., or Nobelpharma, for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DANYELZA within Japan. As part of the agreement, the Company received a non-refundable one-time payment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$2,000,000 upon execution of the agreement in November 2024. The Company considered the license to be distinct from</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promises within the arrangement based on the rights and know-how transferred and anticipated lack of significant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involvement required from the joint steering committee. Accordingly, the full transaction price of $2,000,000 was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recognized upon transferring of the license and know-how to Nobelpharma. Further, the Company is entitled to receive up</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$31,000,000 in regulatory-based and sales-based milestone payments in addition to royalty payments on commercial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sales of DANYELZA, if successfully approved and commercialized in Japan. The Company expects that the remaining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regulatory-based and sales-based milestones will be recognized when each milestone is achieved. The Company also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considered that the pricing terms for the cost-plus manufacturing and supply terms, included within the arrangement, did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represent a material right to Nobelpharma at inception as the terms reflected stand-alone selling price for similar goods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or services.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As of December 31, 2024, the Company has managed the business as one reportable segment, which is engaged solely in operations related to the discovery, development, distribution and commercialization of novel antibody-based therapeutic products for the treatment of cancer. The majority of the Company’s revenue were generated in the United States, with additional revenue from Western Europe, Latin America and other parts of the world. The Company has multiple customers with more than 10% net product revenue for the years ended December 31, 2024 and 2023, respectively. Refer to </w:t>
      </w:r>
      <w:r>
        <w:rPr>
          <w:rFonts w:ascii="Times New Roman" w:cs="Times New Roman" w:eastAsia="Times New Roman" w:hAnsi="Times New Roman"/>
          <w:sz w:val="18"/>
          <w:szCs w:val="18"/>
          <w:i w:val="1"/>
          <w:iCs w:val="1"/>
          <w:color w:val="auto"/>
        </w:rPr>
        <w:t>Note 4 – Net Product Revenue</w:t>
      </w:r>
      <w:r>
        <w:rPr>
          <w:rFonts w:ascii="Times New Roman" w:cs="Times New Roman" w:eastAsia="Times New Roman" w:hAnsi="Times New Roman"/>
          <w:sz w:val="18"/>
          <w:szCs w:val="18"/>
          <w:color w:val="auto"/>
        </w:rPr>
        <w:t xml:space="preserve"> for details. The Company’s chief operating decision maker is the Chief Executive Officer.</w:t>
      </w:r>
    </w:p>
    <w:p>
      <w:pPr>
        <w:spacing w:after="0" w:line="187" w:lineRule="exact"/>
        <w:rPr>
          <w:sz w:val="20"/>
          <w:szCs w:val="20"/>
          <w:color w:val="auto"/>
        </w:rPr>
      </w:pPr>
    </w:p>
    <w:p>
      <w:pPr>
        <w:ind w:left="60" w:right="139" w:firstLine="648"/>
        <w:spacing w:after="0" w:line="290" w:lineRule="auto"/>
        <w:rPr>
          <w:sz w:val="20"/>
          <w:szCs w:val="20"/>
          <w:color w:val="auto"/>
        </w:rPr>
      </w:pPr>
      <w:r>
        <w:rPr>
          <w:rFonts w:ascii="Times New Roman" w:cs="Times New Roman" w:eastAsia="Times New Roman" w:hAnsi="Times New Roman"/>
          <w:sz w:val="17"/>
          <w:szCs w:val="17"/>
          <w:color w:val="auto"/>
        </w:rPr>
        <w:t xml:space="preserve">The accounting policies of the segment are the same as those described in </w:t>
      </w:r>
      <w:r>
        <w:rPr>
          <w:rFonts w:ascii="Times New Roman" w:cs="Times New Roman" w:eastAsia="Times New Roman" w:hAnsi="Times New Roman"/>
          <w:sz w:val="17"/>
          <w:szCs w:val="17"/>
          <w:i w:val="1"/>
          <w:iCs w:val="1"/>
          <w:color w:val="auto"/>
        </w:rPr>
        <w:t>Note 3 – Summary of Significant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Accounting Policies</w:t>
      </w:r>
      <w:r>
        <w:rPr>
          <w:rFonts w:ascii="Times New Roman" w:cs="Times New Roman" w:eastAsia="Times New Roman" w:hAnsi="Times New Roman"/>
          <w:sz w:val="17"/>
          <w:szCs w:val="17"/>
          <w:color w:val="auto"/>
        </w:rPr>
        <w:t>. The chief operating decision maker assesses performance for the Company based on consolidated net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income/(loss). The measure of segment assets is reported on the Consolidated Balance Sheets as total consolidated assets.</w:t>
      </w:r>
    </w:p>
    <w:p>
      <w:pPr>
        <w:sectPr>
          <w:pgSz w:w="11900" w:h="16838" w:orient="portrait"/>
          <w:cols w:equalWidth="0" w:num="1">
            <w:col w:w="9019"/>
          </w:cols>
          <w:pgMar w:left="1440" w:top="513"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8" w:name="page149"/>
    <w:bookmarkEnd w:id="1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significant expense categories included within consolidated net income/(loss) presented on the Company’s Consolidated Statements of Net Loss and Comprehensive Loss, see below for disaggregated amounts that comprise research and development expenses: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5"/>
                <w:szCs w:val="15"/>
                <w:color w:val="auto"/>
              </w:rPr>
            </w:pPr>
          </w:p>
        </w:tc>
      </w:tr>
      <w:tr>
        <w:trPr>
          <w:trHeight w:val="142"/>
        </w:trPr>
        <w:tc>
          <w:tcPr>
            <w:tcW w:w="598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28"/>
        </w:trPr>
        <w:tc>
          <w:tcPr>
            <w:tcW w:w="5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Outsourced manufacturing</w:t>
            </w:r>
          </w:p>
        </w:tc>
        <w:tc>
          <w:tcPr>
            <w:tcW w:w="84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11,142</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13,731</w:t>
            </w: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trials</w:t>
            </w: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10,042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w:t>
            </w: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Outsourced research and supplies</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Milestones and license acquisition costs</w:t>
            </w:r>
          </w:p>
        </w:tc>
        <w:tc>
          <w:tcPr>
            <w:tcW w:w="8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(375)</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costs</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15,322</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14,043</w:t>
            </w: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and consulting fees</w:t>
            </w: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w:t>
            </w: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Information technology expenses</w:t>
            </w: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w:t>
            </w: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w:t>
            </w:r>
          </w:p>
        </w:tc>
      </w:tr>
      <w:tr>
        <w:trPr>
          <w:trHeight w:val="20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84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48,990</w:t>
            </w:r>
          </w:p>
        </w:tc>
        <w:tc>
          <w:tcPr>
            <w:tcW w:w="260" w:type="dxa"/>
            <w:vAlign w:val="bottom"/>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54,219</w:t>
            </w:r>
          </w:p>
        </w:tc>
      </w:tr>
      <w:tr>
        <w:trPr>
          <w:trHeight w:val="20"/>
        </w:trPr>
        <w:tc>
          <w:tcPr>
            <w:tcW w:w="5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The chief operating decision maker uses consolidated net income/(loss) to evaluate the profitability generated from segment assets in deciding whether to reinvest in DANYELZA or into other parts of the entity, such as other product candidates.</w:t>
      </w:r>
    </w:p>
    <w:p>
      <w:pPr>
        <w:spacing w:after="0" w:line="176" w:lineRule="exact"/>
        <w:rPr>
          <w:sz w:val="20"/>
          <w:szCs w:val="20"/>
          <w:color w:val="auto"/>
        </w:rPr>
      </w:pPr>
    </w:p>
    <w:p>
      <w:pPr>
        <w:jc w:val="both"/>
        <w:ind w:left="60" w:right="319" w:firstLine="648"/>
        <w:spacing w:after="0" w:line="312" w:lineRule="auto"/>
        <w:rPr>
          <w:sz w:val="20"/>
          <w:szCs w:val="20"/>
          <w:color w:val="auto"/>
        </w:rPr>
      </w:pPr>
      <w:r>
        <w:rPr>
          <w:rFonts w:ascii="Times New Roman" w:cs="Times New Roman" w:eastAsia="Times New Roman" w:hAnsi="Times New Roman"/>
          <w:sz w:val="17"/>
          <w:szCs w:val="17"/>
          <w:color w:val="auto"/>
        </w:rPr>
        <w:t>Consolidated net income/(loss) is used to monitor the budget versus actual results. The monitoring of budgeted versus actual results is used in assessing the performance of the segment and in establishing management compensation.</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expense is recognized using the straight-line method over the estimated useful life of each asset as follows: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4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c>
          <w:tcPr>
            <w:tcW w:w="24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09"/>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3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8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86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Shorter of life of lease or 15 years</w:t>
            </w:r>
          </w:p>
        </w:tc>
      </w:tr>
    </w:tbl>
    <w:p>
      <w:pPr>
        <w:spacing w:after="0" w:line="198"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on property and equipment was $180,000 and $386,000 for the years ended December 31, 2024 and 2023, respectively.</w:t>
      </w:r>
    </w:p>
    <w:p>
      <w:pPr>
        <w:spacing w:after="0" w:line="162"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Upon retirement or sale, the cost of assets disposed of and the related accumulated depreciation are removed from the accounts and any resulting gain or loss is included in loss from operations. Expenditures for repairs and maintenance are expensed as incurred.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The Company reviews the recorded values of long-lived assets for impairment whenever events or changes in business circumstance indicate that the carrying amount of an asset or group of assets may not be fully recoverable. If an indicator of impairment exists, the Company compares the projected undiscounted cash flows generated by the asset to the long-lived assets carrying amount. If the projected undiscounted cash flows of the long-lived assets are less than the carrying amount, the long-lived assets are written down to the fair value of in the period in which the impairment occurs.</w:t>
      </w:r>
    </w:p>
    <w:p>
      <w:pPr>
        <w:spacing w:after="0" w:line="183"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have impairment of long-lived assets for the years ended December 31, 2024 and 2023, respectively.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9" w:name="page150"/>
    <w:bookmarkEnd w:id="1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left="60" w:right="319" w:firstLine="648"/>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approach for the financial accounting and reporting of income taxes. Deferred tax assets and liabilities are recognized for the estimated future tax consequences attributable to net operating loss carry forwards and temporary differences between the financial statement carrying amounts of existing assets and liabilities and their respective tax bases. These assets and liabilities are measured using enacted tax rates expected to apply to taxable income in the years in which the temporary differences are expected to reverse. The Company maintains a full valuation allowance on deferred tax assets based on cumulative historical and expected losses. If the Company achieves profitability, the Company will consider the continued need for such a full valuation allowance.</w:t>
      </w:r>
    </w:p>
    <w:p>
      <w:pPr>
        <w:spacing w:after="0" w:line="192" w:lineRule="exact"/>
        <w:rPr>
          <w:sz w:val="20"/>
          <w:szCs w:val="20"/>
          <w:color w:val="auto"/>
        </w:rPr>
      </w:pPr>
    </w:p>
    <w:p>
      <w:pPr>
        <w:ind w:left="60" w:right="239" w:firstLine="648"/>
        <w:spacing w:after="0" w:line="254" w:lineRule="auto"/>
        <w:rPr>
          <w:sz w:val="20"/>
          <w:szCs w:val="20"/>
          <w:color w:val="auto"/>
        </w:rPr>
      </w:pPr>
      <w:r>
        <w:rPr>
          <w:rFonts w:ascii="Times New Roman" w:cs="Times New Roman" w:eastAsia="Times New Roman" w:hAnsi="Times New Roman"/>
          <w:sz w:val="18"/>
          <w:szCs w:val="18"/>
          <w:color w:val="auto"/>
        </w:rPr>
        <w:t>Tax returns are prepared and filed based on the Company’s interpretation of tax laws and regulations. In the normal course of business, the Company’s tax returns are subject to examination by various taxing authorities. Such examinations may result in future tax and interest assessments by these taxing authorities. In determining the Company’s provision for income taxes for financial reporting purposes, the Company establishes a reserve for uncertain tax positions unless such positions are determined to be more likely than not of being sustained upon examination based on their technical merits. The Company considers many factors when evaluating and estimating tax positions and tax benefits, which may require periodic adjustments and which may not accurately anticipate actual outcomes. Accordingly, the Company will report a liability for unrecognized tax benefits resulting from any uncertain tax positions taken or expected to be taken on a tax return.</w:t>
      </w:r>
    </w:p>
    <w:p>
      <w:pPr>
        <w:spacing w:after="0" w:line="188"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The Company’s policy is to recognize, when applicable, interest and penalties on uncertain tax positions as part of income tax expense.</w:t>
      </w:r>
    </w:p>
    <w:p>
      <w:pPr>
        <w:spacing w:after="0" w:line="162"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guidance issued by Financial Accounting Standards Board (“FASB”), companies should make and disclose a policy election as to whether they will recognize deferred taxes for basis differences expected to reverse as Global Intangible Low-Taxed Income (“GILTI”) or whether they will account for GILTI as period costs if and when incurred. The Company has elected to recognize the resulting tax with respect to the GILTI provision as a period cost. No costs were incurred by the Company through December 31, 2024 as a result of GILTI.</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Research and development costs are charged to operations when incurred and are included in operating expenses. Research and development costs consist principally of compensation cost for the Company’s employees and consultants that perform research activities, the fees paid to maintain licenses, the payments to third-party CMOs and CROs for manufacturing and services performed for products in development, and consumables and other materials used in research and development. The Company records accruals for estimated ongoing research and development costs. When evaluating the adequacy of accrued liabilities, we analyze progress of the studies or clinical trials, including the phase or completion of events, invoices received and contracted costs. Actual results could differ from our estimates.</w:t>
      </w:r>
    </w:p>
    <w:p>
      <w:pPr>
        <w:spacing w:after="0" w:line="18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Additionally, the Company is obligated to make certain royalty and clinical, regulatory and sales-based milestone payments in accordance with the contractual terms of the MSK License, CD33 License, MabVax Sublicense, and SADA License based upon the resolution of certain contingencies. The Company records the clinical and regulatory milestone payments when the achievement of the milestones or payment of the milestones is deemed probable, and the amount of the payment is reasonably estimable. As it relates to clinical and regulatory milestone payments under the licensing arrangements, those may become due and payable with the passage of time whether or not the milestones have actually been met. When evaluating whether milestones should be recognized under the licensing arrangements, the Company relies on the collective clinical experience within the organization to determine the likelihood of achievement, as well as the current stage of the compounds under development, estimates of the progress of the Company’s preclinical studies and clinical trials, completion of milestone events per underlying agreements, the time expected to complete certain development activities, each party’s termination right under the license agreements, invoices received and contracted costs when evaluating whether the clinical milestones should be recognized in each reporting period. The Company reviews estimates each period and determines whether to make revisions to such estimates as necessary.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0" w:name="page151"/>
    <w:bookmarkEnd w:id="1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9"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The Company expenses selling, general, and administrative costs as incurred. Selling, general and administrative costs consist primarily of salaries, bonus, benefits, and stock-based compensation expenses for personnel in executive, commercial, finance and administrative functions. Other significant costs include costs of commercialization of DANYELZA, costs of legal matters and insurance. Advertising and promotion costs are included in selling, general, and administrative expenses and were immaterial in the years ended December 31, 2024 and 2023, respectively. Advertising and product promotion costs are expensed as incurred.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Company measures stock options granted to employees and directors based on the fair value on the date of the grant and recognizes compensation expense of those awards, over the requisite service period, which for employees and directors is the vesting period of the respective award. Forfeitures are accounted for as they occur. The Company issues stock options with only service based and records the expense for these awards using the straight-line method over the requisite service period.</w:t>
      </w:r>
    </w:p>
    <w:p>
      <w:pPr>
        <w:spacing w:after="0" w:line="183"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grant date using the Black Scholes option pricing model. The Company’s public trading commenced in September 2018, and, as a result, there is limited available historical volatility experience. Therefore, the Company estimates expected stock volatility based on the weighting of the Company’s historical volatility with the historical volatility of a group of publicly traded peer companies, and the Company expects to continue to do so until there is adequate historical data regarding the volatility of the Company’s traded stock prices. The expected term of the Company’s stock options has been determined utilizing the “simplified” method for awards as the Company has limited historical data to support the expected term assumption.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on common shares and does not expect to pay any cash dividends in the foreseeable future. The exercise price of options granted under the plans must at least be equal to the fair market value of the Company’s common stock on the date of grant. The term of an incentive stock option may not exceed 10 years, except that with respect to any participant who owns more than 10% of the voting power of all classes of the Company’s outstanding stock, the term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Options granted under the 2018 Plan vest according to the schedule, which generally ranges from one to four years, specified in the grant agreements, and generally become immediately exercisable upon the occurrence of a change in control, as defined in the Plan Agreement. 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fair value of restricted stock units is determined at the grant-date price of the Company’s common stock.</w:t>
      </w:r>
    </w:p>
    <w:p>
      <w:pPr>
        <w:spacing w:after="0" w:line="225"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fair value of performance-based restricted stock units (“PRSU”) is determined using a Monte-Carlo simulation model. The vesting of each tranche of the award depends on the fulfillment of both a service condition and the achievement of a stock price hurdle at the end of each tranche’s performance period, based on an average of the closing stock price over the 30 consecutive trading days immediately preceding each tranche’s vesting date. The stock price volatility is simulated using the Company’s historical volatility calculated from daily stock returns over a lookback term which equals the remaining service period from the grant date. The risk-free rate is determined using the zero-coupon risk-free interest rate derived from the Treasury Constant Maturities yield curve on the grant date. The expected dividend yield is based on the fact that the Company has never paid cash dividends on common shares and does not expect to pay any cash dividends in the foreseeable future.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1" w:name="page152"/>
    <w:bookmarkEnd w:id="1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ind w:left="60" w:right="99" w:firstLine="648"/>
        <w:spacing w:after="0" w:line="289" w:lineRule="auto"/>
        <w:rPr>
          <w:sz w:val="20"/>
          <w:szCs w:val="20"/>
          <w:color w:val="auto"/>
        </w:rPr>
      </w:pPr>
      <w:r>
        <w:rPr>
          <w:rFonts w:ascii="Times New Roman" w:cs="Times New Roman" w:eastAsia="Times New Roman" w:hAnsi="Times New Roman"/>
          <w:sz w:val="17"/>
          <w:szCs w:val="17"/>
          <w:color w:val="auto"/>
        </w:rPr>
        <w:t>Comprehensive loss includes net loss as well as other changes in stockholders’ equity that result from transactions and economic events other than those with shareholders. The difference between net loss and comprehensive loss for the period presented in the accompanying consolidated financial statements was due to foreign currency translation.</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ind w:left="60" w:right="199" w:firstLine="648"/>
        <w:spacing w:after="0" w:line="271" w:lineRule="auto"/>
        <w:rPr>
          <w:sz w:val="20"/>
          <w:szCs w:val="20"/>
          <w:color w:val="auto"/>
        </w:rPr>
      </w:pPr>
      <w:r>
        <w:rPr>
          <w:rFonts w:ascii="Times New Roman" w:cs="Times New Roman" w:eastAsia="Times New Roman" w:hAnsi="Times New Roman"/>
          <w:sz w:val="17"/>
          <w:szCs w:val="17"/>
          <w:color w:val="auto"/>
        </w:rPr>
        <w:t>The consolidated financial statements of the Company’s international subsidiary with a functional currency other than the U.S. dollar is translated into U.S. dollars using period-end exchange rates for assets and liabilities, historical exchange rates for stockholders’ equity and average exchange rates during the period for operating results. Translation gains and losses are included in Accumulated Other Comprehensive Income/(Loss) in the Consolidated Statement of Net Loss and Comprehensive Loss. The Company recognized foreign currency translation gains of $1,815,000 and foreign currency translation losses of $882,000 for the years ended December 31, 2024 and 2023, respectively. Foreign currency transaction gains and losses are included in interest and other income/(loss), net, in the consolidated statements of net loss and comprehensive loss. The Company recorded a foreign currency transaction loss of $2,041,000 and a foreign currency transaction gain of $524,000 for the years ended December 31, 2024, and 2023, respectively.</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Basic net loss per share (“EPS”) is calculated by dividing net income or loss attributable to common stockholders by the weighted average common stock outstanding. Diluted EPS is calculated by adjusting weighted average common shares outstanding for the dilutive effect of common stock options and restricted stock units. In periods in which a net loss is recorded, no effect is given to potentially dilutive securities, since the effect would be antidilutive. Similarly, securities that could potentially dilute basic EPS in the future are not included in the computation of diluted EPS because to do so would have been antidilutive.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jc w:val="both"/>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FASB, and are adopted by the Company as of the specific effective date. The Company adopted ASU 2023-07, Segment reporting (Topic 280), effective January 1, 2024. ASU 2023-07 addresses improvement of reportable segment disclosure requirements. The adoption of this new standard did not have a material impact on the Company’s consolidated financial statements.</w:t>
      </w:r>
    </w:p>
    <w:p>
      <w:pPr>
        <w:spacing w:after="0" w:line="183"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(Subtopic 220-40). ASU 2024-03 requires disclosures about specific types of expenses included in the expense captions presented on the face of the income statement and disclosures about selling expenses. ASU 2024-03 is required to be adopted by the Company for annual reporting periods beginning after December 15, 2026 and interim reporting periods beginning after December 15, 2027. The requirements will be applied prospectively with the option for retrospective application. Early adoption is permitted. The Company is evaluating the impact of this update on the Company's future disclosures.</w:t>
      </w:r>
    </w:p>
    <w:p>
      <w:pPr>
        <w:spacing w:after="0" w:line="187"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Improvement to income tax disclosures (Topic 740). ASU 2023-09 addresses annual disclosures related to the income tax rate reconciliation and the income taxes paid within the tax note. ASU 2023-09 requires consistent categories and greater disaggregation of information in the income tax rate reconciliation as well as a disaggregation of taxes paid by jurisdiction for the income taxes paid. ASU 2023-09 is required to be adopted by the Company for annual periods beginning after December 15, 2024. Early adoption is permitted for annual consolidated financial statements that have not yet been issued or made available for issuance. The Company is evaluating the impact of this update on the Company’s disclosures.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2" w:name="page153"/>
    <w:bookmarkEnd w:id="1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has evaluated all other accounting pronouncements and accounting standard updates recently issued but not yet adopted and believes that these pronouncements will not have a material impact on the Company’s consolidated financial statements or disclosures.</w:t>
      </w: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4—NET PRODUCT REVENUE</w:t>
      </w:r>
    </w:p>
    <w:p>
      <w:pPr>
        <w:spacing w:after="0" w:line="229"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The Company’s net product revenue was generated from sales of DANYELZA and consists of the following (in thousands):</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3"/>
        </w:trPr>
        <w:tc>
          <w:tcPr>
            <w:tcW w:w="6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46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product revenue by geographical location:</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65,981</w:t>
            </w:r>
          </w:p>
        </w:tc>
        <w:tc>
          <w:tcPr>
            <w:tcW w:w="3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67,814</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3"/>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Western Europe</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3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8,621</w:t>
            </w:r>
          </w:p>
        </w:tc>
      </w:tr>
      <w:tr>
        <w:trPr>
          <w:trHeight w:val="243"/>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Eastern Asia</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5,503</w:t>
            </w:r>
          </w:p>
        </w:tc>
      </w:tr>
      <w:tr>
        <w:trPr>
          <w:trHeight w:val="243"/>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Latin America</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3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r>
      <w:tr>
        <w:trPr>
          <w:trHeight w:val="243"/>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Western Asia</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regions</w:t>
            </w: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3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3"/>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international</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19,204</w:t>
            </w:r>
          </w:p>
        </w:tc>
        <w:tc>
          <w:tcPr>
            <w:tcW w:w="3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16,505</w:t>
            </w:r>
          </w:p>
        </w:tc>
      </w:tr>
      <w:tr>
        <w:trPr>
          <w:trHeight w:val="210"/>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product revenue</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85,185</w:t>
            </w:r>
          </w:p>
        </w:tc>
        <w:tc>
          <w:tcPr>
            <w:tcW w:w="3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84,319</w:t>
            </w:r>
          </w:p>
        </w:tc>
      </w:tr>
      <w:tr>
        <w:trPr>
          <w:trHeight w:val="20"/>
        </w:trPr>
        <w:tc>
          <w:tcPr>
            <w:tcW w:w="6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79"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recognized royalty revenue from the distribution partners of $7,018,000 and $4,453,000 in the years ended December 31, 2024 and 2023, respectively.</w:t>
      </w:r>
    </w:p>
    <w:p>
      <w:pPr>
        <w:spacing w:after="0" w:line="162"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Product sales to certain distribution partners that accounted for more than 10% of total net product revenue for the years ended December 31, 2024 and 2023 consists of the following:</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60" w:type="dxa"/>
            <w:vAlign w:val="bottom"/>
            <w:tcBorders>
              <w:bottom w:val="single" w:sz="8" w:color="auto"/>
            </w:tcBorders>
          </w:tcPr>
          <w:p>
            <w:pPr>
              <w:spacing w:after="0"/>
              <w:rPr>
                <w:sz w:val="15"/>
                <w:szCs w:val="15"/>
                <w:color w:val="auto"/>
              </w:rPr>
            </w:pPr>
          </w:p>
        </w:tc>
      </w:tr>
      <w:tr>
        <w:trPr>
          <w:trHeight w:val="223"/>
        </w:trPr>
        <w:tc>
          <w:tcPr>
            <w:tcW w:w="5280" w:type="dxa"/>
            <w:vAlign w:val="bottom"/>
            <w:gridSpan w:val="2"/>
          </w:tcPr>
          <w:p>
            <w:pPr>
              <w:ind w:left="49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40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r>
      <w:tr>
        <w:trPr>
          <w:trHeight w:val="243"/>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McKesson</w:t>
            </w:r>
          </w:p>
        </w:tc>
        <w:tc>
          <w:tcPr>
            <w:tcW w:w="80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41 %</w:t>
            </w:r>
          </w:p>
        </w:tc>
        <w:tc>
          <w:tcPr>
            <w:tcW w:w="6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46 %</w:t>
            </w:r>
          </w:p>
        </w:tc>
      </w:tr>
      <w:tr>
        <w:trPr>
          <w:trHeight w:val="243"/>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Cardinal Health</w:t>
            </w:r>
          </w:p>
        </w:tc>
        <w:tc>
          <w:tcPr>
            <w:tcW w:w="800" w:type="dxa"/>
            <w:vAlign w:val="bottom"/>
          </w:tcPr>
          <w:p>
            <w:pPr>
              <w:jc w:val="right"/>
              <w:ind w:right="454"/>
              <w:spacing w:after="0"/>
              <w:rPr>
                <w:sz w:val="20"/>
                <w:szCs w:val="20"/>
                <w:color w:val="auto"/>
              </w:rPr>
            </w:pPr>
            <w:r>
              <w:rPr>
                <w:rFonts w:ascii="Times New Roman" w:cs="Times New Roman" w:eastAsia="Times New Roman" w:hAnsi="Times New Roman"/>
                <w:sz w:val="18"/>
                <w:szCs w:val="18"/>
                <w:color w:val="auto"/>
              </w:rPr>
              <w:t>20</w:t>
            </w: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Cencora</w:t>
            </w:r>
          </w:p>
        </w:tc>
        <w:tc>
          <w:tcPr>
            <w:tcW w:w="80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8"/>
                <w:szCs w:val="18"/>
                <w:color w:val="auto"/>
              </w:rPr>
              <w:t>16</w:t>
            </w:r>
          </w:p>
        </w:tc>
        <w:tc>
          <w:tcPr>
            <w:tcW w:w="6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WEP</w:t>
            </w:r>
          </w:p>
        </w:tc>
        <w:tc>
          <w:tcPr>
            <w:tcW w:w="800" w:type="dxa"/>
            <w:vAlign w:val="bottom"/>
          </w:tcPr>
          <w:p>
            <w:pPr>
              <w:jc w:val="right"/>
              <w:ind w:right="454"/>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8"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Revenue from product sales is recorded as net of applicable provisions for rebates, chargebacks, discounts, distribution-related fees and other sales-related deductions. Accruals for chargebacks and discounts are recorded as a direct reduction to accounts receivable. Accruals for rebates, distribution-related fees without contractual right of offset and other sales-related deductions are recorded within accrued liabilities. As of December 31, 2024, the Company had recorded accounts receivable allowances of approximately $626,000 and accrued liabilities of $1,759,000 related to product sales. As of December 31, 2023, the Company had recorded accounts receivable allowances of approximately $492,000 and accrued liabilities of $2,309,000 related to product sales.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3" w:name="page154"/>
    <w:bookmarkEnd w:id="1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An analysis of the change in reserves for discounts and allowances is summarized as follows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Discounts</w:t>
            </w:r>
          </w:p>
        </w:tc>
        <w:tc>
          <w:tcPr>
            <w:tcW w:w="120" w:type="dxa"/>
            <w:vAlign w:val="bottom"/>
          </w:tcPr>
          <w:p>
            <w:pPr>
              <w:spacing w:after="0"/>
              <w:rPr>
                <w:sz w:val="12"/>
                <w:szCs w:val="12"/>
                <w:color w:val="auto"/>
              </w:rPr>
            </w:pPr>
          </w:p>
        </w:tc>
        <w:tc>
          <w:tcPr>
            <w:tcW w:w="13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Allowances and</w:t>
            </w:r>
          </w:p>
        </w:tc>
        <w:tc>
          <w:tcPr>
            <w:tcW w:w="180" w:type="dxa"/>
            <w:vAlign w:val="bottom"/>
          </w:tcPr>
          <w:p>
            <w:pPr>
              <w:spacing w:after="0"/>
              <w:rPr>
                <w:sz w:val="12"/>
                <w:szCs w:val="12"/>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240" w:type="dxa"/>
            <w:vAlign w:val="bottom"/>
          </w:tcPr>
          <w:p>
            <w:pPr>
              <w:spacing w:after="0"/>
              <w:rPr>
                <w:sz w:val="12"/>
                <w:szCs w:val="12"/>
                <w:color w:val="auto"/>
              </w:rPr>
            </w:pPr>
          </w:p>
        </w:tc>
        <w:tc>
          <w:tcPr>
            <w:tcW w:w="84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Government Rebates</w:t>
            </w:r>
          </w:p>
        </w:tc>
        <w:tc>
          <w:tcPr>
            <w:tcW w:w="1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9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provisions relating to sales in current year</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13,322</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Payments/credits received in current year</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(12,457)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(12,910)</w:t>
            </w: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estimate related to sales in the prior year</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(828)</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a change in estimate related to assessed Medicaid claims data experience and reserves for historical earned periods. The change in estimate resulted in a benefit of $828,000 for the year ended December 31, 2024.</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5—NET LOSS PER SHARE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calculations of basic and diluted net loss per share are as follows (in thousands, except per share amounts):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4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(numerator)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(29,666)</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Weighted-average shares (denominator), basic and diluted</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44,329</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43,645</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Potentially dilutive securities excluded from the computation of diluted earnings per share relate to stock options and unvested restricted share units outstanding totaled 10,575,661 shares and 9,658,737 shares as of December 31, 2024 and 2023,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6—INVENTORIES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5"/>
                <w:szCs w:val="15"/>
                <w:color w:val="auto"/>
              </w:rPr>
            </w:pPr>
          </w:p>
        </w:tc>
        <w:tc>
          <w:tcPr>
            <w:tcW w:w="17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2"/>
        </w:trPr>
        <w:tc>
          <w:tcPr>
            <w:tcW w:w="45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14,021</w:t>
            </w: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r>
      <w:tr>
        <w:trPr>
          <w:trHeight w:val="20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24,986</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17,013</w:t>
            </w:r>
          </w:p>
        </w:tc>
      </w:tr>
      <w:tr>
        <w:trPr>
          <w:trHeight w:val="20"/>
        </w:trPr>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4" w:name="page155"/>
    <w:bookmarkEnd w:id="1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Inventories are classified on the Consolidated Balance Sheets in each respective period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5"/>
                <w:szCs w:val="15"/>
                <w:color w:val="auto"/>
              </w:rPr>
            </w:pPr>
          </w:p>
        </w:tc>
        <w:tc>
          <w:tcPr>
            <w:tcW w:w="17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46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5,065</w:t>
            </w:r>
          </w:p>
        </w:tc>
      </w:tr>
      <w:tr>
        <w:trPr>
          <w:trHeight w:val="20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recorded in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w:t>
            </w:r>
          </w:p>
        </w:tc>
      </w:tr>
      <w:tr>
        <w:trPr>
          <w:trHeight w:val="210"/>
        </w:trPr>
        <w:tc>
          <w:tcPr>
            <w:tcW w:w="4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Inventories, long-term</w:t>
            </w: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17,772</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11,948</w:t>
            </w:r>
          </w:p>
        </w:tc>
      </w:tr>
      <w:tr>
        <w:trPr>
          <w:trHeight w:val="20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recorded in Noncurrent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17,772</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11,948</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24,986</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17,013</w:t>
            </w:r>
          </w:p>
        </w:tc>
      </w:tr>
      <w:tr>
        <w:trPr>
          <w:trHeight w:val="20"/>
        </w:trPr>
        <w:tc>
          <w:tcPr>
            <w:tcW w:w="4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and 2023, the Company has classified $17,772,000 and $11,948,000, respectively, of raw materials and work in progress inventories as noncurrent assets based on the Company’s current demand schedule and expectation that such inventories will be utilized after one year from the balance sheet date. Changes in noncurrent assets are reflected on the Consolidated Statements of Cash Flows within the caption of inventories, long-term.</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INTANGIBLE ASSETS, NET</w:t>
      </w:r>
    </w:p>
    <w:p>
      <w:pPr>
        <w:spacing w:after="0" w:line="229" w:lineRule="exact"/>
        <w:rPr>
          <w:sz w:val="20"/>
          <w:szCs w:val="20"/>
          <w:color w:val="auto"/>
        </w:rPr>
      </w:pPr>
    </w:p>
    <w:p>
      <w:pPr>
        <w:jc w:val="both"/>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The Company’s intangible assets, net related to capitalized milestone payments made following FDA and other regulatory approvals, and commercialization of DANYELZA. The Company’s intangible assets, net as of December 31, 2024 and December 31, 2023 are as follows (in thousands).</w:t>
      </w:r>
    </w:p>
    <w:p>
      <w:pPr>
        <w:sectPr>
          <w:pgSz w:w="11900" w:h="16838" w:orient="portrait"/>
          <w:cols w:equalWidth="0" w:num="1">
            <w:col w:w="9019"/>
          </w:cols>
          <w:pgMar w:left="1440" w:top="513" w:right="1440" w:bottom="1440" w:gutter="0" w:footer="0" w:header="0"/>
        </w:sectPr>
      </w:pPr>
    </w:p>
    <w:p>
      <w:pPr>
        <w:spacing w:after="0" w:line="26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7620</wp:posOffset>
            </wp:positionV>
            <wp:extent cx="21259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49" w:lineRule="exact"/>
        <w:rPr>
          <w:sz w:val="20"/>
          <w:szCs w:val="20"/>
          <w:color w:val="auto"/>
        </w:rPr>
      </w:pPr>
    </w:p>
    <w:p>
      <w:pPr>
        <w:ind w:left="2260"/>
        <w:spacing w:after="0"/>
        <w:tabs>
          <w:tab w:leader="none" w:pos="4580" w:val="left"/>
        </w:tabs>
        <w:rPr>
          <w:sz w:val="20"/>
          <w:szCs w:val="20"/>
          <w:color w:val="auto"/>
        </w:rPr>
      </w:pPr>
      <w:r>
        <w:rPr>
          <w:rFonts w:ascii="Times New Roman" w:cs="Times New Roman" w:eastAsia="Times New Roman" w:hAnsi="Times New Roman"/>
          <w:sz w:val="14"/>
          <w:szCs w:val="14"/>
          <w:b w:val="1"/>
          <w:bCs w:val="1"/>
          <w:color w:val="auto"/>
        </w:rPr>
        <w:t>Gross</w:t>
      </w:r>
      <w:r>
        <w:rPr>
          <w:sz w:val="20"/>
          <w:szCs w:val="20"/>
          <w:color w:val="auto"/>
        </w:rPr>
        <w:tab/>
      </w:r>
      <w:r>
        <w:rPr>
          <w:rFonts w:ascii="Times New Roman" w:cs="Times New Roman" w:eastAsia="Times New Roman" w:hAnsi="Times New Roman"/>
          <w:sz w:val="14"/>
          <w:szCs w:val="14"/>
          <w:b w:val="1"/>
          <w:bCs w:val="1"/>
          <w:color w:val="auto"/>
        </w:rPr>
        <w:t>Net</w:t>
      </w:r>
    </w:p>
    <w:p>
      <w:pPr>
        <w:spacing w:after="0" w:line="69" w:lineRule="exact"/>
        <w:rPr>
          <w:sz w:val="20"/>
          <w:szCs w:val="20"/>
          <w:color w:val="auto"/>
        </w:rPr>
      </w:pPr>
    </w:p>
    <w:p>
      <w:pPr>
        <w:ind w:left="2160"/>
        <w:spacing w:after="0"/>
        <w:tabs>
          <w:tab w:leader="none" w:pos="3140" w:val="left"/>
          <w:tab w:leader="none" w:pos="4400" w:val="left"/>
        </w:tabs>
        <w:rPr>
          <w:sz w:val="20"/>
          <w:szCs w:val="20"/>
          <w:color w:val="auto"/>
        </w:rPr>
      </w:pPr>
      <w:r>
        <w:rPr>
          <w:rFonts w:ascii="Times New Roman" w:cs="Times New Roman" w:eastAsia="Times New Roman" w:hAnsi="Times New Roman"/>
          <w:sz w:val="14"/>
          <w:szCs w:val="14"/>
          <w:b w:val="1"/>
          <w:bCs w:val="1"/>
          <w:color w:val="auto"/>
        </w:rPr>
        <w:t>Carrying</w:t>
      </w:r>
      <w:r>
        <w:rPr>
          <w:sz w:val="20"/>
          <w:szCs w:val="20"/>
          <w:color w:val="auto"/>
        </w:rPr>
        <w:tab/>
      </w:r>
      <w:r>
        <w:rPr>
          <w:rFonts w:ascii="Times New Roman" w:cs="Times New Roman" w:eastAsia="Times New Roman" w:hAnsi="Times New Roman"/>
          <w:sz w:val="14"/>
          <w:szCs w:val="14"/>
          <w:b w:val="1"/>
          <w:bCs w:val="1"/>
          <w:color w:val="auto"/>
        </w:rPr>
        <w:t>Accumulated</w:t>
      </w:r>
      <w:r>
        <w:rPr>
          <w:sz w:val="20"/>
          <w:szCs w:val="20"/>
          <w:color w:val="auto"/>
        </w:rPr>
        <w:tab/>
      </w:r>
      <w:r>
        <w:rPr>
          <w:rFonts w:ascii="Times New Roman" w:cs="Times New Roman" w:eastAsia="Times New Roman" w:hAnsi="Times New Roman"/>
          <w:sz w:val="14"/>
          <w:szCs w:val="14"/>
          <w:b w:val="1"/>
          <w:bCs w:val="1"/>
          <w:color w:val="auto"/>
        </w:rPr>
        <w:t>Carrying</w:t>
      </w:r>
    </w:p>
    <w:p>
      <w:pPr>
        <w:spacing w:after="0" w:line="69" w:lineRule="exact"/>
        <w:rPr>
          <w:sz w:val="20"/>
          <w:szCs w:val="20"/>
          <w:color w:val="auto"/>
        </w:rPr>
      </w:pPr>
    </w:p>
    <w:p>
      <w:pPr>
        <w:ind w:left="2200"/>
        <w:spacing w:after="0"/>
        <w:tabs>
          <w:tab w:leader="none" w:pos="3140" w:val="left"/>
          <w:tab w:leader="none" w:pos="4440" w:val="left"/>
        </w:tabs>
        <w:rPr>
          <w:sz w:val="20"/>
          <w:szCs w:val="20"/>
          <w:color w:val="auto"/>
        </w:rPr>
      </w:pPr>
      <w:r>
        <w:rPr>
          <w:rFonts w:ascii="Times New Roman" w:cs="Times New Roman" w:eastAsia="Times New Roman" w:hAnsi="Times New Roman"/>
          <w:sz w:val="14"/>
          <w:szCs w:val="14"/>
          <w:b w:val="1"/>
          <w:bCs w:val="1"/>
          <w:color w:val="auto"/>
        </w:rPr>
        <w:t>Amount</w:t>
      </w:r>
      <w:r>
        <w:rPr>
          <w:sz w:val="20"/>
          <w:szCs w:val="20"/>
          <w:color w:val="auto"/>
        </w:rPr>
        <w:tab/>
      </w:r>
      <w:r>
        <w:rPr>
          <w:rFonts w:ascii="Times New Roman" w:cs="Times New Roman" w:eastAsia="Times New Roman" w:hAnsi="Times New Roman"/>
          <w:sz w:val="14"/>
          <w:szCs w:val="14"/>
          <w:b w:val="1"/>
          <w:bCs w:val="1"/>
          <w:color w:val="auto"/>
        </w:rPr>
        <w:t>Amortization</w:t>
      </w:r>
      <w:r>
        <w:rPr>
          <w:sz w:val="20"/>
          <w:szCs w:val="20"/>
          <w:color w:val="auto"/>
        </w:rPr>
        <w:tab/>
      </w:r>
      <w:r>
        <w:rPr>
          <w:rFonts w:ascii="Times New Roman" w:cs="Times New Roman" w:eastAsia="Times New Roman" w:hAnsi="Times New Roman"/>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7620</wp:posOffset>
            </wp:positionV>
            <wp:extent cx="21431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49" w:lineRule="exact"/>
        <w:rPr>
          <w:sz w:val="20"/>
          <w:szCs w:val="20"/>
          <w:color w:val="auto"/>
        </w:rPr>
      </w:pPr>
    </w:p>
    <w:p>
      <w:pPr>
        <w:ind w:left="100"/>
        <w:spacing w:after="0"/>
        <w:tabs>
          <w:tab w:leader="none" w:pos="2440" w:val="left"/>
        </w:tabs>
        <w:rPr>
          <w:sz w:val="20"/>
          <w:szCs w:val="20"/>
          <w:color w:val="auto"/>
        </w:rPr>
      </w:pPr>
      <w:r>
        <w:rPr>
          <w:rFonts w:ascii="Times New Roman" w:cs="Times New Roman" w:eastAsia="Times New Roman" w:hAnsi="Times New Roman"/>
          <w:sz w:val="14"/>
          <w:szCs w:val="14"/>
          <w:b w:val="1"/>
          <w:bCs w:val="1"/>
          <w:color w:val="auto"/>
        </w:rPr>
        <w:t>Gross</w:t>
      </w:r>
      <w:r>
        <w:rPr>
          <w:sz w:val="20"/>
          <w:szCs w:val="20"/>
          <w:color w:val="auto"/>
        </w:rPr>
        <w:tab/>
      </w:r>
      <w:r>
        <w:rPr>
          <w:rFonts w:ascii="Times New Roman" w:cs="Times New Roman" w:eastAsia="Times New Roman" w:hAnsi="Times New Roman"/>
          <w:sz w:val="14"/>
          <w:szCs w:val="14"/>
          <w:b w:val="1"/>
          <w:bCs w:val="1"/>
          <w:color w:val="auto"/>
        </w:rPr>
        <w:t>Net</w:t>
      </w:r>
    </w:p>
    <w:p>
      <w:pPr>
        <w:spacing w:after="0" w:line="69" w:lineRule="exact"/>
        <w:rPr>
          <w:sz w:val="20"/>
          <w:szCs w:val="20"/>
          <w:color w:val="auto"/>
        </w:rPr>
      </w:pPr>
    </w:p>
    <w:p>
      <w:pPr>
        <w:spacing w:after="0"/>
        <w:tabs>
          <w:tab w:leader="none" w:pos="1000" w:val="left"/>
          <w:tab w:leader="none" w:pos="2260" w:val="left"/>
        </w:tabs>
        <w:rPr>
          <w:sz w:val="20"/>
          <w:szCs w:val="20"/>
          <w:color w:val="auto"/>
        </w:rPr>
      </w:pPr>
      <w:r>
        <w:rPr>
          <w:rFonts w:ascii="Times New Roman" w:cs="Times New Roman" w:eastAsia="Times New Roman" w:hAnsi="Times New Roman"/>
          <w:sz w:val="14"/>
          <w:szCs w:val="14"/>
          <w:b w:val="1"/>
          <w:bCs w:val="1"/>
          <w:color w:val="auto"/>
        </w:rPr>
        <w:t>Carrying</w:t>
      </w:r>
      <w:r>
        <w:rPr>
          <w:sz w:val="20"/>
          <w:szCs w:val="20"/>
          <w:color w:val="auto"/>
        </w:rPr>
        <w:tab/>
      </w:r>
      <w:r>
        <w:rPr>
          <w:rFonts w:ascii="Times New Roman" w:cs="Times New Roman" w:eastAsia="Times New Roman" w:hAnsi="Times New Roman"/>
          <w:sz w:val="14"/>
          <w:szCs w:val="14"/>
          <w:b w:val="1"/>
          <w:bCs w:val="1"/>
          <w:color w:val="auto"/>
        </w:rPr>
        <w:t>Accumulated</w:t>
      </w:r>
      <w:r>
        <w:rPr>
          <w:sz w:val="20"/>
          <w:szCs w:val="20"/>
          <w:color w:val="auto"/>
        </w:rPr>
        <w:tab/>
      </w:r>
      <w:r>
        <w:rPr>
          <w:rFonts w:ascii="Times New Roman" w:cs="Times New Roman" w:eastAsia="Times New Roman" w:hAnsi="Times New Roman"/>
          <w:sz w:val="14"/>
          <w:szCs w:val="14"/>
          <w:b w:val="1"/>
          <w:bCs w:val="1"/>
          <w:color w:val="auto"/>
        </w:rPr>
        <w:t>Carrying</w:t>
      </w:r>
    </w:p>
    <w:p>
      <w:pPr>
        <w:spacing w:after="0" w:line="69" w:lineRule="exact"/>
        <w:rPr>
          <w:sz w:val="20"/>
          <w:szCs w:val="20"/>
          <w:color w:val="auto"/>
        </w:rPr>
      </w:pPr>
    </w:p>
    <w:p>
      <w:pPr>
        <w:ind w:left="40"/>
        <w:spacing w:after="0"/>
        <w:tabs>
          <w:tab w:leader="none" w:pos="1000" w:val="left"/>
          <w:tab w:leader="none" w:pos="2300" w:val="left"/>
        </w:tabs>
        <w:rPr>
          <w:sz w:val="20"/>
          <w:szCs w:val="20"/>
          <w:color w:val="auto"/>
        </w:rPr>
      </w:pPr>
      <w:r>
        <w:rPr>
          <w:rFonts w:ascii="Times New Roman" w:cs="Times New Roman" w:eastAsia="Times New Roman" w:hAnsi="Times New Roman"/>
          <w:sz w:val="14"/>
          <w:szCs w:val="14"/>
          <w:b w:val="1"/>
          <w:bCs w:val="1"/>
          <w:color w:val="auto"/>
        </w:rPr>
        <w:t>Amount</w:t>
      </w:r>
      <w:r>
        <w:rPr>
          <w:sz w:val="20"/>
          <w:szCs w:val="20"/>
          <w:color w:val="auto"/>
        </w:rPr>
        <w:tab/>
      </w:r>
      <w:r>
        <w:rPr>
          <w:rFonts w:ascii="Times New Roman" w:cs="Times New Roman" w:eastAsia="Times New Roman" w:hAnsi="Times New Roman"/>
          <w:sz w:val="14"/>
          <w:szCs w:val="14"/>
          <w:b w:val="1"/>
          <w:bCs w:val="1"/>
          <w:color w:val="auto"/>
        </w:rPr>
        <w:t>Amortization</w:t>
      </w:r>
      <w:r>
        <w:rPr>
          <w:sz w:val="20"/>
          <w:szCs w:val="20"/>
          <w:color w:val="auto"/>
        </w:rPr>
        <w:tab/>
      </w:r>
      <w:r>
        <w:rPr>
          <w:rFonts w:ascii="Times New Roman" w:cs="Times New Roman" w:eastAsia="Times New Roman" w:hAnsi="Times New Roman"/>
          <w:sz w:val="14"/>
          <w:szCs w:val="14"/>
          <w:b w:val="1"/>
          <w:bCs w:val="1"/>
          <w:color w:val="auto"/>
        </w:rPr>
        <w:t>Amount</w:t>
      </w:r>
    </w:p>
    <w:p>
      <w:pPr>
        <w:spacing w:after="0" w:line="25" w:lineRule="exact"/>
        <w:rPr>
          <w:sz w:val="20"/>
          <w:szCs w:val="20"/>
          <w:color w:val="auto"/>
        </w:rPr>
      </w:pPr>
    </w:p>
    <w:p>
      <w:pPr>
        <w:sectPr>
          <w:pgSz w:w="11900" w:h="16838" w:orient="portrait"/>
          <w:cols w:equalWidth="0" w:num="2">
            <w:col w:w="5120" w:space="720"/>
            <w:col w:w="3179"/>
          </w:cols>
          <w:pgMar w:left="1440" w:top="513" w:right="1440" w:bottom="1440" w:gutter="0" w:footer="0" w:header="0"/>
          <w:type w:val="continuous"/>
        </w:sectPr>
      </w:pPr>
    </w:p>
    <w:p>
      <w:pPr>
        <w:ind w:left="60"/>
        <w:spacing w:after="0"/>
        <w:tabs>
          <w:tab w:leader="none" w:pos="1900" w:val="left"/>
          <w:tab w:leader="none" w:pos="2500" w:val="left"/>
          <w:tab w:leader="none" w:pos="3660" w:val="left"/>
          <w:tab w:leader="none" w:pos="4780" w:val="left"/>
          <w:tab w:leader="none" w:pos="5560" w:val="left"/>
          <w:tab w:leader="none" w:pos="6180" w:val="left"/>
          <w:tab w:leader="none" w:pos="7520" w:val="left"/>
          <w:tab w:leader="none" w:pos="8460" w:val="left"/>
        </w:tabs>
        <w:rPr>
          <w:sz w:val="20"/>
          <w:szCs w:val="20"/>
          <w:color w:val="auto"/>
        </w:rPr>
      </w:pPr>
      <w:r>
        <w:rPr>
          <w:rFonts w:ascii="Times New Roman" w:cs="Times New Roman" w:eastAsia="Times New Roman" w:hAnsi="Times New Roman"/>
          <w:sz w:val="18"/>
          <w:szCs w:val="18"/>
          <w:color w:val="auto"/>
        </w:rPr>
        <w:t>DANYELZA</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8"/>
          <w:szCs w:val="18"/>
          <w:color w:val="auto"/>
        </w:rPr>
        <w:t xml:space="preserve">3,300 </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8"/>
          <w:szCs w:val="18"/>
          <w:color w:val="auto"/>
        </w:rPr>
        <w:t xml:space="preserve">1,024 </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8"/>
          <w:szCs w:val="18"/>
          <w:color w:val="auto"/>
        </w:rPr>
        <w:t>2,276</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8"/>
          <w:szCs w:val="18"/>
          <w:color w:val="auto"/>
        </w:rPr>
        <w:t xml:space="preserve">3,300 </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8"/>
          <w:szCs w:val="18"/>
          <w:color w:val="auto"/>
        </w:rPr>
        <w:t xml:space="preserve">669 </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7"/>
          <w:szCs w:val="17"/>
          <w:color w:val="auto"/>
        </w:rPr>
        <w:t>2,631</w:t>
      </w:r>
    </w:p>
    <w:p>
      <w:pPr>
        <w:spacing w:after="0" w:line="200" w:lineRule="exact"/>
        <w:rPr>
          <w:sz w:val="20"/>
          <w:szCs w:val="20"/>
          <w:color w:val="auto"/>
        </w:rPr>
      </w:pPr>
    </w:p>
    <w:p>
      <w:pPr>
        <w:spacing w:after="0" w:line="214"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In October 2024, following the approval of Patent Term Extension, the patent for DANYELZA was extended to February 2034. Intangible assets are now being amortized on a straight-line based over a remaining useful life of approximately 9.4 years. Amortization expenses were $355,000 for the years ended December 31, 2024 and 2023. Annual amortization expense is expected to be $248,000 each year for the five-year period from 2025 to 2029, and $1,036,000 thereafter.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8—ACCRUED LIABILITIES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Accrued liabilities as of December 31, 2024 and December 31, 2023 are as follows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licensing, milestone and royalty payments</w:t>
            </w:r>
          </w:p>
        </w:tc>
        <w:tc>
          <w:tcPr>
            <w:tcW w:w="16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Accrued clinical costs</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board fees</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Accrued manufacturing costs</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reserves</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Accrued business realignment and restructuring expense</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10"/>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5" w:name="page156"/>
    <w:bookmarkEnd w:id="1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9—LICENSE AGREEMENTS AND COMMITMENTS</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Company has entered into three license agreements and certain other agreements with Memorial Sloan Kettering Cancer Center (“MSK”). The license agreements include the MSK License Agreement, dated August 20, 2015, between the Company and MSK (the “MSK License”), the CD33 License Agreement, dated November 13, 2017, between the Company and MSK (the “CD33 License”), and the amendment to the MSK License Agreement, dated November 8, 2024, between the Company and MSK (the “Amendment to MSK License”). Through the Settlement and Assumption and Assignment of the MSK License and Y-mAbs Sublicense Agreement, dated December 2, 2019, among MabVax Therapeutics Holdings, Inc. and MabVax Therapeutics, Inc., (together “MabVax"), the Company and MSK (the “SAAA”), the Company has established a direct license with MSK relating to the GD2-GD3 Vaccine, which was originally sublicensed by the Company in 2018 from MabVax.</w:t>
      </w:r>
    </w:p>
    <w:p>
      <w:pPr>
        <w:spacing w:after="0" w:line="188"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addition, the Company entered into a license agreement, dated April 15, 2020, with MSK and Massachusetts Institute of Technology (“MIT”) (the “SADA License Agreement”). These license agreements with MSK and MIT grant the Company certain patent rights and intellectual property rights, and in consideration thereof, the Company agreed to make certain payments and issue shares of the Company’s common stock to MSK and MIT. Certain payments are contingent milestone and royalty payments, as disclosed in the table below. Amounts disclosed in </w:t>
      </w:r>
      <w:r>
        <w:rPr>
          <w:rFonts w:ascii="Times New Roman" w:cs="Times New Roman" w:eastAsia="Times New Roman" w:hAnsi="Times New Roman"/>
          <w:sz w:val="18"/>
          <w:szCs w:val="18"/>
          <w:i w:val="1"/>
          <w:iCs w:val="1"/>
          <w:color w:val="auto"/>
        </w:rPr>
        <w:t>NOTE 8—ACCRUED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for accrued milestone and royalty payments are inclusive of obligations under the MSK License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to MSK License Agreement and SADA License Agreement, collectively. In connection with restructuring in 2023, activities relating to the GD2-GD3 Vaccine and CD33 antibody constructs were deprioritized. The Company has incurred immaterial expenses and liabilities for the two programs as of and for the years ended December 31, 2024 and 2023.</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MSK License</w:t>
      </w:r>
    </w:p>
    <w:p>
      <w:pPr>
        <w:spacing w:after="0" w:line="227"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The MSK License relates to intellectual property for DANYELZA and requires the Company to pay to MSK mid to high single-digit royalties based on annual net sales of licensed products or the performance of licensed services by the Company and the Company’s affiliates and sublicensees. The Company is required to pay annual minimum royalties of $80,000 over the royalty term, which amounts are non-refundable but are creditable against royalty payments otherwise due thereunder. The Company is also obligated to pay to MSK certain clinical, regulatory and sales-based milestone payments under the MSK License, which payments become due at the earlier of completion of the related milestone activity or the date indicated in the MSK License even if the related milestone activity is not achieved.</w:t>
      </w:r>
    </w:p>
    <w:p>
      <w:pPr>
        <w:spacing w:after="0" w:line="189" w:lineRule="exact"/>
        <w:rPr>
          <w:sz w:val="20"/>
          <w:szCs w:val="20"/>
          <w:color w:val="auto"/>
        </w:rPr>
      </w:pPr>
    </w:p>
    <w:p>
      <w:pPr>
        <w:ind w:left="60" w:right="119" w:firstLine="648"/>
        <w:spacing w:after="0" w:line="238" w:lineRule="auto"/>
        <w:rPr>
          <w:sz w:val="20"/>
          <w:szCs w:val="20"/>
          <w:color w:val="auto"/>
        </w:rPr>
      </w:pPr>
      <w:r>
        <w:rPr>
          <w:rFonts w:ascii="Times New Roman" w:cs="Times New Roman" w:eastAsia="Times New Roman" w:hAnsi="Times New Roman"/>
          <w:sz w:val="17"/>
          <w:szCs w:val="17"/>
          <w:color w:val="auto"/>
        </w:rPr>
        <w:t xml:space="preserve">On November 8, 2024, the Company entered into an amendment with MSK where the Company has agreed to return the licensed patent rights related to omburtamab, and related drug substance inventory and regulatory work products to MSK in order to facilitate the continued development of the project under MSK’s control and expense. The Company has decided to stop developing a pharmaceutical product comprising the antibody omburtamab, </w:t>
      </w:r>
      <w:r>
        <w:rPr>
          <w:rFonts w:ascii="Times New Roman" w:cs="Times New Roman" w:eastAsia="Times New Roman" w:hAnsi="Times New Roman"/>
          <w:sz w:val="25"/>
          <w:szCs w:val="25"/>
          <w:color w:val="auto"/>
          <w:vertAlign w:val="superscript"/>
        </w:rPr>
        <w:t>131</w:t>
      </w:r>
      <w:r>
        <w:rPr>
          <w:rFonts w:ascii="Times New Roman" w:cs="Times New Roman" w:eastAsia="Times New Roman" w:hAnsi="Times New Roman"/>
          <w:sz w:val="17"/>
          <w:szCs w:val="17"/>
          <w:color w:val="auto"/>
        </w:rPr>
        <w:t>O-omburtamab and</w:t>
      </w:r>
    </w:p>
    <w:p>
      <w:pPr>
        <w:spacing w:after="0" w:line="3" w:lineRule="exact"/>
        <w:rPr>
          <w:sz w:val="20"/>
          <w:szCs w:val="20"/>
          <w:color w:val="auto"/>
        </w:rPr>
      </w:pPr>
    </w:p>
    <w:p>
      <w:pPr>
        <w:ind w:left="60" w:right="399"/>
        <w:spacing w:after="0" w:line="222" w:lineRule="auto"/>
        <w:rPr>
          <w:sz w:val="20"/>
          <w:szCs w:val="20"/>
          <w:color w:val="auto"/>
        </w:rPr>
      </w:pP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Lu-omburtamab-DTPA. The amendment of the MSK License also resulted in a $900,000 reduction of total potential milestone payments, of which $375,000 were accrued as of December 31, 2023. The accrued liabilities were reversed through research and development expense in the year ended December 31, 2024.</w:t>
      </w:r>
    </w:p>
    <w:p>
      <w:pPr>
        <w:spacing w:after="0" w:line="198"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To the extent the Company enters into sublicense arrangements, the Company is required to pay to MSK a percentage of certain payments that the Company receives from sublicensees of the rights licensed to the Company by MSK, which percentage will be based upon the date the Company receives such payments or the achievement of certain clinical milestones. The Company has entered into sublicenses and distribution agreements related to DANYELZA under the MSK License with Takeda Israel, Swixx and SciClone in 2020, with Adium in 2021, WEP in 2022, INPHARMUS and Nobelpharma. in 2024.</w:t>
      </w:r>
    </w:p>
    <w:p>
      <w:pPr>
        <w:spacing w:after="0" w:line="187"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terms of the MSK License provide that MSK is entitled to receive 40% of the income generated from the sale of first PRV, and 33% of any income generated from the sale of any subsequent PRV or the sale of other comparable incentives provided by any non-U.S. jurisdiction. The Company sold the first PRV in connection with DANYELZA, and collected the proceeds in January 2021.</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6" w:name="page157"/>
    <w:bookmarkEnd w:id="1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The MSK License will expire, on a country by country basis, and on a licensed product by licensed product or licensed service by licensed service basis, on the later of (i) the expiration of the last to expire of the patents and patent applications covering such licensed product or service in such country, (ii) the expiration of any market exclusivity period granted by a regulatory authority for such licensed product or service in such country, or (iii) 15 years from the first commercial sale of such licensed product or service in such country.</w:t>
      </w:r>
    </w:p>
    <w:p>
      <w:pPr>
        <w:spacing w:after="0" w:line="183"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MSK may terminate the MSK License upon prior written notice in the event of our uncured material breach, or upon prior written notice if such breach is of a payment obligation. MSK may also terminate the MSK License upon written notice in the event of our bankruptcy or insolvency or our conviction of a felony relating to the licensed products, or if the Company challenges the validity or enforceability of any licensed patent right. In addition, the Company has the right to terminate the MSK License in its entirety at will upon prior written notice to MSK, but if the Company has commenced the commercialization of licensed products and/or licensed services the Company can only terminate at will if the Company ceases all development and commercialization of such licensed products and/or licensed services.</w:t>
      </w:r>
    </w:p>
    <w:p>
      <w:pPr>
        <w:spacing w:after="0" w:line="18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The Company’s failure to meet certain conditions under the MSK License could cause the related license to such licensed product to be canceled and could result in termination of the MSK License by MSK.</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SADA License</w:t>
      </w:r>
    </w:p>
    <w:p>
      <w:pPr>
        <w:spacing w:after="0" w:line="227"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Pursuant to the SADA License Agreement, the Company was granted an exclusive worldwide, sublicensable license to MSK’s and MIT’s rights to certain patent and intellectual property to develop, make, and commercialize licensed products and to perform services for all therapeutic and diagnostic uses in the field of cancer diagnostics and cancer treatments using the Self-Assembly DisAssembly Pretargeted RadioImmuno Therapy, or SADA PRIT, technology platform.</w:t>
      </w:r>
    </w:p>
    <w:p>
      <w:pPr>
        <w:spacing w:after="0" w:line="183"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SADA License Agreement requires the Company to pay MSK and MIT mid to high single-digit royalties based on annual net sales of licensed products or the performance of licensed services by the Company and the Company’s affiliates and sublicensees. The Company is obligated to pay non-refundable annual minimum royalties of $40,000, increasing to $60,000 once a patent has been issued, over the royalty term, commencing on the tenth anniversary of the license agreement.</w:t>
      </w:r>
    </w:p>
    <w:p>
      <w:pPr>
        <w:spacing w:after="0" w:line="183" w:lineRule="exact"/>
        <w:rPr>
          <w:sz w:val="20"/>
          <w:szCs w:val="20"/>
          <w:color w:val="auto"/>
        </w:rPr>
      </w:pPr>
    </w:p>
    <w:p>
      <w:pPr>
        <w:ind w:left="60" w:right="399" w:firstLine="648"/>
        <w:spacing w:after="0" w:line="261" w:lineRule="auto"/>
        <w:rPr>
          <w:sz w:val="20"/>
          <w:szCs w:val="20"/>
          <w:color w:val="auto"/>
        </w:rPr>
      </w:pPr>
      <w:r>
        <w:rPr>
          <w:rFonts w:ascii="Times New Roman" w:cs="Times New Roman" w:eastAsia="Times New Roman" w:hAnsi="Times New Roman"/>
          <w:sz w:val="18"/>
          <w:szCs w:val="18"/>
          <w:color w:val="auto"/>
        </w:rPr>
        <w:t>The Company is also obligated to pay MSK and MIT certain clinical, regulatory and sales-based milestone payments under the SADA License Agreement. Certain clinical and regulatory milestone payments become due at the earlier of completion of the related milestone activity or the date indicated in the SADA License Agreement even if the related milestone activity is not achieved.</w:t>
      </w:r>
    </w:p>
    <w:p>
      <w:pPr>
        <w:spacing w:after="0" w:line="180"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extent the Company enters into sublicense arrangements, the Company is obligated to pay to MSK and MIT a percentage of certain payments received from sublicensees of the rights licensed to us by MSK and MIT, which percentage will be based upon the achievement of certain clinical milestones. The Company has not entered into any sublicenses related to the SADA License Agreement. For each of the constructs previously generated by MSK using the SADA PRIT Technology and sold for the Company by a sublicensee, the Company may pay sales milestones up to $60,000,000, in total, based on the achievement of various levels of cumulative net sales made by the sublicensee.</w:t>
      </w:r>
    </w:p>
    <w:p>
      <w:pPr>
        <w:spacing w:after="0" w:line="187"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Company did not recognize any expenses related to milestones under the SADA License Agreement during the year ended December 31, 2024. The Company made a payment of $1,000,000 in the year ended December 31, 2024 as required under the terms and conditions of the agreement.</w:t>
      </w:r>
    </w:p>
    <w:p>
      <w:pPr>
        <w:spacing w:after="0" w:line="176"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recognized an expense of $4,125,000 related to clinical milestones under the SADA License Agreement during the year ended December 31, 2023, as the Company determined certain time-based clinical milestones within the agreement are probable based on the availability of necessary data and the assessment of clinical progress. The Company made a payment of $605,000 in the year ended December 31, 2023, related to achievement of the milestone for dosing the first patient in the Phase 1 trial of GD2-SADA in April 2023.</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7" w:name="page158"/>
    <w:bookmarkEnd w:id="1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Failure by the Company to meet certain conditions under the arrangement could cause the related license to such licensed products to be canceled and could result in termination of the entire arrangement with MSK and MIT. In addition, the Company may terminate the SADA License Agreement with prior written notice.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Summary of Significant License Agreements and Related Commitments</w:t>
      </w:r>
    </w:p>
    <w:p>
      <w:pPr>
        <w:spacing w:after="0" w:line="227" w:lineRule="exact"/>
        <w:rPr>
          <w:sz w:val="20"/>
          <w:szCs w:val="20"/>
          <w:color w:val="auto"/>
        </w:rPr>
      </w:pPr>
    </w:p>
    <w:p>
      <w:pPr>
        <w:jc w:val="both"/>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The below table represents the maximum clinical, regulatory or sales-based milestones as reflected within the significant license agreements, certain of which have been paid in prior periods or are accrued as presented in the table below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90"/>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Agreements</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Clinical</w:t>
            </w: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Regulatory</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Sales-based</w:t>
            </w:r>
          </w:p>
        </w:tc>
        <w:tc>
          <w:tcPr>
            <w:tcW w:w="0" w:type="dxa"/>
            <w:vAlign w:val="bottom"/>
          </w:tcPr>
          <w:p>
            <w:pPr>
              <w:spacing w:after="0"/>
              <w:rPr>
                <w:sz w:val="1"/>
                <w:szCs w:val="1"/>
                <w:color w:val="auto"/>
              </w:rPr>
            </w:pPr>
          </w:p>
        </w:tc>
      </w:tr>
      <w:tr>
        <w:trPr>
          <w:trHeight w:val="199"/>
        </w:trPr>
        <w:tc>
          <w:tcPr>
            <w:tcW w:w="4240" w:type="dxa"/>
            <w:vAlign w:val="bottom"/>
            <w:vMerge w:val="continue"/>
          </w:tcPr>
          <w:p>
            <w:pPr>
              <w:spacing w:after="0"/>
              <w:rPr>
                <w:sz w:val="17"/>
                <w:szCs w:val="17"/>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Milestones</w:t>
            </w: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Milestones</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Milestones</w:t>
            </w:r>
          </w:p>
        </w:tc>
        <w:tc>
          <w:tcPr>
            <w:tcW w:w="0" w:type="dxa"/>
            <w:vAlign w:val="bottom"/>
          </w:tcPr>
          <w:p>
            <w:pPr>
              <w:spacing w:after="0"/>
              <w:rPr>
                <w:sz w:val="1"/>
                <w:szCs w:val="1"/>
                <w:color w:val="auto"/>
              </w:rPr>
            </w:pPr>
          </w:p>
        </w:tc>
      </w:tr>
      <w:tr>
        <w:trPr>
          <w:trHeight w:val="209"/>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MSK</w:t>
            </w:r>
          </w:p>
        </w:tc>
        <w:tc>
          <w:tcPr>
            <w:tcW w:w="1320" w:type="dxa"/>
            <w:vAlign w:val="bottom"/>
            <w:tcBorders>
              <w:top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$ 2,450</w:t>
            </w:r>
          </w:p>
        </w:tc>
        <w:tc>
          <w:tcPr>
            <w:tcW w:w="1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$ 8,100</w:t>
            </w:r>
          </w:p>
        </w:tc>
        <w:tc>
          <w:tcPr>
            <w:tcW w:w="1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$ 20,000</w:t>
            </w:r>
          </w:p>
        </w:tc>
        <w:tc>
          <w:tcPr>
            <w:tcW w:w="0" w:type="dxa"/>
            <w:vAlign w:val="bottom"/>
          </w:tcPr>
          <w:p>
            <w:pPr>
              <w:spacing w:after="0"/>
              <w:rPr>
                <w:sz w:val="1"/>
                <w:szCs w:val="1"/>
                <w:color w:val="auto"/>
              </w:rPr>
            </w:pPr>
          </w:p>
        </w:tc>
      </w:tr>
      <w:tr>
        <w:trPr>
          <w:trHeight w:val="234"/>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SADA</w:t>
            </w:r>
          </w:p>
        </w:tc>
        <w:tc>
          <w:tcPr>
            <w:tcW w:w="1320" w:type="dxa"/>
            <w:vAlign w:val="bottom"/>
          </w:tcPr>
          <w:p>
            <w:pPr>
              <w:jc w:val="right"/>
              <w:ind w:right="301"/>
              <w:spacing w:after="0"/>
              <w:rPr>
                <w:sz w:val="20"/>
                <w:szCs w:val="20"/>
                <w:color w:val="auto"/>
              </w:rPr>
            </w:pPr>
            <w:r>
              <w:rPr>
                <w:rFonts w:ascii="Times New Roman" w:cs="Times New Roman" w:eastAsia="Times New Roman" w:hAnsi="Times New Roman"/>
                <w:sz w:val="18"/>
                <w:szCs w:val="18"/>
                <w:color w:val="auto"/>
              </w:rPr>
              <w:t>4,730</w:t>
            </w:r>
          </w:p>
        </w:tc>
        <w:tc>
          <w:tcPr>
            <w:tcW w:w="160" w:type="dxa"/>
            <w:vAlign w:val="bottom"/>
          </w:tcPr>
          <w:p>
            <w:pPr>
              <w:spacing w:after="0"/>
              <w:rPr>
                <w:sz w:val="20"/>
                <w:szCs w:val="20"/>
                <w:color w:val="auto"/>
              </w:rPr>
            </w:pPr>
          </w:p>
        </w:tc>
        <w:tc>
          <w:tcPr>
            <w:tcW w:w="1520" w:type="dxa"/>
            <w:vAlign w:val="bottom"/>
          </w:tcPr>
          <w:p>
            <w:pPr>
              <w:jc w:val="right"/>
              <w:ind w:right="361"/>
              <w:spacing w:after="0"/>
              <w:rPr>
                <w:sz w:val="20"/>
                <w:szCs w:val="20"/>
                <w:color w:val="auto"/>
              </w:rPr>
            </w:pPr>
            <w:r>
              <w:rPr>
                <w:rFonts w:ascii="Times New Roman" w:cs="Times New Roman" w:eastAsia="Times New Roman" w:hAnsi="Times New Roman"/>
                <w:sz w:val="18"/>
                <w:szCs w:val="18"/>
                <w:color w:val="auto"/>
              </w:rPr>
              <w:t>18,125</w:t>
            </w:r>
          </w:p>
        </w:tc>
        <w:tc>
          <w:tcPr>
            <w:tcW w:w="160" w:type="dxa"/>
            <w:vAlign w:val="bottom"/>
          </w:tcPr>
          <w:p>
            <w:pPr>
              <w:spacing w:after="0"/>
              <w:rPr>
                <w:sz w:val="20"/>
                <w:szCs w:val="20"/>
                <w:color w:val="auto"/>
              </w:rPr>
            </w:pPr>
          </w:p>
        </w:tc>
        <w:tc>
          <w:tcPr>
            <w:tcW w:w="1500" w:type="dxa"/>
            <w:vAlign w:val="bottom"/>
          </w:tcPr>
          <w:p>
            <w:pPr>
              <w:jc w:val="right"/>
              <w:ind w:right="341"/>
              <w:spacing w:after="0"/>
              <w:rPr>
                <w:sz w:val="20"/>
                <w:szCs w:val="20"/>
                <w:color w:val="auto"/>
              </w:rPr>
            </w:pPr>
            <w:r>
              <w:rPr>
                <w:rFonts w:ascii="Times New Roman" w:cs="Times New Roman" w:eastAsia="Times New Roman" w:hAnsi="Times New Roman"/>
                <w:sz w:val="18"/>
                <w:szCs w:val="18"/>
                <w:color w:val="auto"/>
              </w:rPr>
              <w:t>23,750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The below table represents all obligations pertaining to the significant license agreements that have been paid, expensed or accrued as of and for the years ended December 31, 2024 and 2023, respectively (in thousands):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Cash paid</w:t>
            </w:r>
          </w:p>
        </w:tc>
        <w:tc>
          <w:tcPr>
            <w:tcW w:w="80" w:type="dxa"/>
            <w:vAlign w:val="bottom"/>
          </w:tcPr>
          <w:p>
            <w:pPr>
              <w:spacing w:after="0"/>
              <w:rPr>
                <w:sz w:val="11"/>
                <w:szCs w:val="11"/>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Cash paid</w:t>
            </w:r>
          </w:p>
        </w:tc>
        <w:tc>
          <w:tcPr>
            <w:tcW w:w="100" w:type="dxa"/>
            <w:vAlign w:val="bottom"/>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Expense</w:t>
            </w:r>
          </w:p>
        </w:tc>
        <w:tc>
          <w:tcPr>
            <w:tcW w:w="100" w:type="dxa"/>
            <w:vAlign w:val="bottom"/>
          </w:tcPr>
          <w:p>
            <w:pPr>
              <w:spacing w:after="0"/>
              <w:rPr>
                <w:sz w:val="11"/>
                <w:szCs w:val="11"/>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Expense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Accrued</w:t>
            </w: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Accrued</w:t>
            </w:r>
          </w:p>
        </w:tc>
        <w:tc>
          <w:tcPr>
            <w:tcW w:w="100" w:type="dxa"/>
            <w:vAlign w:val="bottom"/>
          </w:tcPr>
          <w:p>
            <w:pPr>
              <w:spacing w:after="0"/>
              <w:rPr>
                <w:sz w:val="11"/>
                <w:szCs w:val="11"/>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Accrued</w:t>
            </w:r>
          </w:p>
        </w:tc>
        <w:tc>
          <w:tcPr>
            <w:tcW w:w="120" w:type="dxa"/>
            <w:vAlign w:val="bottom"/>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Accrued</w:t>
            </w: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rPr>
              <w:t>twelve</w:t>
            </w:r>
          </w:p>
        </w:tc>
        <w:tc>
          <w:tcPr>
            <w:tcW w:w="80" w:type="dxa"/>
            <w:vAlign w:val="bottom"/>
          </w:tcPr>
          <w:p>
            <w:pPr>
              <w:spacing w:after="0"/>
              <w:rPr>
                <w:sz w:val="10"/>
                <w:szCs w:val="10"/>
                <w:color w:val="auto"/>
              </w:rPr>
            </w:pPr>
          </w:p>
        </w:tc>
        <w:tc>
          <w:tcPr>
            <w:tcW w:w="6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rPr>
              <w:t>twelve</w:t>
            </w:r>
          </w:p>
        </w:tc>
        <w:tc>
          <w:tcPr>
            <w:tcW w:w="100" w:type="dxa"/>
            <w:vAlign w:val="bottom"/>
          </w:tcPr>
          <w:p>
            <w:pPr>
              <w:spacing w:after="0"/>
              <w:rPr>
                <w:sz w:val="10"/>
                <w:szCs w:val="10"/>
                <w:color w:val="auto"/>
              </w:rPr>
            </w:pPr>
          </w:p>
        </w:tc>
        <w:tc>
          <w:tcPr>
            <w:tcW w:w="6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twelve</w:t>
            </w:r>
          </w:p>
        </w:tc>
        <w:tc>
          <w:tcPr>
            <w:tcW w:w="100" w:type="dxa"/>
            <w:vAlign w:val="bottom"/>
          </w:tcPr>
          <w:p>
            <w:pPr>
              <w:spacing w:after="0"/>
              <w:rPr>
                <w:sz w:val="10"/>
                <w:szCs w:val="10"/>
                <w:color w:val="auto"/>
              </w:rPr>
            </w:pPr>
          </w:p>
        </w:tc>
        <w:tc>
          <w:tcPr>
            <w:tcW w:w="6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rPr>
              <w:t>twelve</w:t>
            </w:r>
          </w:p>
        </w:tc>
        <w:tc>
          <w:tcPr>
            <w:tcW w:w="10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liabilities</w:t>
            </w:r>
          </w:p>
        </w:tc>
        <w:tc>
          <w:tcPr>
            <w:tcW w:w="100" w:type="dxa"/>
            <w:vAlign w:val="bottom"/>
          </w:tcPr>
          <w:p>
            <w:pPr>
              <w:spacing w:after="0"/>
              <w:rPr>
                <w:sz w:val="10"/>
                <w:szCs w:val="10"/>
                <w:color w:val="auto"/>
              </w:rPr>
            </w:pPr>
          </w:p>
        </w:tc>
        <w:tc>
          <w:tcPr>
            <w:tcW w:w="6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liabilities</w:t>
            </w:r>
          </w:p>
        </w:tc>
        <w:tc>
          <w:tcPr>
            <w:tcW w:w="100" w:type="dxa"/>
            <w:vAlign w:val="bottom"/>
          </w:tcPr>
          <w:p>
            <w:pPr>
              <w:spacing w:after="0"/>
              <w:rPr>
                <w:sz w:val="10"/>
                <w:szCs w:val="10"/>
                <w:color w:val="auto"/>
              </w:rPr>
            </w:pPr>
          </w:p>
        </w:tc>
        <w:tc>
          <w:tcPr>
            <w:tcW w:w="6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liabilities</w:t>
            </w:r>
          </w:p>
        </w:tc>
        <w:tc>
          <w:tcPr>
            <w:tcW w:w="120" w:type="dxa"/>
            <w:vAlign w:val="bottom"/>
          </w:tcPr>
          <w:p>
            <w:pPr>
              <w:spacing w:after="0"/>
              <w:rPr>
                <w:sz w:val="10"/>
                <w:szCs w:val="10"/>
                <w:color w:val="auto"/>
              </w:rPr>
            </w:pPr>
          </w:p>
        </w:tc>
        <w:tc>
          <w:tcPr>
            <w:tcW w:w="6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liabilities</w:t>
            </w: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months</w:t>
            </w:r>
          </w:p>
        </w:tc>
        <w:tc>
          <w:tcPr>
            <w:tcW w:w="80" w:type="dxa"/>
            <w:vAlign w:val="bottom"/>
          </w:tcPr>
          <w:p>
            <w:pPr>
              <w:spacing w:after="0"/>
              <w:rPr>
                <w:sz w:val="10"/>
                <w:szCs w:val="10"/>
                <w:color w:val="auto"/>
              </w:rPr>
            </w:pPr>
          </w:p>
        </w:tc>
        <w:tc>
          <w:tcPr>
            <w:tcW w:w="6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months</w:t>
            </w:r>
          </w:p>
        </w:tc>
        <w:tc>
          <w:tcPr>
            <w:tcW w:w="100" w:type="dxa"/>
            <w:vAlign w:val="bottom"/>
          </w:tcPr>
          <w:p>
            <w:pPr>
              <w:spacing w:after="0"/>
              <w:rPr>
                <w:sz w:val="10"/>
                <w:szCs w:val="10"/>
                <w:color w:val="auto"/>
              </w:rPr>
            </w:pPr>
          </w:p>
        </w:tc>
        <w:tc>
          <w:tcPr>
            <w:tcW w:w="6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months</w:t>
            </w:r>
          </w:p>
        </w:tc>
        <w:tc>
          <w:tcPr>
            <w:tcW w:w="100" w:type="dxa"/>
            <w:vAlign w:val="bottom"/>
          </w:tcPr>
          <w:p>
            <w:pPr>
              <w:spacing w:after="0"/>
              <w:rPr>
                <w:sz w:val="10"/>
                <w:szCs w:val="10"/>
                <w:color w:val="auto"/>
              </w:rPr>
            </w:pPr>
          </w:p>
        </w:tc>
        <w:tc>
          <w:tcPr>
            <w:tcW w:w="6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months</w:t>
            </w:r>
          </w:p>
        </w:tc>
        <w:tc>
          <w:tcPr>
            <w:tcW w:w="10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current</w:t>
            </w:r>
          </w:p>
        </w:tc>
        <w:tc>
          <w:tcPr>
            <w:tcW w:w="78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non-current</w:t>
            </w:r>
          </w:p>
        </w:tc>
        <w:tc>
          <w:tcPr>
            <w:tcW w:w="100" w:type="dxa"/>
            <w:vAlign w:val="bottom"/>
          </w:tcPr>
          <w:p>
            <w:pPr>
              <w:spacing w:after="0"/>
              <w:rPr>
                <w:sz w:val="10"/>
                <w:szCs w:val="10"/>
                <w:color w:val="auto"/>
              </w:rPr>
            </w:pPr>
          </w:p>
        </w:tc>
        <w:tc>
          <w:tcPr>
            <w:tcW w:w="6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5"/>
              </w:rPr>
              <w:t>current</w:t>
            </w:r>
          </w:p>
        </w:tc>
        <w:tc>
          <w:tcPr>
            <w:tcW w:w="800" w:type="dxa"/>
            <w:vAlign w:val="bottom"/>
            <w:gridSpan w:val="3"/>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non-current</w:t>
            </w:r>
          </w:p>
        </w:tc>
        <w:tc>
          <w:tcPr>
            <w:tcW w:w="0" w:type="dxa"/>
            <w:vAlign w:val="bottom"/>
          </w:tcPr>
          <w:p>
            <w:pPr>
              <w:spacing w:after="0"/>
              <w:rPr>
                <w:sz w:val="1"/>
                <w:szCs w:val="1"/>
                <w:color w:val="auto"/>
              </w:rPr>
            </w:pPr>
          </w:p>
        </w:tc>
      </w:tr>
      <w:tr>
        <w:trPr>
          <w:trHeight w:val="121"/>
        </w:trPr>
        <w:tc>
          <w:tcPr>
            <w:tcW w:w="2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ended</w:t>
            </w:r>
          </w:p>
        </w:tc>
        <w:tc>
          <w:tcPr>
            <w:tcW w:w="80" w:type="dxa"/>
            <w:vAlign w:val="bottom"/>
          </w:tcPr>
          <w:p>
            <w:pPr>
              <w:spacing w:after="0"/>
              <w:rPr>
                <w:sz w:val="10"/>
                <w:szCs w:val="10"/>
                <w:color w:val="auto"/>
              </w:rPr>
            </w:pPr>
          </w:p>
        </w:tc>
        <w:tc>
          <w:tcPr>
            <w:tcW w:w="6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ended</w:t>
            </w:r>
          </w:p>
        </w:tc>
        <w:tc>
          <w:tcPr>
            <w:tcW w:w="100" w:type="dxa"/>
            <w:vAlign w:val="bottom"/>
          </w:tcPr>
          <w:p>
            <w:pPr>
              <w:spacing w:after="0"/>
              <w:rPr>
                <w:sz w:val="10"/>
                <w:szCs w:val="10"/>
                <w:color w:val="auto"/>
              </w:rPr>
            </w:pPr>
          </w:p>
        </w:tc>
        <w:tc>
          <w:tcPr>
            <w:tcW w:w="6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ended</w:t>
            </w:r>
          </w:p>
        </w:tc>
        <w:tc>
          <w:tcPr>
            <w:tcW w:w="10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ended</w:t>
            </w:r>
          </w:p>
        </w:tc>
        <w:tc>
          <w:tcPr>
            <w:tcW w:w="10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rPr>
              <w:t>as of</w:t>
            </w:r>
          </w:p>
        </w:tc>
        <w:tc>
          <w:tcPr>
            <w:tcW w:w="100" w:type="dxa"/>
            <w:vAlign w:val="bottom"/>
          </w:tcPr>
          <w:p>
            <w:pPr>
              <w:spacing w:after="0"/>
              <w:rPr>
                <w:sz w:val="10"/>
                <w:szCs w:val="10"/>
                <w:color w:val="auto"/>
              </w:rPr>
            </w:pPr>
          </w:p>
        </w:tc>
        <w:tc>
          <w:tcPr>
            <w:tcW w:w="6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1"/>
              </w:rPr>
              <w:t>as of</w:t>
            </w:r>
          </w:p>
        </w:tc>
        <w:tc>
          <w:tcPr>
            <w:tcW w:w="100" w:type="dxa"/>
            <w:vAlign w:val="bottom"/>
          </w:tcPr>
          <w:p>
            <w:pPr>
              <w:spacing w:after="0"/>
              <w:rPr>
                <w:sz w:val="10"/>
                <w:szCs w:val="10"/>
                <w:color w:val="auto"/>
              </w:rPr>
            </w:pPr>
          </w:p>
        </w:tc>
        <w:tc>
          <w:tcPr>
            <w:tcW w:w="6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rPr>
              <w:t>as of</w:t>
            </w:r>
          </w:p>
        </w:tc>
        <w:tc>
          <w:tcPr>
            <w:tcW w:w="120" w:type="dxa"/>
            <w:vAlign w:val="bottom"/>
          </w:tcPr>
          <w:p>
            <w:pPr>
              <w:spacing w:after="0"/>
              <w:rPr>
                <w:sz w:val="10"/>
                <w:szCs w:val="10"/>
                <w:color w:val="auto"/>
              </w:rPr>
            </w:pPr>
          </w:p>
        </w:tc>
        <w:tc>
          <w:tcPr>
            <w:tcW w:w="6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as of</w:t>
            </w:r>
          </w:p>
        </w:tc>
        <w:tc>
          <w:tcPr>
            <w:tcW w:w="0" w:type="dxa"/>
            <w:vAlign w:val="bottom"/>
          </w:tcPr>
          <w:p>
            <w:pPr>
              <w:spacing w:after="0"/>
              <w:rPr>
                <w:sz w:val="1"/>
                <w:szCs w:val="1"/>
                <w:color w:val="auto"/>
              </w:rPr>
            </w:pPr>
          </w:p>
        </w:tc>
      </w:tr>
      <w:tr>
        <w:trPr>
          <w:trHeight w:val="142"/>
        </w:trPr>
        <w:tc>
          <w:tcPr>
            <w:tcW w:w="2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Agreements</w:t>
            </w:r>
          </w:p>
        </w:tc>
        <w:tc>
          <w:tcPr>
            <w:tcW w:w="78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76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c>
          <w:tcPr>
            <w:tcW w:w="78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c>
          <w:tcPr>
            <w:tcW w:w="76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c>
          <w:tcPr>
            <w:tcW w:w="80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0" w:type="dxa"/>
            <w:vAlign w:val="bottom"/>
          </w:tcPr>
          <w:p>
            <w:pPr>
              <w:spacing w:after="0"/>
              <w:rPr>
                <w:sz w:val="1"/>
                <w:szCs w:val="1"/>
                <w:color w:val="auto"/>
              </w:rPr>
            </w:pPr>
          </w:p>
        </w:tc>
      </w:tr>
      <w:tr>
        <w:trPr>
          <w:trHeight w:val="211"/>
        </w:trPr>
        <w:tc>
          <w:tcPr>
            <w:tcW w:w="272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7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MSK</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4"/>
                <w:szCs w:val="14"/>
                <w:color w:val="auto"/>
              </w:rPr>
              <w:t>6,027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4"/>
                <w:szCs w:val="14"/>
                <w:color w:val="auto"/>
              </w:rPr>
              <w:t>5,158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4"/>
                <w:szCs w:val="14"/>
                <w:color w:val="auto"/>
              </w:rPr>
              <w:t>3,291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4"/>
                <w:szCs w:val="14"/>
                <w:color w:val="auto"/>
              </w:rPr>
              <w:t>2,452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SADA</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4"/>
                <w:szCs w:val="14"/>
                <w:color w:val="auto"/>
              </w:rPr>
              <w:t>605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4"/>
                <w:szCs w:val="14"/>
                <w:color w:val="auto"/>
              </w:rPr>
              <w:t>4,125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4"/>
                <w:szCs w:val="14"/>
                <w:color w:val="auto"/>
              </w:rPr>
              <w:t>1,425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219" w:firstLine="648"/>
        <w:spacing w:after="0" w:line="289" w:lineRule="auto"/>
        <w:rPr>
          <w:sz w:val="20"/>
          <w:szCs w:val="20"/>
          <w:color w:val="auto"/>
        </w:rPr>
      </w:pPr>
      <w:r>
        <w:rPr>
          <w:rFonts w:ascii="Times New Roman" w:cs="Times New Roman" w:eastAsia="Times New Roman" w:hAnsi="Times New Roman"/>
          <w:sz w:val="17"/>
          <w:szCs w:val="17"/>
          <w:color w:val="auto"/>
        </w:rPr>
        <w:t>Minimum royalties and certain clinical, regulatory and sales milestones that become due based upon the passage of time under the MSK License Agreement, and the SADA License Agreement are excluded from the above table as the Company does not consider such obligations to be probable as of December 31, 2024 and December 31, 2023.</w:t>
      </w:r>
    </w:p>
    <w:p>
      <w:pPr>
        <w:spacing w:after="0" w:line="158"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is inherently uncertain and should such research and development fail, the MSK License Agreement and the SADA License Agreement are cancelable at the Company’s option. The Company will also consider the development risk and each party’s termination rights under the respective agreement when considering whether any clinical or regulatory-based milestone payments, certain of which also contain time-based payment requirements, are probable. The Company records milestones in the period in which the contingent liability is probable and the amount is reasonably estimable.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Contractual Agreements with Former Chief Financial Officer</w:t>
      </w:r>
    </w:p>
    <w:p>
      <w:pPr>
        <w:spacing w:after="0" w:line="227"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July 16, 2024, the Company entered into a separation agreement with the Company’s former Chief Financial Officer and a consultancy agreement with Investeringsselskabet GH ApS, pursuant to which the Company’s former Chief Financial Officer is providing consulting services to the Company. The terms of the separation agreement resulted in modifications to the vesting and expiration terms of the individual’s outstanding equity awards, which resulted in a non-cash stock-based compensation expense of $718,000 recorded within selling, general, and administrative on the Consolidated Statements of Net Loss and Comprehensive Loss for the year ended December 31, 2024 as there is no longer a service condition related to such awards. Under the terms of the consultancy agreement, which commenced on August 1, 2024, the Company is obligated to pay approximately $520,000 over a one-year period starting from the commencement of the agreement. The Company recognized the expenses related to the consultancy agreement within selling, general, and administrative on the Consolidated Statements of Net Loss and Comprehensive Loss for the year ended December 31, 2024 as the Company does not expect any substantive service to be performed under the consultancy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8" w:name="page159"/>
    <w:bookmarkEnd w:id="1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Lease Agreements</w:t>
      </w:r>
    </w:p>
    <w:p>
      <w:pPr>
        <w:spacing w:after="0" w:line="227"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In September 2024, the Company entered into a lease agreement for office space in Princeton, New Jersey to which the Company plans to transition the Company’s headquarters location in the first half of 2025. The term of the lease is for ten years and nine months from the date the Company begins to occupy the premises, whereby the first nine months are rent free. Fixed rent payable under the lease ranges from approximately $362,000 in the first year after the free rent period concludes to $411,000 in the last year of the lease, with annual escalation. Rent is payable in equal monthly installments ranging from approximately $30,000 to $34,000 for each respective year. Pursuant to the lease agreement, the Company has two options to extend the lease for an additional five-year period per each option. At lease inception, the Company concluded the renewal option was not reasonably certain of being exercised. The Company has the option to terminate the lease before its expiration under limited circumstances. The lease agreement did not result in any financial impact for the year ended December 31, 2024 as the leased space has not been made available for use; therefore, the commencement date had not occurred as of December 31, 2024. As part of the lease agreement, the Company was offered temporary office space for free before the lease commences.</w:t>
      </w:r>
    </w:p>
    <w:p>
      <w:pPr>
        <w:spacing w:after="0" w:line="19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February 2019, the Company entered into a lease agreement in connection with the Company’s 4,548 square feet laboratory in New Jersey. In December 2019, the Company expanded the space with an additional 235 square feet. The original term of the lease was three years from the date the Company occupied the premises and the lease has been amended twice extending the term to February 2027. Fixed rent payable under the lease is approximately $177,000 per annum and is payable in equal monthly installments of approximately $15,000 per month until February 2025. The fixed rent payable will increase to $182,000 per annum from February 2025 to February 2026, and will further increase to approximately $188,000 per annum payable in equal monthly installments of approximately $16,000 per month, from February 2026 to the end of the lease term.</w:t>
      </w:r>
    </w:p>
    <w:p>
      <w:pPr>
        <w:spacing w:after="0" w:line="192"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In January 2018, the Company entered into a lease agreement in connection with the Company’s former corporate headquarters in New York. The term of the lease was six years from the date the Company began to occupy the premises and the lease was to expire in April 2024. In August 2023, the Company entered into a lease amendment to extend the term to April 2025. Fixed rent payable under the lease is approximately $408,000 per annum and is payable in equal monthly installments of approximately $34,000.</w:t>
      </w:r>
    </w:p>
    <w:p>
      <w:pPr>
        <w:spacing w:after="0" w:line="183"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In February 2018, the Company entered into a lease agreement for certain office space in Denmark, which has been amended several times. The lease was renewed on November 1, 2021 with a four-year term that expires in November 2025. The lease is payable in monthly installments of approximately $41,000. In January 2023, the Company modified the lease by reducing the amount of space subject to the lease. The lease modification resulted in an immaterial charge in the year ended December 31, 2023.</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9" w:name="page160"/>
    <w:bookmarkEnd w:id="1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auto"/>
        </w:rPr>
        <w:t>Operating lease expenses for the years ended December 31, 2024 and 2023, respectively, were as follows (in thousands):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274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5"/>
                <w:szCs w:val="15"/>
                <w:color w:val="auto"/>
              </w:rPr>
            </w:pPr>
          </w:p>
        </w:tc>
      </w:tr>
      <w:tr>
        <w:trPr>
          <w:trHeight w:val="223"/>
        </w:trPr>
        <w:tc>
          <w:tcPr>
            <w:tcW w:w="56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9"/>
                <w:szCs w:val="19"/>
                <w:color w:val="auto"/>
              </w:rPr>
            </w:pPr>
          </w:p>
        </w:tc>
      </w:tr>
      <w:tr>
        <w:trPr>
          <w:trHeight w:val="23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expenses by type of expense</w:t>
            </w:r>
          </w:p>
        </w:tc>
        <w:tc>
          <w:tcPr>
            <w:tcW w:w="10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r>
      <w:tr>
        <w:trPr>
          <w:trHeight w:val="243"/>
        </w:trPr>
        <w:tc>
          <w:tcPr>
            <w:tcW w:w="5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340" w:type="dxa"/>
            <w:vAlign w:val="bottom"/>
          </w:tcPr>
          <w:p>
            <w:pPr>
              <w:spacing w:after="0"/>
              <w:rPr>
                <w:sz w:val="21"/>
                <w:szCs w:val="21"/>
                <w:color w:val="auto"/>
              </w:rPr>
            </w:pPr>
          </w:p>
        </w:tc>
        <w:tc>
          <w:tcPr>
            <w:tcW w:w="940" w:type="dxa"/>
            <w:vAlign w:val="bottom"/>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r>
      <w:tr>
        <w:trPr>
          <w:trHeight w:val="243"/>
        </w:trPr>
        <w:tc>
          <w:tcPr>
            <w:tcW w:w="5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34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1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expenses</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340" w:type="dxa"/>
            <w:vAlign w:val="bottom"/>
          </w:tcPr>
          <w:p>
            <w:pPr>
              <w:spacing w:after="0"/>
              <w:rPr>
                <w:sz w:val="18"/>
                <w:szCs w:val="18"/>
                <w:color w:val="auto"/>
              </w:rPr>
            </w:pPr>
          </w:p>
        </w:tc>
        <w:tc>
          <w:tcPr>
            <w:tcW w:w="94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0"/>
        </w:trPr>
        <w:tc>
          <w:tcPr>
            <w:tcW w:w="5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Cash paid for amounts included in the measurement of lease liabilities was $989,000 and $1,057,000 for the years ended December 31, 2024 and 2023, respectively, and were included in net cash used in operating activities in the Company’s Consolidated Statements of Cash Flows.</w:t>
      </w:r>
    </w:p>
    <w:p>
      <w:pPr>
        <w:spacing w:after="0" w:line="176"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Maturities of operating lease liabilities as of December 31, 2024 and 2023, respectively, were as follows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3"/>
        </w:trPr>
        <w:tc>
          <w:tcPr>
            <w:tcW w:w="6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 ending December 31,</w:t>
            </w:r>
          </w:p>
        </w:tc>
        <w:tc>
          <w:tcPr>
            <w:tcW w:w="5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r>
      <w:tr>
        <w:trPr>
          <w:trHeight w:val="229"/>
        </w:trPr>
        <w:tc>
          <w:tcPr>
            <w:tcW w:w="6140" w:type="dxa"/>
            <w:vAlign w:val="bottom"/>
          </w:tcPr>
          <w:p>
            <w:pPr>
              <w:jc w:val="right"/>
              <w:ind w:right="547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30"/>
        </w:trPr>
        <w:tc>
          <w:tcPr>
            <w:tcW w:w="6140" w:type="dxa"/>
            <w:vAlign w:val="bottom"/>
            <w:shd w:val="clear" w:color="auto" w:fill="CCEEFF"/>
          </w:tcPr>
          <w:p>
            <w:pPr>
              <w:jc w:val="right"/>
              <w:ind w:right="547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29"/>
        </w:trPr>
        <w:tc>
          <w:tcPr>
            <w:tcW w:w="6140" w:type="dxa"/>
            <w:vAlign w:val="bottom"/>
          </w:tcPr>
          <w:p>
            <w:pPr>
              <w:jc w:val="right"/>
              <w:ind w:right="547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40" w:type="dxa"/>
            <w:vAlign w:val="bottom"/>
            <w:shd w:val="clear" w:color="auto" w:fill="CCEEFF"/>
          </w:tcPr>
          <w:p>
            <w:pPr>
              <w:jc w:val="right"/>
              <w:ind w:right="547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 as of period end</w:t>
            </w:r>
          </w:p>
        </w:tc>
        <w:tc>
          <w:tcPr>
            <w:tcW w:w="500" w:type="dxa"/>
            <w:vAlign w:val="bottom"/>
            <w:tcBorders>
              <w:top w:val="single" w:sz="8" w:color="auto"/>
              <w:bottom w:val="single" w:sz="8" w:color="auto"/>
            </w:tcBorders>
          </w:tcPr>
          <w:p>
            <w:pPr>
              <w:jc w:val="right"/>
              <w:ind w:right="34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w:t>
            </w:r>
          </w:p>
        </w:tc>
      </w:tr>
      <w:tr>
        <w:trPr>
          <w:trHeight w:val="20"/>
        </w:trPr>
        <w:tc>
          <w:tcPr>
            <w:tcW w:w="6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Operating lease liabilities are based on the net present value of the remaining lease payments over the remaining lease term. In determining the present value of lease payments, the Company estimates the incremental borrowing rate based on the information available at the lease commencement date. As of December 31, 2024, the weighted average remaining lease term is 1.39 years and the weighted average discount rate used to determine the operating lease liability is 8.5%. As of December 31, 2023, the weighted average remaining lease term was 1.61 years and the weighted average discount rate used to determine the operating lease liability was 8.3%.</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Legal Matters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Donoghue vs. Y-mAbs Therapeutics, Inc., and Gad</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was named a nominal defendant in a lawsuit filed in the U.S. District Court, Southern District of New York, on August 25, 2021, by one of the Company’s stockholders, Deborah Donoghue (Case No. 1:21-cv-07182). The lawsuit asserted claims against Mr. Thomas Gad, the Company’s Chief Business Officer, and Vice Chairman of the Company’s board of directors, and sought to compel Mr. Gad to disgorge alleged short swing profits stemming from a certain transaction involving the Company’s common stock undertaken by Mr. Gad on March 10, 2021 together with appropriate interest and costs of the lawsuit. On December 17, 2021, Mr. Gad filed a Motion to Dismiss the lawsuit. On August 8, 2022, the Court denied Mr. Gad’s Motion to Dismiss based on the record at the time. The parties have since completed documentary discovery and depositions. On February 1, 2024, both the Plaintiff and Mr. Gad filed their respective motions for summary judgment. On August 5, 2024 the Court denied Plaintiff’s motion for summary judgement, granted Mr. Gad’s motion for summary judgement and terminated the case. On August 26, 2024, Plaintiff filed a notice of appeal. The Company shall participate in the remaining appeal as a nominal party only, as it did in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0" w:name="page161"/>
    <w:bookmarkEnd w:id="1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underlying action and mediation. Plaintiff/Appellant’s appeal brief was filed on December 9, 2024. The named defendants have until March 31, 2025 to file their response.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 re Y-mAbs Therapeutics, Inc. Securities Litigation</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January 18, 2023, a putative class-action lawsuit was filed against the Company and certain of the Company’s current and former officers for alleged violations of the U.S. federal securities laws in the United States District Court, Southern District of New York (Case No.: 1:23-cv-00431). On June 26, 2024, without admitting any liability, the remaining defendants entered into a Stipulation and Agreement of Settlement (“Stipulation”) that would resolve the lawsuit upon Court approval. As part of the Settlement, in exchange for a full release of all claims, the Company agreed to make payment of $19,650,000. The Company recorded settlement amount of $3,625,000, net against the insurance proceeds of $16,025,000, within selling, general and administrative expense on the Consolidated Statements of Net Loss and Comprehensive Loss for the year ended December 31, 2024. On October 28, 2024, the Court approved the settlement and entered a final judgement and order of dismissal with prejudice on October 29, 2024. The Company considered the case to be closed as of December 31, 2024.</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Hazelton vs. Y-mAbs Therapeutics Inc., and Gad, et al.</w:t>
      </w:r>
    </w:p>
    <w:p>
      <w:pPr>
        <w:spacing w:after="0" w:line="229" w:lineRule="exact"/>
        <w:rPr>
          <w:sz w:val="20"/>
          <w:szCs w:val="20"/>
          <w:color w:val="auto"/>
        </w:rPr>
      </w:pPr>
    </w:p>
    <w:p>
      <w:pPr>
        <w:ind w:left="60" w:right="79" w:firstLine="766"/>
        <w:spacing w:after="0" w:line="252" w:lineRule="auto"/>
        <w:rPr>
          <w:sz w:val="20"/>
          <w:szCs w:val="20"/>
          <w:color w:val="auto"/>
        </w:rPr>
      </w:pPr>
      <w:r>
        <w:rPr>
          <w:rFonts w:ascii="Times New Roman" w:cs="Times New Roman" w:eastAsia="Times New Roman" w:hAnsi="Times New Roman"/>
          <w:sz w:val="18"/>
          <w:szCs w:val="18"/>
          <w:color w:val="auto"/>
        </w:rPr>
        <w:t>The Company was a nominal defendant in a lawsuit filed in the Court of Chancery of the State of Delaware, on February 8, 2023, by a purported stockholder, Jeffrey Hazelton (Case No. 2023-0147-LWW). Complaint purported to bring claims on behalf of the Company against current and former members of the Company’s board of directors for allegedly awarding themselves excessive compensation for fiscal years 2020 and 2021, and sought, among other things, recovery of alleged excessive compensation, an order directing the Company to undertake certain corporate governance reforms, and an award of costs and expenses, including attorneys’ fees. On July 22, 2024, the parties executed a settlement agreement. As part of the resolution, the Company agreed to: (i) cancel 5,000 shares of stock options issued to each of the Company’s non-employee directors as compensation for the years 2020 and 2021, for a total of 60,000 options; (ii) amend the Company’s Compensation Committee Charter to provide that the Compensation Committee shall meet at least quarterly, or more frequently as necessary, to undertake its duties; and (iii) disclose in the annual proxy statements the constituents of the Company’s peer group and relevant financial and business metrics considered in establishing the peer group, including market capitalization, and a reasonably detailed description of the process for determining and approving such peer group. The Company also agreed to pay $225,000 in attorney’s fees and expenses in full satisfaction of any and all claims by the plaintiff and his counsel for fees and expenses in the action, which was paid in August 2024. On September 25, 2024, the defendants filed an affidavit confirming the dismissal of the action. The Company has recorded the fees and expenses paid to the plaintiffs’ counsel of $225,000 within selling, general and administrative expense on the consolidated statements of net loss and comprehensive loss for the year ended December 31, 2024. The Company has considered the case to be closed as of December 31, 2024.</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10—STOCKHOLDERS’ EQUITY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Authorized Stock</w:t>
      </w:r>
    </w:p>
    <w:p>
      <w:pPr>
        <w:spacing w:after="0" w:line="229" w:lineRule="exact"/>
        <w:rPr>
          <w:sz w:val="20"/>
          <w:szCs w:val="20"/>
          <w:color w:val="auto"/>
        </w:rPr>
      </w:pPr>
    </w:p>
    <w:p>
      <w:pPr>
        <w:jc w:val="both"/>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Company had authorized a total of 105,500,000 shares, 100,000,000 of which are common stock, par value $0.0001 per share, and 5,500,000 of which are preferred stock, par value $0.0001 per share,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left="60" w:right="359" w:firstLine="648"/>
        <w:spacing w:after="0" w:line="261" w:lineRule="auto"/>
        <w:rPr>
          <w:sz w:val="20"/>
          <w:szCs w:val="20"/>
          <w:color w:val="auto"/>
        </w:rPr>
      </w:pPr>
      <w:r>
        <w:rPr>
          <w:rFonts w:ascii="Times New Roman" w:cs="Times New Roman" w:eastAsia="Times New Roman" w:hAnsi="Times New Roman"/>
          <w:sz w:val="18"/>
          <w:szCs w:val="18"/>
          <w:color w:val="auto"/>
        </w:rPr>
        <w:t>Each share of common stock is entitled to one vote. Common stockholders are entitled to receive dividends, as may be declared by the board of directors, if any, subject to preferential dividend rights of the preferred stock, none of which have been issued. The Company had issued 44,988,313 shares and 43,672,112 shares of common stock as of December 31, 2024 and 2023,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1" w:name="page162"/>
    <w:bookmarkEnd w:id="1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ind w:left="60" w:right="399" w:firstLine="648"/>
        <w:spacing w:after="0" w:line="289" w:lineRule="auto"/>
        <w:rPr>
          <w:sz w:val="20"/>
          <w:szCs w:val="20"/>
          <w:color w:val="auto"/>
        </w:rPr>
      </w:pPr>
      <w:r>
        <w:rPr>
          <w:rFonts w:ascii="Times New Roman" w:cs="Times New Roman" w:eastAsia="Times New Roman" w:hAnsi="Times New Roman"/>
          <w:sz w:val="17"/>
          <w:szCs w:val="17"/>
          <w:color w:val="auto"/>
        </w:rPr>
        <w:t>Preferred stock may be issued from time to time in one or more series with such designations, preferences and relative participating, optional or other special rights and qualifications, limitations or restrictions as approved by the Company’s Board of Directors. No preferred stock has been issued as of December 31, 2024 and 2023, respectively.</w:t>
      </w:r>
    </w:p>
    <w:p>
      <w:pPr>
        <w:spacing w:after="0" w:line="3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11—STOCK-BASED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2015 Equity Incentive Plan</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Company’s board of directors and stockholders approved and adopted the Amended and Restated 2015 Equity Incentive Plan (the “2015 Plan”), which provided for the grant of incentive stock options, within the meaning of Section 422 of the Code (the Internal Revenue Code), to the Company’s employees and any parent and subsidiary corporations’ employees, and for the grant of incentive stock options, nonqualified stock options, stock appreciation rights, restricted stock and restricted stock units to the Company’s employees, directors and consultants and the Company’s subsidiary corporations’ employees and consultants. A total of 4,500,000 shares of the Company’s common stock were reserved for issuance pursuant to the 2015 Plan. Options granted under the 2015 Plan vest according to the schedule specified in the grant agreements, which is generally a four-year period and generally become immediately exercisable upon the occurrence of a change in control, as defined. Upon the 2018 Equity Incentive Plan (the “2018 Plan”) becoming effective in September 2018, no further grants are allowed under the 2015 Plan. However, options outstanding under the 2015 Plan continue to be governed by the 2015 Plan.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2018 Equity Incentive Plan</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Company’s board of directors and stockholders approved and adopted the 2018 Equity Incentive Plan (the “2018 Plan”) in September 2018. The 2018 Plan provides for the grant of incentive stock options, within the meaning of Section 422 of the Code (the Internal Revenue Code), to the Company’s employees and any parent and subsidiary corporations’ employees, and for the grant of incentive stock options, nonqualified stock options, stock appreciation rights, restricted stock and restricted stock units, including performance-based restricted stock units (“PRSUs”), to the Company’s employees, directors and consultants and the Company’s parent and subsidiary corporations’ employees and consultants. A total of 5,500,000 shares of the Company’s common stock, inclusive of the awards previously granted under the 2015 Equity Incentive Plan were initially reserved for issuance pursuant to the 2018 Plan. In addition, the number of shares available for issuance under the 2018 Plan will also include an annual increase on the first day of each fiscal year beginning in 2019 and ending in 2028, equal to 4% of the outstanding shares of common stock as of the last day of the Company’s immediately preceding fiscal year or by a lesser amount determined by the board of directors. As of December 31, 2024, the Company had 2,621,432 shares available for grant under the 2018 Equity Incentive Plan. Options granted under the 2018 Plan vest according to the schedule, which generally ranges from one to four years, specified in the grant agreements, and generally become immediately exercisable upon the occurrence of a change in control, as defined in the Plan Agreement.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2" w:name="page163"/>
    <w:bookmarkEnd w:id="1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respectively, the Company recognized the following stock-based compensation expense (in thousands):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7"/>
        </w:trPr>
        <w:tc>
          <w:tcPr>
            <w:tcW w:w="63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by type of award</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43"/>
        </w:trPr>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stock units (excluding PRSUs)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2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43"/>
        </w:trPr>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PRSUs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Stock options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2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13,757</w:t>
            </w:r>
          </w:p>
        </w:tc>
      </w:tr>
      <w:tr>
        <w:trPr>
          <w:trHeight w:val="209"/>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14,559</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14,453</w:t>
            </w:r>
          </w:p>
        </w:tc>
      </w:tr>
      <w:tr>
        <w:trPr>
          <w:trHeight w:val="20"/>
        </w:trPr>
        <w:tc>
          <w:tcPr>
            <w:tcW w:w="6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4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by type of expense</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43"/>
        </w:trPr>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5,459</w:t>
            </w:r>
          </w:p>
        </w:tc>
        <w:tc>
          <w:tcPr>
            <w:tcW w:w="2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w:t>
            </w:r>
          </w:p>
        </w:tc>
      </w:tr>
      <w:tr>
        <w:trPr>
          <w:trHeight w:val="243"/>
        </w:trPr>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24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w:t>
            </w:r>
          </w:p>
        </w:tc>
      </w:tr>
      <w:tr>
        <w:trPr>
          <w:trHeight w:val="20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14,559</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14,453</w:t>
            </w:r>
          </w:p>
        </w:tc>
      </w:tr>
      <w:tr>
        <w:trPr>
          <w:trHeight w:val="20"/>
        </w:trPr>
        <w:tc>
          <w:tcPr>
            <w:tcW w:w="6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expense for the year ended December 31, 2024 was inclusive of a modification and acceleration of stock-based compensation of $718,000 related to the resignation of the Company’s former Chief Financial Officer as described in </w:t>
      </w:r>
      <w:r>
        <w:rPr>
          <w:rFonts w:ascii="Times New Roman" w:cs="Times New Roman" w:eastAsia="Times New Roman" w:hAnsi="Times New Roman"/>
          <w:sz w:val="18"/>
          <w:szCs w:val="18"/>
          <w:i w:val="1"/>
          <w:iCs w:val="1"/>
          <w:color w:val="auto"/>
        </w:rPr>
        <w:t>NOTE 9—LICENSE AGREEMENTS AND COMMITMENTS</w:t>
      </w:r>
      <w:r>
        <w:rPr>
          <w:rFonts w:ascii="Times New Roman" w:cs="Times New Roman" w:eastAsia="Times New Roman" w:hAnsi="Times New Roman"/>
          <w:sz w:val="18"/>
          <w:szCs w:val="18"/>
          <w:color w:val="auto"/>
        </w:rPr>
        <w:t>. The expense for the year ended December 31, 2023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inclusive of an acceleration of stock-based compensation of $1,706,000. Refer to </w:t>
      </w:r>
      <w:r>
        <w:rPr>
          <w:rFonts w:ascii="Times New Roman" w:cs="Times New Roman" w:eastAsia="Times New Roman" w:hAnsi="Times New Roman"/>
          <w:sz w:val="18"/>
          <w:szCs w:val="18"/>
          <w:i w:val="1"/>
          <w:iCs w:val="1"/>
          <w:color w:val="auto"/>
        </w:rPr>
        <w:t>NOTE 14— BUSINESS REALIGNMENT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RESTRUCTURING CHARGE </w:t>
      </w:r>
      <w:r>
        <w:rPr>
          <w:rFonts w:ascii="Times New Roman" w:cs="Times New Roman" w:eastAsia="Times New Roman" w:hAnsi="Times New Roman"/>
          <w:sz w:val="18"/>
          <w:szCs w:val="18"/>
          <w:color w:val="auto"/>
        </w:rPr>
        <w:t>for further details.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Unrecognized Stock-Based Compensation Expense</w:t>
      </w:r>
    </w:p>
    <w:p>
      <w:pPr>
        <w:spacing w:after="0" w:line="22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Company’s unrecognized stock-based compensation expense as of December 31, 2024, by type of award and the weighted-average period over which the Company expects to recognize the expense (in thousands):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3"/>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41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80" w:type="dxa"/>
            <w:vAlign w:val="bottom"/>
          </w:tcPr>
          <w:p>
            <w:pPr>
              <w:spacing w:after="0"/>
              <w:rPr>
                <w:sz w:val="22"/>
                <w:szCs w:val="22"/>
                <w:color w:val="auto"/>
              </w:rPr>
            </w:pPr>
          </w:p>
        </w:tc>
        <w:tc>
          <w:tcPr>
            <w:tcW w:w="16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226"/>
        </w:trPr>
        <w:tc>
          <w:tcPr>
            <w:tcW w:w="4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compensation expense</w:t>
            </w:r>
          </w:p>
        </w:tc>
        <w:tc>
          <w:tcPr>
            <w:tcW w:w="180" w:type="dxa"/>
            <w:vAlign w:val="bottom"/>
          </w:tcPr>
          <w:p>
            <w:pPr>
              <w:spacing w:after="0"/>
              <w:rPr>
                <w:sz w:val="19"/>
                <w:szCs w:val="19"/>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recognition period (years)</w:t>
            </w:r>
          </w:p>
        </w:tc>
        <w:tc>
          <w:tcPr>
            <w:tcW w:w="0" w:type="dxa"/>
            <w:vAlign w:val="bottom"/>
          </w:tcPr>
          <w:p>
            <w:pPr>
              <w:spacing w:after="0"/>
              <w:rPr>
                <w:sz w:val="1"/>
                <w:szCs w:val="1"/>
                <w:color w:val="auto"/>
              </w:rPr>
            </w:pPr>
          </w:p>
        </w:tc>
      </w:tr>
      <w:tr>
        <w:trPr>
          <w:trHeight w:val="237"/>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Type of award</w:t>
            </w:r>
          </w:p>
        </w:tc>
        <w:tc>
          <w:tcPr>
            <w:tcW w:w="16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620" w:type="dxa"/>
            <w:vAlign w:val="bottom"/>
            <w:tcBorders>
              <w:top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stock units (excluding PRSUs)</w:t>
            </w:r>
          </w:p>
        </w:tc>
        <w:tc>
          <w:tcPr>
            <w:tcW w:w="178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PRSUs</w:t>
            </w:r>
          </w:p>
        </w:tc>
        <w:tc>
          <w:tcPr>
            <w:tcW w:w="1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Stock options</w:t>
            </w:r>
          </w:p>
        </w:tc>
        <w:tc>
          <w:tcPr>
            <w:tcW w:w="16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20,498</w:t>
            </w:r>
          </w:p>
        </w:tc>
        <w:tc>
          <w:tcPr>
            <w:tcW w:w="1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unrecognized stock-based compensation expense</w:t>
            </w:r>
          </w:p>
        </w:tc>
        <w:tc>
          <w:tcPr>
            <w:tcW w:w="16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24,450</w:t>
            </w:r>
          </w:p>
        </w:tc>
        <w:tc>
          <w:tcPr>
            <w:tcW w:w="1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600" w:type="dxa"/>
            <w:vAlign w:val="bottom"/>
            <w:vMerge w:val="restart"/>
          </w:tcPr>
          <w:p>
            <w:pPr>
              <w:jc w:val="right"/>
              <w:ind w:right="1050"/>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4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63" w:name="page164"/>
    <w:bookmarkEnd w:id="1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(Excluding PRSU) Activity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restricted stock units issued and outstanding:</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0" w:type="dxa"/>
            <w:vAlign w:val="bottom"/>
          </w:tcPr>
          <w:p>
            <w:pPr>
              <w:spacing w:after="0"/>
              <w:rPr>
                <w:sz w:val="1"/>
                <w:szCs w:val="1"/>
                <w:color w:val="auto"/>
              </w:rPr>
            </w:pPr>
          </w:p>
        </w:tc>
      </w:tr>
      <w:tr>
        <w:trPr>
          <w:trHeight w:val="173"/>
        </w:trPr>
        <w:tc>
          <w:tcPr>
            <w:tcW w:w="59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09"/>
        </w:trPr>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351,407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11.17</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(97,314)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597,635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2024, 20,970 shares of RSUs were granted to non-executive directors, which will vest on the earlier of the first anniversary of the date of grant and the date immediately preceding the Company’s annual meeting of stockholders in 2025, provided that in each case the recipient remains as a non-executive director through the vesting date. In addition, 4,660 shares of RSUs were granted to a new non-executive director, which will vest in equal quarterly installments until the third anniversary of the date of grant, provided that the recipient remains as non-executive director through the vesting date. The remaining 445,809 shares of RSUs granted in the year ended December 31, 2024 will vest annually over the next 3 years, provided in each case that the recipient remains an employee of the Company through each vesting date. The weighted average fair value of RSUs granted for the year ended December 31, 2024 and 2023 was $11.17 and $4.84, respectively. The total fair value of RSUs vested during the years ended December 31, 2024 and 2023 is $712,000 and $201,000, respectively. All unvested outstanding RSUs are expected to vest as of December 31, 2024, subject to the impact from business realignment announced in January 2025.</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 (PRSU) Activity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PRSUs issued and outstanding:</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243"/>
        </w:trPr>
        <w:tc>
          <w:tcPr>
            <w:tcW w:w="56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43"/>
        </w:trPr>
        <w:tc>
          <w:tcPr>
            <w:tcW w:w="56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243"/>
        </w:trPr>
        <w:tc>
          <w:tcPr>
            <w:tcW w:w="5640" w:type="dxa"/>
            <w:vAlign w:val="bottom"/>
          </w:tcPr>
          <w:p>
            <w:pPr>
              <w:spacing w:after="0"/>
              <w:rPr>
                <w:sz w:val="21"/>
                <w:szCs w:val="21"/>
                <w:color w:val="auto"/>
              </w:rPr>
            </w:pP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20" w:type="dxa"/>
            <w:vAlign w:val="bottom"/>
          </w:tcPr>
          <w:p>
            <w:pPr>
              <w:spacing w:after="0"/>
              <w:rPr>
                <w:sz w:val="21"/>
                <w:szCs w:val="21"/>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w:t>
            </w:r>
          </w:p>
        </w:tc>
      </w:tr>
      <w:tr>
        <w:trPr>
          <w:trHeight w:val="226"/>
        </w:trPr>
        <w:tc>
          <w:tcPr>
            <w:tcW w:w="5640" w:type="dxa"/>
            <w:vAlign w:val="bottom"/>
          </w:tcPr>
          <w:p>
            <w:pPr>
              <w:spacing w:after="0"/>
              <w:rPr>
                <w:sz w:val="19"/>
                <w:szCs w:val="19"/>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20" w:type="dxa"/>
            <w:vAlign w:val="bottom"/>
          </w:tcPr>
          <w:p>
            <w:pPr>
              <w:spacing w:after="0"/>
              <w:rPr>
                <w:sz w:val="19"/>
                <w:szCs w:val="19"/>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r>
      <w:tr>
        <w:trPr>
          <w:trHeight w:val="223"/>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1"/>
                <w:szCs w:val="21"/>
                <w:color w:val="auto"/>
              </w:rPr>
            </w:pP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1"/>
                <w:szCs w:val="21"/>
                <w:color w:val="auto"/>
              </w:rPr>
            </w:pPr>
          </w:p>
        </w:tc>
      </w:tr>
      <w:tr>
        <w:trPr>
          <w:trHeight w:val="210"/>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0"/>
        </w:trPr>
        <w:tc>
          <w:tcPr>
            <w:tcW w:w="5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The PRSUs for 54,000 shares issued in the year ended December 31, 2024 vest in three equal tranches over a three-year period. The assumptions that the Company used to determine the fair value of the PRSUs granted in the year ended December 31, 2024 using a Monte-Carlo simulation model were as follows: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306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30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3040" w:type="dxa"/>
            <w:vAlign w:val="bottom"/>
            <w:tcBorders>
              <w:top w:val="single" w:sz="8" w:color="auto"/>
              <w:bottom w:val="single" w:sz="8" w:color="auto"/>
            </w:tcBorders>
          </w:tcPr>
          <w:p>
            <w:pPr>
              <w:jc w:val="right"/>
              <w:ind w:right="13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r>
      <w:tr>
        <w:trPr>
          <w:trHeight w:val="142"/>
        </w:trPr>
        <w:tc>
          <w:tcPr>
            <w:tcW w:w="30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8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4.2 %</w:t>
            </w:r>
          </w:p>
        </w:tc>
        <w:tc>
          <w:tcPr>
            <w:tcW w:w="20" w:type="dxa"/>
            <w:vAlign w:val="bottom"/>
          </w:tcPr>
          <w:p>
            <w:pPr>
              <w:spacing w:after="0"/>
              <w:rPr>
                <w:sz w:val="18"/>
                <w:szCs w:val="18"/>
                <w:color w:val="auto"/>
              </w:rPr>
            </w:pPr>
          </w:p>
        </w:tc>
      </w:tr>
      <w:tr>
        <w:trPr>
          <w:trHeight w:val="21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86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101.0 %</w:t>
            </w:r>
          </w:p>
        </w:tc>
        <w:tc>
          <w:tcPr>
            <w:tcW w:w="20" w:type="dxa"/>
            <w:vAlign w:val="bottom"/>
          </w:tcPr>
          <w:p>
            <w:pPr>
              <w:spacing w:after="0"/>
              <w:rPr>
                <w:sz w:val="18"/>
                <w:szCs w:val="18"/>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820" w:type="dxa"/>
            <w:vAlign w:val="bottom"/>
            <w:shd w:val="clear" w:color="auto" w:fill="CCEEFF"/>
          </w:tcPr>
          <w:p>
            <w:pPr>
              <w:spacing w:after="0"/>
              <w:rPr>
                <w:sz w:val="18"/>
                <w:szCs w:val="18"/>
                <w:color w:val="auto"/>
              </w:rPr>
            </w:pPr>
          </w:p>
        </w:tc>
        <w:tc>
          <w:tcPr>
            <w:tcW w:w="30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r>
      <w:tr>
        <w:trPr>
          <w:trHeight w:val="648"/>
        </w:trPr>
        <w:tc>
          <w:tcPr>
            <w:tcW w:w="3040" w:type="dxa"/>
            <w:vAlign w:val="bottom"/>
          </w:tcPr>
          <w:p>
            <w:pPr>
              <w:spacing w:after="0"/>
              <w:rPr>
                <w:sz w:val="24"/>
                <w:szCs w:val="24"/>
                <w:color w:val="auto"/>
              </w:rPr>
            </w:pPr>
          </w:p>
        </w:tc>
        <w:tc>
          <w:tcPr>
            <w:tcW w:w="282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164</w:t>
            </w: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30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64" w:name="page165"/>
    <w:bookmarkEnd w:id="1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issue any PRSUs in the year ended December 31, 2023. All unvested outstanding PRSUs are expected to vest as of December 31,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common stock options issued and outstanding:</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88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53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18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10"/>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9,307,330</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$ 17.26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2,302,924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(1,188,304)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Forfeited/cancelled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(497,924)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9,924,026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$ 17.75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December 31, 2024</w:t>
            </w:r>
          </w:p>
        </w:tc>
        <w:tc>
          <w:tcPr>
            <w:tcW w:w="8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40" w:type="dxa"/>
            <w:vAlign w:val="bottom"/>
            <w:vMerge w:val="continue"/>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6,333,988</w:t>
            </w:r>
          </w:p>
        </w:tc>
        <w:tc>
          <w:tcPr>
            <w:tcW w:w="160" w:type="dxa"/>
            <w:vAlign w:val="bottom"/>
            <w:vMerge w:val="continue"/>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$ 22.33</w:t>
            </w:r>
          </w:p>
        </w:tc>
        <w:tc>
          <w:tcPr>
            <w:tcW w:w="16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5,022</w:t>
            </w:r>
          </w:p>
        </w:tc>
        <w:tc>
          <w:tcPr>
            <w:tcW w:w="160" w:type="dxa"/>
            <w:vAlign w:val="bottom"/>
          </w:tcPr>
          <w:p>
            <w:pPr>
              <w:spacing w:after="0"/>
              <w:rPr>
                <w:sz w:val="17"/>
                <w:szCs w:val="17"/>
                <w:color w:val="auto"/>
              </w:rPr>
            </w:pPr>
          </w:p>
        </w:tc>
        <w:tc>
          <w:tcPr>
            <w:tcW w:w="740" w:type="dxa"/>
            <w:vAlign w:val="bottom"/>
            <w:tcBorders>
              <w:bottom w:val="single" w:sz="8" w:color="auto"/>
            </w:tcBorders>
          </w:tcPr>
          <w:p>
            <w:pPr>
              <w:jc w:val="right"/>
              <w:ind w:right="1"/>
              <w:spacing w:after="0" w:line="196" w:lineRule="exact"/>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Options granted during the years ended December 31, 2024 have a maximum contractual term of ten years. Outstanding options consist of vested and expected to vest options. All unvested outstanding options are expected to vest as of December 31, 2024, subject to the impact of the business realignment announced in January 2025.</w:t>
      </w:r>
    </w:p>
    <w:p>
      <w:pPr>
        <w:spacing w:after="0" w:line="176"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 xml:space="preserve">During the year ended December 31, 2024, 2,187,754 options were granted and have a vesting schedule in which 25% vest on the first anniversary of the grant date and the remainder vest ratably on a monthly basis over the next 36 months, provided in each case that the recipient remains an employee of the Company through each vesting date, 27,900 options were granted to a new non-executive director, which will vest in equal monthly installments until the third anniversary of the date of grant, provided that the recipient remains as non-executive director through vesting date, and 87,270 options were granted to non-executive directors, which will vest in equal monthly installments until the first anniversary of the date of grant, provided that in each case the recipient remains a non-executive director through vesting date. During the year ended December 31, 2024, the Company cancelled 60,000 options issued to the Company’s non-employee directors in accordance with the terms of the Company’s legal settlement described in </w:t>
      </w:r>
      <w:r>
        <w:rPr>
          <w:rFonts w:ascii="Times New Roman" w:cs="Times New Roman" w:eastAsia="Times New Roman" w:hAnsi="Times New Roman"/>
          <w:sz w:val="18"/>
          <w:szCs w:val="18"/>
          <w:i w:val="1"/>
          <w:iCs w:val="1"/>
          <w:color w:val="auto"/>
        </w:rPr>
        <w:t>NOTE 9—LICENSE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 AND COMMITMENTS</w:t>
      </w:r>
      <w:r>
        <w:rPr>
          <w:rFonts w:ascii="Times New Roman" w:cs="Times New Roman" w:eastAsia="Times New Roman" w:hAnsi="Times New Roman"/>
          <w:sz w:val="18"/>
          <w:szCs w:val="18"/>
          <w:color w:val="auto"/>
        </w:rPr>
        <w:t>. The cancellation of these options did not result in any financial impact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were fully vested before the cancellation date and no replacement consideration was issued.</w:t>
      </w:r>
    </w:p>
    <w:p>
      <w:pPr>
        <w:spacing w:after="0" w:line="192"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The weighted average fair value of stock options granted for the year ended December 31, 2024 and 2023 was $8.39 and $3.86, respectively. The total intrinsic value of stock options exercised during 2024 and 2023 was $11,366,000 and $215,000, respectively. The assumptions that the Company used to determine the fair value of the stock options granted to employees and directors in the years ended December 31, 2024 and 2023, respectively are set forth in the table below and presented on a weighted average basis. There were no significant changes to the inputs included in the Black-Scholes option pricing model during the year ended December 31, 2024.</w:t>
      </w:r>
    </w:p>
    <w:p>
      <w:pPr>
        <w:spacing w:after="0" w:line="200" w:lineRule="exact"/>
        <w:rPr>
          <w:sz w:val="20"/>
          <w:szCs w:val="20"/>
          <w:color w:val="auto"/>
        </w:rPr>
      </w:pPr>
    </w:p>
    <w:p>
      <w:pPr>
        <w:spacing w:after="0" w:line="21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60" w:type="dxa"/>
        <w:tblCellMar>
          <w:top w:w="0" w:type="dxa"/>
          <w:left w:w="0" w:type="dxa"/>
          <w:bottom w:w="0" w:type="dxa"/>
          <w:right w:w="0" w:type="dxa"/>
        </w:tblCellMar>
      </w:tblPr>
      <w:tr>
        <w:trPr>
          <w:trHeight w:val="142"/>
        </w:trPr>
        <w:tc>
          <w:tcPr>
            <w:tcW w:w="5320" w:type="dxa"/>
            <w:vAlign w:val="bottom"/>
            <w:gridSpan w:val="2"/>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9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5" w:name="page166"/>
    <w:bookmarkEnd w:id="1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12—INCOME TAXES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Domestic and foreign loss before income taxes are as follows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6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(17,232)</w:t>
            </w:r>
          </w:p>
        </w:tc>
      </w:tr>
      <w:tr>
        <w:trPr>
          <w:trHeight w:val="216"/>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3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(3,634)</w:t>
            </w:r>
          </w:p>
        </w:tc>
      </w:tr>
      <w:tr>
        <w:trPr>
          <w:trHeight w:val="20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(29,812)</w:t>
            </w:r>
          </w:p>
        </w:tc>
        <w:tc>
          <w:tcPr>
            <w:tcW w:w="3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(20,866)</w:t>
            </w:r>
          </w:p>
        </w:tc>
      </w:tr>
    </w:tbl>
    <w:p>
      <w:pPr>
        <w:spacing w:after="0" w:line="198"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Company's current income tax benefit was $146,000 and income tax provision was $561,000 during the year ended December 31, 2024 and 2023, respectively.</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Current and deferred income taxes (tax benefits) are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40" w:type="dxa"/>
            <w:vAlign w:val="bottom"/>
          </w:tcPr>
          <w:p>
            <w:pPr>
              <w:spacing w:after="0"/>
              <w:rPr>
                <w:sz w:val="15"/>
                <w:szCs w:val="15"/>
                <w:color w:val="auto"/>
              </w:rPr>
            </w:pPr>
          </w:p>
        </w:tc>
        <w:tc>
          <w:tcPr>
            <w:tcW w:w="21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67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16"/>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income taxes (tax benefits)</w:t>
            </w: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income taxes (tax benefits)</w:t>
            </w: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taxes (tax benefits)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The difference between income taxes expected at the U.S. federal statutory income tax rate of 21% for tax years ended December 31, 2024 and 2023, respectively, and income taxes provided are set forth below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Borders>
              <w:bottom w:val="single" w:sz="8" w:color="CCEEFF"/>
            </w:tcBorders>
          </w:tcPr>
          <w:p>
            <w:pPr>
              <w:spacing w:after="0"/>
              <w:rPr>
                <w:sz w:val="12"/>
                <w:szCs w:val="12"/>
                <w:color w:val="auto"/>
              </w:rPr>
            </w:pPr>
          </w:p>
        </w:tc>
        <w:tc>
          <w:tcPr>
            <w:tcW w:w="27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 at U.S. federal statutory rate</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taxes, net of federal tax effects</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rate change</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adjustments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Shared based compensation</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to provision</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7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76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66" w:name="page167"/>
    <w:bookmarkEnd w:id="1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Significant components of the Company’s net deferred tax assets/(liabilities) are as follows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78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assets/(liabilities):</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Acquired intangibles</w:t>
            </w:r>
          </w:p>
        </w:tc>
        <w:tc>
          <w:tcPr>
            <w:tcW w:w="188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44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w:t>
            </w: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foreign exchange loss</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royalty</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11,603</w:t>
            </w: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83,233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83,237</w:t>
            </w: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16,336</w:t>
            </w: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Right-of-use asset</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 liabilities</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Capitalized research and experimentation</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33,088</w:t>
            </w: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Inventory capitalization</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09"/>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tax assets/(liabilities)</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151,191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148,960</w:t>
            </w:r>
          </w:p>
        </w:tc>
      </w:tr>
      <w:tr>
        <w:trPr>
          <w:trHeight w:val="216"/>
        </w:trPr>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6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(151,191)</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(148,960)</w:t>
            </w:r>
          </w:p>
        </w:tc>
      </w:tr>
      <w:tr>
        <w:trPr>
          <w:trHeight w:val="209"/>
        </w:trPr>
        <w:tc>
          <w:tcPr>
            <w:tcW w:w="4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deferred tax assets/(liabilities)</w:t>
            </w:r>
          </w:p>
        </w:tc>
        <w:tc>
          <w:tcPr>
            <w:tcW w:w="16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maintains a full valuation allowance on U.S. and foreign deferred tax assets. The assessment regarding whether a valuation allowance is required considers both positive and negative evidence when determining whether it is more likely than not that deferred tax assets are recoverable. In making this assessment, significant weight is given to evidence that can be objectively verified. In the Company’s evaluation, the Company considered cumulative losses historically and in recent years and its forecasted losses in the near term as significant negative evidence. Based upon review of available positive and negative evidence, the Company determined that the negative evidence outweighed the positive evidence and a full valuation allowance on the Company’s U.S. and foreign deferred tax assets will be maintained. The Company will continue to assess the realizability of the Company’s deferred tax assets and will adjust the valuation allowance as needed.</w:t>
      </w:r>
    </w:p>
    <w:p>
      <w:pPr>
        <w:spacing w:after="0" w:line="188"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2024, the Company had U.S. federal and various state net operating loss (“NOL”) carryforwards of approximately $239,939,000 and $194,117,000, respectively. The Company also had U.S. federal tax credit carryforwards of $16,431,000 as of December 31, 2024. The federal NOL of approximately $239,939,000 can be carried forward indefinitely but is limited to offset 80% of taxable income. The state and local jurisdiction NOLs and tax credit carryforwards will begin to expire in 2030. The NOL and tax credit carryforwards may become subject to an annual limitation in the event of certain cumulative changes in the ownership interest of significant stockholders over a three-year period in excess of 50%, as defined under Sections 382 and 383 of the Internal Revenue Code of 1986 (“IRC”). The Company has performed an analysis of the Company’s Section 382 ownership changes through December 31, 2023. Due to the large annual limitation, the Company believes that it is more likely than not that none of the net operating loss carryforwards will expire as a result of the limitation from the ownership change under Section 382. The Company also has Danish NOL carryforwards of $24,444,000 which have an indefinite carryforward period.</w:t>
      </w:r>
    </w:p>
    <w:p>
      <w:pPr>
        <w:spacing w:after="0" w:line="192" w:lineRule="exact"/>
        <w:rPr>
          <w:sz w:val="20"/>
          <w:szCs w:val="20"/>
          <w:color w:val="auto"/>
        </w:rPr>
      </w:pPr>
    </w:p>
    <w:p>
      <w:pPr>
        <w:jc w:val="both"/>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recognizes income tax benefits for tax positions determined more likely than not to be sustained upon examination, based on the technical merits of the positions. As of December 31, 2024 and 2023, the Company has determined that there were no uncertain tax positions. The Company’s tax returns for the years 2018 to 2023 are all open for tax examination by U.S. federal and state, and the Danish tax authorities.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13—OTHER BENEFITS</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Company has adopted a defined contribution 401(k) savings plan (the “401(k) plan”) covering all U.S. employees. Participants may elect to defer a percentage of their pretax or after-tax compensation to the 401(k) plan, subject to defined limitations. The plan allows for a discretionary match by the Company. The Company made no matching contributions to the plan for the years ended December 31, 2024 and 2023,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7" w:name="page168"/>
    <w:bookmarkEnd w:id="1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The Company has established a retirement program for employees of the Danish subsidiary pursuant to which all such employees can contribute an amount at their election from their base compensation and may receive contributions from our Danish subsidiary. The Danish subsidiary made no contributions during the years ended December 31, 2024 and 2023, respectively. In addition, health insurance benefits for our Danish employees are fully paid for by such employees. The Company’s Danish subsidiary does not incur any costs for these health insurance benefits.</w:t>
      </w:r>
    </w:p>
    <w:p>
      <w:pPr>
        <w:spacing w:after="0" w:line="3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 BUSINESS REALIGNMENT AND RESTRUCTURING CHARGE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 January 9, 2025, following Board approval, the Company announced a business realignment plan designed to</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optimize the Company’s operations by realigning dedicated internal resources to two business units, with the goal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increasing operational flexibility and speed, and accelerating clinical development programs within the Company’s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radiopharmaceutical platform. The Company is expecting to complete the business realignment plan through 2026.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connection with this business realignment, the Company expects a reduction in the current workforce by up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approximately 13%, depending on whether a number of the impacted employees accept newly created positions. Severance</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benefits were primarily related to written arrangements in place with certain employees. In addition, affected employees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will be offered separation benefits in exchange for their execution of a severance agreement and general release. As a result</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the reduction in the workforce and realignment plan, the Company incurred restructuring expense of approximately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$2,585,000, which related to severance benefits of $2,076,000 and acceleration of stock-based compensation of $509,000.</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recognized $1,523,000 for the year ended December 31, 2024. For the year ended December 31, 2024,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 recorded $959,000 and $564,000, respectively, within research and development and selling, general,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administrative, on the Consolidated Statements of Net Loss and Comprehensive Loss. Following this business realignment,</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has two businesses units– DANYELZA and Radiotherapies - each of which comprises a reportable segment.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 historical segment financial information will be recast to conform to this new reporting structure in our financial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statements and accompanying notes, beginning with our Quarterly Report Form 10-Q filing for the quarter ending March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31, 2025.</w:t>
      </w:r>
    </w:p>
    <w:p>
      <w:pPr>
        <w:spacing w:after="0" w:line="207" w:lineRule="exact"/>
        <w:rPr>
          <w:sz w:val="20"/>
          <w:szCs w:val="20"/>
          <w:color w:val="auto"/>
        </w:rPr>
      </w:pPr>
    </w:p>
    <w:p>
      <w:pPr>
        <w:ind w:left="60" w:right="119" w:firstLine="648"/>
        <w:spacing w:after="0" w:line="269" w:lineRule="auto"/>
        <w:rPr>
          <w:sz w:val="20"/>
          <w:szCs w:val="20"/>
          <w:color w:val="auto"/>
        </w:rPr>
      </w:pPr>
      <w:r>
        <w:rPr>
          <w:rFonts w:ascii="Times New Roman" w:cs="Times New Roman" w:eastAsia="Times New Roman" w:hAnsi="Times New Roman"/>
          <w:sz w:val="17"/>
          <w:szCs w:val="17"/>
          <w:color w:val="auto"/>
        </w:rPr>
        <w:t>On January 4, 2023, following Board approval, the Company announced a strategic restructuring plan designed to extend cash resources and prioritize resources for the commercialization and potential label extension of DANYELZA and the development of the SADA PRIT technology platform. The Company completed the restructuring in May 2023, which resulted in an approximately 35% reduction to the Company’s workforce. Affected employees were offered separation benefits, including severance and outplacement services along with temporary healthcare coverage assistance. As a result, during the year ended December 31, 2023, the Company recognized restructuring expenses of $4,482,000, based on the currency rate for the period. For the year ended December 31, 2023, the Company recorded $3,346,000 and $1,136,000, respectively, within research and development and selling, general, and administrative, on the Consolidated Statements of Net Loss and Comprehensive Loss. The restructuring expenses primarily related to severance benefits of $2,776,000, which were paid as of December 31, 2023, and acceleration of stock-based compensation of $1,706,000 which was recognized in the year ended December 31, 2023 as there is no longer a service condition related to such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140" w:right="659" w:hanging="109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CHANGES IN AND DISAGREEMENTS WITH ACCOUNTANTS ON ACCOUNTING AND FINANCIAL DISCLOSURE.</w:t>
      </w:r>
    </w:p>
    <w:p>
      <w:pPr>
        <w:spacing w:after="0" w:line="1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8" w:name="page169"/>
    <w:bookmarkEnd w:id="1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as of the end of the period covered by this Annual Report, the effectiveness of our disclosure controls and procedures (as defined in Rules 13a-15(e) and 15d-15(e) under the Securities Exchange Act of 1934, as amended, or the Exchange Act). Based on that evaluation, our Chief Executive Officer and Chief Financial Officer concluded that our disclosure controls and procedures were effective at the reasonable assurance level as of December 31, 2024.</w:t>
      </w:r>
    </w:p>
    <w:p>
      <w:pPr>
        <w:spacing w:after="0" w:line="183"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recognized that controls and procedures, no matter how well designed and operated, can provide only reasonable assurance of achieving the desired control objectives. Further, because of the inherent limitations in all control systems, no evaluation of controls can provide absolute assurance that misstatements due to error or fraud will not occur or that all control issues and instances of fraud, if any, within the Company will be detected.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Rules 13a-15(f) and 15d-15(f) of the Exchange Act). Under the supervision of and with the participation of our Chief Executive Officer and our Chief Financial Officer, our management conducted an assessment of the effectiveness of our internal control over financial reporting as of December 31, 2024, using the criteria described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(2013), issued by the Committee of Sponsoring Organizations of the Treadway Commission.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this assessment, management has concluded that as of December 31, 2024, our internal control over financial reporting was effective.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fourth quarter of the year ended December 31, 2024 that have materially affected, or are reasonably likely to materially affect, our internal control over financial reporting.</w:t>
      </w:r>
    </w:p>
    <w:p>
      <w:pPr>
        <w:spacing w:after="0" w:line="388"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jc w:val="both"/>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10 is incorporated by reference to the information set forth in the sections titled “Proposal 1 – Election of Directors,” “Executive Officers of the Company,” and “Corporate Governance Matters” in our Definitive Proxy Statement to be filed with the SEC with respect to our 2025 Annual Meeting of Stockholders.</w:t>
      </w:r>
    </w:p>
    <w:p>
      <w:pPr>
        <w:spacing w:after="0" w:line="176"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Our Code of Conduct applies to all of our employees, directors and officers, including our principal executive officer, principal financial officer, principal accounting officer or controller, or persons performing similar functions, and those of our subsidiary. The Code of Conduct is available on our website at https://ir.ymabs.com/ under the section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9" w:name="page170"/>
    <w:bookmarkEnd w:id="1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entitled “For Investors” under “Corporate Governance.” We intend to satisfy the disclosure requirements under Item 5.05 of the SEC Form 8-K regarding an amendment to, or waiver from, a provision of our Code of Conduct by posting such information on our website at the website address and location specified above.</w:t>
      </w:r>
    </w:p>
    <w:p>
      <w:pPr>
        <w:spacing w:after="0" w:line="388"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11 is incorporated by reference to the information set forth in the section titled “Executive Officer and Director Compensation” in our Definitive Proxy Statement to be filed with the SEC with respect to our 2025 Annual Meeting of Stockholders.</w:t>
      </w:r>
    </w:p>
    <w:p>
      <w:pPr>
        <w:spacing w:after="0" w:line="388" w:lineRule="exact"/>
        <w:rPr>
          <w:sz w:val="20"/>
          <w:szCs w:val="20"/>
          <w:color w:val="auto"/>
        </w:rPr>
      </w:pPr>
    </w:p>
    <w:p>
      <w:pPr>
        <w:ind w:left="1340" w:right="139" w:hanging="1295"/>
        <w:spacing w:after="0" w:line="286"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15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12 is incorporated by reference to the information set forth in the sections titled “Security Ownership of Certain Beneficial Owners and Management” and “Securities Authorized for Issuance under Equity Compensation Plans” in our Definitive Proxy Statement to be filed with the SEC with respect to our 2025 Annual Meeting of Stockholders.</w:t>
      </w:r>
    </w:p>
    <w:p>
      <w:pPr>
        <w:spacing w:after="0" w:line="392" w:lineRule="exact"/>
        <w:rPr>
          <w:sz w:val="20"/>
          <w:szCs w:val="20"/>
          <w:color w:val="auto"/>
        </w:rPr>
      </w:pPr>
    </w:p>
    <w:p>
      <w:pPr>
        <w:ind w:left="1340" w:right="1039" w:hanging="1295"/>
        <w:spacing w:after="0" w:line="286"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8"/>
          <w:szCs w:val="18"/>
          <w:b w:val="1"/>
          <w:bCs w:val="1"/>
          <w:color w:val="auto"/>
        </w:rPr>
        <w:t>CERTAIN RELATIONSHIPS AND RELATED TRANSACTIONS, AND DIRECTOR INDEPENDENCE.</w:t>
      </w:r>
    </w:p>
    <w:p>
      <w:pPr>
        <w:spacing w:after="0" w:line="159"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13 is incorporated by reference to the information set forth in the sections titled “Related Person Transactions” and “Corporate Governance Matters” in our Definitive Proxy Statement to be filed with the SEC with respect to our 2025 Annual Meeting of Stockholders.</w:t>
      </w:r>
    </w:p>
    <w:p>
      <w:pPr>
        <w:spacing w:after="0" w:line="388"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jc w:val="both"/>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14 is incorporated by reference to the information set forth in the section titled “Proposal 2: Ratification of the Appointment of Independent Registered Public Accounting Firm” in our Definitive Proxy Statement to be filed with the SEC with respect to our 2025 Annual Meeting of Stockholders.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43"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color w:val="auto"/>
        </w:rPr>
        <w:t>Financial Statements:</w:t>
      </w:r>
    </w:p>
    <w:p>
      <w:pPr>
        <w:spacing w:after="0" w:line="27" w:lineRule="exact"/>
        <w:rPr>
          <w:sz w:val="20"/>
          <w:szCs w:val="20"/>
          <w:color w:val="auto"/>
        </w:rPr>
      </w:pPr>
    </w:p>
    <w:p>
      <w:pPr>
        <w:ind w:left="860" w:right="299"/>
        <w:spacing w:after="0" w:line="260" w:lineRule="auto"/>
        <w:rPr>
          <w:sz w:val="20"/>
          <w:szCs w:val="20"/>
          <w:color w:val="auto"/>
        </w:rPr>
      </w:pPr>
      <w:r>
        <w:rPr>
          <w:rFonts w:ascii="Times New Roman" w:cs="Times New Roman" w:eastAsia="Times New Roman" w:hAnsi="Times New Roman"/>
          <w:sz w:val="18"/>
          <w:szCs w:val="18"/>
          <w:color w:val="auto"/>
        </w:rPr>
        <w:t>The financial statements listed in the Index to Financial Statements beginning on page 135 are filed as part of this Annual Report on Form 10-K.</w:t>
      </w:r>
    </w:p>
    <w:p>
      <w:pPr>
        <w:spacing w:after="0" w:line="181"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color w:val="auto"/>
        </w:rPr>
        <w:t>Financial Statement Schedules:</w:t>
      </w:r>
    </w:p>
    <w:p>
      <w:pPr>
        <w:spacing w:after="0" w:line="27" w:lineRule="exact"/>
        <w:rPr>
          <w:sz w:val="20"/>
          <w:szCs w:val="20"/>
          <w:color w:val="auto"/>
        </w:rPr>
      </w:pPr>
    </w:p>
    <w:p>
      <w:pPr>
        <w:ind w:left="860" w:right="159"/>
        <w:spacing w:after="0" w:line="260" w:lineRule="auto"/>
        <w:rPr>
          <w:sz w:val="20"/>
          <w:szCs w:val="20"/>
          <w:color w:val="auto"/>
        </w:rPr>
      </w:pPr>
      <w:r>
        <w:rPr>
          <w:rFonts w:ascii="Times New Roman" w:cs="Times New Roman" w:eastAsia="Times New Roman" w:hAnsi="Times New Roman"/>
          <w:sz w:val="18"/>
          <w:szCs w:val="18"/>
          <w:color w:val="auto"/>
        </w:rPr>
        <w:t>There are no Financial Statement Schedules included with this filing for the reason that they are not required to be listed in the Index to Financial Statements beginning on page 135.</w:t>
      </w:r>
    </w:p>
    <w:p>
      <w:pPr>
        <w:spacing w:after="0" w:line="397"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0" w:name="page171"/>
    <w:bookmarkEnd w:id="1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14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8"/>
        </w:trPr>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7940" w:type="dxa"/>
            <w:vAlign w:val="bottom"/>
            <w:gridSpan w:val="27"/>
          </w:tcPr>
          <w:p>
            <w:pPr>
              <w:spacing w:after="0"/>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Amended and Restated Certificate of Incorporation of the Registrant (incorporated by reference to Exhibit 3.1</w:t>
              </w:r>
            </w:hyperlink>
          </w:p>
        </w:tc>
      </w:tr>
      <w:tr>
        <w:trPr>
          <w:trHeight w:val="196"/>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2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to the Form 8-K filed September 26, 2018)</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77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Amended and Restated Bylaws of the Registrant (incorporated by reference to Exhibit 3.2 to the Form 8-K</w:t>
              </w:r>
            </w:hyperlink>
          </w:p>
        </w:tc>
        <w:tc>
          <w:tcPr>
            <w:tcW w:w="240" w:type="dxa"/>
            <w:vAlign w:val="bottom"/>
            <w:gridSpan w:val="7"/>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filed September 26, 2018).</w:t>
              </w:r>
            </w:hyperlink>
          </w:p>
        </w:tc>
        <w:tc>
          <w:tcPr>
            <w:tcW w:w="6000" w:type="dxa"/>
            <w:vAlign w:val="bottom"/>
            <w:gridSpan w:val="23"/>
          </w:tcPr>
          <w:p>
            <w:pPr>
              <w:spacing w:after="0"/>
              <w:rPr>
                <w:sz w:val="17"/>
                <w:szCs w:val="17"/>
                <w:color w:val="auto"/>
              </w:rPr>
            </w:pPr>
          </w:p>
        </w:tc>
      </w:tr>
      <w:tr>
        <w:trPr>
          <w:trHeight w:val="41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78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Specimen stock certificate evidencing the shares of common stock (incorporated by reference to Exhibit 4.1</w:t>
              </w:r>
            </w:hyperlink>
          </w:p>
        </w:tc>
        <w:tc>
          <w:tcPr>
            <w:tcW w:w="140" w:type="dxa"/>
            <w:vAlign w:val="bottom"/>
            <w:gridSpan w:val="3"/>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40" w:type="dxa"/>
            <w:vAlign w:val="bottom"/>
            <w:gridSpan w:val="27"/>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to the Form S-1/A filed September 7, 2018).</w:t>
              </w:r>
            </w:hyperlink>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77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Description of the registrant’s securities registered pursuant to section 12 of the Securities Exchange Act of</w:t>
            </w:r>
          </w:p>
        </w:tc>
        <w:tc>
          <w:tcPr>
            <w:tcW w:w="200" w:type="dxa"/>
            <w:vAlign w:val="bottom"/>
            <w:gridSpan w:val="5"/>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1934.</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7940" w:type="dxa"/>
            <w:vAlign w:val="bottom"/>
            <w:gridSpan w:val="27"/>
          </w:tcPr>
          <w:p>
            <w:pPr>
              <w:spacing w:after="0"/>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License Agreement, dated as of August 20, 2015, by and between the Registrant and Memorial Sloan</w:t>
              </w:r>
            </w:hyperlink>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Kettering Cancer Center (incorporated by reference to Exhibit 10.1 to the Form S-1 filed August 24, 2018).</w:t>
              </w:r>
            </w:hyperlink>
          </w:p>
        </w:tc>
        <w:tc>
          <w:tcPr>
            <w:tcW w:w="200" w:type="dxa"/>
            <w:vAlign w:val="bottom"/>
            <w:gridSpan w:val="5"/>
          </w:tcPr>
          <w:p>
            <w:pPr>
              <w:spacing w:after="0"/>
              <w:rPr>
                <w:sz w:val="17"/>
                <w:szCs w:val="17"/>
                <w:color w:val="auto"/>
              </w:rPr>
            </w:pPr>
          </w:p>
        </w:tc>
      </w:tr>
      <w:tr>
        <w:trPr>
          <w:trHeight w:val="41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7940" w:type="dxa"/>
            <w:vAlign w:val="bottom"/>
            <w:gridSpan w:val="27"/>
          </w:tcPr>
          <w:p>
            <w:pPr>
              <w:spacing w:after="0"/>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Sponsored Research Agreement, dated November 13, 2017, by and between the Registrant and Memorial</w:t>
              </w:r>
            </w:hyperlink>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40" w:type="dxa"/>
            <w:vAlign w:val="bottom"/>
            <w:gridSpan w:val="27"/>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Sloan Kettering Cancer Center (incorporated by reference to Exhibit 10.4 to the Form S-1 filed August 24,</w:t>
              </w:r>
            </w:hyperlink>
          </w:p>
        </w:tc>
      </w:tr>
      <w:tr>
        <w:trPr>
          <w:trHeight w:val="196"/>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87">
              <w:r>
                <w:rPr>
                  <w:rFonts w:ascii="Times New Roman" w:cs="Times New Roman" w:eastAsia="Times New Roman" w:hAnsi="Times New Roman"/>
                  <w:sz w:val="18"/>
                  <w:szCs w:val="18"/>
                  <w:color w:val="0000EE"/>
                  <w:w w:val="98"/>
                </w:rPr>
                <w:t>2018).</w:t>
              </w:r>
            </w:hyperlink>
          </w:p>
        </w:tc>
        <w:tc>
          <w:tcPr>
            <w:tcW w:w="12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78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Investigator-Sponsored Master Clinical Trial Agreement, dated as of June 21, 2017, as amended on October</w:t>
              </w:r>
            </w:hyperlink>
          </w:p>
        </w:tc>
        <w:tc>
          <w:tcPr>
            <w:tcW w:w="140" w:type="dxa"/>
            <w:vAlign w:val="bottom"/>
            <w:gridSpan w:val="3"/>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11, 2017, by and between the Registrant and Memorial Sloan Kettering Cancer Center (incorporated by</w:t>
              </w:r>
            </w:hyperlink>
          </w:p>
        </w:tc>
        <w:tc>
          <w:tcPr>
            <w:tcW w:w="480" w:type="dxa"/>
            <w:vAlign w:val="bottom"/>
            <w:gridSpan w:val="10"/>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reference to Exhibit 10.5 to the Form S-1 filed August 24, 2018).</w:t>
              </w:r>
            </w:hyperlink>
          </w:p>
        </w:tc>
        <w:tc>
          <w:tcPr>
            <w:tcW w:w="3240" w:type="dxa"/>
            <w:vAlign w:val="bottom"/>
            <w:gridSpan w:val="16"/>
          </w:tcPr>
          <w:p>
            <w:pPr>
              <w:spacing w:after="0"/>
              <w:rPr>
                <w:sz w:val="17"/>
                <w:szCs w:val="17"/>
                <w:color w:val="auto"/>
              </w:rPr>
            </w:pPr>
          </w:p>
        </w:tc>
      </w:tr>
      <w:tr>
        <w:trPr>
          <w:trHeight w:val="41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77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Master Data Services Agreement, dated as of September 23, 2016, as amended on October 11, 2017, by and</w:t>
              </w:r>
            </w:hyperlink>
          </w:p>
        </w:tc>
        <w:tc>
          <w:tcPr>
            <w:tcW w:w="160" w:type="dxa"/>
            <w:vAlign w:val="bottom"/>
            <w:gridSpan w:val="4"/>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40" w:type="dxa"/>
            <w:vAlign w:val="bottom"/>
            <w:gridSpan w:val="27"/>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between the Registrant and Memorial Sloan Kettering Cancer Center (incorporated by reference to Exhibit</w:t>
              </w:r>
            </w:hyperlink>
          </w:p>
        </w:tc>
      </w:tr>
      <w:tr>
        <w:trPr>
          <w:trHeight w:val="196"/>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8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0000EE"/>
                </w:rPr>
                <w:t xml:space="preserve"> to the Form S-1 filed August 24, 2018).</w:t>
              </w:r>
            </w:hyperlink>
          </w:p>
        </w:tc>
        <w:tc>
          <w:tcPr>
            <w:tcW w:w="260" w:type="dxa"/>
            <w:vAlign w:val="bottom"/>
            <w:gridSpan w:val="8"/>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4"/>
                <w:szCs w:val="24"/>
                <w:color w:val="auto"/>
              </w:rPr>
            </w:pPr>
          </w:p>
        </w:tc>
        <w:tc>
          <w:tcPr>
            <w:tcW w:w="794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Amended and Restated 2015 Equity Incentive Plan (incorporated by reference to Exhibit 10.7 to the Form S-1</w:t>
              </w:r>
            </w:hyperlink>
          </w:p>
        </w:tc>
      </w:tr>
      <w:tr>
        <w:trPr>
          <w:trHeight w:val="196"/>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40" w:type="dxa"/>
            <w:vAlign w:val="bottom"/>
            <w:gridSpan w:val="27"/>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filed August 24, 2018).</w:t>
              </w:r>
            </w:hyperlink>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4"/>
                <w:szCs w:val="24"/>
                <w:color w:val="auto"/>
              </w:rPr>
            </w:pPr>
          </w:p>
        </w:tc>
        <w:tc>
          <w:tcPr>
            <w:tcW w:w="73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Form of Notice of Grant and Stock Option Agreement under the Amended and Restated 2015 Equity</w:t>
              </w:r>
            </w:hyperlink>
          </w:p>
        </w:tc>
        <w:tc>
          <w:tcPr>
            <w:tcW w:w="640" w:type="dxa"/>
            <w:vAlign w:val="bottom"/>
            <w:gridSpan w:val="12"/>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Incentive Plan (incorporated by reference to Exhibit 10.8 to the Form S-1 filed August 24, 2018).</w:t>
              </w:r>
            </w:hyperlink>
          </w:p>
        </w:tc>
        <w:tc>
          <w:tcPr>
            <w:tcW w:w="920" w:type="dxa"/>
            <w:vAlign w:val="bottom"/>
            <w:gridSpan w:val="13"/>
          </w:tcPr>
          <w:p>
            <w:pPr>
              <w:spacing w:after="0"/>
              <w:rPr>
                <w:sz w:val="17"/>
                <w:szCs w:val="17"/>
                <w:color w:val="auto"/>
              </w:rPr>
            </w:pPr>
          </w:p>
        </w:tc>
      </w:tr>
      <w:tr>
        <w:trPr>
          <w:trHeight w:val="41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4"/>
                <w:szCs w:val="24"/>
                <w:color w:val="auto"/>
              </w:rPr>
            </w:pPr>
          </w:p>
        </w:tc>
        <w:tc>
          <w:tcPr>
            <w:tcW w:w="794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2018 Equity Incentive Plan (incorporated by reference to Exhibit 10.9 to the Form S-1 filed August 24, 2018).</w:t>
              </w:r>
            </w:hyperlink>
          </w:p>
        </w:tc>
      </w:tr>
      <w:tr>
        <w:trPr>
          <w:trHeight w:val="41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24"/>
                <w:szCs w:val="24"/>
                <w:color w:val="auto"/>
              </w:rPr>
            </w:pPr>
          </w:p>
        </w:tc>
        <w:tc>
          <w:tcPr>
            <w:tcW w:w="7940" w:type="dxa"/>
            <w:vAlign w:val="bottom"/>
            <w:gridSpan w:val="27"/>
          </w:tcPr>
          <w:p>
            <w:pPr>
              <w:spacing w:after="0"/>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Form of Stock Option Grant Notice and Stock Option Agreement under the 2018 Equity Incentive Plan</w:t>
              </w:r>
            </w:hyperlink>
          </w:p>
        </w:tc>
      </w:tr>
      <w:tr>
        <w:trPr>
          <w:trHeight w:val="196"/>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4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(incorporated by reference to Exhibit 10.10 to the Form S-1 filed August 24, 2018).</w:t>
              </w:r>
            </w:hyperlink>
          </w:p>
        </w:tc>
        <w:tc>
          <w:tcPr>
            <w:tcW w:w="500" w:type="dxa"/>
            <w:vAlign w:val="bottom"/>
            <w:gridSpan w:val="11"/>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20" w:type="dxa"/>
            <w:vAlign w:val="bottom"/>
            <w:gridSpan w:val="5"/>
            <w:shd w:val="clear" w:color="auto" w:fill="0000EE"/>
          </w:tcPr>
          <w:p>
            <w:pPr>
              <w:spacing w:after="0" w:line="20" w:lineRule="exact"/>
              <w:rPr>
                <w:sz w:val="1"/>
                <w:szCs w:val="1"/>
                <w:color w:val="auto"/>
              </w:rPr>
            </w:pPr>
          </w:p>
        </w:tc>
        <w:tc>
          <w:tcPr>
            <w:tcW w:w="2360" w:type="dxa"/>
            <w:vAlign w:val="bottom"/>
            <w:gridSpan w:val="7"/>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700" w:type="dxa"/>
            <w:vAlign w:val="bottom"/>
            <w:gridSpan w:val="8"/>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24"/>
                <w:szCs w:val="24"/>
                <w:color w:val="auto"/>
              </w:rPr>
            </w:pPr>
          </w:p>
        </w:tc>
        <w:tc>
          <w:tcPr>
            <w:tcW w:w="7940" w:type="dxa"/>
            <w:vAlign w:val="bottom"/>
            <w:gridSpan w:val="27"/>
          </w:tcPr>
          <w:p>
            <w:pPr>
              <w:spacing w:after="0"/>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Form of Officers and Directors Indemnification Agreement (incorporated by reference to Exhibit 10.11 to the</w:t>
              </w:r>
            </w:hyperlink>
          </w:p>
        </w:tc>
      </w:tr>
      <w:tr>
        <w:trPr>
          <w:trHeight w:val="196"/>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Form S-1 filed August 24, 2018).</w:t>
              </w:r>
            </w:hyperlink>
          </w:p>
        </w:tc>
        <w:tc>
          <w:tcPr>
            <w:tcW w:w="5460" w:type="dxa"/>
            <w:vAlign w:val="bottom"/>
            <w:tcBorders>
              <w:top w:val="single" w:sz="8" w:color="0000EE"/>
            </w:tcBorders>
            <w:gridSpan w:val="20"/>
          </w:tcPr>
          <w:p>
            <w:pPr>
              <w:spacing w:after="0"/>
              <w:rPr>
                <w:sz w:val="17"/>
                <w:szCs w:val="17"/>
                <w:color w:val="auto"/>
              </w:rPr>
            </w:pPr>
          </w:p>
        </w:tc>
        <w:tc>
          <w:tcPr>
            <w:tcW w:w="60" w:type="dxa"/>
            <w:vAlign w:val="bottom"/>
            <w:gridSpan w:val="2"/>
          </w:tcPr>
          <w:p>
            <w:pPr>
              <w:spacing w:after="0"/>
              <w:rPr>
                <w:sz w:val="17"/>
                <w:szCs w:val="17"/>
                <w:color w:val="auto"/>
              </w:rPr>
            </w:pPr>
          </w:p>
        </w:tc>
      </w:tr>
      <w:tr>
        <w:trPr>
          <w:trHeight w:val="41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24"/>
                <w:szCs w:val="24"/>
                <w:color w:val="auto"/>
              </w:rPr>
            </w:pPr>
          </w:p>
        </w:tc>
        <w:tc>
          <w:tcPr>
            <w:tcW w:w="77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Service Agreement, effective as of April 1, 2016 between the Registrant and Thomas Gad (incorporated by</w:t>
              </w:r>
            </w:hyperlink>
          </w:p>
        </w:tc>
        <w:tc>
          <w:tcPr>
            <w:tcW w:w="220" w:type="dxa"/>
            <w:vAlign w:val="bottom"/>
            <w:gridSpan w:val="6"/>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40" w:type="dxa"/>
            <w:vAlign w:val="bottom"/>
            <w:gridSpan w:val="27"/>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reference to Exhibit 10.12 to the Form S-1 filed August 24, 2018).</w:t>
              </w:r>
            </w:hyperlink>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ind w:left="1000" w:right="679" w:hanging="950"/>
        <w:spacing w:after="0" w:line="282" w:lineRule="auto"/>
        <w:tabs>
          <w:tab w:leader="none" w:pos="311" w:val="left"/>
        </w:tabs>
        <w:numPr>
          <w:ilvl w:val="0"/>
          <w:numId w:val="8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11†</w:t>
      </w:r>
      <w:hyperlink r:id="rId196">
        <w:r>
          <w:rPr>
            <w:rFonts w:ascii="Times New Roman" w:cs="Times New Roman" w:eastAsia="Times New Roman" w:hAnsi="Times New Roman"/>
            <w:sz w:val="18"/>
            <w:szCs w:val="18"/>
            <w:u w:val="single" w:color="auto"/>
            <w:color w:val="0000EE"/>
          </w:rPr>
          <w:t>Service Agreement, effective as of October 1, 2016 between Y-mAbs Therapeutics A/S and Bo Kruse</w:t>
        </w:r>
      </w:hyperlink>
      <w:r>
        <w:rPr>
          <w:rFonts w:ascii="Times New Roman" w:cs="Times New Roman" w:eastAsia="Times New Roman" w:hAnsi="Times New Roman"/>
          <w:sz w:val="18"/>
          <w:szCs w:val="18"/>
          <w:u w:val="single" w:color="auto"/>
          <w:color w:val="0000EE"/>
        </w:rPr>
        <w:t xml:space="preserve"> </w:t>
      </w:r>
      <w:hyperlink r:id="rId196">
        <w:r>
          <w:rPr>
            <w:rFonts w:ascii="Times New Roman" w:cs="Times New Roman" w:eastAsia="Times New Roman" w:hAnsi="Times New Roman"/>
            <w:sz w:val="18"/>
            <w:szCs w:val="18"/>
            <w:u w:val="single" w:color="auto"/>
            <w:color w:val="0000EE"/>
          </w:rPr>
          <w:t>(incorporated by reference to Exhibit 10.14 to the Form S-1 filed August 24, 2018).</w:t>
        </w:r>
      </w:hyperlink>
    </w:p>
    <w:p>
      <w:pPr>
        <w:spacing w:after="0" w:line="200" w:lineRule="exact"/>
        <w:rPr>
          <w:rFonts w:ascii="Times New Roman" w:cs="Times New Roman" w:eastAsia="Times New Roman" w:hAnsi="Times New Roman"/>
          <w:sz w:val="18"/>
          <w:szCs w:val="18"/>
          <w:color w:val="auto"/>
        </w:rPr>
      </w:pPr>
    </w:p>
    <w:p>
      <w:pPr>
        <w:spacing w:after="0" w:line="394"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1" w:name="page172"/>
    <w:bookmarkEnd w:id="1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900" w:right="939" w:hanging="850"/>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98">
        <w:r>
          <w:rPr>
            <w:rFonts w:ascii="Times New Roman" w:cs="Times New Roman" w:eastAsia="Times New Roman" w:hAnsi="Times New Roman"/>
            <w:sz w:val="18"/>
            <w:szCs w:val="18"/>
            <w:u w:val="single" w:color="auto"/>
            <w:color w:val="0000EE"/>
          </w:rPr>
          <w:t>Lease Agreement dated January 10, 2018, by and between the Registrant and RXR HB Owner LLC</w:t>
        </w:r>
      </w:hyperlink>
      <w:r>
        <w:rPr>
          <w:rFonts w:ascii="Times New Roman" w:cs="Times New Roman" w:eastAsia="Times New Roman" w:hAnsi="Times New Roman"/>
          <w:sz w:val="18"/>
          <w:szCs w:val="18"/>
          <w:u w:val="single" w:color="auto"/>
          <w:color w:val="0000EE"/>
        </w:rPr>
        <w:t xml:space="preserve"> </w:t>
      </w:r>
      <w:hyperlink r:id="rId198">
        <w:r>
          <w:rPr>
            <w:rFonts w:ascii="Times New Roman" w:cs="Times New Roman" w:eastAsia="Times New Roman" w:hAnsi="Times New Roman"/>
            <w:sz w:val="18"/>
            <w:szCs w:val="18"/>
            <w:u w:val="single" w:color="auto"/>
            <w:color w:val="0000EE"/>
          </w:rPr>
          <w:t>(incorporated by reference to Exhibit 10.15 to the Form S-1 filed August 24, 2018).</w:t>
        </w:r>
      </w:hyperlink>
    </w:p>
    <w:p>
      <w:pPr>
        <w:spacing w:after="0" w:line="162" w:lineRule="exact"/>
        <w:rPr>
          <w:sz w:val="20"/>
          <w:szCs w:val="20"/>
          <w:color w:val="auto"/>
        </w:rPr>
      </w:pPr>
    </w:p>
    <w:p>
      <w:pPr>
        <w:ind w:left="900" w:right="259" w:hanging="850"/>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199">
        <w:r>
          <w:rPr>
            <w:rFonts w:ascii="Times New Roman" w:cs="Times New Roman" w:eastAsia="Times New Roman" w:hAnsi="Times New Roman"/>
            <w:sz w:val="18"/>
            <w:szCs w:val="18"/>
            <w:u w:val="single" w:color="auto"/>
            <w:color w:val="0000EE"/>
          </w:rPr>
          <w:t>Form of Restricted Stock Award Grant Notice and Restricted Stock Award Agreement under the 2018 Equity</w:t>
        </w:r>
      </w:hyperlink>
      <w:r>
        <w:rPr>
          <w:rFonts w:ascii="Times New Roman" w:cs="Times New Roman" w:eastAsia="Times New Roman" w:hAnsi="Times New Roman"/>
          <w:sz w:val="18"/>
          <w:szCs w:val="18"/>
          <w:u w:val="single" w:color="auto"/>
          <w:color w:val="0000EE"/>
        </w:rPr>
        <w:t xml:space="preserve"> </w:t>
      </w:r>
      <w:hyperlink r:id="rId199">
        <w:r>
          <w:rPr>
            <w:rFonts w:ascii="Times New Roman" w:cs="Times New Roman" w:eastAsia="Times New Roman" w:hAnsi="Times New Roman"/>
            <w:sz w:val="18"/>
            <w:szCs w:val="18"/>
            <w:u w:val="single" w:color="auto"/>
            <w:color w:val="0000EE"/>
          </w:rPr>
          <w:t>Incentive Plan (incorporated by reference to Exhibit 10.16 to the Form S-1 filed August 24, 2018).</w:t>
        </w:r>
      </w:hyperlink>
    </w:p>
    <w:p>
      <w:pPr>
        <w:spacing w:after="0" w:line="162" w:lineRule="exact"/>
        <w:rPr>
          <w:sz w:val="20"/>
          <w:szCs w:val="20"/>
          <w:color w:val="auto"/>
        </w:rPr>
      </w:pPr>
    </w:p>
    <w:p>
      <w:pPr>
        <w:ind w:left="60"/>
        <w:spacing w:after="0"/>
        <w:tabs>
          <w:tab w:leader="none" w:pos="8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200">
        <w:r>
          <w:rPr>
            <w:rFonts w:ascii="Times New Roman" w:cs="Times New Roman" w:eastAsia="Times New Roman" w:hAnsi="Times New Roman"/>
            <w:sz w:val="17"/>
            <w:szCs w:val="17"/>
            <w:u w:val="single" w:color="auto"/>
            <w:color w:val="0000EE"/>
          </w:rPr>
          <w:t>Form of Restricted Stock Unit Award Grant Notice and Restricted Stock Unit Award Agreement under the</w:t>
        </w:r>
      </w:hyperlink>
    </w:p>
    <w:p>
      <w:pPr>
        <w:spacing w:after="0" w:line="27" w:lineRule="exact"/>
        <w:rPr>
          <w:sz w:val="20"/>
          <w:szCs w:val="20"/>
          <w:color w:val="auto"/>
        </w:rPr>
      </w:pPr>
    </w:p>
    <w:p>
      <w:pPr>
        <w:ind w:left="900"/>
        <w:spacing w:after="0"/>
        <w:rPr>
          <w:rFonts w:ascii="Times New Roman" w:cs="Times New Roman" w:eastAsia="Times New Roman" w:hAnsi="Times New Roman"/>
          <w:sz w:val="17"/>
          <w:szCs w:val="17"/>
          <w:u w:val="single" w:color="auto"/>
          <w:color w:val="0000EE"/>
        </w:rPr>
      </w:pPr>
      <w:hyperlink r:id="rId200">
        <w:r>
          <w:rPr>
            <w:rFonts w:ascii="Times New Roman" w:cs="Times New Roman" w:eastAsia="Times New Roman" w:hAnsi="Times New Roman"/>
            <w:sz w:val="17"/>
            <w:szCs w:val="17"/>
            <w:u w:val="single" w:color="auto"/>
            <w:color w:val="0000EE"/>
          </w:rPr>
          <w:t>2018 Equity Incentive Plan (incorporated by reference to Exhibit 10.17 to the Form S-1 filed August 24, 2018).</w:t>
        </w:r>
      </w:hyperlink>
    </w:p>
    <w:p>
      <w:pPr>
        <w:spacing w:after="0" w:line="218" w:lineRule="exact"/>
        <w:rPr>
          <w:sz w:val="20"/>
          <w:szCs w:val="20"/>
          <w:color w:val="auto"/>
        </w:rPr>
      </w:pPr>
    </w:p>
    <w:p>
      <w:pPr>
        <w:ind w:left="900" w:right="499" w:hanging="850"/>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201">
        <w:r>
          <w:rPr>
            <w:rFonts w:ascii="Times New Roman" w:cs="Times New Roman" w:eastAsia="Times New Roman" w:hAnsi="Times New Roman"/>
            <w:sz w:val="18"/>
            <w:szCs w:val="18"/>
            <w:u w:val="single" w:color="auto"/>
            <w:color w:val="0000EE"/>
          </w:rPr>
          <w:t>Non-Employee Director Compensation Policy, adopted on January 17, 2023 (incorporated by reference to</w:t>
        </w:r>
      </w:hyperlink>
      <w:r>
        <w:rPr>
          <w:rFonts w:ascii="Times New Roman" w:cs="Times New Roman" w:eastAsia="Times New Roman" w:hAnsi="Times New Roman"/>
          <w:sz w:val="18"/>
          <w:szCs w:val="18"/>
          <w:u w:val="single" w:color="auto"/>
          <w:color w:val="0000EE"/>
        </w:rPr>
        <w:t xml:space="preserve"> </w:t>
      </w:r>
      <w:hyperlink r:id="rId201">
        <w:r>
          <w:rPr>
            <w:rFonts w:ascii="Times New Roman" w:cs="Times New Roman" w:eastAsia="Times New Roman" w:hAnsi="Times New Roman"/>
            <w:sz w:val="18"/>
            <w:szCs w:val="18"/>
            <w:u w:val="single" w:color="auto"/>
            <w:color w:val="0000EE"/>
          </w:rPr>
          <w:t>Exhibit 10.41 to Registrant’s Form 10-K filed March 30, 2023).</w:t>
        </w:r>
      </w:hyperlink>
    </w:p>
    <w:p>
      <w:pPr>
        <w:spacing w:after="0" w:line="162" w:lineRule="exact"/>
        <w:rPr>
          <w:sz w:val="20"/>
          <w:szCs w:val="20"/>
          <w:color w:val="auto"/>
        </w:rPr>
      </w:pPr>
    </w:p>
    <w:p>
      <w:pPr>
        <w:ind w:left="60"/>
        <w:spacing w:after="0"/>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202">
        <w:r>
          <w:rPr>
            <w:rFonts w:ascii="Times New Roman" w:cs="Times New Roman" w:eastAsia="Times New Roman" w:hAnsi="Times New Roman"/>
            <w:sz w:val="18"/>
            <w:szCs w:val="18"/>
            <w:u w:val="single" w:color="auto"/>
            <w:color w:val="0000EE"/>
          </w:rPr>
          <w:t>Employee Stock Purchase Plan (incorporated by reference to Exhibit 10.19 to the Form S-1 filed August 24,</w:t>
        </w:r>
      </w:hyperlink>
    </w:p>
    <w:p>
      <w:pPr>
        <w:spacing w:after="0" w:line="27" w:lineRule="exact"/>
        <w:rPr>
          <w:sz w:val="20"/>
          <w:szCs w:val="20"/>
          <w:color w:val="auto"/>
        </w:rPr>
      </w:pPr>
    </w:p>
    <w:p>
      <w:pPr>
        <w:ind w:left="900"/>
        <w:spacing w:after="0"/>
        <w:rPr>
          <w:rFonts w:ascii="Times New Roman" w:cs="Times New Roman" w:eastAsia="Times New Roman" w:hAnsi="Times New Roman"/>
          <w:sz w:val="18"/>
          <w:szCs w:val="18"/>
          <w:u w:val="single" w:color="auto"/>
          <w:color w:val="0000EE"/>
        </w:rPr>
      </w:pPr>
      <w:hyperlink r:id="rId202">
        <w:r>
          <w:rPr>
            <w:rFonts w:ascii="Times New Roman" w:cs="Times New Roman" w:eastAsia="Times New Roman" w:hAnsi="Times New Roman"/>
            <w:sz w:val="18"/>
            <w:szCs w:val="18"/>
            <w:u w:val="single" w:color="auto"/>
            <w:color w:val="0000EE"/>
          </w:rPr>
          <w:t>2018).</w:t>
        </w:r>
      </w:hyperlink>
    </w:p>
    <w:p>
      <w:pPr>
        <w:spacing w:after="0" w:line="207" w:lineRule="exact"/>
        <w:rPr>
          <w:sz w:val="20"/>
          <w:szCs w:val="20"/>
          <w:color w:val="auto"/>
        </w:rPr>
      </w:pPr>
    </w:p>
    <w:p>
      <w:pPr>
        <w:ind w:left="900" w:right="179" w:hanging="850"/>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203">
        <w:r>
          <w:rPr>
            <w:rFonts w:ascii="Times New Roman" w:cs="Times New Roman" w:eastAsia="Times New Roman" w:hAnsi="Times New Roman"/>
            <w:sz w:val="18"/>
            <w:szCs w:val="18"/>
            <w:u w:val="single" w:color="auto"/>
            <w:color w:val="0000EE"/>
          </w:rPr>
          <w:t>Amended and Restated Sponsored Research Agreement by and between the Registrant and Memorial Sloan</w:t>
        </w:r>
      </w:hyperlink>
      <w:r>
        <w:rPr>
          <w:rFonts w:ascii="Times New Roman" w:cs="Times New Roman" w:eastAsia="Times New Roman" w:hAnsi="Times New Roman"/>
          <w:sz w:val="18"/>
          <w:szCs w:val="18"/>
          <w:u w:val="single" w:color="auto"/>
          <w:color w:val="0000EE"/>
        </w:rPr>
        <w:t xml:space="preserve"> </w:t>
      </w:r>
      <w:hyperlink r:id="rId203">
        <w:r>
          <w:rPr>
            <w:rFonts w:ascii="Times New Roman" w:cs="Times New Roman" w:eastAsia="Times New Roman" w:hAnsi="Times New Roman"/>
            <w:sz w:val="18"/>
            <w:szCs w:val="18"/>
            <w:u w:val="single" w:color="auto"/>
            <w:color w:val="0000EE"/>
          </w:rPr>
          <w:t>Kettering Cancer Center effective September 13, 2019 (incorporated by reference to Exhibit 10.1 to Form 8-K</w:t>
        </w:r>
      </w:hyperlink>
      <w:r>
        <w:rPr>
          <w:rFonts w:ascii="Times New Roman" w:cs="Times New Roman" w:eastAsia="Times New Roman" w:hAnsi="Times New Roman"/>
          <w:sz w:val="18"/>
          <w:szCs w:val="18"/>
          <w:u w:val="single" w:color="auto"/>
          <w:color w:val="0000EE"/>
        </w:rPr>
        <w:t xml:space="preserve"> </w:t>
      </w:r>
      <w:hyperlink r:id="rId203">
        <w:r>
          <w:rPr>
            <w:rFonts w:ascii="Times New Roman" w:cs="Times New Roman" w:eastAsia="Times New Roman" w:hAnsi="Times New Roman"/>
            <w:sz w:val="18"/>
            <w:szCs w:val="18"/>
            <w:u w:val="single" w:color="auto"/>
            <w:color w:val="0000EE"/>
          </w:rPr>
          <w:t>filed September 19, 2019).</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900" w:right="419" w:hanging="850"/>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204">
        <w:r>
          <w:rPr>
            <w:rFonts w:ascii="Times New Roman" w:cs="Times New Roman" w:eastAsia="Times New Roman" w:hAnsi="Times New Roman"/>
            <w:sz w:val="18"/>
            <w:szCs w:val="18"/>
            <w:u w:val="single" w:color="auto"/>
            <w:color w:val="0000EE"/>
          </w:rPr>
          <w:t>License Agreement effective as of April 15, 2020, by and among the Registrant, Memorial Sloan Kettering</w:t>
        </w:r>
      </w:hyperlink>
      <w:r>
        <w:rPr>
          <w:rFonts w:ascii="Times New Roman" w:cs="Times New Roman" w:eastAsia="Times New Roman" w:hAnsi="Times New Roman"/>
          <w:sz w:val="18"/>
          <w:szCs w:val="18"/>
          <w:u w:val="single" w:color="auto"/>
          <w:color w:val="0000EE"/>
        </w:rPr>
        <w:t xml:space="preserve"> </w:t>
      </w:r>
      <w:hyperlink r:id="rId204">
        <w:r>
          <w:rPr>
            <w:rFonts w:ascii="Times New Roman" w:cs="Times New Roman" w:eastAsia="Times New Roman" w:hAnsi="Times New Roman"/>
            <w:sz w:val="18"/>
            <w:szCs w:val="18"/>
            <w:u w:val="single" w:color="auto"/>
            <w:color w:val="0000EE"/>
          </w:rPr>
          <w:t>Cancer Center and Massachusetts Institute of Technology (incorporated by reference to Exhibit 10.1 to the</w:t>
        </w:r>
      </w:hyperlink>
      <w:r>
        <w:rPr>
          <w:rFonts w:ascii="Times New Roman" w:cs="Times New Roman" w:eastAsia="Times New Roman" w:hAnsi="Times New Roman"/>
          <w:sz w:val="18"/>
          <w:szCs w:val="18"/>
          <w:u w:val="single" w:color="auto"/>
          <w:color w:val="0000EE"/>
        </w:rPr>
        <w:t xml:space="preserve"> </w:t>
      </w:r>
      <w:hyperlink r:id="rId204">
        <w:r>
          <w:rPr>
            <w:rFonts w:ascii="Times New Roman" w:cs="Times New Roman" w:eastAsia="Times New Roman" w:hAnsi="Times New Roman"/>
            <w:sz w:val="18"/>
            <w:szCs w:val="18"/>
            <w:u w:val="single" w:color="auto"/>
            <w:color w:val="0000EE"/>
          </w:rPr>
          <w:t>Registrant’s Form 8-K filed April 21, 2020).</w:t>
        </w:r>
      </w:hyperlink>
    </w:p>
    <w:p>
      <w:pPr>
        <w:spacing w:after="0" w:line="176" w:lineRule="exact"/>
        <w:rPr>
          <w:rFonts w:ascii="Times New Roman" w:cs="Times New Roman" w:eastAsia="Times New Roman" w:hAnsi="Times New Roman"/>
          <w:sz w:val="18"/>
          <w:szCs w:val="18"/>
          <w:u w:val="single" w:color="auto"/>
          <w:color w:val="0000EE"/>
        </w:rPr>
      </w:pPr>
    </w:p>
    <w:p>
      <w:pPr>
        <w:ind w:left="900" w:right="159" w:hanging="850"/>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205">
        <w:r>
          <w:rPr>
            <w:rFonts w:ascii="Times New Roman" w:cs="Times New Roman" w:eastAsia="Times New Roman" w:hAnsi="Times New Roman"/>
            <w:sz w:val="18"/>
            <w:szCs w:val="18"/>
            <w:u w:val="single" w:color="auto"/>
            <w:color w:val="0000EE"/>
          </w:rPr>
          <w:t>Master Sponsored Research Agreement by and between the Registrant and Memorial Sloan Kettering Cancer</w:t>
        </w:r>
      </w:hyperlink>
      <w:r>
        <w:rPr>
          <w:rFonts w:ascii="Times New Roman" w:cs="Times New Roman" w:eastAsia="Times New Roman" w:hAnsi="Times New Roman"/>
          <w:sz w:val="18"/>
          <w:szCs w:val="18"/>
          <w:u w:val="single" w:color="auto"/>
          <w:color w:val="0000EE"/>
        </w:rPr>
        <w:t xml:space="preserve"> </w:t>
      </w:r>
      <w:hyperlink r:id="rId205">
        <w:r>
          <w:rPr>
            <w:rFonts w:ascii="Times New Roman" w:cs="Times New Roman" w:eastAsia="Times New Roman" w:hAnsi="Times New Roman"/>
            <w:sz w:val="18"/>
            <w:szCs w:val="18"/>
            <w:u w:val="single" w:color="auto"/>
            <w:color w:val="0000EE"/>
          </w:rPr>
          <w:t>Center, effective October 7, 2020 (incorporated by reference to Exhibit 10.1 to the Registrant’s Form 8-K filed</w:t>
        </w:r>
      </w:hyperlink>
      <w:r>
        <w:rPr>
          <w:rFonts w:ascii="Times New Roman" w:cs="Times New Roman" w:eastAsia="Times New Roman" w:hAnsi="Times New Roman"/>
          <w:sz w:val="18"/>
          <w:szCs w:val="18"/>
          <w:u w:val="single" w:color="auto"/>
          <w:color w:val="0000EE"/>
        </w:rPr>
        <w:t xml:space="preserve"> </w:t>
      </w:r>
      <w:hyperlink r:id="rId205">
        <w:r>
          <w:rPr>
            <w:rFonts w:ascii="Times New Roman" w:cs="Times New Roman" w:eastAsia="Times New Roman" w:hAnsi="Times New Roman"/>
            <w:sz w:val="18"/>
            <w:szCs w:val="18"/>
            <w:u w:val="single" w:color="auto"/>
            <w:color w:val="0000EE"/>
          </w:rPr>
          <w:t>October 8, 2020).</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900" w:right="419" w:hanging="850"/>
        <w:spacing w:after="0" w:line="266" w:lineRule="auto"/>
        <w:tabs>
          <w:tab w:leader="none" w:pos="88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10.20</w:t>
      </w:r>
      <w:r>
        <w:rPr>
          <w:sz w:val="20"/>
          <w:szCs w:val="20"/>
          <w:color w:val="auto"/>
        </w:rPr>
        <w:tab/>
      </w:r>
      <w:hyperlink r:id="rId206">
        <w:r>
          <w:rPr>
            <w:rFonts w:ascii="Times New Roman" w:cs="Times New Roman" w:eastAsia="Times New Roman" w:hAnsi="Times New Roman"/>
            <w:sz w:val="18"/>
            <w:szCs w:val="18"/>
            <w:u w:val="single" w:color="auto"/>
            <w:color w:val="0000EE"/>
          </w:rPr>
          <w:t>Form of Stock Option Grant Notice and Stock Option Agreement under the 2018 Equity Incentive Plan (as</w:t>
        </w:r>
      </w:hyperlink>
      <w:r>
        <w:rPr>
          <w:rFonts w:ascii="Times New Roman" w:cs="Times New Roman" w:eastAsia="Times New Roman" w:hAnsi="Times New Roman"/>
          <w:sz w:val="18"/>
          <w:szCs w:val="18"/>
          <w:u w:val="single" w:color="auto"/>
          <w:color w:val="0000EE"/>
        </w:rPr>
        <w:t xml:space="preserve"> </w:t>
      </w:r>
      <w:hyperlink r:id="rId206">
        <w:r>
          <w:rPr>
            <w:rFonts w:ascii="Times New Roman" w:cs="Times New Roman" w:eastAsia="Times New Roman" w:hAnsi="Times New Roman"/>
            <w:sz w:val="18"/>
            <w:szCs w:val="18"/>
            <w:u w:val="single" w:color="auto"/>
            <w:color w:val="0000EE"/>
          </w:rPr>
          <w:t>amended, employees, consultants and service providers other than directors) (incorporated by reference to</w:t>
        </w:r>
      </w:hyperlink>
      <w:r>
        <w:rPr>
          <w:rFonts w:ascii="Times New Roman" w:cs="Times New Roman" w:eastAsia="Times New Roman" w:hAnsi="Times New Roman"/>
          <w:sz w:val="18"/>
          <w:szCs w:val="18"/>
          <w:u w:val="single" w:color="auto"/>
          <w:color w:val="0000EE"/>
        </w:rPr>
        <w:t xml:space="preserve"> </w:t>
      </w:r>
      <w:hyperlink r:id="rId206">
        <w:r>
          <w:rPr>
            <w:rFonts w:ascii="Times New Roman" w:cs="Times New Roman" w:eastAsia="Times New Roman" w:hAnsi="Times New Roman"/>
            <w:sz w:val="18"/>
            <w:szCs w:val="18"/>
            <w:u w:val="single" w:color="auto"/>
            <w:color w:val="0000EE"/>
          </w:rPr>
          <w:t>Exhibit 10.8 to Registrant’s Form 10-Q filed November 5, 2020)</w:t>
        </w:r>
        <w:r>
          <w:rPr>
            <w:rFonts w:ascii="Times New Roman" w:cs="Times New Roman" w:eastAsia="Times New Roman" w:hAnsi="Times New Roman"/>
            <w:sz w:val="18"/>
            <w:szCs w:val="18"/>
            <w:color w:val="000000"/>
          </w:rPr>
          <w:t>.</w:t>
        </w:r>
      </w:hyperlink>
    </w:p>
    <w:p>
      <w:pPr>
        <w:spacing w:after="0" w:line="176" w:lineRule="exact"/>
        <w:rPr>
          <w:rFonts w:ascii="Times New Roman" w:cs="Times New Roman" w:eastAsia="Times New Roman" w:hAnsi="Times New Roman"/>
          <w:sz w:val="18"/>
          <w:szCs w:val="18"/>
          <w:u w:val="single" w:color="auto"/>
          <w:color w:val="0000EE"/>
        </w:rPr>
      </w:pPr>
    </w:p>
    <w:p>
      <w:pPr>
        <w:ind w:left="900" w:right="319" w:hanging="850"/>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207">
        <w:r>
          <w:rPr>
            <w:rFonts w:ascii="Times New Roman" w:cs="Times New Roman" w:eastAsia="Times New Roman" w:hAnsi="Times New Roman"/>
            <w:sz w:val="18"/>
            <w:szCs w:val="18"/>
            <w:u w:val="single" w:color="auto"/>
            <w:color w:val="0000EE"/>
          </w:rPr>
          <w:t>Form of Stock Option Grant Notice and Stock Option Agreement under the 2018 Equity Incentive Plan (as</w:t>
        </w:r>
      </w:hyperlink>
      <w:r>
        <w:rPr>
          <w:rFonts w:ascii="Times New Roman" w:cs="Times New Roman" w:eastAsia="Times New Roman" w:hAnsi="Times New Roman"/>
          <w:sz w:val="18"/>
          <w:szCs w:val="18"/>
          <w:u w:val="single" w:color="auto"/>
          <w:color w:val="0000EE"/>
        </w:rPr>
        <w:t xml:space="preserve"> </w:t>
      </w:r>
      <w:hyperlink r:id="rId207">
        <w:r>
          <w:rPr>
            <w:rFonts w:ascii="Times New Roman" w:cs="Times New Roman" w:eastAsia="Times New Roman" w:hAnsi="Times New Roman"/>
            <w:sz w:val="18"/>
            <w:szCs w:val="18"/>
            <w:u w:val="single" w:color="auto"/>
            <w:color w:val="0000EE"/>
          </w:rPr>
          <w:t>amended, directors) (incorporated by reference to Exhibit 10.9 to Registrant’s Form 10-Q filed November 5,</w:t>
        </w:r>
      </w:hyperlink>
      <w:r>
        <w:rPr>
          <w:rFonts w:ascii="Times New Roman" w:cs="Times New Roman" w:eastAsia="Times New Roman" w:hAnsi="Times New Roman"/>
          <w:sz w:val="18"/>
          <w:szCs w:val="18"/>
          <w:u w:val="single" w:color="auto"/>
          <w:color w:val="0000EE"/>
        </w:rPr>
        <w:t xml:space="preserve"> </w:t>
      </w:r>
      <w:hyperlink r:id="rId207">
        <w:r>
          <w:rPr>
            <w:rFonts w:ascii="Times New Roman" w:cs="Times New Roman" w:eastAsia="Times New Roman" w:hAnsi="Times New Roman"/>
            <w:sz w:val="18"/>
            <w:szCs w:val="18"/>
            <w:u w:val="single" w:color="auto"/>
            <w:color w:val="0000EE"/>
          </w:rPr>
          <w:t>2020).</w:t>
        </w:r>
      </w:hyperlink>
    </w:p>
    <w:p>
      <w:pPr>
        <w:spacing w:after="0" w:line="176" w:lineRule="exact"/>
        <w:rPr>
          <w:rFonts w:ascii="Times New Roman" w:cs="Times New Roman" w:eastAsia="Times New Roman" w:hAnsi="Times New Roman"/>
          <w:sz w:val="18"/>
          <w:szCs w:val="18"/>
          <w:u w:val="single" w:color="auto"/>
          <w:color w:val="0000EE"/>
        </w:rPr>
      </w:pPr>
    </w:p>
    <w:p>
      <w:pPr>
        <w:ind w:left="900" w:right="359" w:hanging="850"/>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 ++</w:t>
      </w:r>
      <w:r>
        <w:rPr>
          <w:sz w:val="20"/>
          <w:szCs w:val="20"/>
          <w:color w:val="auto"/>
        </w:rPr>
        <w:tab/>
      </w:r>
      <w:hyperlink r:id="rId208">
        <w:r>
          <w:rPr>
            <w:rFonts w:ascii="Times New Roman" w:cs="Times New Roman" w:eastAsia="Times New Roman" w:hAnsi="Times New Roman"/>
            <w:sz w:val="18"/>
            <w:szCs w:val="18"/>
            <w:u w:val="single" w:color="auto"/>
            <w:color w:val="0000EE"/>
          </w:rPr>
          <w:t>License Agreement dated December 17, 2020 by and between the Registrant and SciClone Pharmaceuticals</w:t>
        </w:r>
      </w:hyperlink>
      <w:r>
        <w:rPr>
          <w:rFonts w:ascii="Times New Roman" w:cs="Times New Roman" w:eastAsia="Times New Roman" w:hAnsi="Times New Roman"/>
          <w:sz w:val="18"/>
          <w:szCs w:val="18"/>
          <w:u w:val="single" w:color="auto"/>
          <w:color w:val="0000EE"/>
        </w:rPr>
        <w:t xml:space="preserve"> </w:t>
      </w:r>
      <w:hyperlink r:id="rId208">
        <w:r>
          <w:rPr>
            <w:rFonts w:ascii="Times New Roman" w:cs="Times New Roman" w:eastAsia="Times New Roman" w:hAnsi="Times New Roman"/>
            <w:sz w:val="18"/>
            <w:szCs w:val="18"/>
            <w:u w:val="single" w:color="auto"/>
            <w:color w:val="0000EE"/>
          </w:rPr>
          <w:t>International Ltd. (incorporated by reference to Exhibit 10.1 to Registrant’s Form 8-K filed December 22,</w:t>
        </w:r>
      </w:hyperlink>
      <w:r>
        <w:rPr>
          <w:rFonts w:ascii="Times New Roman" w:cs="Times New Roman" w:eastAsia="Times New Roman" w:hAnsi="Times New Roman"/>
          <w:sz w:val="18"/>
          <w:szCs w:val="18"/>
          <w:u w:val="single" w:color="auto"/>
          <w:color w:val="0000EE"/>
        </w:rPr>
        <w:t xml:space="preserve"> </w:t>
      </w:r>
      <w:hyperlink r:id="rId208">
        <w:r>
          <w:rPr>
            <w:rFonts w:ascii="Times New Roman" w:cs="Times New Roman" w:eastAsia="Times New Roman" w:hAnsi="Times New Roman"/>
            <w:sz w:val="18"/>
            <w:szCs w:val="18"/>
            <w:u w:val="single" w:color="auto"/>
            <w:color w:val="0000EE"/>
          </w:rPr>
          <w:t>2020).</w:t>
        </w:r>
      </w:hyperlink>
    </w:p>
    <w:p>
      <w:pPr>
        <w:spacing w:after="0" w:line="176" w:lineRule="exact"/>
        <w:rPr>
          <w:rFonts w:ascii="Times New Roman" w:cs="Times New Roman" w:eastAsia="Times New Roman" w:hAnsi="Times New Roman"/>
          <w:sz w:val="18"/>
          <w:szCs w:val="18"/>
          <w:u w:val="single" w:color="auto"/>
          <w:color w:val="0000EE"/>
        </w:rPr>
      </w:pPr>
    </w:p>
    <w:p>
      <w:pPr>
        <w:ind w:left="900" w:right="459" w:hanging="850"/>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209">
        <w:r>
          <w:rPr>
            <w:rFonts w:ascii="Times New Roman" w:cs="Times New Roman" w:eastAsia="Times New Roman" w:hAnsi="Times New Roman"/>
            <w:sz w:val="18"/>
            <w:szCs w:val="18"/>
            <w:u w:val="single" w:color="auto"/>
            <w:color w:val="0000EE"/>
          </w:rPr>
          <w:t>Amendment No. 1, dated March 18, 2021 to License Agreement, dated as of August 20, 2015 between the</w:t>
        </w:r>
      </w:hyperlink>
      <w:r>
        <w:rPr>
          <w:rFonts w:ascii="Times New Roman" w:cs="Times New Roman" w:eastAsia="Times New Roman" w:hAnsi="Times New Roman"/>
          <w:sz w:val="18"/>
          <w:szCs w:val="18"/>
          <w:u w:val="single" w:color="auto"/>
          <w:color w:val="0000EE"/>
        </w:rPr>
        <w:t xml:space="preserve"> </w:t>
      </w:r>
      <w:hyperlink r:id="rId209">
        <w:r>
          <w:rPr>
            <w:rFonts w:ascii="Times New Roman" w:cs="Times New Roman" w:eastAsia="Times New Roman" w:hAnsi="Times New Roman"/>
            <w:sz w:val="18"/>
            <w:szCs w:val="18"/>
            <w:u w:val="single" w:color="auto"/>
            <w:color w:val="0000EE"/>
          </w:rPr>
          <w:t>Registrant and Memorial Sloan Kettering Cancer Center (incorporated by reference to Exhibit 10.7 to</w:t>
        </w:r>
      </w:hyperlink>
      <w:r>
        <w:rPr>
          <w:rFonts w:ascii="Times New Roman" w:cs="Times New Roman" w:eastAsia="Times New Roman" w:hAnsi="Times New Roman"/>
          <w:sz w:val="18"/>
          <w:szCs w:val="18"/>
          <w:u w:val="single" w:color="auto"/>
          <w:color w:val="0000EE"/>
        </w:rPr>
        <w:t xml:space="preserve"> </w:t>
      </w:r>
      <w:hyperlink r:id="rId209">
        <w:r>
          <w:rPr>
            <w:rFonts w:ascii="Times New Roman" w:cs="Times New Roman" w:eastAsia="Times New Roman" w:hAnsi="Times New Roman"/>
            <w:sz w:val="18"/>
            <w:szCs w:val="18"/>
            <w:u w:val="single" w:color="auto"/>
            <w:color w:val="0000EE"/>
          </w:rPr>
          <w:t>Registrant’s Form 10-Q filed May 6, 2021).</w:t>
        </w:r>
      </w:hyperlink>
    </w:p>
    <w:p>
      <w:pPr>
        <w:spacing w:after="0" w:line="176" w:lineRule="exact"/>
        <w:rPr>
          <w:rFonts w:ascii="Times New Roman" w:cs="Times New Roman" w:eastAsia="Times New Roman" w:hAnsi="Times New Roman"/>
          <w:sz w:val="18"/>
          <w:szCs w:val="18"/>
          <w:u w:val="single" w:color="auto"/>
          <w:color w:val="0000EE"/>
        </w:rPr>
      </w:pPr>
    </w:p>
    <w:p>
      <w:pPr>
        <w:ind w:left="900" w:right="459" w:hanging="850"/>
        <w:spacing w:after="0" w:line="266" w:lineRule="auto"/>
        <w:tabs>
          <w:tab w:leader="none" w:pos="88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10.24++</w:t>
      </w:r>
      <w:r>
        <w:rPr>
          <w:sz w:val="20"/>
          <w:szCs w:val="20"/>
          <w:color w:val="auto"/>
        </w:rPr>
        <w:tab/>
      </w:r>
      <w:hyperlink r:id="rId210">
        <w:r>
          <w:rPr>
            <w:rFonts w:ascii="Times New Roman" w:cs="Times New Roman" w:eastAsia="Times New Roman" w:hAnsi="Times New Roman"/>
            <w:sz w:val="18"/>
            <w:szCs w:val="18"/>
            <w:u w:val="single" w:color="auto"/>
            <w:color w:val="0000EE"/>
          </w:rPr>
          <w:t>Amendment No. 2, dated March 18, 2021 to License Agreement, dated as of August 20, 2015 between the</w:t>
        </w:r>
      </w:hyperlink>
      <w:r>
        <w:rPr>
          <w:rFonts w:ascii="Times New Roman" w:cs="Times New Roman" w:eastAsia="Times New Roman" w:hAnsi="Times New Roman"/>
          <w:sz w:val="18"/>
          <w:szCs w:val="18"/>
          <w:u w:val="single" w:color="auto"/>
          <w:color w:val="0000EE"/>
        </w:rPr>
        <w:t xml:space="preserve"> </w:t>
      </w:r>
      <w:hyperlink r:id="rId210">
        <w:r>
          <w:rPr>
            <w:rFonts w:ascii="Times New Roman" w:cs="Times New Roman" w:eastAsia="Times New Roman" w:hAnsi="Times New Roman"/>
            <w:sz w:val="18"/>
            <w:szCs w:val="18"/>
            <w:u w:val="single" w:color="auto"/>
            <w:color w:val="0000EE"/>
          </w:rPr>
          <w:t>Registrant and Memorial Sloan Kettering Cancer Center (incorporated by reference to Exhibit 10.7 to</w:t>
        </w:r>
      </w:hyperlink>
      <w:r>
        <w:rPr>
          <w:rFonts w:ascii="Times New Roman" w:cs="Times New Roman" w:eastAsia="Times New Roman" w:hAnsi="Times New Roman"/>
          <w:sz w:val="18"/>
          <w:szCs w:val="18"/>
          <w:u w:val="single" w:color="auto"/>
          <w:color w:val="0000EE"/>
        </w:rPr>
        <w:t xml:space="preserve"> </w:t>
      </w:r>
      <w:hyperlink r:id="rId210">
        <w:r>
          <w:rPr>
            <w:rFonts w:ascii="Times New Roman" w:cs="Times New Roman" w:eastAsia="Times New Roman" w:hAnsi="Times New Roman"/>
            <w:sz w:val="18"/>
            <w:szCs w:val="18"/>
            <w:u w:val="single" w:color="auto"/>
            <w:color w:val="0000EE"/>
          </w:rPr>
          <w:t>Registrant’s Form 10-Q filed, May 6, 2022)</w:t>
        </w:r>
        <w:r>
          <w:rPr>
            <w:rFonts w:ascii="Times New Roman" w:cs="Times New Roman" w:eastAsia="Times New Roman" w:hAnsi="Times New Roman"/>
            <w:sz w:val="18"/>
            <w:szCs w:val="18"/>
            <w:color w:val="000000"/>
          </w:rPr>
          <w:t>.</w:t>
        </w:r>
      </w:hyperlink>
    </w:p>
    <w:p>
      <w:pPr>
        <w:spacing w:after="0" w:line="176" w:lineRule="exact"/>
        <w:rPr>
          <w:rFonts w:ascii="Times New Roman" w:cs="Times New Roman" w:eastAsia="Times New Roman" w:hAnsi="Times New Roman"/>
          <w:sz w:val="18"/>
          <w:szCs w:val="18"/>
          <w:u w:val="single" w:color="auto"/>
          <w:color w:val="0000EE"/>
        </w:rPr>
      </w:pPr>
    </w:p>
    <w:p>
      <w:pPr>
        <w:ind w:left="900" w:right="539" w:hanging="850"/>
        <w:spacing w:after="0" w:line="282" w:lineRule="auto"/>
        <w:tabs>
          <w:tab w:leader="none" w:pos="88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10.25†</w:t>
      </w:r>
      <w:r>
        <w:rPr>
          <w:sz w:val="20"/>
          <w:szCs w:val="20"/>
          <w:color w:val="auto"/>
        </w:rPr>
        <w:tab/>
      </w:r>
      <w:hyperlink r:id="rId211">
        <w:r>
          <w:rPr>
            <w:rFonts w:ascii="Times New Roman" w:cs="Times New Roman" w:eastAsia="Times New Roman" w:hAnsi="Times New Roman"/>
            <w:sz w:val="18"/>
            <w:szCs w:val="18"/>
            <w:u w:val="single" w:color="auto"/>
            <w:color w:val="0000EE"/>
          </w:rPr>
          <w:t>Employment Agreement for Dr. Steen Lisby, effective as of August 1, 2017 (incorporated by reference to</w:t>
        </w:r>
      </w:hyperlink>
      <w:r>
        <w:rPr>
          <w:rFonts w:ascii="Times New Roman" w:cs="Times New Roman" w:eastAsia="Times New Roman" w:hAnsi="Times New Roman"/>
          <w:sz w:val="18"/>
          <w:szCs w:val="18"/>
          <w:u w:val="single" w:color="auto"/>
          <w:color w:val="0000EE"/>
        </w:rPr>
        <w:t xml:space="preserve"> </w:t>
      </w:r>
      <w:hyperlink r:id="rId211">
        <w:r>
          <w:rPr>
            <w:rFonts w:ascii="Times New Roman" w:cs="Times New Roman" w:eastAsia="Times New Roman" w:hAnsi="Times New Roman"/>
            <w:sz w:val="18"/>
            <w:szCs w:val="18"/>
            <w:u w:val="single" w:color="auto"/>
            <w:color w:val="0000EE"/>
          </w:rPr>
          <w:t>Exhibit 10.8 to Registrant’s Form 10-Q filed, May 9, 2022)</w:t>
        </w:r>
        <w:r>
          <w:rPr>
            <w:rFonts w:ascii="Times New Roman" w:cs="Times New Roman" w:eastAsia="Times New Roman" w:hAnsi="Times New Roman"/>
            <w:sz w:val="18"/>
            <w:szCs w:val="18"/>
            <w:color w:val="000000"/>
          </w:rPr>
          <w:t>.</w:t>
        </w:r>
      </w:hyperlink>
    </w:p>
    <w:p>
      <w:pPr>
        <w:spacing w:after="0" w:line="162" w:lineRule="exact"/>
        <w:rPr>
          <w:sz w:val="20"/>
          <w:szCs w:val="20"/>
          <w:color w:val="auto"/>
        </w:rPr>
      </w:pPr>
    </w:p>
    <w:p>
      <w:pPr>
        <w:ind w:left="900" w:right="499" w:hanging="850"/>
        <w:spacing w:after="0" w:line="282" w:lineRule="auto"/>
        <w:tabs>
          <w:tab w:leader="none" w:pos="88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10.26†</w:t>
      </w:r>
      <w:r>
        <w:rPr>
          <w:sz w:val="20"/>
          <w:szCs w:val="20"/>
          <w:color w:val="auto"/>
        </w:rPr>
        <w:tab/>
      </w:r>
      <w:hyperlink r:id="rId212">
        <w:r>
          <w:rPr>
            <w:rFonts w:ascii="Times New Roman" w:cs="Times New Roman" w:eastAsia="Times New Roman" w:hAnsi="Times New Roman"/>
            <w:sz w:val="18"/>
            <w:szCs w:val="18"/>
            <w:u w:val="single" w:color="auto"/>
            <w:color w:val="0000EE"/>
          </w:rPr>
          <w:t>Amendment to Employment Agreement for Dr. Steen Lisby, effective as of June 1, 2020 (incorporated by</w:t>
        </w:r>
      </w:hyperlink>
      <w:r>
        <w:rPr>
          <w:rFonts w:ascii="Times New Roman" w:cs="Times New Roman" w:eastAsia="Times New Roman" w:hAnsi="Times New Roman"/>
          <w:sz w:val="18"/>
          <w:szCs w:val="18"/>
          <w:u w:val="single" w:color="auto"/>
          <w:color w:val="0000EE"/>
        </w:rPr>
        <w:t xml:space="preserve"> </w:t>
      </w:r>
      <w:hyperlink r:id="rId212">
        <w:r>
          <w:rPr>
            <w:rFonts w:ascii="Times New Roman" w:cs="Times New Roman" w:eastAsia="Times New Roman" w:hAnsi="Times New Roman"/>
            <w:sz w:val="18"/>
            <w:szCs w:val="18"/>
            <w:u w:val="single" w:color="auto"/>
            <w:color w:val="0000EE"/>
          </w:rPr>
          <w:t>reference to Exhibit 10.9 to Registrant’s Form 10-Q filed, May 9, 2022)</w:t>
        </w:r>
        <w:r>
          <w:rPr>
            <w:rFonts w:ascii="Times New Roman" w:cs="Times New Roman" w:eastAsia="Times New Roman" w:hAnsi="Times New Roman"/>
            <w:sz w:val="18"/>
            <w:szCs w:val="18"/>
            <w:color w:val="000000"/>
          </w:rPr>
          <w:t>.</w:t>
        </w:r>
      </w:hyperlink>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2" w:name="page173"/>
    <w:bookmarkEnd w:id="1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spacing w:after="0"/>
        <w:tabs>
          <w:tab w:leader="none" w:pos="8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214">
        <w:r>
          <w:rPr>
            <w:rFonts w:ascii="Times New Roman" w:cs="Times New Roman" w:eastAsia="Times New Roman" w:hAnsi="Times New Roman"/>
            <w:sz w:val="17"/>
            <w:szCs w:val="17"/>
            <w:u w:val="single" w:color="auto"/>
            <w:color w:val="0000EE"/>
          </w:rPr>
          <w:t>Form of Stock Option Grant Notice and Stock Option Agreement under the 2018 Equity Incentive Plan</w:t>
        </w:r>
      </w:hyperlink>
    </w:p>
    <w:p>
      <w:pPr>
        <w:spacing w:after="0" w:line="27" w:lineRule="exact"/>
        <w:rPr>
          <w:sz w:val="20"/>
          <w:szCs w:val="20"/>
          <w:color w:val="auto"/>
        </w:rPr>
      </w:pPr>
    </w:p>
    <w:p>
      <w:pPr>
        <w:jc w:val="center"/>
        <w:ind w:right="619"/>
        <w:spacing w:after="0"/>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u w:val="single" w:color="auto"/>
            <w:color w:val="0000EE"/>
          </w:rPr>
          <w:t>(incorporated by reference to Exhibit 10.1 to Registrant’s Form 10-Q filed August 8, 2022)</w:t>
        </w:r>
        <w:r>
          <w:rPr>
            <w:rFonts w:ascii="Times New Roman" w:cs="Times New Roman" w:eastAsia="Times New Roman" w:hAnsi="Times New Roman"/>
            <w:sz w:val="18"/>
            <w:szCs w:val="18"/>
            <w:color w:val="000000"/>
          </w:rPr>
          <w:t>.</w:t>
        </w:r>
      </w:hyperlink>
    </w:p>
    <w:p>
      <w:pPr>
        <w:spacing w:after="0" w:line="207" w:lineRule="exact"/>
        <w:rPr>
          <w:sz w:val="20"/>
          <w:szCs w:val="20"/>
          <w:color w:val="auto"/>
        </w:rPr>
      </w:pPr>
    </w:p>
    <w:p>
      <w:pPr>
        <w:ind w:left="900" w:right="679" w:hanging="850"/>
        <w:spacing w:after="0" w:line="282" w:lineRule="auto"/>
        <w:tabs>
          <w:tab w:leader="none" w:pos="88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10.28†</w:t>
      </w:r>
      <w:r>
        <w:rPr>
          <w:sz w:val="20"/>
          <w:szCs w:val="20"/>
          <w:color w:val="auto"/>
        </w:rPr>
        <w:tab/>
      </w:r>
      <w:hyperlink r:id="rId215">
        <w:r>
          <w:rPr>
            <w:rFonts w:ascii="Times New Roman" w:cs="Times New Roman" w:eastAsia="Times New Roman" w:hAnsi="Times New Roman"/>
            <w:sz w:val="18"/>
            <w:szCs w:val="18"/>
            <w:u w:val="single" w:color="auto"/>
            <w:color w:val="0000EE"/>
          </w:rPr>
          <w:t>Form of Stock Option Grant Notice and Stock Option Agreement under the 2018 Equity Incentive Plan</w:t>
        </w:r>
      </w:hyperlink>
      <w:r>
        <w:rPr>
          <w:rFonts w:ascii="Times New Roman" w:cs="Times New Roman" w:eastAsia="Times New Roman" w:hAnsi="Times New Roman"/>
          <w:sz w:val="18"/>
          <w:szCs w:val="18"/>
          <w:u w:val="single" w:color="auto"/>
          <w:color w:val="0000EE"/>
        </w:rPr>
        <w:t xml:space="preserve"> </w:t>
      </w:r>
      <w:hyperlink r:id="rId215">
        <w:r>
          <w:rPr>
            <w:rFonts w:ascii="Times New Roman" w:cs="Times New Roman" w:eastAsia="Times New Roman" w:hAnsi="Times New Roman"/>
            <w:sz w:val="18"/>
            <w:szCs w:val="18"/>
            <w:u w:val="single" w:color="auto"/>
            <w:color w:val="0000EE"/>
          </w:rPr>
          <w:t>(incorporated by reference to Exhibit 10.1 to Registrant’s Form 10-Q filed November 7, 2022)</w:t>
        </w:r>
        <w:r>
          <w:rPr>
            <w:rFonts w:ascii="Times New Roman" w:cs="Times New Roman" w:eastAsia="Times New Roman" w:hAnsi="Times New Roman"/>
            <w:sz w:val="18"/>
            <w:szCs w:val="18"/>
            <w:color w:val="000000"/>
          </w:rPr>
          <w:t>.</w:t>
        </w:r>
      </w:hyperlink>
    </w:p>
    <w:p>
      <w:pPr>
        <w:spacing w:after="0" w:line="162" w:lineRule="exact"/>
        <w:rPr>
          <w:sz w:val="20"/>
          <w:szCs w:val="20"/>
          <w:color w:val="auto"/>
        </w:rPr>
      </w:pPr>
    </w:p>
    <w:p>
      <w:pPr>
        <w:ind w:left="900" w:right="419" w:hanging="850"/>
        <w:spacing w:after="0" w:line="282" w:lineRule="auto"/>
        <w:tabs>
          <w:tab w:leader="none" w:pos="88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10.29†</w:t>
      </w:r>
      <w:r>
        <w:rPr>
          <w:sz w:val="20"/>
          <w:szCs w:val="20"/>
          <w:color w:val="auto"/>
        </w:rPr>
        <w:tab/>
      </w:r>
      <w:hyperlink r:id="rId216">
        <w:r>
          <w:rPr>
            <w:rFonts w:ascii="Times New Roman" w:cs="Times New Roman" w:eastAsia="Times New Roman" w:hAnsi="Times New Roman"/>
            <w:sz w:val="18"/>
            <w:szCs w:val="18"/>
            <w:u w:val="single" w:color="auto"/>
            <w:color w:val="0000EE"/>
          </w:rPr>
          <w:t>Form of Stock Option Grant Notice and Stock Option Agreement under the 2018 Equity Incentive Plan for</w:t>
        </w:r>
      </w:hyperlink>
      <w:r>
        <w:rPr>
          <w:rFonts w:ascii="Times New Roman" w:cs="Times New Roman" w:eastAsia="Times New Roman" w:hAnsi="Times New Roman"/>
          <w:sz w:val="18"/>
          <w:szCs w:val="18"/>
          <w:u w:val="single" w:color="auto"/>
          <w:color w:val="0000EE"/>
        </w:rPr>
        <w:t xml:space="preserve"> </w:t>
      </w:r>
      <w:hyperlink r:id="rId216">
        <w:r>
          <w:rPr>
            <w:rFonts w:ascii="Times New Roman" w:cs="Times New Roman" w:eastAsia="Times New Roman" w:hAnsi="Times New Roman"/>
            <w:sz w:val="18"/>
            <w:szCs w:val="18"/>
            <w:u w:val="single" w:color="auto"/>
            <w:color w:val="0000EE"/>
          </w:rPr>
          <w:t>directors (incorporated by reference to Exhibit 10.2 to Registrant’s Form 10-Q filed November 7, 2022)</w:t>
        </w:r>
        <w:r>
          <w:rPr>
            <w:rFonts w:ascii="Times New Roman" w:cs="Times New Roman" w:eastAsia="Times New Roman" w:hAnsi="Times New Roman"/>
            <w:sz w:val="18"/>
            <w:szCs w:val="18"/>
            <w:color w:val="000000"/>
          </w:rPr>
          <w:t>.</w:t>
        </w:r>
      </w:hyperlink>
    </w:p>
    <w:p>
      <w:pPr>
        <w:spacing w:after="0" w:line="162" w:lineRule="exact"/>
        <w:rPr>
          <w:sz w:val="20"/>
          <w:szCs w:val="20"/>
          <w:color w:val="auto"/>
        </w:rPr>
      </w:pPr>
    </w:p>
    <w:p>
      <w:pPr>
        <w:ind w:left="900" w:right="799" w:hanging="850"/>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217">
        <w:r>
          <w:rPr>
            <w:rFonts w:ascii="Times New Roman" w:cs="Times New Roman" w:eastAsia="Times New Roman" w:hAnsi="Times New Roman"/>
            <w:sz w:val="18"/>
            <w:szCs w:val="18"/>
            <w:u w:val="single" w:color="auto"/>
            <w:color w:val="0000EE"/>
          </w:rPr>
          <w:t>Employment Agreement entered into on October 17, 2023, between the Registrant and Michael Rossi</w:t>
        </w:r>
      </w:hyperlink>
      <w:r>
        <w:rPr>
          <w:rFonts w:ascii="Times New Roman" w:cs="Times New Roman" w:eastAsia="Times New Roman" w:hAnsi="Times New Roman"/>
          <w:sz w:val="18"/>
          <w:szCs w:val="18"/>
          <w:u w:val="single" w:color="auto"/>
          <w:color w:val="0000EE"/>
        </w:rPr>
        <w:t xml:space="preserve"> </w:t>
      </w:r>
      <w:hyperlink r:id="rId217">
        <w:r>
          <w:rPr>
            <w:rFonts w:ascii="Times New Roman" w:cs="Times New Roman" w:eastAsia="Times New Roman" w:hAnsi="Times New Roman"/>
            <w:sz w:val="18"/>
            <w:szCs w:val="18"/>
            <w:u w:val="single" w:color="auto"/>
            <w:color w:val="0000EE"/>
          </w:rPr>
          <w:t>(incorporated by reference to Exhibit 10.1 to Registrant’s Form 8-K filed October 18, 2023).</w:t>
        </w:r>
      </w:hyperlink>
    </w:p>
    <w:p>
      <w:pPr>
        <w:spacing w:after="0" w:line="162" w:lineRule="exact"/>
        <w:rPr>
          <w:sz w:val="20"/>
          <w:szCs w:val="20"/>
          <w:color w:val="auto"/>
        </w:rPr>
      </w:pPr>
    </w:p>
    <w:p>
      <w:pPr>
        <w:ind w:left="900" w:right="219" w:hanging="850"/>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10.31†</w:t>
      </w:r>
      <w:r>
        <w:rPr>
          <w:sz w:val="20"/>
          <w:szCs w:val="20"/>
          <w:color w:val="auto"/>
        </w:rPr>
        <w:tab/>
      </w:r>
      <w:hyperlink r:id="rId218">
        <w:r>
          <w:rPr>
            <w:rFonts w:ascii="Times New Roman" w:cs="Times New Roman" w:eastAsia="Times New Roman" w:hAnsi="Times New Roman"/>
            <w:sz w:val="18"/>
            <w:szCs w:val="18"/>
            <w:u w:val="single" w:color="auto"/>
            <w:color w:val="0000EE"/>
          </w:rPr>
          <w:t>Employee Confidential Information and Inventions Assignment Agreement, dated October 17, 2023, between</w:t>
        </w:r>
      </w:hyperlink>
      <w:r>
        <w:rPr>
          <w:rFonts w:ascii="Times New Roman" w:cs="Times New Roman" w:eastAsia="Times New Roman" w:hAnsi="Times New Roman"/>
          <w:sz w:val="18"/>
          <w:szCs w:val="18"/>
          <w:u w:val="single" w:color="auto"/>
          <w:color w:val="0000EE"/>
        </w:rPr>
        <w:t xml:space="preserve"> </w:t>
      </w:r>
      <w:hyperlink r:id="rId218">
        <w:r>
          <w:rPr>
            <w:rFonts w:ascii="Times New Roman" w:cs="Times New Roman" w:eastAsia="Times New Roman" w:hAnsi="Times New Roman"/>
            <w:sz w:val="18"/>
            <w:szCs w:val="18"/>
            <w:u w:val="single" w:color="auto"/>
            <w:color w:val="0000EE"/>
          </w:rPr>
          <w:t>the Registrant and Michael Rossi (incorporated by reference to Exhibit 10.2 to Registrant’s Form 8-K filed</w:t>
        </w:r>
      </w:hyperlink>
      <w:r>
        <w:rPr>
          <w:rFonts w:ascii="Times New Roman" w:cs="Times New Roman" w:eastAsia="Times New Roman" w:hAnsi="Times New Roman"/>
          <w:sz w:val="18"/>
          <w:szCs w:val="18"/>
          <w:u w:val="single" w:color="auto"/>
          <w:color w:val="0000EE"/>
        </w:rPr>
        <w:t xml:space="preserve"> </w:t>
      </w:r>
      <w:hyperlink r:id="rId218">
        <w:r>
          <w:rPr>
            <w:rFonts w:ascii="Times New Roman" w:cs="Times New Roman" w:eastAsia="Times New Roman" w:hAnsi="Times New Roman"/>
            <w:sz w:val="18"/>
            <w:szCs w:val="18"/>
            <w:u w:val="single" w:color="auto"/>
            <w:color w:val="0000EE"/>
          </w:rPr>
          <w:t>October 18, 2023)</w:t>
        </w:r>
      </w:hyperlink>
    </w:p>
    <w:p>
      <w:pPr>
        <w:spacing w:after="0" w:line="176" w:lineRule="exact"/>
        <w:rPr>
          <w:rFonts w:ascii="Times New Roman" w:cs="Times New Roman" w:eastAsia="Times New Roman" w:hAnsi="Times New Roman"/>
          <w:sz w:val="18"/>
          <w:szCs w:val="18"/>
          <w:u w:val="single" w:color="auto"/>
          <w:color w:val="0000EE"/>
        </w:rPr>
      </w:pPr>
    </w:p>
    <w:p>
      <w:pPr>
        <w:ind w:left="900" w:right="439" w:hanging="850"/>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10.32</w:t>
      </w:r>
      <w:r>
        <w:rPr>
          <w:sz w:val="20"/>
          <w:szCs w:val="20"/>
          <w:color w:val="auto"/>
        </w:rPr>
        <w:tab/>
      </w:r>
      <w:hyperlink r:id="rId219">
        <w:r>
          <w:rPr>
            <w:rFonts w:ascii="Times New Roman" w:cs="Times New Roman" w:eastAsia="Times New Roman" w:hAnsi="Times New Roman"/>
            <w:sz w:val="18"/>
            <w:szCs w:val="18"/>
            <w:u w:val="single" w:color="auto"/>
            <w:color w:val="0000EE"/>
          </w:rPr>
          <w:t>Amendment, dated August 16, 2023, to Lease Agreement dated January 10, 2018, by and between the</w:t>
        </w:r>
      </w:hyperlink>
      <w:r>
        <w:rPr>
          <w:rFonts w:ascii="Times New Roman" w:cs="Times New Roman" w:eastAsia="Times New Roman" w:hAnsi="Times New Roman"/>
          <w:sz w:val="18"/>
          <w:szCs w:val="18"/>
          <w:u w:val="single" w:color="auto"/>
          <w:color w:val="0000EE"/>
        </w:rPr>
        <w:t xml:space="preserve"> </w:t>
      </w:r>
      <w:hyperlink r:id="rId219">
        <w:r>
          <w:rPr>
            <w:rFonts w:ascii="Times New Roman" w:cs="Times New Roman" w:eastAsia="Times New Roman" w:hAnsi="Times New Roman"/>
            <w:sz w:val="18"/>
            <w:szCs w:val="18"/>
            <w:u w:val="single" w:color="auto"/>
            <w:color w:val="0000EE"/>
          </w:rPr>
          <w:t>Registrant and RXR HB Owner LLC (incorporated by reference to Exhibit 10.1 to Registrant’s Form 10-Q</w:t>
        </w:r>
      </w:hyperlink>
      <w:r>
        <w:rPr>
          <w:rFonts w:ascii="Times New Roman" w:cs="Times New Roman" w:eastAsia="Times New Roman" w:hAnsi="Times New Roman"/>
          <w:sz w:val="18"/>
          <w:szCs w:val="18"/>
          <w:u w:val="single" w:color="auto"/>
          <w:color w:val="0000EE"/>
        </w:rPr>
        <w:t xml:space="preserve"> </w:t>
      </w:r>
      <w:hyperlink r:id="rId219">
        <w:r>
          <w:rPr>
            <w:rFonts w:ascii="Times New Roman" w:cs="Times New Roman" w:eastAsia="Times New Roman" w:hAnsi="Times New Roman"/>
            <w:sz w:val="18"/>
            <w:szCs w:val="18"/>
            <w:u w:val="single" w:color="auto"/>
            <w:color w:val="0000EE"/>
          </w:rPr>
          <w:t>filed November 13, 2023)</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900" w:right="219" w:hanging="850"/>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10.33†</w:t>
      </w:r>
      <w:r>
        <w:rPr>
          <w:sz w:val="20"/>
          <w:szCs w:val="20"/>
          <w:color w:val="auto"/>
        </w:rPr>
        <w:tab/>
      </w:r>
      <w:hyperlink r:id="rId220">
        <w:r>
          <w:rPr>
            <w:rFonts w:ascii="Times New Roman" w:cs="Times New Roman" w:eastAsia="Times New Roman" w:hAnsi="Times New Roman"/>
            <w:sz w:val="18"/>
            <w:szCs w:val="18"/>
            <w:u w:val="single" w:color="auto"/>
            <w:color w:val="0000EE"/>
          </w:rPr>
          <w:t>Form of Performance Restricted Stock Unit Award Grant Notice and Restricted Stock Unit Award Agreement</w:t>
        </w:r>
      </w:hyperlink>
      <w:r>
        <w:rPr>
          <w:rFonts w:ascii="Times New Roman" w:cs="Times New Roman" w:eastAsia="Times New Roman" w:hAnsi="Times New Roman"/>
          <w:sz w:val="18"/>
          <w:szCs w:val="18"/>
          <w:u w:val="single" w:color="auto"/>
          <w:color w:val="0000EE"/>
        </w:rPr>
        <w:t xml:space="preserve"> </w:t>
      </w:r>
      <w:hyperlink r:id="rId220">
        <w:r>
          <w:rPr>
            <w:rFonts w:ascii="Times New Roman" w:cs="Times New Roman" w:eastAsia="Times New Roman" w:hAnsi="Times New Roman"/>
            <w:sz w:val="18"/>
            <w:szCs w:val="18"/>
            <w:u w:val="single" w:color="auto"/>
            <w:color w:val="0000EE"/>
          </w:rPr>
          <w:t>under the 2018 Equity Incentive Plan (incorporated with reference to Exhibit 10.46 to Registrant’s Form10-K</w:t>
        </w:r>
      </w:hyperlink>
      <w:r>
        <w:rPr>
          <w:rFonts w:ascii="Times New Roman" w:cs="Times New Roman" w:eastAsia="Times New Roman" w:hAnsi="Times New Roman"/>
          <w:sz w:val="18"/>
          <w:szCs w:val="18"/>
          <w:u w:val="single" w:color="auto"/>
          <w:color w:val="0000EE"/>
        </w:rPr>
        <w:t xml:space="preserve"> </w:t>
      </w:r>
      <w:hyperlink r:id="rId220">
        <w:r>
          <w:rPr>
            <w:rFonts w:ascii="Times New Roman" w:cs="Times New Roman" w:eastAsia="Times New Roman" w:hAnsi="Times New Roman"/>
            <w:sz w:val="18"/>
            <w:szCs w:val="18"/>
            <w:u w:val="single" w:color="auto"/>
            <w:color w:val="0000EE"/>
          </w:rPr>
          <w:t>filed, February 29, 2024)</w:t>
        </w:r>
      </w:hyperlink>
    </w:p>
    <w:p>
      <w:pPr>
        <w:spacing w:after="0" w:line="176" w:lineRule="exact"/>
        <w:rPr>
          <w:rFonts w:ascii="Times New Roman" w:cs="Times New Roman" w:eastAsia="Times New Roman" w:hAnsi="Times New Roman"/>
          <w:sz w:val="18"/>
          <w:szCs w:val="18"/>
          <w:u w:val="single" w:color="auto"/>
          <w:color w:val="0000EE"/>
        </w:rPr>
      </w:pPr>
    </w:p>
    <w:p>
      <w:pPr>
        <w:ind w:left="900" w:right="99" w:hanging="850"/>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10.34†</w:t>
      </w:r>
      <w:r>
        <w:rPr>
          <w:sz w:val="20"/>
          <w:szCs w:val="20"/>
          <w:color w:val="auto"/>
        </w:rPr>
        <w:tab/>
      </w:r>
      <w:hyperlink r:id="rId221">
        <w:r>
          <w:rPr>
            <w:rFonts w:ascii="Times New Roman" w:cs="Times New Roman" w:eastAsia="Times New Roman" w:hAnsi="Times New Roman"/>
            <w:sz w:val="18"/>
            <w:szCs w:val="18"/>
            <w:u w:val="single" w:color="auto"/>
            <w:color w:val="0000EE"/>
          </w:rPr>
          <w:t>Severance Agreement dated March 21, 2024 between Y-mAbs Therapeutics A/S and Steen Lisby (incorporated</w:t>
        </w:r>
      </w:hyperlink>
      <w:r>
        <w:rPr>
          <w:rFonts w:ascii="Times New Roman" w:cs="Times New Roman" w:eastAsia="Times New Roman" w:hAnsi="Times New Roman"/>
          <w:sz w:val="18"/>
          <w:szCs w:val="18"/>
          <w:u w:val="single" w:color="auto"/>
          <w:color w:val="0000EE"/>
        </w:rPr>
        <w:t xml:space="preserve"> </w:t>
      </w:r>
      <w:hyperlink r:id="rId221">
        <w:r>
          <w:rPr>
            <w:rFonts w:ascii="Times New Roman" w:cs="Times New Roman" w:eastAsia="Times New Roman" w:hAnsi="Times New Roman"/>
            <w:sz w:val="18"/>
            <w:szCs w:val="18"/>
            <w:u w:val="single" w:color="auto"/>
            <w:color w:val="0000EE"/>
          </w:rPr>
          <w:t>by reference to Exhibit 10.3 to Registrant’s Form 10-Q filed May 7, 2024)</w:t>
        </w:r>
      </w:hyperlink>
    </w:p>
    <w:p>
      <w:pPr>
        <w:spacing w:after="0" w:line="162" w:lineRule="exact"/>
        <w:rPr>
          <w:sz w:val="20"/>
          <w:szCs w:val="20"/>
          <w:color w:val="auto"/>
        </w:rPr>
      </w:pPr>
    </w:p>
    <w:p>
      <w:pPr>
        <w:ind w:left="900" w:right="259" w:hanging="850"/>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10.35†</w:t>
      </w:r>
      <w:r>
        <w:rPr>
          <w:sz w:val="20"/>
          <w:szCs w:val="20"/>
          <w:color w:val="auto"/>
        </w:rPr>
        <w:tab/>
      </w:r>
      <w:hyperlink r:id="rId222">
        <w:r>
          <w:rPr>
            <w:rFonts w:ascii="Times New Roman" w:cs="Times New Roman" w:eastAsia="Times New Roman" w:hAnsi="Times New Roman"/>
            <w:sz w:val="18"/>
            <w:szCs w:val="18"/>
            <w:u w:val="single" w:color="auto"/>
            <w:color w:val="0000EE"/>
          </w:rPr>
          <w:t>Amended and Restated Non-Employee Director Compensation Policy, effective April 26, 2024 (incorporated</w:t>
        </w:r>
      </w:hyperlink>
      <w:r>
        <w:rPr>
          <w:rFonts w:ascii="Times New Roman" w:cs="Times New Roman" w:eastAsia="Times New Roman" w:hAnsi="Times New Roman"/>
          <w:sz w:val="18"/>
          <w:szCs w:val="18"/>
          <w:u w:val="single" w:color="auto"/>
          <w:color w:val="0000EE"/>
        </w:rPr>
        <w:t xml:space="preserve"> </w:t>
      </w:r>
      <w:hyperlink r:id="rId222">
        <w:r>
          <w:rPr>
            <w:rFonts w:ascii="Times New Roman" w:cs="Times New Roman" w:eastAsia="Times New Roman" w:hAnsi="Times New Roman"/>
            <w:sz w:val="18"/>
            <w:szCs w:val="18"/>
            <w:u w:val="single" w:color="auto"/>
            <w:color w:val="0000EE"/>
          </w:rPr>
          <w:t>by reference to Exhibit 10.4 to Registrant's Form 10-Q filed May 7, 2024)</w:t>
        </w:r>
      </w:hyperlink>
    </w:p>
    <w:p>
      <w:pPr>
        <w:spacing w:after="0" w:line="162" w:lineRule="exact"/>
        <w:rPr>
          <w:sz w:val="20"/>
          <w:szCs w:val="20"/>
          <w:color w:val="auto"/>
        </w:rPr>
      </w:pPr>
    </w:p>
    <w:p>
      <w:pPr>
        <w:ind w:left="900" w:right="639" w:hanging="850"/>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10.36†</w:t>
      </w:r>
      <w:r>
        <w:rPr>
          <w:sz w:val="20"/>
          <w:szCs w:val="20"/>
          <w:color w:val="auto"/>
        </w:rPr>
        <w:tab/>
      </w:r>
      <w:hyperlink r:id="rId223">
        <w:r>
          <w:rPr>
            <w:rFonts w:ascii="Times New Roman" w:cs="Times New Roman" w:eastAsia="Times New Roman" w:hAnsi="Times New Roman"/>
            <w:sz w:val="18"/>
            <w:szCs w:val="18"/>
            <w:u w:val="single" w:color="auto"/>
            <w:color w:val="0000EE"/>
          </w:rPr>
          <w:t>Employment Agreement, entered into on June 28, 2024, between the Registrant and Peter Pfreundschuh</w:t>
        </w:r>
      </w:hyperlink>
      <w:r>
        <w:rPr>
          <w:rFonts w:ascii="Times New Roman" w:cs="Times New Roman" w:eastAsia="Times New Roman" w:hAnsi="Times New Roman"/>
          <w:sz w:val="18"/>
          <w:szCs w:val="18"/>
          <w:u w:val="single" w:color="auto"/>
          <w:color w:val="0000EE"/>
        </w:rPr>
        <w:t xml:space="preserve"> </w:t>
      </w:r>
      <w:hyperlink r:id="rId223">
        <w:r>
          <w:rPr>
            <w:rFonts w:ascii="Times New Roman" w:cs="Times New Roman" w:eastAsia="Times New Roman" w:hAnsi="Times New Roman"/>
            <w:sz w:val="18"/>
            <w:szCs w:val="18"/>
            <w:u w:val="single" w:color="auto"/>
            <w:color w:val="0000EE"/>
          </w:rPr>
          <w:t>(incorporated by reference to Exhibit 10.1 to Registrant’s Form 8-K filed, July 1, 2024)</w:t>
        </w:r>
      </w:hyperlink>
    </w:p>
    <w:p>
      <w:pPr>
        <w:spacing w:after="0" w:line="162" w:lineRule="exact"/>
        <w:rPr>
          <w:sz w:val="20"/>
          <w:szCs w:val="20"/>
          <w:color w:val="auto"/>
        </w:rPr>
      </w:pPr>
    </w:p>
    <w:p>
      <w:pPr>
        <w:ind w:left="900" w:right="699" w:hanging="850"/>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10.37†</w:t>
      </w:r>
      <w:r>
        <w:rPr>
          <w:sz w:val="20"/>
          <w:szCs w:val="20"/>
          <w:color w:val="auto"/>
        </w:rPr>
        <w:tab/>
      </w:r>
      <w:hyperlink r:id="rId224">
        <w:r>
          <w:rPr>
            <w:rFonts w:ascii="Times New Roman" w:cs="Times New Roman" w:eastAsia="Times New Roman" w:hAnsi="Times New Roman"/>
            <w:sz w:val="18"/>
            <w:szCs w:val="18"/>
            <w:u w:val="single" w:color="auto"/>
            <w:color w:val="0000EE"/>
          </w:rPr>
          <w:t>Separation Agreement entered into on July 16, 2024, between Bo Kruse and Y-mAbs Therapeutics A/S</w:t>
        </w:r>
      </w:hyperlink>
      <w:r>
        <w:rPr>
          <w:rFonts w:ascii="Times New Roman" w:cs="Times New Roman" w:eastAsia="Times New Roman" w:hAnsi="Times New Roman"/>
          <w:sz w:val="18"/>
          <w:szCs w:val="18"/>
          <w:u w:val="single" w:color="auto"/>
          <w:color w:val="0000EE"/>
        </w:rPr>
        <w:t xml:space="preserve"> </w:t>
      </w:r>
      <w:hyperlink r:id="rId224">
        <w:r>
          <w:rPr>
            <w:rFonts w:ascii="Times New Roman" w:cs="Times New Roman" w:eastAsia="Times New Roman" w:hAnsi="Times New Roman"/>
            <w:sz w:val="18"/>
            <w:szCs w:val="18"/>
            <w:u w:val="single" w:color="auto"/>
            <w:color w:val="0000EE"/>
          </w:rPr>
          <w:t>(incorporated by reference to Exhibit 10.1 to Registrant’s Form 8-K filed, July 19, 2024)</w:t>
        </w:r>
      </w:hyperlink>
    </w:p>
    <w:p>
      <w:pPr>
        <w:spacing w:after="0" w:line="162" w:lineRule="exact"/>
        <w:rPr>
          <w:sz w:val="20"/>
          <w:szCs w:val="20"/>
          <w:color w:val="auto"/>
        </w:rPr>
      </w:pPr>
    </w:p>
    <w:p>
      <w:pPr>
        <w:ind w:left="900" w:right="259" w:hanging="850"/>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10.38†</w:t>
      </w:r>
      <w:r>
        <w:rPr>
          <w:sz w:val="20"/>
          <w:szCs w:val="20"/>
          <w:color w:val="auto"/>
        </w:rPr>
        <w:tab/>
      </w:r>
      <w:hyperlink r:id="rId225">
        <w:r>
          <w:rPr>
            <w:rFonts w:ascii="Times New Roman" w:cs="Times New Roman" w:eastAsia="Times New Roman" w:hAnsi="Times New Roman"/>
            <w:sz w:val="18"/>
            <w:szCs w:val="18"/>
            <w:u w:val="single" w:color="auto"/>
            <w:color w:val="0000EE"/>
          </w:rPr>
          <w:t>Consultancy Agreement, entered into on July 16, 2024, between the Registrant and Investeringsselskabet GH</w:t>
        </w:r>
      </w:hyperlink>
      <w:r>
        <w:rPr>
          <w:rFonts w:ascii="Times New Roman" w:cs="Times New Roman" w:eastAsia="Times New Roman" w:hAnsi="Times New Roman"/>
          <w:sz w:val="18"/>
          <w:szCs w:val="18"/>
          <w:u w:val="single" w:color="auto"/>
          <w:color w:val="0000EE"/>
        </w:rPr>
        <w:t xml:space="preserve"> </w:t>
      </w:r>
      <w:hyperlink r:id="rId225">
        <w:r>
          <w:rPr>
            <w:rFonts w:ascii="Times New Roman" w:cs="Times New Roman" w:eastAsia="Times New Roman" w:hAnsi="Times New Roman"/>
            <w:sz w:val="18"/>
            <w:szCs w:val="18"/>
            <w:u w:val="single" w:color="auto"/>
            <w:color w:val="0000EE"/>
          </w:rPr>
          <w:t>ApS (incorporated by reference to Exhibit 10.2 to Registrant’s Form 8-K filed, July 19, 2024)</w:t>
        </w:r>
      </w:hyperlink>
    </w:p>
    <w:p>
      <w:pPr>
        <w:spacing w:after="0" w:line="162" w:lineRule="exact"/>
        <w:rPr>
          <w:sz w:val="20"/>
          <w:szCs w:val="20"/>
          <w:color w:val="auto"/>
        </w:rPr>
      </w:pPr>
    </w:p>
    <w:p>
      <w:pPr>
        <w:ind w:left="900" w:right="259" w:hanging="850"/>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10.39</w:t>
      </w:r>
      <w:r>
        <w:rPr>
          <w:sz w:val="20"/>
          <w:szCs w:val="20"/>
          <w:color w:val="auto"/>
        </w:rPr>
        <w:tab/>
      </w:r>
      <w:hyperlink r:id="rId226">
        <w:r>
          <w:rPr>
            <w:rFonts w:ascii="Times New Roman" w:cs="Times New Roman" w:eastAsia="Times New Roman" w:hAnsi="Times New Roman"/>
            <w:sz w:val="18"/>
            <w:szCs w:val="18"/>
            <w:u w:val="single" w:color="auto"/>
            <w:color w:val="0000EE"/>
          </w:rPr>
          <w:t>Lease Agreement dated September 11, 2024, by and between the Registrant and Princeton 202 Associates</w:t>
        </w:r>
      </w:hyperlink>
      <w:r>
        <w:rPr>
          <w:rFonts w:ascii="Times New Roman" w:cs="Times New Roman" w:eastAsia="Times New Roman" w:hAnsi="Times New Roman"/>
          <w:sz w:val="18"/>
          <w:szCs w:val="18"/>
          <w:u w:val="single" w:color="auto"/>
          <w:color w:val="0000EE"/>
        </w:rPr>
        <w:t xml:space="preserve"> </w:t>
      </w:r>
      <w:hyperlink r:id="rId226">
        <w:r>
          <w:rPr>
            <w:rFonts w:ascii="Times New Roman" w:cs="Times New Roman" w:eastAsia="Times New Roman" w:hAnsi="Times New Roman"/>
            <w:sz w:val="18"/>
            <w:szCs w:val="18"/>
            <w:u w:val="single" w:color="auto"/>
            <w:color w:val="0000EE"/>
          </w:rPr>
          <w:t>Limited Partnership (incorporated by reference to Exhibit 10.3 to Registrant’s Form 10-Q filed, November 8,</w:t>
        </w:r>
      </w:hyperlink>
      <w:r>
        <w:rPr>
          <w:rFonts w:ascii="Times New Roman" w:cs="Times New Roman" w:eastAsia="Times New Roman" w:hAnsi="Times New Roman"/>
          <w:sz w:val="18"/>
          <w:szCs w:val="18"/>
          <w:u w:val="single" w:color="auto"/>
          <w:color w:val="0000EE"/>
        </w:rPr>
        <w:t xml:space="preserve"> </w:t>
      </w:r>
      <w:hyperlink r:id="rId226">
        <w:r>
          <w:rPr>
            <w:rFonts w:ascii="Times New Roman" w:cs="Times New Roman" w:eastAsia="Times New Roman" w:hAnsi="Times New Roman"/>
            <w:sz w:val="18"/>
            <w:szCs w:val="18"/>
            <w:u w:val="single" w:color="auto"/>
            <w:color w:val="0000EE"/>
          </w:rPr>
          <w:t>2024)</w:t>
        </w:r>
      </w:hyperlink>
    </w:p>
    <w:p>
      <w:pPr>
        <w:spacing w:after="0" w:line="176" w:lineRule="exact"/>
        <w:rPr>
          <w:rFonts w:ascii="Times New Roman" w:cs="Times New Roman" w:eastAsia="Times New Roman" w:hAnsi="Times New Roman"/>
          <w:sz w:val="18"/>
          <w:szCs w:val="18"/>
          <w:u w:val="single" w:color="auto"/>
          <w:color w:val="0000EE"/>
        </w:rPr>
      </w:pPr>
    </w:p>
    <w:p>
      <w:pPr>
        <w:ind w:left="900" w:right="259" w:hanging="850"/>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10.40</w:t>
      </w:r>
      <w:r>
        <w:rPr>
          <w:sz w:val="20"/>
          <w:szCs w:val="20"/>
          <w:color w:val="auto"/>
        </w:rPr>
        <w:tab/>
      </w:r>
      <w:hyperlink r:id="rId227">
        <w:r>
          <w:rPr>
            <w:rFonts w:ascii="Times New Roman" w:cs="Times New Roman" w:eastAsia="Times New Roman" w:hAnsi="Times New Roman"/>
            <w:sz w:val="18"/>
            <w:szCs w:val="18"/>
            <w:u w:val="single" w:color="auto"/>
            <w:color w:val="0000EE"/>
          </w:rPr>
          <w:t>License Agreement dated September 11, 2024, by and between the Registrant and Princeton 202 Associates</w:t>
        </w:r>
      </w:hyperlink>
      <w:r>
        <w:rPr>
          <w:rFonts w:ascii="Times New Roman" w:cs="Times New Roman" w:eastAsia="Times New Roman" w:hAnsi="Times New Roman"/>
          <w:sz w:val="18"/>
          <w:szCs w:val="18"/>
          <w:u w:val="single" w:color="auto"/>
          <w:color w:val="0000EE"/>
        </w:rPr>
        <w:t xml:space="preserve"> </w:t>
      </w:r>
      <w:hyperlink r:id="rId227">
        <w:r>
          <w:rPr>
            <w:rFonts w:ascii="Times New Roman" w:cs="Times New Roman" w:eastAsia="Times New Roman" w:hAnsi="Times New Roman"/>
            <w:sz w:val="18"/>
            <w:szCs w:val="18"/>
            <w:u w:val="single" w:color="auto"/>
            <w:color w:val="0000EE"/>
          </w:rPr>
          <w:t>Limited Partnership (incorporated by reference to Exhibit 10.4 to Registrant’s Form 10-Q filed, November 8,</w:t>
        </w:r>
      </w:hyperlink>
      <w:r>
        <w:rPr>
          <w:rFonts w:ascii="Times New Roman" w:cs="Times New Roman" w:eastAsia="Times New Roman" w:hAnsi="Times New Roman"/>
          <w:sz w:val="18"/>
          <w:szCs w:val="18"/>
          <w:u w:val="single" w:color="auto"/>
          <w:color w:val="0000EE"/>
        </w:rPr>
        <w:t xml:space="preserve"> </w:t>
      </w:r>
      <w:hyperlink r:id="rId227">
        <w:r>
          <w:rPr>
            <w:rFonts w:ascii="Times New Roman" w:cs="Times New Roman" w:eastAsia="Times New Roman" w:hAnsi="Times New Roman"/>
            <w:sz w:val="18"/>
            <w:szCs w:val="18"/>
            <w:u w:val="single" w:color="auto"/>
            <w:color w:val="0000EE"/>
          </w:rPr>
          <w:t>2024)</w:t>
        </w:r>
      </w:hyperlink>
    </w:p>
    <w:p>
      <w:pPr>
        <w:spacing w:after="0" w:line="176" w:lineRule="exact"/>
        <w:rPr>
          <w:rFonts w:ascii="Times New Roman" w:cs="Times New Roman" w:eastAsia="Times New Roman" w:hAnsi="Times New Roman"/>
          <w:sz w:val="18"/>
          <w:szCs w:val="18"/>
          <w:u w:val="single" w:color="auto"/>
          <w:color w:val="0000EE"/>
        </w:rPr>
      </w:pPr>
    </w:p>
    <w:p>
      <w:pPr>
        <w:ind w:left="900" w:right="399" w:hanging="850"/>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10.41++</w:t>
      </w:r>
      <w:r>
        <w:rPr>
          <w:sz w:val="20"/>
          <w:szCs w:val="20"/>
          <w:color w:val="auto"/>
        </w:rPr>
        <w:tab/>
      </w:r>
      <w:hyperlink r:id="rId228">
        <w:r>
          <w:rPr>
            <w:rFonts w:ascii="Times New Roman" w:cs="Times New Roman" w:eastAsia="Times New Roman" w:hAnsi="Times New Roman"/>
            <w:sz w:val="18"/>
            <w:szCs w:val="18"/>
            <w:u w:val="single" w:color="auto"/>
            <w:color w:val="0000EE"/>
          </w:rPr>
          <w:t>License Agreement, entered into on October 29, 2024 and effective October 23, 2024, by and between the</w:t>
        </w:r>
      </w:hyperlink>
      <w:r>
        <w:rPr>
          <w:rFonts w:ascii="Times New Roman" w:cs="Times New Roman" w:eastAsia="Times New Roman" w:hAnsi="Times New Roman"/>
          <w:sz w:val="18"/>
          <w:szCs w:val="18"/>
          <w:u w:val="single" w:color="auto"/>
          <w:color w:val="0000EE"/>
        </w:rPr>
        <w:t xml:space="preserve"> </w:t>
      </w:r>
      <w:hyperlink r:id="rId228">
        <w:r>
          <w:rPr>
            <w:rFonts w:ascii="Times New Roman" w:cs="Times New Roman" w:eastAsia="Times New Roman" w:hAnsi="Times New Roman"/>
            <w:sz w:val="18"/>
            <w:szCs w:val="18"/>
            <w:u w:val="single" w:color="auto"/>
            <w:color w:val="0000EE"/>
          </w:rPr>
          <w:t>Registrant and Nobelpharma, Co., Ltd. (incorporated by reference to Exhibit 10.1 to Registrant’s Form 8-K</w:t>
        </w:r>
      </w:hyperlink>
      <w:r>
        <w:rPr>
          <w:rFonts w:ascii="Times New Roman" w:cs="Times New Roman" w:eastAsia="Times New Roman" w:hAnsi="Times New Roman"/>
          <w:sz w:val="18"/>
          <w:szCs w:val="18"/>
          <w:u w:val="single" w:color="auto"/>
          <w:color w:val="0000EE"/>
        </w:rPr>
        <w:t xml:space="preserve"> </w:t>
      </w:r>
      <w:hyperlink r:id="rId228">
        <w:r>
          <w:rPr>
            <w:rFonts w:ascii="Times New Roman" w:cs="Times New Roman" w:eastAsia="Times New Roman" w:hAnsi="Times New Roman"/>
            <w:sz w:val="18"/>
            <w:szCs w:val="18"/>
            <w:u w:val="single" w:color="auto"/>
            <w:color w:val="0000EE"/>
          </w:rPr>
          <w:t>filed, November 4, 2024)</w:t>
        </w:r>
      </w:hyperlink>
    </w:p>
    <w:p>
      <w:pPr>
        <w:spacing w:after="0" w:line="176" w:lineRule="exact"/>
        <w:rPr>
          <w:rFonts w:ascii="Times New Roman" w:cs="Times New Roman" w:eastAsia="Times New Roman" w:hAnsi="Times New Roman"/>
          <w:sz w:val="18"/>
          <w:szCs w:val="18"/>
          <w:u w:val="single" w:color="auto"/>
          <w:color w:val="0000EE"/>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color w:val="auto"/>
        </w:rPr>
        <w:t>10.42*++</w:t>
      </w:r>
      <w:r>
        <w:rPr>
          <w:sz w:val="20"/>
          <w:szCs w:val="20"/>
          <w:color w:val="auto"/>
        </w:rPr>
        <w:tab/>
      </w:r>
      <w:r>
        <w:rPr>
          <w:rFonts w:ascii="Times New Roman" w:cs="Times New Roman" w:eastAsia="Times New Roman" w:hAnsi="Times New Roman"/>
          <w:sz w:val="17"/>
          <w:szCs w:val="17"/>
          <w:u w:val="single" w:color="auto"/>
          <w:color w:val="0000EE"/>
        </w:rPr>
        <w:t>Amendment No.3 to License Agreement dated August 20, 2015, entered into and effective on November 8,</w:t>
      </w:r>
    </w:p>
    <w:p>
      <w:pPr>
        <w:spacing w:after="0" w:line="27" w:lineRule="exact"/>
        <w:rPr>
          <w:rFonts w:ascii="Times New Roman" w:cs="Times New Roman" w:eastAsia="Times New Roman" w:hAnsi="Times New Roman"/>
          <w:sz w:val="18"/>
          <w:szCs w:val="18"/>
          <w:u w:val="single" w:color="auto"/>
          <w:color w:val="0000EE"/>
        </w:rPr>
      </w:pPr>
    </w:p>
    <w:p>
      <w:pPr>
        <w:ind w:left="900"/>
        <w:spacing w:after="0"/>
        <w:rPr>
          <w:sz w:val="20"/>
          <w:szCs w:val="20"/>
          <w:color w:val="auto"/>
        </w:rPr>
      </w:pPr>
      <w:r>
        <w:rPr>
          <w:rFonts w:ascii="Times New Roman" w:cs="Times New Roman" w:eastAsia="Times New Roman" w:hAnsi="Times New Roman"/>
          <w:sz w:val="18"/>
          <w:szCs w:val="18"/>
          <w:u w:val="single" w:color="auto"/>
          <w:color w:val="0000EE"/>
        </w:rPr>
        <w:t>2024, by and between the Registrant and Memorial Sloan-Kettering Cancer Center</w:t>
      </w:r>
    </w:p>
    <w:p>
      <w:pPr>
        <w:sectPr>
          <w:pgSz w:w="11900" w:h="16838" w:orient="portrait"/>
          <w:cols w:equalWidth="0" w:num="1">
            <w:col w:w="9019"/>
          </w:cols>
          <w:pgMar w:left="1440" w:top="513" w:right="1440" w:bottom="1440" w:gutter="0" w:footer="0" w:header="0"/>
        </w:sect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39"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3" w:name="page174"/>
    <w:bookmarkEnd w:id="1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79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Amendment No.1 to License Agreement dated December 17, 2020, entered into and effective on December 9,</w:t>
            </w:r>
          </w:p>
        </w:tc>
      </w:tr>
      <w:tr>
        <w:trPr>
          <w:trHeight w:val="196"/>
        </w:trPr>
        <w:tc>
          <w:tcPr>
            <w:tcW w:w="840" w:type="dxa"/>
            <w:vAlign w:val="bottom"/>
          </w:tcPr>
          <w:p>
            <w:pPr>
              <w:spacing w:after="0"/>
              <w:rPr>
                <w:sz w:val="17"/>
                <w:szCs w:val="17"/>
                <w:color w:val="auto"/>
              </w:rPr>
            </w:pPr>
          </w:p>
        </w:tc>
        <w:tc>
          <w:tcPr>
            <w:tcW w:w="79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2024, by and between the Registrant and SciClone Pharmaceuticals International Ltd</w:t>
            </w: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45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Y-mAbs Therapeutics, Inc. Insider Trading Compliance Policy</w:t>
            </w:r>
          </w:p>
        </w:tc>
        <w:tc>
          <w:tcPr>
            <w:tcW w:w="1600" w:type="dxa"/>
            <w:vAlign w:val="bottom"/>
            <w:tcBorders>
              <w:top w:val="single" w:sz="8" w:color="0000EE"/>
            </w:tcBorders>
            <w:gridSpan w:val="2"/>
          </w:tcPr>
          <w:p>
            <w:pPr>
              <w:spacing w:after="0"/>
              <w:rPr>
                <w:sz w:val="24"/>
                <w:szCs w:val="24"/>
                <w:color w:val="auto"/>
              </w:rPr>
            </w:pPr>
          </w:p>
        </w:tc>
        <w:tc>
          <w:tcPr>
            <w:tcW w:w="1800" w:type="dxa"/>
            <w:vAlign w:val="bottom"/>
            <w:gridSpan w:val="5"/>
          </w:tcPr>
          <w:p>
            <w:pPr>
              <w:spacing w:after="0"/>
              <w:rPr>
                <w:sz w:val="24"/>
                <w:szCs w:val="24"/>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79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Subsidiary of the Registrant</w:t>
            </w:r>
            <w:r>
              <w:rPr>
                <w:rFonts w:ascii="Times New Roman" w:cs="Times New Roman" w:eastAsia="Times New Roman" w:hAnsi="Times New Roman"/>
                <w:sz w:val="18"/>
                <w:szCs w:val="18"/>
                <w:color w:val="000000"/>
              </w:rPr>
              <w:t>.</w:t>
            </w:r>
          </w:p>
        </w:tc>
      </w:tr>
      <w:tr>
        <w:trPr>
          <w:trHeight w:val="20"/>
        </w:trPr>
        <w:tc>
          <w:tcPr>
            <w:tcW w:w="84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79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Consent of Pricewaterhouse Coopers LLP, Independent Registered Public Accounting Firm</w:t>
            </w:r>
            <w:r>
              <w:rPr>
                <w:rFonts w:ascii="Times New Roman" w:cs="Times New Roman" w:eastAsia="Times New Roman" w:hAnsi="Times New Roman"/>
                <w:sz w:val="18"/>
                <w:szCs w:val="18"/>
                <w:color w:val="000000"/>
              </w:rPr>
              <w:t>.</w:t>
            </w:r>
          </w:p>
        </w:tc>
      </w:tr>
      <w:tr>
        <w:trPr>
          <w:trHeight w:val="20"/>
        </w:trPr>
        <w:tc>
          <w:tcPr>
            <w:tcW w:w="840" w:type="dxa"/>
            <w:vAlign w:val="bottom"/>
          </w:tcPr>
          <w:p>
            <w:pPr>
              <w:spacing w:after="0" w:line="20" w:lineRule="exact"/>
              <w:rPr>
                <w:sz w:val="1"/>
                <w:szCs w:val="1"/>
                <w:color w:val="auto"/>
              </w:rPr>
            </w:pPr>
          </w:p>
        </w:tc>
        <w:tc>
          <w:tcPr>
            <w:tcW w:w="4720" w:type="dxa"/>
            <w:vAlign w:val="bottom"/>
            <w:gridSpan w:val="3"/>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9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 Sarbanes-Oxley Act.</w:t>
            </w: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6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Section 302 of the Sarbanes-Oxley Act</w:t>
            </w:r>
            <w:r>
              <w:rPr>
                <w:rFonts w:ascii="Times New Roman" w:cs="Times New Roman" w:eastAsia="Times New Roman" w:hAnsi="Times New Roman"/>
                <w:sz w:val="18"/>
                <w:szCs w:val="18"/>
                <w:color w:val="000000"/>
              </w:rPr>
              <w:t>.</w:t>
            </w:r>
          </w:p>
        </w:tc>
        <w:tc>
          <w:tcPr>
            <w:tcW w:w="1300" w:type="dxa"/>
            <w:vAlign w:val="bottom"/>
            <w:gridSpan w:val="2"/>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4720" w:type="dxa"/>
            <w:vAlign w:val="bottom"/>
            <w:gridSpan w:val="3"/>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9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906 of the Sarbanes-Oxley Act</w:t>
            </w:r>
            <w:r>
              <w:rPr>
                <w:rFonts w:ascii="Times New Roman" w:cs="Times New Roman" w:eastAsia="Times New Roman" w:hAnsi="Times New Roman"/>
                <w:sz w:val="18"/>
                <w:szCs w:val="18"/>
                <w:color w:val="000000"/>
              </w:rPr>
              <w:t>.</w:t>
            </w: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660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906 of the Sarbanes-Oxley Act</w:t>
            </w:r>
            <w:r>
              <w:rPr>
                <w:rFonts w:ascii="Times New Roman" w:cs="Times New Roman" w:eastAsia="Times New Roman" w:hAnsi="Times New Roman"/>
                <w:sz w:val="18"/>
                <w:szCs w:val="18"/>
                <w:color w:val="000000"/>
                <w:w w:val="99"/>
              </w:rPr>
              <w:t>.</w:t>
            </w:r>
          </w:p>
        </w:tc>
        <w:tc>
          <w:tcPr>
            <w:tcW w:w="1320" w:type="dxa"/>
            <w:vAlign w:val="bottom"/>
            <w:gridSpan w:val="3"/>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4720" w:type="dxa"/>
            <w:vAlign w:val="bottom"/>
            <w:gridSpan w:val="3"/>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7920" w:type="dxa"/>
            <w:vAlign w:val="bottom"/>
            <w:gridSpan w:val="9"/>
          </w:tcPr>
          <w:p>
            <w:pPr>
              <w:spacing w:after="0"/>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Y-mAbs Therapeutics, Inc. Executive Compensation Recoupment Policy (incorporated with reference to</w:t>
              </w:r>
            </w:hyperlink>
          </w:p>
        </w:tc>
      </w:tr>
      <w:tr>
        <w:trPr>
          <w:trHeight w:val="196"/>
        </w:trPr>
        <w:tc>
          <w:tcPr>
            <w:tcW w:w="840" w:type="dxa"/>
            <w:vAlign w:val="bottom"/>
          </w:tcPr>
          <w:p>
            <w:pPr>
              <w:spacing w:after="0"/>
              <w:rPr>
                <w:sz w:val="17"/>
                <w:szCs w:val="17"/>
                <w:color w:val="auto"/>
              </w:rPr>
            </w:pPr>
          </w:p>
        </w:tc>
        <w:tc>
          <w:tcPr>
            <w:tcW w:w="752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Exhibit 10.46 to Registrant’s Form10-K filed, February 29, 2024)</w:t>
              </w:r>
            </w:hyperlink>
          </w:p>
        </w:tc>
        <w:tc>
          <w:tcPr>
            <w:tcW w:w="400" w:type="dxa"/>
            <w:vAlign w:val="bottom"/>
          </w:tcPr>
          <w:p>
            <w:pPr>
              <w:spacing w:after="0"/>
              <w:rPr>
                <w:sz w:val="17"/>
                <w:szCs w:val="17"/>
                <w:color w:val="auto"/>
              </w:rPr>
            </w:pPr>
          </w:p>
        </w:tc>
      </w:tr>
      <w:tr>
        <w:trPr>
          <w:trHeight w:val="45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7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3200" w:type="dxa"/>
            <w:vAlign w:val="bottom"/>
            <w:gridSpan w:val="6"/>
          </w:tcPr>
          <w:p>
            <w:pPr>
              <w:spacing w:after="0"/>
              <w:rPr>
                <w:sz w:val="24"/>
                <w:szCs w:val="24"/>
                <w:color w:val="auto"/>
              </w:rPr>
            </w:pP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3" w:lineRule="exact"/>
        <w:rPr>
          <w:sz w:val="20"/>
          <w:szCs w:val="20"/>
          <w:color w:val="auto"/>
        </w:rPr>
      </w:pPr>
    </w:p>
    <w:p>
      <w:pPr>
        <w:ind w:left="300" w:hanging="250"/>
        <w:spacing w:after="0"/>
        <w:tabs>
          <w:tab w:leader="none" w:pos="3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96" w:lineRule="exact"/>
        <w:rPr>
          <w:sz w:val="20"/>
          <w:szCs w:val="20"/>
          <w:color w:val="auto"/>
        </w:rPr>
      </w:pPr>
    </w:p>
    <w:p>
      <w:pPr>
        <w:ind w:left="300" w:right="99" w:hanging="250"/>
        <w:spacing w:after="0" w:line="236" w:lineRule="auto"/>
        <w:tabs>
          <w:tab w:leader="none" w:pos="300" w:val="left"/>
        </w:tabs>
        <w:numPr>
          <w:ilvl w:val="0"/>
          <w:numId w:val="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certifications attached as Exhibits 32.1 and 32.2 that accompany this Annual Report on Form 10-K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69" w:lineRule="exact"/>
        <w:rPr>
          <w:sz w:val="20"/>
          <w:szCs w:val="20"/>
          <w:color w:val="auto"/>
        </w:rPr>
      </w:pPr>
    </w:p>
    <w:p>
      <w:pPr>
        <w:ind w:left="300" w:hanging="250"/>
        <w:spacing w:after="0"/>
        <w:tabs>
          <w:tab w:leader="none" w:pos="3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w:t>
      </w:r>
    </w:p>
    <w:p>
      <w:pPr>
        <w:spacing w:after="0" w:line="96" w:lineRule="exact"/>
        <w:rPr>
          <w:sz w:val="20"/>
          <w:szCs w:val="20"/>
          <w:color w:val="auto"/>
        </w:rPr>
      </w:pPr>
    </w:p>
    <w:p>
      <w:pPr>
        <w:ind w:left="300" w:hanging="250"/>
        <w:spacing w:after="0"/>
        <w:tabs>
          <w:tab w:leader="none" w:pos="3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the exhibit have been omitted pursuant to an order granted by the Securities and Exchange Commission for confidential treatment.</w:t>
      </w:r>
    </w:p>
    <w:p>
      <w:pPr>
        <w:spacing w:after="0" w:line="96" w:lineRule="exact"/>
        <w:rPr>
          <w:sz w:val="20"/>
          <w:szCs w:val="20"/>
          <w:color w:val="auto"/>
        </w:rPr>
      </w:pPr>
    </w:p>
    <w:p>
      <w:pPr>
        <w:ind w:left="300" w:right="159" w:hanging="250"/>
        <w:spacing w:after="0" w:line="261" w:lineRule="auto"/>
        <w:tabs>
          <w:tab w:leader="none" w:pos="30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the exhibit have been omitted because the information omitted (i) is not material and (ii) is of the type that the Registrant treats as private or confidential.</w:t>
      </w:r>
    </w:p>
    <w:p>
      <w:pPr>
        <w:spacing w:after="0" w:line="285"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4" w:name="page175"/>
    <w:bookmarkEnd w:id="1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Y-MABS THERAPEUTICS, INC.</w:t>
      </w:r>
    </w:p>
    <w:p>
      <w:pPr>
        <w:sectPr>
          <w:pgSz w:w="11900" w:h="16838" w:orient="portrait"/>
          <w:cols w:equalWidth="0" w:num="1">
            <w:col w:w="9019"/>
          </w:cols>
          <w:pgMar w:left="1440" w:top="513" w:right="1440" w:bottom="1440" w:gutter="0" w:footer="0" w:header="0"/>
        </w:sectPr>
      </w:pP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Dated: March 4, 2025</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1699"/>
        <w:spacing w:after="0"/>
        <w:rPr>
          <w:sz w:val="20"/>
          <w:szCs w:val="20"/>
          <w:color w:val="auto"/>
        </w:rPr>
      </w:pPr>
      <w:r>
        <w:rPr>
          <w:rFonts w:ascii="Times New Roman" w:cs="Times New Roman" w:eastAsia="Times New Roman" w:hAnsi="Times New Roman"/>
          <w:sz w:val="18"/>
          <w:szCs w:val="18"/>
          <w:color w:val="auto"/>
        </w:rPr>
        <w:t>/s/ Michael Rossi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-1202055</wp:posOffset>
            </wp:positionH>
            <wp:positionV relativeFrom="paragraph">
              <wp:posOffset>17145</wp:posOffset>
            </wp:positionV>
            <wp:extent cx="302577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3">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3">
            <w:col w:w="3460" w:space="720"/>
            <w:col w:w="1160" w:space="720"/>
            <w:col w:w="2959"/>
          </w:cols>
          <w:pgMar w:left="1440" w:top="513" w:right="1440" w:bottom="1440" w:gutter="0" w:footer="0" w:header="0"/>
          <w:type w:val="continuous"/>
        </w:sectPr>
      </w:pPr>
    </w:p>
    <w:p>
      <w:pPr>
        <w:jc w:val="center"/>
        <w:ind w:left="4360"/>
        <w:spacing w:after="0"/>
        <w:rPr>
          <w:sz w:val="20"/>
          <w:szCs w:val="20"/>
          <w:color w:val="auto"/>
        </w:rPr>
      </w:pPr>
      <w:r>
        <w:rPr>
          <w:rFonts w:ascii="Times New Roman" w:cs="Times New Roman" w:eastAsia="Times New Roman" w:hAnsi="Times New Roman"/>
          <w:sz w:val="18"/>
          <w:szCs w:val="18"/>
          <w:color w:val="auto"/>
        </w:rPr>
        <w:t>Michael Rossi</w:t>
      </w:r>
    </w:p>
    <w:p>
      <w:pPr>
        <w:spacing w:after="0" w:line="23"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9"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229"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Michael Rossi, acting individually,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may lawfully do or cause to be done by virtue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5" w:name="page176"/>
    <w:bookmarkEnd w:id="1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the March 4, 2025.</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ROSSI</w:t>
            </w:r>
          </w:p>
        </w:tc>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 President, Chief Executive Officer</w:t>
            </w: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Rossi</w:t>
            </w:r>
          </w:p>
        </w:tc>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30"/>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PETER PFREUNDSCHUH</w:t>
            </w:r>
          </w:p>
        </w:tc>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Peter Pfreundschuh</w:t>
            </w:r>
          </w:p>
        </w:tc>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(Principal Financial and Accounting Officer)</w:t>
            </w:r>
          </w:p>
        </w:tc>
      </w:tr>
      <w:tr>
        <w:trPr>
          <w:trHeight w:val="414"/>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GAD</w:t>
            </w:r>
          </w:p>
        </w:tc>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Thomas Gad</w:t>
            </w:r>
          </w:p>
        </w:tc>
        <w:tc>
          <w:tcPr>
            <w:tcW w:w="3400" w:type="dxa"/>
            <w:vAlign w:val="bottom"/>
          </w:tcPr>
          <w:p>
            <w:pPr>
              <w:spacing w:after="0"/>
              <w:rPr>
                <w:sz w:val="19"/>
                <w:szCs w:val="19"/>
                <w:color w:val="auto"/>
              </w:rPr>
            </w:pPr>
          </w:p>
        </w:tc>
      </w:tr>
      <w:tr>
        <w:trPr>
          <w:trHeight w:val="414"/>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JOHAN WEDELL-WEDELLSBORG</w:t>
            </w:r>
          </w:p>
        </w:tc>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Johan Wedell-Wedellsborg</w:t>
            </w:r>
          </w:p>
        </w:tc>
        <w:tc>
          <w:tcPr>
            <w:tcW w:w="3400" w:type="dxa"/>
            <w:vAlign w:val="bottom"/>
          </w:tcPr>
          <w:p>
            <w:pPr>
              <w:spacing w:after="0"/>
              <w:rPr>
                <w:sz w:val="19"/>
                <w:szCs w:val="19"/>
                <w:color w:val="auto"/>
              </w:rPr>
            </w:pPr>
          </w:p>
        </w:tc>
      </w:tr>
      <w:tr>
        <w:trPr>
          <w:trHeight w:val="414"/>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LAURA J. HAMILL</w:t>
            </w:r>
          </w:p>
        </w:tc>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Laura J. Hamill</w:t>
            </w:r>
          </w:p>
        </w:tc>
        <w:tc>
          <w:tcPr>
            <w:tcW w:w="3400" w:type="dxa"/>
            <w:vAlign w:val="bottom"/>
          </w:tcPr>
          <w:p>
            <w:pPr>
              <w:spacing w:after="0"/>
              <w:rPr>
                <w:sz w:val="19"/>
                <w:szCs w:val="19"/>
                <w:color w:val="auto"/>
              </w:rPr>
            </w:pPr>
          </w:p>
        </w:tc>
      </w:tr>
      <w:tr>
        <w:trPr>
          <w:trHeight w:val="414"/>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MARY TAGLIAFERRI</w:t>
            </w:r>
          </w:p>
        </w:tc>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Mary Tagliaferri</w:t>
            </w:r>
          </w:p>
        </w:tc>
        <w:tc>
          <w:tcPr>
            <w:tcW w:w="3400" w:type="dxa"/>
            <w:vAlign w:val="bottom"/>
          </w:tcPr>
          <w:p>
            <w:pPr>
              <w:spacing w:after="0"/>
              <w:rPr>
                <w:sz w:val="19"/>
                <w:szCs w:val="19"/>
                <w:color w:val="auto"/>
              </w:rPr>
            </w:pPr>
          </w:p>
        </w:tc>
      </w:tr>
      <w:tr>
        <w:trPr>
          <w:trHeight w:val="414"/>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ASHUTOSH TYAGI</w:t>
            </w:r>
          </w:p>
        </w:tc>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Ashutosh Tyagi</w:t>
            </w:r>
          </w:p>
        </w:tc>
        <w:tc>
          <w:tcPr>
            <w:tcW w:w="3400" w:type="dxa"/>
            <w:vAlign w:val="bottom"/>
          </w:tcPr>
          <w:p>
            <w:pPr>
              <w:spacing w:after="0"/>
              <w:rPr>
                <w:sz w:val="19"/>
                <w:szCs w:val="19"/>
                <w:color w:val="auto"/>
              </w:rPr>
            </w:pPr>
          </w:p>
        </w:tc>
      </w:tr>
      <w:tr>
        <w:trPr>
          <w:trHeight w:val="414"/>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I. HEALY</w:t>
            </w:r>
          </w:p>
        </w:tc>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James I. Healy</w:t>
            </w:r>
          </w:p>
        </w:tc>
        <w:tc>
          <w:tcPr>
            <w:tcW w:w="3400" w:type="dxa"/>
            <w:vAlign w:val="bottom"/>
          </w:tcPr>
          <w:p>
            <w:pPr>
              <w:spacing w:after="0"/>
              <w:rPr>
                <w:sz w:val="19"/>
                <w:szCs w:val="19"/>
                <w:color w:val="auto"/>
              </w:rPr>
            </w:pPr>
          </w:p>
        </w:tc>
      </w:tr>
      <w:tr>
        <w:trPr>
          <w:trHeight w:val="414"/>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DAVID N. GILL</w:t>
            </w:r>
          </w:p>
        </w:tc>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N. Gill</w:t>
            </w:r>
          </w:p>
        </w:tc>
        <w:tc>
          <w:tcPr>
            <w:tcW w:w="34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6" w:name="page177"/>
    <w:bookmarkEnd w:id="176"/>
    <w:p>
      <w:pPr>
        <w:ind w:left="8060"/>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77" w:lineRule="exact"/>
        <w:rPr>
          <w:sz w:val="20"/>
          <w:szCs w:val="20"/>
          <w:color w:val="auto"/>
        </w:rPr>
      </w:pPr>
    </w:p>
    <w:p>
      <w:pPr>
        <w:jc w:val="center"/>
        <w:ind w:right="20"/>
        <w:spacing w:after="0" w:line="271" w:lineRule="auto"/>
        <w:rPr>
          <w:sz w:val="20"/>
          <w:szCs w:val="20"/>
          <w:color w:val="auto"/>
        </w:rPr>
      </w:pPr>
      <w:r>
        <w:rPr>
          <w:rFonts w:ascii="Times New Roman" w:cs="Times New Roman" w:eastAsia="Times New Roman" w:hAnsi="Times New Roman"/>
          <w:sz w:val="18"/>
          <w:szCs w:val="18"/>
          <w:b w:val="1"/>
          <w:bCs w:val="1"/>
          <w:color w:val="auto"/>
        </w:rPr>
        <w:t>DESCRIPTION OF THE REGISTRANT’S SECURITIES REGISTERED PURSUANT TO SECTION 12 OF THE SECURITIES EXCHANGE ACT OF 1934</w:t>
      </w:r>
    </w:p>
    <w:p>
      <w:pPr>
        <w:spacing w:after="0" w:line="2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February 25, 2025, Y-mAbs Therapeutics, Inc. (“Y-mAbs,” “we,” “our” or “us”), had one class of securities registered under Section 12 of the Securities Exchange Act of 1934, as amended (the “Exchange Act”): our common stock, par value $0.0001 per share.</w:t>
      </w:r>
    </w:p>
    <w:p>
      <w:pPr>
        <w:spacing w:after="0" w:line="20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following summary describes our common stock and the material provisions of our amended and restated certificate of incorporation, our amended and restated bylaws and of the Delaware General Corporation Law (the “DGCL”). Because the following is only a summary, it does not contain all of the information that may be important to you. For a complete description, you should refer to our certificate of incorporation and bylaws, filed as Exhibits 3.3 and 3.4, respectively, to our Annual Report on Form 10-K filed with the Securities Exchange Commission, of which this Exhibit 4.2 is a part. We encourage you to read those documents and the DGCL carefully.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56" w:lineRule="exact"/>
        <w:rPr>
          <w:sz w:val="20"/>
          <w:szCs w:val="20"/>
          <w:color w:val="auto"/>
        </w:rPr>
      </w:pPr>
    </w:p>
    <w:p>
      <w:pPr>
        <w:jc w:val="both"/>
        <w:ind w:right="20" w:firstLine="598"/>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100,000,000 shares of common stock, par value $0.0001 per share, and 5,500,000 shares of preferred stock, par value $0.0001 per share.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shares</w:t>
      </w:r>
    </w:p>
    <w:p>
      <w:pPr>
        <w:spacing w:after="0" w:line="270" w:lineRule="exact"/>
        <w:rPr>
          <w:sz w:val="20"/>
          <w:szCs w:val="20"/>
          <w:color w:val="auto"/>
        </w:rPr>
      </w:pPr>
    </w:p>
    <w:p>
      <w:pPr>
        <w:jc w:val="both"/>
        <w:ind w:right="20" w:firstLine="470"/>
        <w:spacing w:after="0" w:line="282" w:lineRule="auto"/>
        <w:rPr>
          <w:sz w:val="20"/>
          <w:szCs w:val="20"/>
          <w:color w:val="auto"/>
        </w:rPr>
      </w:pPr>
      <w:r>
        <w:rPr>
          <w:rFonts w:ascii="Times New Roman" w:cs="Times New Roman" w:eastAsia="Times New Roman" w:hAnsi="Times New Roman"/>
          <w:sz w:val="18"/>
          <w:szCs w:val="18"/>
          <w:color w:val="auto"/>
        </w:rPr>
        <w:t>As of February 25, 2025, there were 45,218,177 shares of our common stock outstanding and no shares of preferred stock outstanding. As of February 25, 2025, we had 6 record holders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70" w:lineRule="exact"/>
        <w:rPr>
          <w:sz w:val="20"/>
          <w:szCs w:val="20"/>
          <w:color w:val="auto"/>
        </w:rPr>
      </w:pPr>
    </w:p>
    <w:p>
      <w:pPr>
        <w:jc w:val="both"/>
        <w:ind w:firstLine="364"/>
        <w:spacing w:after="0" w:line="250"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on all matters submitted to a vote of the stockholders, including the election of directors. Our amended and restated certificate of incorporation and amended and restated bylaws do not provide for cumulative voting rights. Because of this, the holders of a plurality of the shares of common stock entitled to vote in any election of directors can elect all of the directors standing for election, if they should so choose. At any meeting of the stockholders at which a quorum is present, any matter other than the election of directors to be voted upon by the stockholders at such meeting shall be decided by the vote of the holders of shares of stock having a majority in voting power of the votes cast by the holders of all of the shares of stock present or represented at the meeting and voting affirmatively or negatively on such matter (or if there are two or more classes or series of stock entitled to vote as separate classes, then in the case of each such class or series, the holders of a majority in voting power of the shares of stock of that class or series present or represented at the meeting and voting affirmatively or negatively on such matter), except when a different vote is required by law, our certificate of incorporate or our bylaws.. The holders of a majority of the stock issued and outstanding and entitled to vote, present in person or represented by proxy, shall constitute a quorum for the transaction of business at all meetings of the stockholders.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56" w:lineRule="exact"/>
        <w:rPr>
          <w:sz w:val="20"/>
          <w:szCs w:val="20"/>
          <w:color w:val="auto"/>
        </w:rPr>
      </w:pPr>
    </w:p>
    <w:p>
      <w:pPr>
        <w:jc w:val="both"/>
        <w:ind w:right="20" w:firstLine="495"/>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then-outstanding preferred stock, holders of common stock are entitled to receive dividends, if any, as may be declared from time to time by our board of directors out of legally available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483235</wp:posOffset>
            </wp:positionV>
            <wp:extent cx="57778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6">
                      <a:extLst>
                        <a:ext uri="{28A0092B-C50C-407E-A947-70E740481C1C}"/>
                      </a:extLst>
                    </a:blip>
                    <a:srcRect/>
                    <a:stretch>
                      <a:fillRect/>
                    </a:stretch>
                  </pic:blipFill>
                  <pic:spPr bwMode="auto">
                    <a:xfrm>
                      <a:off x="0" y="0"/>
                      <a:ext cx="5777865" cy="25400"/>
                    </a:xfrm>
                    <a:prstGeom prst="rect">
                      <a:avLst/>
                    </a:prstGeom>
                    <a:noFill/>
                  </pic:spPr>
                </pic:pic>
              </a:graphicData>
            </a:graphic>
          </wp:anchor>
        </w:drawing>
      </w:r>
    </w:p>
    <w:p>
      <w:pPr>
        <w:sectPr>
          <w:pgSz w:w="11900" w:h="16838" w:orient="portrait"/>
          <w:cols w:equalWidth="0" w:num="1">
            <w:col w:w="9100"/>
          </w:cols>
          <w:pgMar w:left="1400" w:top="117" w:right="13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70" w:lineRule="exact"/>
        <w:rPr>
          <w:sz w:val="20"/>
          <w:szCs w:val="20"/>
          <w:color w:val="auto"/>
        </w:rPr>
      </w:pPr>
    </w:p>
    <w:p>
      <w:pPr>
        <w:jc w:val="both"/>
        <w:ind w:right="20" w:firstLine="360"/>
        <w:spacing w:after="0" w:line="258"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256" w:lineRule="exact"/>
        <w:rPr>
          <w:sz w:val="20"/>
          <w:szCs w:val="20"/>
          <w:color w:val="auto"/>
        </w:rPr>
      </w:pPr>
    </w:p>
    <w:p>
      <w:pPr>
        <w:jc w:val="both"/>
        <w:ind w:firstLine="420"/>
        <w:spacing w:after="0" w:line="261" w:lineRule="auto"/>
        <w:rPr>
          <w:sz w:val="20"/>
          <w:szCs w:val="20"/>
          <w:color w:val="auto"/>
        </w:rPr>
      </w:pPr>
      <w:r>
        <w:rPr>
          <w:rFonts w:ascii="Times New Roman" w:cs="Times New Roman" w:eastAsia="Times New Roman" w:hAnsi="Times New Roman"/>
          <w:sz w:val="18"/>
          <w:szCs w:val="18"/>
          <w:color w:val="auto"/>
        </w:rPr>
        <w:t>Holders of common stock have no preemptive, conversion, subscription or other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2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our outstanding shares of common stock are fully paid and nonassessable.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70" w:lineRule="exact"/>
        <w:rPr>
          <w:sz w:val="20"/>
          <w:szCs w:val="20"/>
          <w:color w:val="auto"/>
        </w:rPr>
      </w:pPr>
    </w:p>
    <w:p>
      <w:pPr>
        <w:jc w:val="both"/>
        <w:ind w:firstLine="444"/>
        <w:spacing w:after="0" w:line="252"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the stockholders, to issue up to 5,500,000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As of February 25, 2025, no shares of preferred stock were outstanding.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70" w:lineRule="exact"/>
        <w:rPr>
          <w:sz w:val="20"/>
          <w:szCs w:val="20"/>
          <w:color w:val="auto"/>
        </w:rPr>
      </w:pPr>
    </w:p>
    <w:p>
      <w:pPr>
        <w:jc w:val="both"/>
        <w:ind w:firstLine="426"/>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certain provisions that are intended to enhance the likelihood of continuity and stability in the composition of our board of directors but which may have the effect of delaying, deferring or preventing a future takeover or change in control of us unless such takeover or change in control is approved by our board of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Staggered Board; Removal of Directors</w:t>
      </w:r>
    </w:p>
    <w:p>
      <w:pPr>
        <w:spacing w:after="0" w:line="270" w:lineRule="exact"/>
        <w:rPr>
          <w:sz w:val="20"/>
          <w:szCs w:val="20"/>
          <w:color w:val="auto"/>
        </w:rPr>
      </w:pPr>
    </w:p>
    <w:p>
      <w:pPr>
        <w:jc w:val="both"/>
        <w:ind w:firstLine="459"/>
        <w:spacing w:after="0" w:line="239"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divide our board of directors into three classes with staggered three-year terms. In addition, our amended and restated certificate of incorporation and amended and restated bylaws provide that directors may be removed only for cause and only by the affirmative vote of the holders of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/3% of our shares of capital stock present in person or by proxy and entitled to vote. Under our amended and restated certificate of incorporation and bylaws, any vacancy on our board of directors, including a vacancy resulting from an enlargement of our board of directors, may be filled only by vote of a majority of our directors then in office, although less than a quorum, or by a sole remaining director and shall not be filled by the stockholders. Furthermore, our amended and restated certificate of incorporation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511175</wp:posOffset>
            </wp:positionV>
            <wp:extent cx="57778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7">
                      <a:extLst>
                        <a:ext uri="{28A0092B-C50C-407E-A947-70E740481C1C}"/>
                      </a:extLst>
                    </a:blip>
                    <a:srcRect/>
                    <a:stretch>
                      <a:fillRect/>
                    </a:stretch>
                  </pic:blipFill>
                  <pic:spPr bwMode="auto">
                    <a:xfrm>
                      <a:off x="0" y="0"/>
                      <a:ext cx="5777865" cy="17145"/>
                    </a:xfrm>
                    <a:prstGeom prst="rect">
                      <a:avLst/>
                    </a:prstGeom>
                    <a:noFill/>
                  </pic:spPr>
                </pic:pic>
              </a:graphicData>
            </a:graphic>
          </wp:anchor>
        </w:drawing>
      </w:r>
    </w:p>
    <w:p>
      <w:pPr>
        <w:sectPr>
          <w:pgSz w:w="11900" w:h="16838" w:orient="portrait"/>
          <w:cols w:equalWidth="0" w:num="1">
            <w:col w:w="9100"/>
          </w:cols>
          <w:pgMar w:left="1400" w:top="117" w:right="1399" w:bottom="1440" w:gutter="0" w:footer="0" w:header="0"/>
        </w:sectPr>
      </w:pPr>
    </w:p>
    <w:bookmarkStart w:id="178" w:name="page179"/>
    <w:bookmarkEnd w:id="178"/>
    <w:p>
      <w:pPr>
        <w:jc w:val="both"/>
        <w:ind w:left="180" w:hanging="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Stockholder Action; Special Meeting of Stockholders; Advance Notice Requirements for Stockholder Proposals and Director Nominations</w:t>
      </w:r>
    </w:p>
    <w:p>
      <w:pPr>
        <w:spacing w:after="0" w:line="186" w:lineRule="exact"/>
        <w:rPr>
          <w:sz w:val="20"/>
          <w:szCs w:val="20"/>
          <w:color w:val="auto"/>
        </w:rPr>
      </w:pPr>
    </w:p>
    <w:p>
      <w:pPr>
        <w:jc w:val="both"/>
        <w:ind w:right="20" w:firstLine="499"/>
        <w:spacing w:after="0" w:line="250"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provide that any action required or permitted to be taken by our stockholders at an annual meeting or special meeting of stockholders may only be taken if it is properly brought before such meeting and may not be taken by written action in lieu of a meeting. Our amended and restated certificate of incorporation and amended and restated bylaws also provide that, except as otherwise required by law, special meetings of the stockholders can only be called by the chairman of our board of directors, our chief executive officer or our board of directors. In addition, our amended and restated bylaws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Super-Majority Voting</w:t>
      </w:r>
    </w:p>
    <w:p>
      <w:pPr>
        <w:spacing w:after="0" w:line="256" w:lineRule="exact"/>
        <w:rPr>
          <w:sz w:val="20"/>
          <w:szCs w:val="20"/>
          <w:color w:val="auto"/>
        </w:rPr>
      </w:pPr>
    </w:p>
    <w:p>
      <w:pPr>
        <w:jc w:val="both"/>
        <w:ind w:right="20" w:firstLine="503"/>
        <w:spacing w:after="0" w:line="242" w:lineRule="auto"/>
        <w:rPr>
          <w:sz w:val="20"/>
          <w:szCs w:val="20"/>
          <w:color w:val="auto"/>
        </w:rPr>
      </w:pPr>
      <w:r>
        <w:rPr>
          <w:rFonts w:ascii="Times New Roman" w:cs="Times New Roman" w:eastAsia="Times New Roman" w:hAnsi="Times New Roman"/>
          <w:sz w:val="17"/>
          <w:szCs w:val="17"/>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amended and restated bylaws may be amended or repealed by a majority vote of our board of directors or the affirmative vote of the holders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25"/>
          <w:szCs w:val="25"/>
          <w:color w:val="auto"/>
          <w:vertAlign w:val="subscript"/>
        </w:rPr>
        <w:t>3</w:t>
      </w:r>
      <w:r>
        <w:rPr>
          <w:rFonts w:ascii="Times New Roman" w:cs="Times New Roman" w:eastAsia="Times New Roman" w:hAnsi="Times New Roman"/>
          <w:sz w:val="17"/>
          <w:szCs w:val="17"/>
          <w:color w:val="auto"/>
        </w:rPr>
        <w:t>% of the votes that all our stockholders would be entitled to cast in any annual election of directors. In addition, the affirmative vote of the holders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25"/>
          <w:szCs w:val="25"/>
          <w:color w:val="auto"/>
          <w:vertAlign w:val="subscript"/>
        </w:rPr>
        <w:t>3</w:t>
      </w:r>
      <w:r>
        <w:rPr>
          <w:rFonts w:ascii="Times New Roman" w:cs="Times New Roman" w:eastAsia="Times New Roman" w:hAnsi="Times New Roman"/>
          <w:sz w:val="17"/>
          <w:szCs w:val="17"/>
          <w:color w:val="auto"/>
        </w:rPr>
        <w:t>% of the votes that all our stockholders would be entitled to cast in any election of directors is required to amend or</w:t>
      </w:r>
    </w:p>
    <w:p>
      <w:pPr>
        <w:spacing w:after="0" w:line="2"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8"/>
          <w:szCs w:val="18"/>
          <w:color w:val="auto"/>
        </w:rPr>
        <w:t>repeal or to adopt any provisions inconsistent with any of the provisions of our amended and restated certificate of incorporation described above.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256" w:lineRule="exact"/>
        <w:rPr>
          <w:sz w:val="20"/>
          <w:szCs w:val="20"/>
          <w:color w:val="auto"/>
        </w:rPr>
      </w:pPr>
    </w:p>
    <w:p>
      <w:pPr>
        <w:jc w:val="both"/>
        <w:ind w:right="20" w:firstLine="369"/>
        <w:spacing w:after="0" w:line="255"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216" w:lineRule="exact"/>
        <w:rPr>
          <w:sz w:val="20"/>
          <w:szCs w:val="20"/>
          <w:color w:val="auto"/>
        </w:rPr>
      </w:pPr>
    </w:p>
    <w:p>
      <w:pPr>
        <w:jc w:val="both"/>
        <w:ind w:firstLine="436"/>
        <w:spacing w:after="0" w:line="252" w:lineRule="auto"/>
        <w:rPr>
          <w:sz w:val="20"/>
          <w:szCs w:val="20"/>
          <w:color w:val="auto"/>
        </w:rPr>
      </w:pPr>
      <w:r>
        <w:rPr>
          <w:rFonts w:ascii="Times New Roman" w:cs="Times New Roman" w:eastAsia="Times New Roman" w:hAnsi="Times New Roman"/>
          <w:sz w:val="18"/>
          <w:szCs w:val="18"/>
          <w:color w:val="auto"/>
        </w:rPr>
        <w:t>Under Section 203, a business combination between a corporation and an interested stockholder is prohibited unless it satisfies one of the following conditions: before the stockholder became interested, our board of directors approved either the business combination or the transaction which resulted in the stockholder becoming an interested stockholder;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stockholder became interested, the business combination was approved by our board of directors of the corporation and authorized at an annual or special meeting of the stockholders by the affirmative vote of at least two-thirds of the outstanding voting stock which is not owned by the interested stockholder.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 Selection</w:t>
      </w:r>
    </w:p>
    <w:p>
      <w:pPr>
        <w:spacing w:after="0" w:line="270" w:lineRule="exact"/>
        <w:rPr>
          <w:sz w:val="20"/>
          <w:szCs w:val="20"/>
          <w:color w:val="auto"/>
        </w:rPr>
      </w:pPr>
    </w:p>
    <w:p>
      <w:pPr>
        <w:jc w:val="both"/>
        <w:ind w:right="20" w:firstLine="422"/>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shall be the sole and exclusive forum for (1)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320040</wp:posOffset>
            </wp:positionV>
            <wp:extent cx="57778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8">
                      <a:extLst>
                        <a:ext uri="{28A0092B-C50C-407E-A947-70E740481C1C}"/>
                      </a:extLst>
                    </a:blip>
                    <a:srcRect/>
                    <a:stretch>
                      <a:fillRect/>
                    </a:stretch>
                  </pic:blipFill>
                  <pic:spPr bwMode="auto">
                    <a:xfrm>
                      <a:off x="0" y="0"/>
                      <a:ext cx="5777865" cy="17145"/>
                    </a:xfrm>
                    <a:prstGeom prst="rect">
                      <a:avLst/>
                    </a:prstGeom>
                    <a:noFill/>
                  </pic:spPr>
                </pic:pic>
              </a:graphicData>
            </a:graphic>
          </wp:anchor>
        </w:drawing>
      </w:r>
    </w:p>
    <w:p>
      <w:pPr>
        <w:sectPr>
          <w:pgSz w:w="11900" w:h="16838" w:orient="portrait"/>
          <w:cols w:equalWidth="0" w:num="1">
            <w:col w:w="9100"/>
          </w:cols>
          <w:pgMar w:left="1400" w:top="117" w:right="1399" w:bottom="1440" w:gutter="0" w:footer="0" w:header="0"/>
        </w:sectPr>
      </w:pPr>
    </w:p>
    <w:bookmarkStart w:id="179" w:name="page180"/>
    <w:bookmarkEnd w:id="179"/>
    <w:p>
      <w:pPr>
        <w:jc w:val="both"/>
        <w:spacing w:after="0" w:line="250" w:lineRule="auto"/>
        <w:rPr>
          <w:sz w:val="20"/>
          <w:szCs w:val="20"/>
          <w:color w:val="auto"/>
        </w:rPr>
      </w:pPr>
      <w:r>
        <w:rPr>
          <w:rFonts w:ascii="Times New Roman" w:cs="Times New Roman" w:eastAsia="Times New Roman" w:hAnsi="Times New Roman"/>
          <w:sz w:val="18"/>
          <w:szCs w:val="18"/>
          <w:color w:val="auto"/>
        </w:rPr>
        <w:t>derivative action or proceeding brought on behalf of our company, (2) any action asserting a claim of breach of a fiduciary duty owed by any of our directors, officers,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amended and restated certificate of incorporation or amended and restated bylaws (in each case, as they may be amended from time to time) or governed by the internal affairs doctrine. This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Although our amended and restated certificate of incorporation contains the choice of forum provision described above, it is possible that a court could rule that such a provision is inapplicable for a particular claim or action or that such provision is unenforceable.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256" w:lineRule="exact"/>
        <w:rPr>
          <w:sz w:val="20"/>
          <w:szCs w:val="20"/>
          <w:color w:val="auto"/>
        </w:rPr>
      </w:pPr>
    </w:p>
    <w:p>
      <w:pPr>
        <w:jc w:val="both"/>
        <w:ind w:firstLine="537"/>
        <w:spacing w:after="0" w:line="258" w:lineRule="auto"/>
        <w:rPr>
          <w:sz w:val="20"/>
          <w:szCs w:val="20"/>
          <w:color w:val="auto"/>
        </w:rPr>
      </w:pPr>
      <w:r>
        <w:rPr>
          <w:rFonts w:ascii="Times New Roman" w:cs="Times New Roman" w:eastAsia="Times New Roman" w:hAnsi="Times New Roman"/>
          <w:sz w:val="18"/>
          <w:szCs w:val="18"/>
          <w:color w:val="auto"/>
        </w:rPr>
        <w:t>The authorized but unissued shares of common stock and preferred stock are available for future issuance without stockholder approval, subject to any limitations imposed by the listing requirements of the Nasdaq Global Select Market.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70" w:lineRule="exact"/>
        <w:rPr>
          <w:sz w:val="20"/>
          <w:szCs w:val="20"/>
          <w:color w:val="auto"/>
        </w:rPr>
      </w:pPr>
    </w:p>
    <w:p>
      <w:pPr>
        <w:jc w:val="both"/>
        <w:ind w:firstLine="361"/>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 The transfer agent and registrar's address is 48 Wall Street, Floor 23, New York, NY, 10005.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p>
      <w:pPr>
        <w:spacing w:after="0" w:line="2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"YMAB."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351790</wp:posOffset>
            </wp:positionV>
            <wp:extent cx="57778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9">
                      <a:extLst>
                        <a:ext uri="{28A0092B-C50C-407E-A947-70E740481C1C}"/>
                      </a:extLst>
                    </a:blip>
                    <a:srcRect/>
                    <a:stretch>
                      <a:fillRect/>
                    </a:stretch>
                  </pic:blipFill>
                  <pic:spPr bwMode="auto">
                    <a:xfrm>
                      <a:off x="0" y="0"/>
                      <a:ext cx="5777865" cy="25400"/>
                    </a:xfrm>
                    <a:prstGeom prst="rect">
                      <a:avLst/>
                    </a:prstGeom>
                    <a:noFill/>
                  </pic:spPr>
                </pic:pic>
              </a:graphicData>
            </a:graphic>
          </wp:anchor>
        </w:drawing>
      </w:r>
    </w:p>
    <w:p>
      <w:pPr>
        <w:sectPr>
          <w:pgSz w:w="11900" w:h="16838" w:orient="portrait"/>
          <w:cols w:equalWidth="0" w:num="1">
            <w:col w:w="9080"/>
          </w:cols>
          <w:pgMar w:left="1400" w:top="121" w:right="1419" w:bottom="1440" w:gutter="0" w:footer="0" w:header="0"/>
        </w:sectPr>
      </w:pPr>
    </w:p>
    <w:bookmarkStart w:id="180" w:name="page181"/>
    <w:bookmarkEnd w:id="180"/>
    <w:p>
      <w:pPr>
        <w:jc w:val="right"/>
        <w:ind w:right="559"/>
        <w:spacing w:after="0"/>
        <w:rPr>
          <w:sz w:val="20"/>
          <w:szCs w:val="20"/>
          <w:color w:val="auto"/>
        </w:rPr>
      </w:pPr>
      <w:r>
        <w:rPr>
          <w:rFonts w:ascii="Times New Roman" w:cs="Times New Roman" w:eastAsia="Times New Roman" w:hAnsi="Times New Roman"/>
          <w:sz w:val="22"/>
          <w:szCs w:val="22"/>
          <w:b w:val="1"/>
          <w:bCs w:val="1"/>
          <w:color w:val="auto"/>
        </w:rPr>
        <w:t>Exhibit 10.42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280035</wp:posOffset>
            </wp:positionV>
            <wp:extent cx="50317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0">
                      <a:extLst>
                        <a:ext uri="{28A0092B-C50C-407E-A947-70E740481C1C}"/>
                      </a:extLst>
                    </a:blip>
                    <a:srcRect/>
                    <a:stretch>
                      <a:fillRect/>
                    </a:stretch>
                  </pic:blipFill>
                  <pic:spPr bwMode="auto">
                    <a:xfrm>
                      <a:off x="0" y="0"/>
                      <a:ext cx="503174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297180</wp:posOffset>
            </wp:positionV>
            <wp:extent cx="503174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1">
                      <a:extLst>
                        <a:ext uri="{28A0092B-C50C-407E-A947-70E740481C1C}"/>
                      </a:extLst>
                    </a:blip>
                    <a:srcRect/>
                    <a:stretch>
                      <a:fillRect/>
                    </a:stretch>
                  </pic:blipFill>
                  <pic:spPr bwMode="auto">
                    <a:xfrm>
                      <a:off x="0" y="0"/>
                      <a:ext cx="50317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3</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LICENSE AGREEMENT DATED AUGUST 20, 2015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between</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MEMORIAL SLOAN-KETTERING CANCER CENTER</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Y-MABS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1607820</wp:posOffset>
            </wp:positionV>
            <wp:extent cx="503174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2">
                      <a:extLst>
                        <a:ext uri="{28A0092B-C50C-407E-A947-70E740481C1C}"/>
                      </a:extLst>
                    </a:blip>
                    <a:srcRect/>
                    <a:stretch>
                      <a:fillRect/>
                    </a:stretch>
                  </pic:blipFill>
                  <pic:spPr bwMode="auto">
                    <a:xfrm>
                      <a:off x="0" y="0"/>
                      <a:ext cx="5031740" cy="889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1624965</wp:posOffset>
            </wp:positionV>
            <wp:extent cx="503174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3">
                      <a:extLst>
                        <a:ext uri="{28A0092B-C50C-407E-A947-70E740481C1C}"/>
                      </a:extLst>
                    </a:blip>
                    <a:srcRect/>
                    <a:stretch>
                      <a:fillRect/>
                    </a:stretch>
                  </pic:blipFill>
                  <pic:spPr bwMode="auto">
                    <a:xfrm>
                      <a:off x="0" y="0"/>
                      <a:ext cx="50317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508000</wp:posOffset>
            </wp:positionV>
            <wp:extent cx="504063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4">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81" w:name="page182"/>
    <w:bookmarkEnd w:id="18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3 TO LICENSE AGREEMENT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540" w:right="559" w:firstLine="648"/>
        <w:spacing w:after="0" w:line="235" w:lineRule="auto"/>
        <w:rPr>
          <w:sz w:val="20"/>
          <w:szCs w:val="20"/>
          <w:color w:val="auto"/>
        </w:rPr>
      </w:pPr>
      <w:r>
        <w:rPr>
          <w:rFonts w:ascii="Times New Roman" w:cs="Times New Roman" w:eastAsia="Times New Roman" w:hAnsi="Times New Roman"/>
          <w:sz w:val="22"/>
          <w:szCs w:val="22"/>
          <w:color w:val="auto"/>
        </w:rPr>
        <w:t>This Amendment No. 3 (“Amendment”), effective on the date of the last signature below (“Amendment Effective Date”), is made to that certain License Agreement dated August 20. 2015, as amended on March 18, 2021 and February 11, 2022 (the “License Agreement”), by and between Memorial Sloan Kettering Cancer Center (“MSK”), a New York not-for-profit corporation, having offices at 1275 York Avenue, New York, NY 10065; and Y-mAbs Therapeutics, Inc., a Delaware corporation, having offices at 230 Park Avenue, Suite 3350, New York, NY 10169 (“LICENSEE”). MSK and LICENSEE may be referred to herein singly as a “Party” and collectively as the “Parties”.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540" w:right="559" w:firstLine="648"/>
        <w:spacing w:after="0" w:line="258" w:lineRule="auto"/>
        <w:rPr>
          <w:sz w:val="20"/>
          <w:szCs w:val="20"/>
          <w:color w:val="auto"/>
        </w:rPr>
      </w:pPr>
      <w:r>
        <w:rPr>
          <w:rFonts w:ascii="Times New Roman" w:cs="Times New Roman" w:eastAsia="Times New Roman" w:hAnsi="Times New Roman"/>
          <w:sz w:val="22"/>
          <w:szCs w:val="22"/>
          <w:color w:val="auto"/>
        </w:rPr>
        <w:t>All capitalized terms not otherwise defined herein shall have the meanings assigned to them in the License Agreement.</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125" w:lineRule="exact"/>
        <w:rPr>
          <w:sz w:val="20"/>
          <w:szCs w:val="20"/>
          <w:color w:val="auto"/>
        </w:rPr>
      </w:pPr>
    </w:p>
    <w:p>
      <w:pPr>
        <w:jc w:val="both"/>
        <w:ind w:left="540" w:right="559" w:firstLine="648"/>
        <w:spacing w:after="0" w:line="244" w:lineRule="auto"/>
        <w:rPr>
          <w:sz w:val="20"/>
          <w:szCs w:val="20"/>
          <w:color w:val="auto"/>
        </w:rPr>
      </w:pPr>
      <w:r>
        <w:rPr>
          <w:rFonts w:ascii="Times New Roman" w:cs="Times New Roman" w:eastAsia="Times New Roman" w:hAnsi="Times New Roman"/>
          <w:sz w:val="22"/>
          <w:szCs w:val="22"/>
          <w:color w:val="auto"/>
        </w:rPr>
        <w:t>WHEREAS, MSK and LICENSEE have previously entered into the License Agreement, pursuant to which, among other things, MSK has granted licenses under certain Licensed Rights to LICENSEE;</w:t>
      </w:r>
    </w:p>
    <w:p>
      <w:pPr>
        <w:spacing w:after="0" w:line="173" w:lineRule="exact"/>
        <w:rPr>
          <w:sz w:val="20"/>
          <w:szCs w:val="20"/>
          <w:color w:val="auto"/>
        </w:rPr>
      </w:pPr>
    </w:p>
    <w:p>
      <w:pPr>
        <w:jc w:val="both"/>
        <w:ind w:left="540" w:right="559" w:firstLine="648"/>
        <w:spacing w:after="0" w:line="258" w:lineRule="auto"/>
        <w:rPr>
          <w:sz w:val="20"/>
          <w:szCs w:val="20"/>
          <w:color w:val="auto"/>
        </w:rPr>
      </w:pPr>
      <w:r>
        <w:rPr>
          <w:rFonts w:ascii="Times New Roman" w:cs="Times New Roman" w:eastAsia="Times New Roman" w:hAnsi="Times New Roman"/>
          <w:sz w:val="22"/>
          <w:szCs w:val="22"/>
          <w:color w:val="auto"/>
        </w:rPr>
        <w:t xml:space="preserve">WHEREAS, LICENSEE has decided to stop developing a pharmaceutical product comprising the antibody Omburtamab </w:t>
      </w:r>
      <w:r>
        <w:rPr>
          <w:rFonts w:ascii="Times New Roman" w:cs="Times New Roman" w:eastAsia="Times New Roman" w:hAnsi="Times New Roman"/>
          <w:sz w:val="16"/>
          <w:szCs w:val="16"/>
          <w:color w:val="auto"/>
        </w:rPr>
        <w:t>131</w:t>
      </w:r>
      <w:r>
        <w:rPr>
          <w:rFonts w:ascii="Times New Roman" w:cs="Times New Roman" w:eastAsia="Times New Roman" w:hAnsi="Times New Roman"/>
          <w:sz w:val="22"/>
          <w:szCs w:val="22"/>
          <w:color w:val="auto"/>
        </w:rPr>
        <w:t xml:space="preserve">I-Omburtamab and </w:t>
      </w:r>
      <w:r>
        <w:rPr>
          <w:rFonts w:ascii="Times New Roman" w:cs="Times New Roman" w:eastAsia="Times New Roman" w:hAnsi="Times New Roman"/>
          <w:sz w:val="16"/>
          <w:szCs w:val="16"/>
          <w:color w:val="auto"/>
        </w:rPr>
        <w:t>177</w:t>
      </w:r>
      <w:r>
        <w:rPr>
          <w:rFonts w:ascii="Times New Roman" w:cs="Times New Roman" w:eastAsia="Times New Roman" w:hAnsi="Times New Roman"/>
          <w:sz w:val="22"/>
          <w:szCs w:val="22"/>
          <w:color w:val="auto"/>
        </w:rPr>
        <w:t>Lu-omburtamab-DTPA);</w:t>
      </w:r>
    </w:p>
    <w:p>
      <w:pPr>
        <w:spacing w:after="0" w:line="158" w:lineRule="exact"/>
        <w:rPr>
          <w:sz w:val="20"/>
          <w:szCs w:val="20"/>
          <w:color w:val="auto"/>
        </w:rPr>
      </w:pPr>
    </w:p>
    <w:p>
      <w:pPr>
        <w:jc w:val="both"/>
        <w:ind w:left="540" w:right="559" w:firstLine="648"/>
        <w:spacing w:after="0" w:line="258" w:lineRule="auto"/>
        <w:rPr>
          <w:sz w:val="20"/>
          <w:szCs w:val="20"/>
          <w:color w:val="auto"/>
        </w:rPr>
      </w:pPr>
      <w:r>
        <w:rPr>
          <w:rFonts w:ascii="Times New Roman" w:cs="Times New Roman" w:eastAsia="Times New Roman" w:hAnsi="Times New Roman"/>
          <w:sz w:val="22"/>
          <w:szCs w:val="22"/>
          <w:color w:val="auto"/>
        </w:rPr>
        <w:t>WHEREAS, MSK desires to continue developing a pharmaceutical product based on Omburtamab and/or to license the rights to a third party; and</w:t>
      </w:r>
    </w:p>
    <w:p>
      <w:pPr>
        <w:spacing w:after="0" w:line="158" w:lineRule="exact"/>
        <w:rPr>
          <w:sz w:val="20"/>
          <w:szCs w:val="20"/>
          <w:color w:val="auto"/>
        </w:rPr>
      </w:pPr>
    </w:p>
    <w:p>
      <w:pPr>
        <w:jc w:val="both"/>
        <w:ind w:left="540" w:right="559" w:firstLine="648"/>
        <w:spacing w:after="0" w:line="239" w:lineRule="auto"/>
        <w:rPr>
          <w:sz w:val="20"/>
          <w:szCs w:val="20"/>
          <w:color w:val="auto"/>
        </w:rPr>
      </w:pPr>
      <w:r>
        <w:rPr>
          <w:rFonts w:ascii="Times New Roman" w:cs="Times New Roman" w:eastAsia="Times New Roman" w:hAnsi="Times New Roman"/>
          <w:sz w:val="22"/>
          <w:szCs w:val="22"/>
          <w:color w:val="auto"/>
        </w:rPr>
        <w:t>WHEREAS, upon the terms and conditions set forth herein, MSK and LICENSEE has agreed to return the licensed patent rights related to Omburtamab, drug substance inventory and regulatory work products in order to facilitate the continued development of the project under MSK’s control and expense.</w:t>
      </w:r>
    </w:p>
    <w:p>
      <w:pPr>
        <w:spacing w:after="0" w:line="180" w:lineRule="exact"/>
        <w:rPr>
          <w:sz w:val="20"/>
          <w:szCs w:val="20"/>
          <w:color w:val="auto"/>
        </w:rPr>
      </w:pPr>
    </w:p>
    <w:p>
      <w:pPr>
        <w:jc w:val="both"/>
        <w:ind w:left="540" w:right="559" w:firstLine="648"/>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mutual premises and mutual covenants contained herein and other good and valuable consideration, the receipt and sufficiency of which are hereby acknowledged, the Parties hereto agree as follows: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1 - AMENDMENTS</w:t>
      </w:r>
    </w:p>
    <w:p>
      <w:pPr>
        <w:spacing w:after="0" w:line="206" w:lineRule="exact"/>
        <w:rPr>
          <w:sz w:val="20"/>
          <w:szCs w:val="20"/>
          <w:color w:val="auto"/>
        </w:rPr>
      </w:pPr>
    </w:p>
    <w:p>
      <w:pPr>
        <w:jc w:val="both"/>
        <w:ind w:left="540" w:right="55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color w:val="auto"/>
        </w:rPr>
        <w:t>Exhibit A to the License Agreement is updated by withdrawing the patent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families with the references [***] from the license.</w:t>
      </w:r>
    </w:p>
    <w:p>
      <w:pPr>
        <w:spacing w:after="0" w:line="154" w:lineRule="exact"/>
        <w:rPr>
          <w:sz w:val="20"/>
          <w:szCs w:val="20"/>
          <w:color w:val="auto"/>
        </w:rPr>
      </w:pPr>
    </w:p>
    <w:p>
      <w:pPr>
        <w:jc w:val="both"/>
        <w:ind w:left="540" w:right="859" w:firstLine="647"/>
        <w:spacing w:after="0" w:line="239" w:lineRule="auto"/>
        <w:tabs>
          <w:tab w:leader="none" w:pos="183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patent [***] co-owned by the parties. The LICENSEE will assign its right to this patent family to MSK in the jurisdiction where MSK wishes to maintain the patent family its own costs. In jurisdictions that MSK does not choose to maintain, the applications are allowed to lapse.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508000</wp:posOffset>
            </wp:positionV>
            <wp:extent cx="504063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5">
                      <a:extLst>
                        <a:ext uri="{28A0092B-C50C-407E-A947-70E740481C1C}"/>
                      </a:extLst>
                    </a:blip>
                    <a:srcRect/>
                    <a:stretch>
                      <a:fillRect/>
                    </a:stretch>
                  </pic:blipFill>
                  <pic:spPr bwMode="auto">
                    <a:xfrm>
                      <a:off x="0" y="0"/>
                      <a:ext cx="504063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82" w:name="page183"/>
    <w:bookmarkEnd w:id="182"/>
    <w:p>
      <w:pPr>
        <w:ind w:left="1180"/>
        <w:spacing w:after="0"/>
        <w:tabs>
          <w:tab w:leader="none" w:pos="182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2"/>
          <w:szCs w:val="22"/>
          <w:color w:val="auto"/>
        </w:rPr>
        <w:t>The first milestone payment expected due 2024 is reduced by 50%- from</w:t>
      </w:r>
    </w:p>
    <w:p>
      <w:pPr>
        <w:spacing w:after="0" w:line="8" w:lineRule="exact"/>
        <w:rPr>
          <w:sz w:val="20"/>
          <w:szCs w:val="20"/>
          <w:color w:val="auto"/>
        </w:rPr>
      </w:pPr>
    </w:p>
    <w:p>
      <w:pPr>
        <w:ind w:left="1100" w:hanging="561"/>
        <w:spacing w:after="0"/>
        <w:tabs>
          <w:tab w:leader="none" w:pos="11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 and the second milestone expected due 2025 is reduced by 50% - from</w:t>
      </w:r>
    </w:p>
    <w:p>
      <w:pPr>
        <w:ind w:left="1060" w:hanging="521"/>
        <w:spacing w:after="0"/>
        <w:tabs>
          <w:tab w:leader="none" w:pos="10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w:t>
      </w:r>
    </w:p>
    <w:p>
      <w:pPr>
        <w:spacing w:after="0" w:line="178" w:lineRule="exact"/>
        <w:rPr>
          <w:sz w:val="20"/>
          <w:szCs w:val="20"/>
          <w:color w:val="auto"/>
        </w:rPr>
      </w:pPr>
    </w:p>
    <w:p>
      <w:pPr>
        <w:ind w:left="1180"/>
        <w:spacing w:after="0"/>
        <w:tabs>
          <w:tab w:leader="none" w:pos="182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1"/>
          <w:szCs w:val="21"/>
          <w:color w:val="auto"/>
        </w:rPr>
        <w:t>The reduced milestone payment mentioned in article 1.2 of this Amendment</w:t>
      </w:r>
    </w:p>
    <w:p>
      <w:pPr>
        <w:spacing w:after="0" w:line="18" w:lineRule="exact"/>
        <w:rPr>
          <w:sz w:val="20"/>
          <w:szCs w:val="20"/>
          <w:color w:val="auto"/>
        </w:rPr>
      </w:pPr>
    </w:p>
    <w:p>
      <w:pPr>
        <w:jc w:val="both"/>
        <w:ind w:left="540" w:right="559" w:hanging="1"/>
        <w:spacing w:after="0" w:line="235" w:lineRule="auto"/>
        <w:tabs>
          <w:tab w:leader="none" w:pos="1085"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second payment will be activated if LICENSEE choose a [***] construct that is a Licensed Product according to the License Agreement. The reduced milestone payments for this are as follows:</w:t>
      </w:r>
    </w:p>
    <w:p>
      <w:pPr>
        <w:spacing w:after="0" w:line="185" w:lineRule="exact"/>
        <w:rPr>
          <w:sz w:val="20"/>
          <w:szCs w:val="20"/>
          <w:color w:val="auto"/>
        </w:rPr>
      </w:pPr>
    </w:p>
    <w:tbl>
      <w:tblPr>
        <w:tblLayout w:type="fixed"/>
        <w:tblInd w:w="550" w:type="dxa"/>
        <w:tblCellMar>
          <w:top w:w="0" w:type="dxa"/>
          <w:left w:w="0" w:type="dxa"/>
          <w:bottom w:w="0" w:type="dxa"/>
          <w:right w:w="0" w:type="dxa"/>
        </w:tblCellMar>
      </w:tblPr>
      <w:tr>
        <w:trPr>
          <w:trHeight w:val="232"/>
        </w:trPr>
        <w:tc>
          <w:tcPr>
            <w:tcW w:w="1720" w:type="dxa"/>
            <w:vAlign w:val="bottom"/>
            <w:tcBorders>
              <w:top w:val="single" w:sz="8" w:color="auto"/>
              <w:left w:val="single" w:sz="8" w:color="auto"/>
            </w:tcBorders>
            <w:gridSpan w:val="4"/>
          </w:tcPr>
          <w:p>
            <w:pPr>
              <w:ind w:left="100"/>
              <w:spacing w:after="0" w:line="232" w:lineRule="exact"/>
              <w:rPr>
                <w:sz w:val="20"/>
                <w:szCs w:val="20"/>
                <w:color w:val="auto"/>
              </w:rPr>
            </w:pPr>
            <w:r>
              <w:rPr>
                <w:rFonts w:ascii="Calibri" w:cs="Calibri" w:eastAsia="Calibri" w:hAnsi="Calibri"/>
                <w:sz w:val="20"/>
                <w:szCs w:val="20"/>
                <w:color w:val="auto"/>
              </w:rPr>
              <w:t>Milestone Actvity</w:t>
            </w:r>
          </w:p>
        </w:tc>
        <w:tc>
          <w:tcPr>
            <w:tcW w:w="360" w:type="dxa"/>
            <w:vAlign w:val="bottom"/>
            <w:tcBorders>
              <w:top w:val="single" w:sz="8" w:color="auto"/>
              <w:right w:val="single" w:sz="8" w:color="auto"/>
            </w:tcBorders>
          </w:tcPr>
          <w:p>
            <w:pPr>
              <w:spacing w:after="0"/>
              <w:rPr>
                <w:sz w:val="20"/>
                <w:szCs w:val="20"/>
                <w:color w:val="auto"/>
              </w:rPr>
            </w:pPr>
          </w:p>
        </w:tc>
        <w:tc>
          <w:tcPr>
            <w:tcW w:w="1900" w:type="dxa"/>
            <w:vAlign w:val="bottom"/>
            <w:tcBorders>
              <w:top w:val="single" w:sz="8" w:color="auto"/>
              <w:right w:val="single" w:sz="8" w:color="auto"/>
            </w:tcBorders>
          </w:tcPr>
          <w:p>
            <w:pPr>
              <w:ind w:left="100"/>
              <w:spacing w:after="0" w:line="232" w:lineRule="exact"/>
              <w:rPr>
                <w:sz w:val="20"/>
                <w:szCs w:val="20"/>
                <w:color w:val="auto"/>
              </w:rPr>
            </w:pPr>
            <w:r>
              <w:rPr>
                <w:rFonts w:ascii="Calibri" w:cs="Calibri" w:eastAsia="Calibri" w:hAnsi="Calibri"/>
                <w:sz w:val="20"/>
                <w:szCs w:val="20"/>
                <w:color w:val="auto"/>
              </w:rPr>
              <w:t>Amended Milestone</w:t>
            </w:r>
          </w:p>
        </w:tc>
        <w:tc>
          <w:tcPr>
            <w:tcW w:w="1140" w:type="dxa"/>
            <w:vAlign w:val="bottom"/>
            <w:tcBorders>
              <w:top w:val="single" w:sz="8" w:color="auto"/>
              <w:right w:val="single" w:sz="8" w:color="auto"/>
            </w:tcBorders>
          </w:tcPr>
          <w:p>
            <w:pPr>
              <w:ind w:left="80"/>
              <w:spacing w:after="0" w:line="232" w:lineRule="exact"/>
              <w:rPr>
                <w:sz w:val="20"/>
                <w:szCs w:val="20"/>
                <w:color w:val="auto"/>
              </w:rPr>
            </w:pPr>
            <w:r>
              <w:rPr>
                <w:rFonts w:ascii="Calibri" w:cs="Calibri" w:eastAsia="Calibri" w:hAnsi="Calibri"/>
                <w:sz w:val="20"/>
                <w:szCs w:val="20"/>
                <w:color w:val="auto"/>
              </w:rPr>
              <w:t>Amended</w:t>
            </w:r>
          </w:p>
        </w:tc>
        <w:tc>
          <w:tcPr>
            <w:tcW w:w="1640" w:type="dxa"/>
            <w:vAlign w:val="bottom"/>
            <w:tcBorders>
              <w:top w:val="single" w:sz="8" w:color="auto"/>
              <w:right w:val="single" w:sz="8" w:color="auto"/>
            </w:tcBorders>
          </w:tcPr>
          <w:p>
            <w:pPr>
              <w:ind w:left="80"/>
              <w:spacing w:after="0" w:line="232" w:lineRule="exact"/>
              <w:rPr>
                <w:sz w:val="20"/>
                <w:szCs w:val="20"/>
                <w:color w:val="auto"/>
              </w:rPr>
            </w:pPr>
            <w:r>
              <w:rPr>
                <w:rFonts w:ascii="Calibri" w:cs="Calibri" w:eastAsia="Calibri" w:hAnsi="Calibri"/>
                <w:sz w:val="20"/>
                <w:szCs w:val="20"/>
                <w:color w:val="auto"/>
              </w:rPr>
              <w:t>Original</w:t>
            </w:r>
          </w:p>
        </w:tc>
        <w:tc>
          <w:tcPr>
            <w:tcW w:w="1660" w:type="dxa"/>
            <w:vAlign w:val="bottom"/>
            <w:tcBorders>
              <w:top w:val="single" w:sz="8" w:color="auto"/>
              <w:right w:val="single" w:sz="8" w:color="auto"/>
            </w:tcBorders>
          </w:tcPr>
          <w:p>
            <w:pPr>
              <w:ind w:left="100"/>
              <w:spacing w:after="0" w:line="232" w:lineRule="exact"/>
              <w:rPr>
                <w:sz w:val="20"/>
                <w:szCs w:val="20"/>
                <w:color w:val="auto"/>
              </w:rPr>
            </w:pPr>
            <w:r>
              <w:rPr>
                <w:rFonts w:ascii="Calibri" w:cs="Calibri" w:eastAsia="Calibri" w:hAnsi="Calibri"/>
                <w:sz w:val="20"/>
                <w:szCs w:val="20"/>
                <w:color w:val="auto"/>
              </w:rPr>
              <w:t>Milestone due at</w:t>
            </w:r>
          </w:p>
        </w:tc>
      </w:tr>
      <w:tr>
        <w:trPr>
          <w:trHeight w:val="234"/>
        </w:trPr>
        <w:tc>
          <w:tcPr>
            <w:tcW w:w="1340" w:type="dxa"/>
            <w:vAlign w:val="bottom"/>
            <w:tcBorders>
              <w:left w:val="single" w:sz="8" w:color="auto"/>
            </w:tcBorders>
            <w:gridSpan w:val="3"/>
          </w:tcPr>
          <w:p>
            <w:pPr>
              <w:ind w:left="100"/>
              <w:spacing w:after="0" w:line="234" w:lineRule="exact"/>
              <w:rPr>
                <w:sz w:val="20"/>
                <w:szCs w:val="20"/>
                <w:color w:val="auto"/>
              </w:rPr>
            </w:pPr>
            <w:r>
              <w:rPr>
                <w:rFonts w:ascii="Calibri" w:cs="Calibri" w:eastAsia="Calibri" w:hAnsi="Calibri"/>
                <w:sz w:val="20"/>
                <w:szCs w:val="20"/>
                <w:color w:val="auto"/>
              </w:rPr>
              <w:t>under License</w:t>
            </w:r>
          </w:p>
        </w:tc>
        <w:tc>
          <w:tcPr>
            <w:tcW w:w="38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Actvity</w:t>
            </w:r>
          </w:p>
        </w:tc>
        <w:tc>
          <w:tcPr>
            <w:tcW w:w="1140" w:type="dxa"/>
            <w:vAlign w:val="bottom"/>
            <w:tcBorders>
              <w:right w:val="single" w:sz="8" w:color="auto"/>
            </w:tcBorders>
          </w:tcPr>
          <w:p>
            <w:pPr>
              <w:ind w:left="80"/>
              <w:spacing w:after="0" w:line="234" w:lineRule="exact"/>
              <w:rPr>
                <w:sz w:val="20"/>
                <w:szCs w:val="20"/>
                <w:color w:val="auto"/>
              </w:rPr>
            </w:pPr>
            <w:r>
              <w:rPr>
                <w:rFonts w:ascii="Calibri" w:cs="Calibri" w:eastAsia="Calibri" w:hAnsi="Calibri"/>
                <w:sz w:val="20"/>
                <w:szCs w:val="20"/>
                <w:color w:val="auto"/>
              </w:rPr>
              <w:t>Milestone</w:t>
            </w:r>
          </w:p>
        </w:tc>
        <w:tc>
          <w:tcPr>
            <w:tcW w:w="1640" w:type="dxa"/>
            <w:vAlign w:val="bottom"/>
            <w:tcBorders>
              <w:right w:val="single" w:sz="8" w:color="auto"/>
            </w:tcBorders>
          </w:tcPr>
          <w:p>
            <w:pPr>
              <w:ind w:left="80"/>
              <w:spacing w:after="0" w:line="234" w:lineRule="exact"/>
              <w:rPr>
                <w:sz w:val="20"/>
                <w:szCs w:val="20"/>
                <w:color w:val="auto"/>
              </w:rPr>
            </w:pPr>
            <w:r>
              <w:rPr>
                <w:rFonts w:ascii="Calibri" w:cs="Calibri" w:eastAsia="Calibri" w:hAnsi="Calibri"/>
                <w:sz w:val="20"/>
                <w:szCs w:val="20"/>
                <w:color w:val="auto"/>
              </w:rPr>
              <w:t>Milestone Due</w:t>
            </w:r>
          </w:p>
        </w:tc>
        <w:tc>
          <w:tcPr>
            <w:tcW w:w="1660" w:type="dxa"/>
            <w:vAlign w:val="bottom"/>
            <w:tcBorders>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the earlier of</w:t>
            </w:r>
          </w:p>
        </w:tc>
      </w:tr>
      <w:tr>
        <w:trPr>
          <w:trHeight w:val="243"/>
        </w:trPr>
        <w:tc>
          <w:tcPr>
            <w:tcW w:w="1340" w:type="dxa"/>
            <w:vAlign w:val="bottom"/>
            <w:tcBorders>
              <w:left w:val="single" w:sz="8" w:color="auto"/>
            </w:tcBorders>
            <w:gridSpan w:val="3"/>
          </w:tcPr>
          <w:p>
            <w:pPr>
              <w:ind w:left="100"/>
              <w:spacing w:after="0" w:line="243" w:lineRule="exact"/>
              <w:rPr>
                <w:sz w:val="20"/>
                <w:szCs w:val="20"/>
                <w:color w:val="auto"/>
              </w:rPr>
            </w:pPr>
            <w:r>
              <w:rPr>
                <w:rFonts w:ascii="Calibri" w:cs="Calibri" w:eastAsia="Calibri" w:hAnsi="Calibri"/>
                <w:sz w:val="20"/>
                <w:szCs w:val="20"/>
                <w:color w:val="auto"/>
              </w:rPr>
              <w:t>Agreement</w:t>
            </w:r>
          </w:p>
        </w:tc>
        <w:tc>
          <w:tcPr>
            <w:tcW w:w="38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c>
          <w:tcPr>
            <w:tcW w:w="1140" w:type="dxa"/>
            <w:vAlign w:val="bottom"/>
            <w:tcBorders>
              <w:right w:val="single" w:sz="8" w:color="auto"/>
            </w:tcBorders>
          </w:tcPr>
          <w:p>
            <w:pPr>
              <w:ind w:left="80"/>
              <w:spacing w:after="0" w:line="243" w:lineRule="exact"/>
              <w:rPr>
                <w:sz w:val="20"/>
                <w:szCs w:val="20"/>
                <w:color w:val="auto"/>
              </w:rPr>
            </w:pPr>
            <w:r>
              <w:rPr>
                <w:rFonts w:ascii="Calibri" w:cs="Calibri" w:eastAsia="Calibri" w:hAnsi="Calibri"/>
                <w:sz w:val="20"/>
                <w:szCs w:val="20"/>
                <w:color w:val="auto"/>
              </w:rPr>
              <w:t>Payment</w:t>
            </w:r>
          </w:p>
        </w:tc>
        <w:tc>
          <w:tcPr>
            <w:tcW w:w="1640" w:type="dxa"/>
            <w:vAlign w:val="bottom"/>
            <w:tcBorders>
              <w:right w:val="single" w:sz="8" w:color="auto"/>
            </w:tcBorders>
          </w:tcPr>
          <w:p>
            <w:pPr>
              <w:ind w:left="80"/>
              <w:spacing w:after="0" w:line="243" w:lineRule="exact"/>
              <w:rPr>
                <w:sz w:val="20"/>
                <w:szCs w:val="20"/>
                <w:color w:val="auto"/>
              </w:rPr>
            </w:pPr>
            <w:r>
              <w:rPr>
                <w:rFonts w:ascii="Calibri" w:cs="Calibri" w:eastAsia="Calibri" w:hAnsi="Calibri"/>
                <w:sz w:val="20"/>
                <w:szCs w:val="20"/>
                <w:color w:val="auto"/>
              </w:rPr>
              <w:t>Date under</w:t>
            </w:r>
          </w:p>
        </w:tc>
        <w:tc>
          <w:tcPr>
            <w:tcW w:w="1660" w:type="dxa"/>
            <w:vAlign w:val="bottom"/>
            <w:tcBorders>
              <w:right w:val="single" w:sz="8" w:color="auto"/>
            </w:tcBorders>
          </w:tcPr>
          <w:p>
            <w:pPr>
              <w:ind w:left="100"/>
              <w:spacing w:after="0" w:line="243" w:lineRule="exact"/>
              <w:rPr>
                <w:sz w:val="20"/>
                <w:szCs w:val="20"/>
                <w:color w:val="auto"/>
              </w:rPr>
            </w:pPr>
            <w:r>
              <w:rPr>
                <w:rFonts w:ascii="Calibri" w:cs="Calibri" w:eastAsia="Calibri" w:hAnsi="Calibri"/>
                <w:sz w:val="20"/>
                <w:szCs w:val="20"/>
                <w:color w:val="auto"/>
              </w:rPr>
              <w:t>completon of</w:t>
            </w:r>
          </w:p>
        </w:tc>
      </w:tr>
      <w:tr>
        <w:trPr>
          <w:trHeight w:val="243"/>
        </w:trPr>
        <w:tc>
          <w:tcPr>
            <w:tcW w:w="420" w:type="dxa"/>
            <w:vAlign w:val="bottom"/>
            <w:tcBorders>
              <w:lef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ind w:left="80"/>
              <w:spacing w:after="0" w:line="243" w:lineRule="exact"/>
              <w:rPr>
                <w:sz w:val="20"/>
                <w:szCs w:val="20"/>
                <w:color w:val="auto"/>
              </w:rPr>
            </w:pPr>
            <w:r>
              <w:rPr>
                <w:rFonts w:ascii="Calibri" w:cs="Calibri" w:eastAsia="Calibri" w:hAnsi="Calibri"/>
                <w:sz w:val="20"/>
                <w:szCs w:val="20"/>
                <w:color w:val="auto"/>
              </w:rPr>
              <w:t>License</w:t>
            </w:r>
          </w:p>
        </w:tc>
        <w:tc>
          <w:tcPr>
            <w:tcW w:w="1660" w:type="dxa"/>
            <w:vAlign w:val="bottom"/>
            <w:tcBorders>
              <w:right w:val="single" w:sz="8" w:color="auto"/>
            </w:tcBorders>
          </w:tcPr>
          <w:p>
            <w:pPr>
              <w:ind w:left="100"/>
              <w:spacing w:after="0" w:line="243" w:lineRule="exact"/>
              <w:rPr>
                <w:sz w:val="20"/>
                <w:szCs w:val="20"/>
                <w:color w:val="auto"/>
              </w:rPr>
            </w:pPr>
            <w:r>
              <w:rPr>
                <w:rFonts w:ascii="Calibri" w:cs="Calibri" w:eastAsia="Calibri" w:hAnsi="Calibri"/>
                <w:sz w:val="20"/>
                <w:szCs w:val="20"/>
                <w:color w:val="auto"/>
              </w:rPr>
              <w:t>Milestone</w:t>
            </w:r>
          </w:p>
        </w:tc>
      </w:tr>
      <w:tr>
        <w:trPr>
          <w:trHeight w:val="243"/>
        </w:trPr>
        <w:tc>
          <w:tcPr>
            <w:tcW w:w="420" w:type="dxa"/>
            <w:vAlign w:val="bottom"/>
            <w:tcBorders>
              <w:lef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ind w:left="80"/>
              <w:spacing w:after="0" w:line="243" w:lineRule="exact"/>
              <w:rPr>
                <w:sz w:val="20"/>
                <w:szCs w:val="20"/>
                <w:color w:val="auto"/>
              </w:rPr>
            </w:pPr>
            <w:r>
              <w:rPr>
                <w:rFonts w:ascii="Calibri" w:cs="Calibri" w:eastAsia="Calibri" w:hAnsi="Calibri"/>
                <w:sz w:val="20"/>
                <w:szCs w:val="20"/>
                <w:color w:val="auto"/>
              </w:rPr>
              <w:t>Agreement</w:t>
            </w:r>
          </w:p>
        </w:tc>
        <w:tc>
          <w:tcPr>
            <w:tcW w:w="1660" w:type="dxa"/>
            <w:vAlign w:val="bottom"/>
            <w:tcBorders>
              <w:right w:val="single" w:sz="8" w:color="auto"/>
            </w:tcBorders>
          </w:tcPr>
          <w:p>
            <w:pPr>
              <w:ind w:left="100"/>
              <w:spacing w:after="0" w:line="243" w:lineRule="exact"/>
              <w:rPr>
                <w:sz w:val="20"/>
                <w:szCs w:val="20"/>
                <w:color w:val="auto"/>
              </w:rPr>
            </w:pPr>
            <w:r>
              <w:rPr>
                <w:rFonts w:ascii="Calibri" w:cs="Calibri" w:eastAsia="Calibri" w:hAnsi="Calibri"/>
                <w:sz w:val="20"/>
                <w:szCs w:val="20"/>
                <w:color w:val="auto"/>
              </w:rPr>
              <w:t>Actvity or a date</w:t>
            </w:r>
          </w:p>
        </w:tc>
      </w:tr>
      <w:tr>
        <w:trPr>
          <w:trHeight w:val="243"/>
        </w:trPr>
        <w:tc>
          <w:tcPr>
            <w:tcW w:w="420" w:type="dxa"/>
            <w:vAlign w:val="bottom"/>
            <w:tcBorders>
              <w:lef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ind w:left="100"/>
              <w:spacing w:after="0" w:line="243" w:lineRule="exact"/>
              <w:rPr>
                <w:sz w:val="20"/>
                <w:szCs w:val="20"/>
                <w:color w:val="auto"/>
              </w:rPr>
            </w:pPr>
            <w:r>
              <w:rPr>
                <w:rFonts w:ascii="Calibri" w:cs="Calibri" w:eastAsia="Calibri" w:hAnsi="Calibri"/>
                <w:sz w:val="20"/>
                <w:szCs w:val="20"/>
                <w:color w:val="auto"/>
              </w:rPr>
              <w:t>indicated below</w:t>
            </w:r>
          </w:p>
        </w:tc>
      </w:tr>
      <w:tr>
        <w:trPr>
          <w:trHeight w:val="33"/>
        </w:trPr>
        <w:tc>
          <w:tcPr>
            <w:tcW w:w="980" w:type="dxa"/>
            <w:vAlign w:val="bottom"/>
            <w:tcBorders>
              <w:left w:val="single" w:sz="8" w:color="auto"/>
              <w:bottom w:val="single" w:sz="8" w:color="auto"/>
            </w:tcBorders>
            <w:gridSpan w:val="2"/>
          </w:tcPr>
          <w:p>
            <w:pPr>
              <w:spacing w:after="0"/>
              <w:rPr>
                <w:sz w:val="2"/>
                <w:szCs w:val="2"/>
                <w:color w:val="auto"/>
              </w:rPr>
            </w:pPr>
          </w:p>
        </w:tc>
        <w:tc>
          <w:tcPr>
            <w:tcW w:w="1100" w:type="dxa"/>
            <w:vAlign w:val="bottom"/>
            <w:tcBorders>
              <w:bottom w:val="single" w:sz="8" w:color="auto"/>
              <w:right w:val="single" w:sz="8" w:color="auto"/>
            </w:tcBorders>
            <w:gridSpan w:val="3"/>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r>
        <w:trPr>
          <w:trHeight w:val="212"/>
        </w:trPr>
        <w:tc>
          <w:tcPr>
            <w:tcW w:w="980" w:type="dxa"/>
            <w:vAlign w:val="bottom"/>
            <w:tcBorders>
              <w:left w:val="single" w:sz="8" w:color="auto"/>
            </w:tcBorders>
            <w:gridSpan w:val="2"/>
          </w:tcPr>
          <w:p>
            <w:pPr>
              <w:ind w:left="100"/>
              <w:spacing w:after="0" w:line="212" w:lineRule="exact"/>
              <w:rPr>
                <w:sz w:val="20"/>
                <w:szCs w:val="20"/>
                <w:color w:val="auto"/>
              </w:rPr>
            </w:pPr>
            <w:r>
              <w:rPr>
                <w:rFonts w:ascii="Calibri" w:cs="Calibri" w:eastAsia="Calibri" w:hAnsi="Calibri"/>
                <w:sz w:val="20"/>
                <w:szCs w:val="20"/>
                <w:color w:val="auto"/>
                <w:w w:val="97"/>
              </w:rPr>
              <w:t>Regulatory</w:t>
            </w:r>
          </w:p>
        </w:tc>
        <w:tc>
          <w:tcPr>
            <w:tcW w:w="1100" w:type="dxa"/>
            <w:vAlign w:val="bottom"/>
            <w:tcBorders>
              <w:right w:val="single" w:sz="8" w:color="auto"/>
            </w:tcBorders>
            <w:gridSpan w:val="3"/>
          </w:tcPr>
          <w:p>
            <w:pPr>
              <w:jc w:val="right"/>
              <w:ind w:right="21"/>
              <w:spacing w:after="0" w:line="212" w:lineRule="exact"/>
              <w:rPr>
                <w:sz w:val="20"/>
                <w:szCs w:val="20"/>
                <w:color w:val="auto"/>
              </w:rPr>
            </w:pPr>
            <w:r>
              <w:rPr>
                <w:rFonts w:ascii="Calibri" w:cs="Calibri" w:eastAsia="Calibri" w:hAnsi="Calibri"/>
                <w:sz w:val="20"/>
                <w:szCs w:val="20"/>
                <w:color w:val="auto"/>
              </w:rPr>
              <w:t>approval</w:t>
            </w:r>
          </w:p>
        </w:tc>
        <w:tc>
          <w:tcPr>
            <w:tcW w:w="1900" w:type="dxa"/>
            <w:vAlign w:val="bottom"/>
            <w:tcBorders>
              <w:right w:val="single" w:sz="8" w:color="auto"/>
            </w:tcBorders>
          </w:tcPr>
          <w:p>
            <w:pPr>
              <w:ind w:left="100"/>
              <w:spacing w:after="0" w:line="212" w:lineRule="exact"/>
              <w:rPr>
                <w:sz w:val="20"/>
                <w:szCs w:val="20"/>
                <w:color w:val="auto"/>
              </w:rPr>
            </w:pPr>
            <w:r>
              <w:rPr>
                <w:rFonts w:ascii="Calibri" w:cs="Calibri" w:eastAsia="Calibri" w:hAnsi="Calibri"/>
                <w:sz w:val="20"/>
                <w:szCs w:val="20"/>
                <w:color w:val="auto"/>
              </w:rPr>
              <w:t>Regulatory approval</w:t>
            </w:r>
          </w:p>
        </w:tc>
        <w:tc>
          <w:tcPr>
            <w:tcW w:w="1140" w:type="dxa"/>
            <w:vAlign w:val="bottom"/>
            <w:tcBorders>
              <w:right w:val="single" w:sz="8" w:color="auto"/>
            </w:tcBorders>
          </w:tcPr>
          <w:p>
            <w:pPr>
              <w:ind w:left="80"/>
              <w:spacing w:after="0" w:line="212" w:lineRule="exact"/>
              <w:rPr>
                <w:sz w:val="20"/>
                <w:szCs w:val="20"/>
                <w:color w:val="auto"/>
              </w:rPr>
            </w:pPr>
            <w:r>
              <w:rPr>
                <w:rFonts w:ascii="Calibri" w:cs="Calibri" w:eastAsia="Calibri" w:hAnsi="Calibri"/>
                <w:sz w:val="20"/>
                <w:szCs w:val="20"/>
                <w:color w:val="auto"/>
              </w:rPr>
              <w:t>$150,000</w:t>
            </w:r>
          </w:p>
        </w:tc>
        <w:tc>
          <w:tcPr>
            <w:tcW w:w="1640" w:type="dxa"/>
            <w:vAlign w:val="bottom"/>
            <w:tcBorders>
              <w:right w:val="single" w:sz="8" w:color="auto"/>
            </w:tcBorders>
          </w:tcPr>
          <w:p>
            <w:pPr>
              <w:ind w:left="80"/>
              <w:spacing w:after="0" w:line="212" w:lineRule="exact"/>
              <w:rPr>
                <w:sz w:val="20"/>
                <w:szCs w:val="20"/>
                <w:color w:val="auto"/>
              </w:rPr>
            </w:pPr>
            <w:r>
              <w:rPr>
                <w:rFonts w:ascii="Calibri" w:cs="Calibri" w:eastAsia="Calibri" w:hAnsi="Calibri"/>
                <w:sz w:val="20"/>
                <w:szCs w:val="20"/>
                <w:color w:val="auto"/>
              </w:rPr>
              <w:t>Within ten (10)</w:t>
            </w:r>
          </w:p>
        </w:tc>
        <w:tc>
          <w:tcPr>
            <w:tcW w:w="1660" w:type="dxa"/>
            <w:vAlign w:val="bottom"/>
            <w:tcBorders>
              <w:right w:val="single" w:sz="8" w:color="auto"/>
            </w:tcBorders>
          </w:tcPr>
          <w:p>
            <w:pPr>
              <w:ind w:left="100"/>
              <w:spacing w:after="0" w:line="212" w:lineRule="exact"/>
              <w:rPr>
                <w:sz w:val="20"/>
                <w:szCs w:val="20"/>
                <w:color w:val="auto"/>
              </w:rPr>
            </w:pPr>
            <w:r>
              <w:rPr>
                <w:rFonts w:ascii="Calibri" w:cs="Calibri" w:eastAsia="Calibri" w:hAnsi="Calibri"/>
                <w:sz w:val="20"/>
                <w:szCs w:val="20"/>
                <w:color w:val="auto"/>
              </w:rPr>
              <w:t>4/15/2032</w:t>
            </w:r>
          </w:p>
        </w:tc>
      </w:tr>
      <w:tr>
        <w:trPr>
          <w:trHeight w:val="234"/>
        </w:trPr>
        <w:tc>
          <w:tcPr>
            <w:tcW w:w="420" w:type="dxa"/>
            <w:vAlign w:val="bottom"/>
            <w:tcBorders>
              <w:lef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for</w:t>
            </w:r>
          </w:p>
        </w:tc>
        <w:tc>
          <w:tcPr>
            <w:tcW w:w="560" w:type="dxa"/>
            <w:vAlign w:val="bottom"/>
          </w:tcPr>
          <w:p>
            <w:pPr>
              <w:ind w:left="160"/>
              <w:spacing w:after="0" w:line="234" w:lineRule="exact"/>
              <w:rPr>
                <w:sz w:val="20"/>
                <w:szCs w:val="20"/>
                <w:color w:val="auto"/>
              </w:rPr>
            </w:pPr>
            <w:r>
              <w:rPr>
                <w:rFonts w:ascii="Calibri" w:cs="Calibri" w:eastAsia="Calibri" w:hAnsi="Calibri"/>
                <w:sz w:val="20"/>
                <w:szCs w:val="20"/>
                <w:color w:val="auto"/>
              </w:rPr>
              <w:t>sale</w:t>
            </w:r>
          </w:p>
        </w:tc>
        <w:tc>
          <w:tcPr>
            <w:tcW w:w="360" w:type="dxa"/>
            <w:vAlign w:val="bottom"/>
          </w:tcPr>
          <w:p>
            <w:pPr>
              <w:ind w:left="180"/>
              <w:spacing w:after="0" w:line="234" w:lineRule="exact"/>
              <w:rPr>
                <w:sz w:val="20"/>
                <w:szCs w:val="20"/>
                <w:color w:val="auto"/>
              </w:rPr>
            </w:pPr>
            <w:r>
              <w:rPr>
                <w:rFonts w:ascii="Calibri" w:cs="Calibri" w:eastAsia="Calibri" w:hAnsi="Calibri"/>
                <w:sz w:val="20"/>
                <w:szCs w:val="20"/>
                <w:color w:val="auto"/>
                <w:w w:val="95"/>
              </w:rPr>
              <w:t>of</w:t>
            </w:r>
          </w:p>
        </w:tc>
        <w:tc>
          <w:tcPr>
            <w:tcW w:w="740" w:type="dxa"/>
            <w:vAlign w:val="bottom"/>
            <w:tcBorders>
              <w:right w:val="single" w:sz="8" w:color="auto"/>
            </w:tcBorders>
            <w:gridSpan w:val="2"/>
          </w:tcPr>
          <w:p>
            <w:pPr>
              <w:jc w:val="right"/>
              <w:ind w:right="21"/>
              <w:spacing w:after="0" w:line="234" w:lineRule="exact"/>
              <w:rPr>
                <w:sz w:val="20"/>
                <w:szCs w:val="20"/>
                <w:color w:val="auto"/>
              </w:rPr>
            </w:pPr>
            <w:r>
              <w:rPr>
                <w:rFonts w:ascii="Calibri" w:cs="Calibri" w:eastAsia="Calibri" w:hAnsi="Calibri"/>
                <w:sz w:val="20"/>
                <w:szCs w:val="20"/>
                <w:b w:val="1"/>
                <w:bCs w:val="1"/>
                <w:color w:val="auto"/>
              </w:rPr>
              <w:t>third</w:t>
            </w:r>
          </w:p>
        </w:tc>
        <w:tc>
          <w:tcPr>
            <w:tcW w:w="1900" w:type="dxa"/>
            <w:vAlign w:val="bottom"/>
            <w:tcBorders>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for sale [***] that is</w:t>
            </w:r>
          </w:p>
        </w:tc>
        <w:tc>
          <w:tcPr>
            <w:tcW w:w="1140" w:type="dxa"/>
            <w:vAlign w:val="bottom"/>
            <w:tcBorders>
              <w:right w:val="single" w:sz="8" w:color="auto"/>
            </w:tcBorders>
          </w:tcPr>
          <w:p>
            <w:pPr>
              <w:spacing w:after="0"/>
              <w:rPr>
                <w:sz w:val="20"/>
                <w:szCs w:val="20"/>
                <w:color w:val="auto"/>
              </w:rPr>
            </w:pPr>
          </w:p>
        </w:tc>
        <w:tc>
          <w:tcPr>
            <w:tcW w:w="1640" w:type="dxa"/>
            <w:vAlign w:val="bottom"/>
            <w:tcBorders>
              <w:right w:val="single" w:sz="8" w:color="auto"/>
            </w:tcBorders>
          </w:tcPr>
          <w:p>
            <w:pPr>
              <w:ind w:left="80"/>
              <w:spacing w:after="0" w:line="234" w:lineRule="exact"/>
              <w:rPr>
                <w:sz w:val="20"/>
                <w:szCs w:val="20"/>
                <w:color w:val="auto"/>
              </w:rPr>
            </w:pPr>
            <w:r>
              <w:rPr>
                <w:rFonts w:ascii="Calibri" w:cs="Calibri" w:eastAsia="Calibri" w:hAnsi="Calibri"/>
                <w:sz w:val="20"/>
                <w:szCs w:val="20"/>
                <w:color w:val="auto"/>
              </w:rPr>
              <w:t>years of Efectve</w:t>
            </w:r>
          </w:p>
        </w:tc>
        <w:tc>
          <w:tcPr>
            <w:tcW w:w="1660" w:type="dxa"/>
            <w:vAlign w:val="bottom"/>
            <w:tcBorders>
              <w:right w:val="single" w:sz="8" w:color="auto"/>
            </w:tcBorders>
          </w:tcPr>
          <w:p>
            <w:pPr>
              <w:spacing w:after="0"/>
              <w:rPr>
                <w:sz w:val="20"/>
                <w:szCs w:val="20"/>
                <w:color w:val="auto"/>
              </w:rPr>
            </w:pPr>
          </w:p>
        </w:tc>
      </w:tr>
      <w:tr>
        <w:trPr>
          <w:trHeight w:val="243"/>
        </w:trPr>
        <w:tc>
          <w:tcPr>
            <w:tcW w:w="980" w:type="dxa"/>
            <w:vAlign w:val="bottom"/>
            <w:tcBorders>
              <w:left w:val="single" w:sz="8" w:color="auto"/>
            </w:tcBorders>
            <w:gridSpan w:val="2"/>
          </w:tcPr>
          <w:p>
            <w:pPr>
              <w:ind w:left="100"/>
              <w:spacing w:after="0" w:line="243" w:lineRule="exact"/>
              <w:rPr>
                <w:sz w:val="20"/>
                <w:szCs w:val="20"/>
                <w:color w:val="auto"/>
              </w:rPr>
            </w:pPr>
            <w:r>
              <w:rPr>
                <w:rFonts w:ascii="Calibri" w:cs="Calibri" w:eastAsia="Calibri" w:hAnsi="Calibri"/>
                <w:sz w:val="20"/>
                <w:szCs w:val="20"/>
                <w:color w:val="auto"/>
              </w:rPr>
              <w:t>Licensed</w:t>
            </w:r>
          </w:p>
        </w:tc>
        <w:tc>
          <w:tcPr>
            <w:tcW w:w="740" w:type="dxa"/>
            <w:vAlign w:val="bottom"/>
            <w:gridSpan w:val="2"/>
          </w:tcPr>
          <w:p>
            <w:pPr>
              <w:spacing w:after="0" w:line="243" w:lineRule="exact"/>
              <w:rPr>
                <w:sz w:val="20"/>
                <w:szCs w:val="20"/>
                <w:color w:val="auto"/>
              </w:rPr>
            </w:pPr>
            <w:r>
              <w:rPr>
                <w:rFonts w:ascii="Calibri" w:cs="Calibri" w:eastAsia="Calibri" w:hAnsi="Calibri"/>
                <w:sz w:val="20"/>
                <w:szCs w:val="20"/>
                <w:color w:val="auto"/>
              </w:rPr>
              <w:t>Product</w:t>
            </w:r>
          </w:p>
        </w:tc>
        <w:tc>
          <w:tcPr>
            <w:tcW w:w="360" w:type="dxa"/>
            <w:vAlign w:val="bottom"/>
            <w:tcBorders>
              <w:right w:val="single" w:sz="8" w:color="auto"/>
            </w:tcBorders>
          </w:tcPr>
          <w:p>
            <w:pPr>
              <w:jc w:val="right"/>
              <w:ind w:right="21"/>
              <w:spacing w:after="0" w:line="243" w:lineRule="exact"/>
              <w:rPr>
                <w:sz w:val="20"/>
                <w:szCs w:val="20"/>
                <w:color w:val="auto"/>
              </w:rPr>
            </w:pPr>
            <w:r>
              <w:rPr>
                <w:rFonts w:ascii="Calibri" w:cs="Calibri" w:eastAsia="Calibri" w:hAnsi="Calibri"/>
                <w:sz w:val="20"/>
                <w:szCs w:val="20"/>
                <w:color w:val="auto"/>
              </w:rPr>
              <w:t>in</w:t>
            </w:r>
          </w:p>
        </w:tc>
        <w:tc>
          <w:tcPr>
            <w:tcW w:w="1900" w:type="dxa"/>
            <w:vAlign w:val="bottom"/>
            <w:tcBorders>
              <w:right w:val="single" w:sz="8" w:color="auto"/>
            </w:tcBorders>
          </w:tcPr>
          <w:p>
            <w:pPr>
              <w:ind w:left="100"/>
              <w:spacing w:after="0" w:line="243" w:lineRule="exact"/>
              <w:rPr>
                <w:sz w:val="20"/>
                <w:szCs w:val="20"/>
                <w:color w:val="auto"/>
              </w:rPr>
            </w:pPr>
            <w:r>
              <w:rPr>
                <w:rFonts w:ascii="Calibri" w:cs="Calibri" w:eastAsia="Calibri" w:hAnsi="Calibri"/>
                <w:sz w:val="20"/>
                <w:szCs w:val="20"/>
                <w:color w:val="auto"/>
              </w:rPr>
              <w:t>a Licensed Product,</w:t>
            </w:r>
          </w:p>
        </w:tc>
        <w:tc>
          <w:tcPr>
            <w:tcW w:w="114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ind w:left="80"/>
              <w:spacing w:after="0" w:line="243" w:lineRule="exact"/>
              <w:rPr>
                <w:sz w:val="20"/>
                <w:szCs w:val="20"/>
                <w:color w:val="auto"/>
              </w:rPr>
            </w:pPr>
            <w:r>
              <w:rPr>
                <w:rFonts w:ascii="Calibri" w:cs="Calibri" w:eastAsia="Calibri" w:hAnsi="Calibri"/>
                <w:sz w:val="20"/>
                <w:szCs w:val="20"/>
                <w:color w:val="auto"/>
              </w:rPr>
              <w:t>date (8/20/2025)</w:t>
            </w:r>
          </w:p>
        </w:tc>
        <w:tc>
          <w:tcPr>
            <w:tcW w:w="1660" w:type="dxa"/>
            <w:vAlign w:val="bottom"/>
            <w:tcBorders>
              <w:right w:val="single" w:sz="8" w:color="auto"/>
            </w:tcBorders>
          </w:tcPr>
          <w:p>
            <w:pPr>
              <w:spacing w:after="0"/>
              <w:rPr>
                <w:sz w:val="21"/>
                <w:szCs w:val="21"/>
                <w:color w:val="auto"/>
              </w:rPr>
            </w:pPr>
          </w:p>
        </w:tc>
      </w:tr>
      <w:tr>
        <w:trPr>
          <w:trHeight w:val="243"/>
        </w:trPr>
        <w:tc>
          <w:tcPr>
            <w:tcW w:w="1720" w:type="dxa"/>
            <w:vAlign w:val="bottom"/>
            <w:tcBorders>
              <w:left w:val="single" w:sz="8" w:color="auto"/>
            </w:tcBorders>
            <w:gridSpan w:val="4"/>
          </w:tcPr>
          <w:p>
            <w:pPr>
              <w:ind w:left="100"/>
              <w:spacing w:after="0" w:line="243" w:lineRule="exact"/>
              <w:rPr>
                <w:sz w:val="20"/>
                <w:szCs w:val="20"/>
                <w:color w:val="auto"/>
              </w:rPr>
            </w:pPr>
            <w:r>
              <w:rPr>
                <w:rFonts w:ascii="Calibri" w:cs="Calibri" w:eastAsia="Calibri" w:hAnsi="Calibri"/>
                <w:sz w:val="20"/>
                <w:szCs w:val="20"/>
                <w:color w:val="auto"/>
              </w:rPr>
              <w:t>orphan indicaton</w:t>
            </w:r>
          </w:p>
        </w:tc>
        <w:tc>
          <w:tcPr>
            <w:tcW w:w="36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ind w:left="100"/>
              <w:spacing w:after="0" w:line="243" w:lineRule="exact"/>
              <w:rPr>
                <w:sz w:val="20"/>
                <w:szCs w:val="20"/>
                <w:color w:val="auto"/>
              </w:rPr>
            </w:pPr>
            <w:r>
              <w:rPr>
                <w:rFonts w:ascii="Calibri" w:cs="Calibri" w:eastAsia="Calibri" w:hAnsi="Calibri"/>
                <w:sz w:val="20"/>
                <w:szCs w:val="20"/>
                <w:color w:val="auto"/>
              </w:rPr>
              <w:t>in orphan indicaton</w:t>
            </w:r>
          </w:p>
        </w:tc>
        <w:tc>
          <w:tcPr>
            <w:tcW w:w="114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r>
      <w:tr>
        <w:trPr>
          <w:trHeight w:val="492"/>
        </w:trPr>
        <w:tc>
          <w:tcPr>
            <w:tcW w:w="980" w:type="dxa"/>
            <w:vAlign w:val="bottom"/>
            <w:tcBorders>
              <w:left w:val="single" w:sz="8" w:color="auto"/>
              <w:bottom w:val="single" w:sz="8" w:color="auto"/>
            </w:tcBorders>
            <w:gridSpan w:val="2"/>
          </w:tcPr>
          <w:p>
            <w:pPr>
              <w:spacing w:after="0"/>
              <w:rPr>
                <w:sz w:val="24"/>
                <w:szCs w:val="24"/>
                <w:color w:val="auto"/>
              </w:rPr>
            </w:pPr>
          </w:p>
        </w:tc>
        <w:tc>
          <w:tcPr>
            <w:tcW w:w="1100" w:type="dxa"/>
            <w:vAlign w:val="bottom"/>
            <w:tcBorders>
              <w:bottom w:val="single" w:sz="8" w:color="auto"/>
              <w:right w:val="single" w:sz="8" w:color="auto"/>
            </w:tcBorders>
            <w:gridSpan w:val="3"/>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r>
      <w:tr>
        <w:trPr>
          <w:trHeight w:val="212"/>
        </w:trPr>
        <w:tc>
          <w:tcPr>
            <w:tcW w:w="980" w:type="dxa"/>
            <w:vAlign w:val="bottom"/>
            <w:tcBorders>
              <w:left w:val="single" w:sz="8" w:color="auto"/>
            </w:tcBorders>
            <w:gridSpan w:val="2"/>
          </w:tcPr>
          <w:p>
            <w:pPr>
              <w:ind w:left="100"/>
              <w:spacing w:after="0" w:line="212" w:lineRule="exact"/>
              <w:rPr>
                <w:sz w:val="20"/>
                <w:szCs w:val="20"/>
                <w:color w:val="auto"/>
              </w:rPr>
            </w:pPr>
            <w:r>
              <w:rPr>
                <w:rFonts w:ascii="Calibri" w:cs="Calibri" w:eastAsia="Calibri" w:hAnsi="Calibri"/>
                <w:sz w:val="20"/>
                <w:szCs w:val="20"/>
                <w:color w:val="auto"/>
                <w:w w:val="97"/>
              </w:rPr>
              <w:t>Regulatory</w:t>
            </w:r>
          </w:p>
        </w:tc>
        <w:tc>
          <w:tcPr>
            <w:tcW w:w="1100" w:type="dxa"/>
            <w:vAlign w:val="bottom"/>
            <w:tcBorders>
              <w:right w:val="single" w:sz="8" w:color="auto"/>
            </w:tcBorders>
            <w:gridSpan w:val="3"/>
          </w:tcPr>
          <w:p>
            <w:pPr>
              <w:jc w:val="right"/>
              <w:ind w:right="21"/>
              <w:spacing w:after="0" w:line="212" w:lineRule="exact"/>
              <w:rPr>
                <w:sz w:val="20"/>
                <w:szCs w:val="20"/>
                <w:color w:val="auto"/>
              </w:rPr>
            </w:pPr>
            <w:r>
              <w:rPr>
                <w:rFonts w:ascii="Calibri" w:cs="Calibri" w:eastAsia="Calibri" w:hAnsi="Calibri"/>
                <w:sz w:val="20"/>
                <w:szCs w:val="20"/>
                <w:color w:val="auto"/>
              </w:rPr>
              <w:t>approval</w:t>
            </w:r>
          </w:p>
        </w:tc>
        <w:tc>
          <w:tcPr>
            <w:tcW w:w="1900" w:type="dxa"/>
            <w:vAlign w:val="bottom"/>
            <w:tcBorders>
              <w:right w:val="single" w:sz="8" w:color="auto"/>
            </w:tcBorders>
          </w:tcPr>
          <w:p>
            <w:pPr>
              <w:ind w:left="100"/>
              <w:spacing w:after="0" w:line="212" w:lineRule="exact"/>
              <w:rPr>
                <w:sz w:val="20"/>
                <w:szCs w:val="20"/>
                <w:color w:val="auto"/>
              </w:rPr>
            </w:pPr>
            <w:r>
              <w:rPr>
                <w:rFonts w:ascii="Calibri" w:cs="Calibri" w:eastAsia="Calibri" w:hAnsi="Calibri"/>
                <w:sz w:val="20"/>
                <w:szCs w:val="20"/>
                <w:color w:val="auto"/>
              </w:rPr>
              <w:t>Regulatory approval</w:t>
            </w:r>
          </w:p>
        </w:tc>
        <w:tc>
          <w:tcPr>
            <w:tcW w:w="1140" w:type="dxa"/>
            <w:vAlign w:val="bottom"/>
            <w:tcBorders>
              <w:right w:val="single" w:sz="8" w:color="auto"/>
            </w:tcBorders>
          </w:tcPr>
          <w:p>
            <w:pPr>
              <w:ind w:left="80"/>
              <w:spacing w:after="0" w:line="212" w:lineRule="exact"/>
              <w:rPr>
                <w:sz w:val="20"/>
                <w:szCs w:val="20"/>
                <w:color w:val="auto"/>
              </w:rPr>
            </w:pPr>
            <w:r>
              <w:rPr>
                <w:rFonts w:ascii="Calibri" w:cs="Calibri" w:eastAsia="Calibri" w:hAnsi="Calibri"/>
                <w:sz w:val="20"/>
                <w:szCs w:val="20"/>
                <w:color w:val="auto"/>
              </w:rPr>
              <w:t>750,000</w:t>
            </w:r>
          </w:p>
        </w:tc>
        <w:tc>
          <w:tcPr>
            <w:tcW w:w="1640" w:type="dxa"/>
            <w:vAlign w:val="bottom"/>
            <w:tcBorders>
              <w:right w:val="single" w:sz="8" w:color="auto"/>
            </w:tcBorders>
          </w:tcPr>
          <w:p>
            <w:pPr>
              <w:ind w:left="80"/>
              <w:spacing w:after="0" w:line="212" w:lineRule="exact"/>
              <w:rPr>
                <w:sz w:val="20"/>
                <w:szCs w:val="20"/>
                <w:color w:val="auto"/>
              </w:rPr>
            </w:pPr>
            <w:r>
              <w:rPr>
                <w:rFonts w:ascii="Calibri" w:cs="Calibri" w:eastAsia="Calibri" w:hAnsi="Calibri"/>
                <w:sz w:val="20"/>
                <w:szCs w:val="20"/>
                <w:color w:val="auto"/>
              </w:rPr>
              <w:t>Within ten (10)</w:t>
            </w:r>
          </w:p>
        </w:tc>
        <w:tc>
          <w:tcPr>
            <w:tcW w:w="1660" w:type="dxa"/>
            <w:vAlign w:val="bottom"/>
            <w:tcBorders>
              <w:right w:val="single" w:sz="8" w:color="auto"/>
            </w:tcBorders>
          </w:tcPr>
          <w:p>
            <w:pPr>
              <w:ind w:left="100"/>
              <w:spacing w:after="0" w:line="212" w:lineRule="exact"/>
              <w:rPr>
                <w:sz w:val="20"/>
                <w:szCs w:val="20"/>
                <w:color w:val="auto"/>
              </w:rPr>
            </w:pPr>
            <w:r>
              <w:rPr>
                <w:rFonts w:ascii="Calibri" w:cs="Calibri" w:eastAsia="Calibri" w:hAnsi="Calibri"/>
                <w:sz w:val="20"/>
                <w:szCs w:val="20"/>
                <w:color w:val="auto"/>
              </w:rPr>
              <w:t>4/15/2032</w:t>
            </w:r>
          </w:p>
        </w:tc>
      </w:tr>
      <w:tr>
        <w:trPr>
          <w:trHeight w:val="234"/>
        </w:trPr>
        <w:tc>
          <w:tcPr>
            <w:tcW w:w="420" w:type="dxa"/>
            <w:vAlign w:val="bottom"/>
            <w:tcBorders>
              <w:lef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for</w:t>
            </w:r>
          </w:p>
        </w:tc>
        <w:tc>
          <w:tcPr>
            <w:tcW w:w="560" w:type="dxa"/>
            <w:vAlign w:val="bottom"/>
          </w:tcPr>
          <w:p>
            <w:pPr>
              <w:ind w:left="100"/>
              <w:spacing w:after="0" w:line="234" w:lineRule="exact"/>
              <w:rPr>
                <w:sz w:val="20"/>
                <w:szCs w:val="20"/>
                <w:color w:val="auto"/>
              </w:rPr>
            </w:pPr>
            <w:r>
              <w:rPr>
                <w:rFonts w:ascii="Calibri" w:cs="Calibri" w:eastAsia="Calibri" w:hAnsi="Calibri"/>
                <w:sz w:val="20"/>
                <w:szCs w:val="20"/>
                <w:color w:val="auto"/>
              </w:rPr>
              <w:t>sale</w:t>
            </w:r>
          </w:p>
        </w:tc>
        <w:tc>
          <w:tcPr>
            <w:tcW w:w="360" w:type="dxa"/>
            <w:vAlign w:val="bottom"/>
          </w:tcPr>
          <w:p>
            <w:pPr>
              <w:ind w:left="40"/>
              <w:spacing w:after="0" w:line="234" w:lineRule="exact"/>
              <w:rPr>
                <w:sz w:val="20"/>
                <w:szCs w:val="20"/>
                <w:color w:val="auto"/>
              </w:rPr>
            </w:pPr>
            <w:r>
              <w:rPr>
                <w:rFonts w:ascii="Calibri" w:cs="Calibri" w:eastAsia="Calibri" w:hAnsi="Calibri"/>
                <w:sz w:val="20"/>
                <w:szCs w:val="20"/>
                <w:color w:val="auto"/>
              </w:rPr>
              <w:t>of</w:t>
            </w:r>
          </w:p>
        </w:tc>
        <w:tc>
          <w:tcPr>
            <w:tcW w:w="740" w:type="dxa"/>
            <w:vAlign w:val="bottom"/>
            <w:tcBorders>
              <w:right w:val="single" w:sz="8" w:color="auto"/>
            </w:tcBorders>
            <w:gridSpan w:val="2"/>
          </w:tcPr>
          <w:p>
            <w:pPr>
              <w:jc w:val="right"/>
              <w:ind w:right="21"/>
              <w:spacing w:after="0" w:line="234" w:lineRule="exact"/>
              <w:rPr>
                <w:sz w:val="20"/>
                <w:szCs w:val="20"/>
                <w:color w:val="auto"/>
              </w:rPr>
            </w:pPr>
            <w:r>
              <w:rPr>
                <w:rFonts w:ascii="Calibri" w:cs="Calibri" w:eastAsia="Calibri" w:hAnsi="Calibri"/>
                <w:sz w:val="20"/>
                <w:szCs w:val="20"/>
                <w:b w:val="1"/>
                <w:bCs w:val="1"/>
                <w:color w:val="auto"/>
              </w:rPr>
              <w:t>second</w:t>
            </w:r>
          </w:p>
        </w:tc>
        <w:tc>
          <w:tcPr>
            <w:tcW w:w="1900" w:type="dxa"/>
            <w:vAlign w:val="bottom"/>
            <w:tcBorders>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for sale [***] that is</w:t>
            </w:r>
          </w:p>
        </w:tc>
        <w:tc>
          <w:tcPr>
            <w:tcW w:w="1140" w:type="dxa"/>
            <w:vAlign w:val="bottom"/>
            <w:tcBorders>
              <w:right w:val="single" w:sz="8" w:color="auto"/>
            </w:tcBorders>
          </w:tcPr>
          <w:p>
            <w:pPr>
              <w:spacing w:after="0"/>
              <w:rPr>
                <w:sz w:val="20"/>
                <w:szCs w:val="20"/>
                <w:color w:val="auto"/>
              </w:rPr>
            </w:pPr>
          </w:p>
        </w:tc>
        <w:tc>
          <w:tcPr>
            <w:tcW w:w="1640" w:type="dxa"/>
            <w:vAlign w:val="bottom"/>
            <w:tcBorders>
              <w:right w:val="single" w:sz="8" w:color="auto"/>
            </w:tcBorders>
          </w:tcPr>
          <w:p>
            <w:pPr>
              <w:ind w:left="80"/>
              <w:spacing w:after="0" w:line="234" w:lineRule="exact"/>
              <w:rPr>
                <w:sz w:val="20"/>
                <w:szCs w:val="20"/>
                <w:color w:val="auto"/>
              </w:rPr>
            </w:pPr>
            <w:r>
              <w:rPr>
                <w:rFonts w:ascii="Calibri" w:cs="Calibri" w:eastAsia="Calibri" w:hAnsi="Calibri"/>
                <w:sz w:val="20"/>
                <w:szCs w:val="20"/>
                <w:color w:val="auto"/>
              </w:rPr>
              <w:t>years of Efectve</w:t>
            </w:r>
          </w:p>
        </w:tc>
        <w:tc>
          <w:tcPr>
            <w:tcW w:w="1660" w:type="dxa"/>
            <w:vAlign w:val="bottom"/>
            <w:tcBorders>
              <w:right w:val="single" w:sz="8" w:color="auto"/>
            </w:tcBorders>
          </w:tcPr>
          <w:p>
            <w:pPr>
              <w:spacing w:after="0"/>
              <w:rPr>
                <w:sz w:val="20"/>
                <w:szCs w:val="20"/>
                <w:color w:val="auto"/>
              </w:rPr>
            </w:pPr>
          </w:p>
        </w:tc>
      </w:tr>
      <w:tr>
        <w:trPr>
          <w:trHeight w:val="243"/>
        </w:trPr>
        <w:tc>
          <w:tcPr>
            <w:tcW w:w="980" w:type="dxa"/>
            <w:vAlign w:val="bottom"/>
            <w:tcBorders>
              <w:left w:val="single" w:sz="8" w:color="auto"/>
            </w:tcBorders>
            <w:gridSpan w:val="2"/>
          </w:tcPr>
          <w:p>
            <w:pPr>
              <w:ind w:left="100"/>
              <w:spacing w:after="0" w:line="243" w:lineRule="exact"/>
              <w:rPr>
                <w:sz w:val="20"/>
                <w:szCs w:val="20"/>
                <w:color w:val="auto"/>
              </w:rPr>
            </w:pPr>
            <w:r>
              <w:rPr>
                <w:rFonts w:ascii="Calibri" w:cs="Calibri" w:eastAsia="Calibri" w:hAnsi="Calibri"/>
                <w:sz w:val="20"/>
                <w:szCs w:val="20"/>
                <w:color w:val="auto"/>
              </w:rPr>
              <w:t>Licensed</w:t>
            </w:r>
          </w:p>
        </w:tc>
        <w:tc>
          <w:tcPr>
            <w:tcW w:w="740" w:type="dxa"/>
            <w:vAlign w:val="bottom"/>
            <w:gridSpan w:val="2"/>
          </w:tcPr>
          <w:p>
            <w:pPr>
              <w:spacing w:after="0" w:line="243" w:lineRule="exact"/>
              <w:rPr>
                <w:sz w:val="20"/>
                <w:szCs w:val="20"/>
                <w:color w:val="auto"/>
              </w:rPr>
            </w:pPr>
            <w:r>
              <w:rPr>
                <w:rFonts w:ascii="Calibri" w:cs="Calibri" w:eastAsia="Calibri" w:hAnsi="Calibri"/>
                <w:sz w:val="20"/>
                <w:szCs w:val="20"/>
                <w:color w:val="auto"/>
              </w:rPr>
              <w:t>Product</w:t>
            </w:r>
          </w:p>
        </w:tc>
        <w:tc>
          <w:tcPr>
            <w:tcW w:w="360" w:type="dxa"/>
            <w:vAlign w:val="bottom"/>
            <w:tcBorders>
              <w:right w:val="single" w:sz="8" w:color="auto"/>
            </w:tcBorders>
          </w:tcPr>
          <w:p>
            <w:pPr>
              <w:jc w:val="right"/>
              <w:ind w:right="21"/>
              <w:spacing w:after="0" w:line="243" w:lineRule="exact"/>
              <w:rPr>
                <w:sz w:val="20"/>
                <w:szCs w:val="20"/>
                <w:color w:val="auto"/>
              </w:rPr>
            </w:pPr>
            <w:r>
              <w:rPr>
                <w:rFonts w:ascii="Calibri" w:cs="Calibri" w:eastAsia="Calibri" w:hAnsi="Calibri"/>
                <w:sz w:val="20"/>
                <w:szCs w:val="20"/>
                <w:color w:val="auto"/>
              </w:rPr>
              <w:t>in</w:t>
            </w:r>
          </w:p>
        </w:tc>
        <w:tc>
          <w:tcPr>
            <w:tcW w:w="1900" w:type="dxa"/>
            <w:vAlign w:val="bottom"/>
            <w:tcBorders>
              <w:right w:val="single" w:sz="8" w:color="auto"/>
            </w:tcBorders>
          </w:tcPr>
          <w:p>
            <w:pPr>
              <w:ind w:left="100"/>
              <w:spacing w:after="0" w:line="243" w:lineRule="exact"/>
              <w:rPr>
                <w:sz w:val="20"/>
                <w:szCs w:val="20"/>
                <w:color w:val="auto"/>
              </w:rPr>
            </w:pPr>
            <w:r>
              <w:rPr>
                <w:rFonts w:ascii="Calibri" w:cs="Calibri" w:eastAsia="Calibri" w:hAnsi="Calibri"/>
                <w:sz w:val="20"/>
                <w:szCs w:val="20"/>
                <w:color w:val="auto"/>
              </w:rPr>
              <w:t>a Licensed Product</w:t>
            </w:r>
          </w:p>
        </w:tc>
        <w:tc>
          <w:tcPr>
            <w:tcW w:w="114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ind w:left="80"/>
              <w:spacing w:after="0" w:line="243" w:lineRule="exact"/>
              <w:rPr>
                <w:sz w:val="20"/>
                <w:szCs w:val="20"/>
                <w:color w:val="auto"/>
              </w:rPr>
            </w:pPr>
            <w:r>
              <w:rPr>
                <w:rFonts w:ascii="Calibri" w:cs="Calibri" w:eastAsia="Calibri" w:hAnsi="Calibri"/>
                <w:sz w:val="20"/>
                <w:szCs w:val="20"/>
                <w:color w:val="auto"/>
              </w:rPr>
              <w:t>date (8/20/2025)</w:t>
            </w:r>
          </w:p>
        </w:tc>
        <w:tc>
          <w:tcPr>
            <w:tcW w:w="1660" w:type="dxa"/>
            <w:vAlign w:val="bottom"/>
            <w:tcBorders>
              <w:right w:val="single" w:sz="8" w:color="auto"/>
            </w:tcBorders>
          </w:tcPr>
          <w:p>
            <w:pPr>
              <w:spacing w:after="0"/>
              <w:rPr>
                <w:sz w:val="21"/>
                <w:szCs w:val="21"/>
                <w:color w:val="auto"/>
              </w:rPr>
            </w:pPr>
          </w:p>
        </w:tc>
      </w:tr>
      <w:tr>
        <w:trPr>
          <w:trHeight w:val="243"/>
        </w:trPr>
        <w:tc>
          <w:tcPr>
            <w:tcW w:w="2080" w:type="dxa"/>
            <w:vAlign w:val="bottom"/>
            <w:tcBorders>
              <w:left w:val="single" w:sz="8" w:color="auto"/>
              <w:right w:val="single" w:sz="8" w:color="auto"/>
            </w:tcBorders>
            <w:gridSpan w:val="5"/>
          </w:tcPr>
          <w:p>
            <w:pPr>
              <w:ind w:left="100"/>
              <w:spacing w:after="0" w:line="243" w:lineRule="exact"/>
              <w:rPr>
                <w:sz w:val="20"/>
                <w:szCs w:val="20"/>
                <w:color w:val="auto"/>
              </w:rPr>
            </w:pPr>
            <w:r>
              <w:rPr>
                <w:rFonts w:ascii="Calibri" w:cs="Calibri" w:eastAsia="Calibri" w:hAnsi="Calibri"/>
                <w:sz w:val="20"/>
                <w:szCs w:val="20"/>
                <w:color w:val="auto"/>
              </w:rPr>
              <w:t>non-orphan indicaton</w:t>
            </w:r>
          </w:p>
        </w:tc>
        <w:tc>
          <w:tcPr>
            <w:tcW w:w="1900" w:type="dxa"/>
            <w:vAlign w:val="bottom"/>
            <w:tcBorders>
              <w:right w:val="single" w:sz="8" w:color="auto"/>
            </w:tcBorders>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r>
      <w:tr>
        <w:trPr>
          <w:trHeight w:val="141"/>
        </w:trPr>
        <w:tc>
          <w:tcPr>
            <w:tcW w:w="420" w:type="dxa"/>
            <w:vAlign w:val="bottom"/>
            <w:tcBorders>
              <w:left w:val="single" w:sz="8" w:color="auto"/>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1660" w:type="dxa"/>
            <w:vAlign w:val="bottom"/>
            <w:tcBorders>
              <w:bottom w:val="single" w:sz="8" w:color="auto"/>
              <w:right w:val="single" w:sz="8" w:color="auto"/>
            </w:tcBorders>
          </w:tcPr>
          <w:p>
            <w:pPr>
              <w:spacing w:after="0"/>
              <w:rPr>
                <w:sz w:val="12"/>
                <w:szCs w:val="12"/>
                <w:color w:val="auto"/>
              </w:rPr>
            </w:pPr>
          </w:p>
        </w:tc>
      </w:tr>
    </w:tbl>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2 – NOTICES AND OTHER COMMUNICATIONS</w:t>
      </w:r>
    </w:p>
    <w:p>
      <w:pPr>
        <w:spacing w:after="0" w:line="206" w:lineRule="exact"/>
        <w:rPr>
          <w:sz w:val="20"/>
          <w:szCs w:val="20"/>
          <w:color w:val="auto"/>
        </w:rPr>
      </w:pPr>
    </w:p>
    <w:p>
      <w:pPr>
        <w:ind w:left="540" w:right="55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2.1 </w:t>
      </w:r>
      <w:r>
        <w:rPr>
          <w:rFonts w:ascii="Times New Roman" w:cs="Times New Roman" w:eastAsia="Times New Roman" w:hAnsi="Times New Roman"/>
          <w:sz w:val="22"/>
          <w:szCs w:val="22"/>
          <w:color w:val="auto"/>
        </w:rPr>
        <w:t>The address of the LICENSEE for notices and other communications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the License Agreement shall be amended to read as follows:</w:t>
      </w:r>
    </w:p>
    <w:p>
      <w:pPr>
        <w:spacing w:after="0" w:line="3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If to LICENSEE:</w:t>
      </w:r>
    </w:p>
    <w:p>
      <w:pPr>
        <w:spacing w:after="0" w:line="23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Y-mAbs Therapeutics, Inc.</w:t>
      </w:r>
    </w:p>
    <w:p>
      <w:pPr>
        <w:spacing w:after="0" w:line="2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If by mail:</w:t>
      </w:r>
    </w:p>
    <w:p>
      <w:pPr>
        <w:spacing w:after="0" w:line="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230 Park Avenue</w:t>
      </w:r>
    </w:p>
    <w:p>
      <w:pPr>
        <w:ind w:left="1840"/>
        <w:spacing w:after="0" w:line="230" w:lineRule="auto"/>
        <w:rPr>
          <w:sz w:val="20"/>
          <w:szCs w:val="20"/>
          <w:color w:val="auto"/>
        </w:rPr>
      </w:pPr>
      <w:r>
        <w:rPr>
          <w:rFonts w:ascii="Times New Roman" w:cs="Times New Roman" w:eastAsia="Times New Roman" w:hAnsi="Times New Roman"/>
          <w:sz w:val="22"/>
          <w:szCs w:val="22"/>
          <w:color w:val="auto"/>
        </w:rPr>
        <w:t>Suite 3350</w:t>
      </w:r>
    </w:p>
    <w:p>
      <w:pPr>
        <w:spacing w:after="0" w:line="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New York, NY 10169</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If by courier:</w:t>
      </w:r>
    </w:p>
    <w:p>
      <w:pPr>
        <w:spacing w:after="0" w:line="23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230 Park Avenue</w:t>
      </w:r>
    </w:p>
    <w:p>
      <w:pPr>
        <w:spacing w:after="0" w:line="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Suite 3350</w:t>
      </w:r>
    </w:p>
    <w:p>
      <w:pPr>
        <w:ind w:left="1840"/>
        <w:spacing w:after="0"/>
        <w:rPr>
          <w:sz w:val="20"/>
          <w:szCs w:val="20"/>
          <w:color w:val="auto"/>
        </w:rPr>
      </w:pPr>
      <w:r>
        <w:rPr>
          <w:rFonts w:ascii="Times New Roman" w:cs="Times New Roman" w:eastAsia="Times New Roman" w:hAnsi="Times New Roman"/>
          <w:sz w:val="22"/>
          <w:szCs w:val="22"/>
          <w:color w:val="auto"/>
        </w:rPr>
        <w:t>New York, NY 10169</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465455</wp:posOffset>
            </wp:positionV>
            <wp:extent cx="5040630"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6">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83" w:name="page184"/>
    <w:bookmarkEnd w:id="183"/>
    <w:p>
      <w:pPr>
        <w:ind w:left="540"/>
        <w:spacing w:after="0"/>
        <w:rPr>
          <w:sz w:val="20"/>
          <w:szCs w:val="20"/>
          <w:color w:val="auto"/>
        </w:rPr>
      </w:pPr>
      <w:r>
        <w:rPr>
          <w:rFonts w:ascii="Times New Roman" w:cs="Times New Roman" w:eastAsia="Times New Roman" w:hAnsi="Times New Roman"/>
          <w:sz w:val="22"/>
          <w:szCs w:val="22"/>
          <w:color w:val="auto"/>
        </w:rPr>
        <w:t>With copies to:</w:t>
      </w:r>
    </w:p>
    <w:p>
      <w:pPr>
        <w:spacing w:after="0" w:line="23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 and copy to legalandcompliance@ymabs.com</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3 – MISCELLANEOUS</w:t>
      </w:r>
    </w:p>
    <w:p>
      <w:pPr>
        <w:spacing w:after="0" w:line="206" w:lineRule="exact"/>
        <w:rPr>
          <w:sz w:val="20"/>
          <w:szCs w:val="20"/>
          <w:color w:val="auto"/>
        </w:rPr>
      </w:pPr>
    </w:p>
    <w:p>
      <w:pPr>
        <w:jc w:val="both"/>
        <w:ind w:left="540" w:right="55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3.1 </w:t>
      </w:r>
      <w:r>
        <w:rPr>
          <w:rFonts w:ascii="Times New Roman" w:cs="Times New Roman" w:eastAsia="Times New Roman" w:hAnsi="Times New Roman"/>
          <w:sz w:val="22"/>
          <w:szCs w:val="22"/>
          <w:color w:val="auto"/>
        </w:rPr>
        <w:t>The Parties agree that, apart from the parts specifically amended hereunder,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terms and conditions of the License Agreement remain and shall remain in full force and effect.</w:t>
      </w:r>
    </w:p>
    <w:p>
      <w:pPr>
        <w:spacing w:after="0" w:line="167" w:lineRule="exact"/>
        <w:rPr>
          <w:sz w:val="20"/>
          <w:szCs w:val="20"/>
          <w:color w:val="auto"/>
        </w:rPr>
      </w:pPr>
    </w:p>
    <w:p>
      <w:pPr>
        <w:jc w:val="both"/>
        <w:ind w:left="540" w:right="559"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3.2 </w:t>
      </w:r>
      <w:r>
        <w:rPr>
          <w:rFonts w:ascii="Times New Roman" w:cs="Times New Roman" w:eastAsia="Times New Roman" w:hAnsi="Times New Roman"/>
          <w:sz w:val="22"/>
          <w:szCs w:val="22"/>
          <w:color w:val="auto"/>
        </w:rPr>
        <w:t>This Amendment will be made part of the License Agreement and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governed by all of its terms, including Article 18.1 (“Choice of Law; Choice of Forum”). If any provision of this Amendment is held unenforceable or invalid by a court or tribunal of competent jurisdiction, the enforceability and validity of the remaining provisions shall not be affected.</w:t>
      </w:r>
    </w:p>
    <w:p>
      <w:pPr>
        <w:spacing w:after="0" w:line="177" w:lineRule="exact"/>
        <w:rPr>
          <w:sz w:val="20"/>
          <w:szCs w:val="20"/>
          <w:color w:val="auto"/>
        </w:rPr>
      </w:pPr>
    </w:p>
    <w:p>
      <w:pPr>
        <w:jc w:val="both"/>
        <w:ind w:left="540" w:right="559" w:firstLine="648"/>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3.3 </w:t>
      </w:r>
      <w:r>
        <w:rPr>
          <w:rFonts w:ascii="Times New Roman" w:cs="Times New Roman" w:eastAsia="Times New Roman" w:hAnsi="Times New Roman"/>
          <w:sz w:val="21"/>
          <w:szCs w:val="21"/>
          <w:color w:val="auto"/>
        </w:rPr>
        <w:t>The LICENSEE agrees to keep its Regulatory applications, designations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files relating to Omburtamab open and up to date including: Investigational New Drug (IND) Application, Orphan Drug Designation (ODD), Rare Pediatric Disease Designation (RPDD), and Biologics License Application (BLA). Further the LICENSEE will submit a letter of authorization (LoA) to the FDA, so that the MSK can cross-refer to Y-mAbs’ open INDs (i.e. only related to the chemistry, manufacturing and controls of the naked antibody, omburtamab, as well as the previous human experience of </w:t>
      </w:r>
      <w:r>
        <w:rPr>
          <w:rFonts w:ascii="Times New Roman" w:cs="Times New Roman" w:eastAsia="Times New Roman" w:hAnsi="Times New Roman"/>
          <w:sz w:val="15"/>
          <w:szCs w:val="15"/>
          <w:color w:val="auto"/>
        </w:rPr>
        <w:t>131</w:t>
      </w:r>
      <w:r>
        <w:rPr>
          <w:rFonts w:ascii="Times New Roman" w:cs="Times New Roman" w:eastAsia="Times New Roman" w:hAnsi="Times New Roman"/>
          <w:sz w:val="21"/>
          <w:szCs w:val="21"/>
          <w:color w:val="auto"/>
        </w:rPr>
        <w:t>I-omburtamab).</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The LICENSEE informs that it holds the following INDs, ODDs, RPDD, and BLAs:</w:t>
      </w:r>
    </w:p>
    <w:p>
      <w:pPr>
        <w:spacing w:after="0" w:line="213" w:lineRule="exact"/>
        <w:rPr>
          <w:sz w:val="20"/>
          <w:szCs w:val="20"/>
          <w:color w:val="auto"/>
        </w:rPr>
      </w:pPr>
    </w:p>
    <w:tbl>
      <w:tblPr>
        <w:tblLayout w:type="fixed"/>
        <w:tblInd w:w="550" w:type="dxa"/>
        <w:tblCellMar>
          <w:top w:w="0" w:type="dxa"/>
          <w:left w:w="0" w:type="dxa"/>
          <w:bottom w:w="0" w:type="dxa"/>
          <w:right w:w="0" w:type="dxa"/>
        </w:tblCellMar>
      </w:tblPr>
      <w:tr>
        <w:trPr>
          <w:trHeight w:val="296"/>
        </w:trPr>
        <w:tc>
          <w:tcPr>
            <w:tcW w:w="398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Project 1 (</w:t>
            </w:r>
            <w:r>
              <w:rPr>
                <w:rFonts w:ascii="Times New Roman" w:cs="Times New Roman" w:eastAsia="Times New Roman" w:hAnsi="Times New Roman"/>
                <w:sz w:val="16"/>
                <w:szCs w:val="16"/>
                <w:color w:val="auto"/>
              </w:rPr>
              <w:t>131</w:t>
            </w:r>
            <w:r>
              <w:rPr>
                <w:rFonts w:ascii="Times New Roman" w:cs="Times New Roman" w:eastAsia="Times New Roman" w:hAnsi="Times New Roman"/>
                <w:sz w:val="22"/>
                <w:szCs w:val="22"/>
                <w:color w:val="auto"/>
              </w:rPr>
              <w:t>I/</w:t>
            </w:r>
            <w:r>
              <w:rPr>
                <w:rFonts w:ascii="Times New Roman" w:cs="Times New Roman" w:eastAsia="Times New Roman" w:hAnsi="Times New Roman"/>
                <w:sz w:val="16"/>
                <w:szCs w:val="16"/>
                <w:color w:val="auto"/>
              </w:rPr>
              <w:t>124</w:t>
            </w:r>
            <w:r>
              <w:rPr>
                <w:rFonts w:ascii="Times New Roman" w:cs="Times New Roman" w:eastAsia="Times New Roman" w:hAnsi="Times New Roman"/>
                <w:sz w:val="22"/>
                <w:szCs w:val="22"/>
                <w:color w:val="auto"/>
              </w:rPr>
              <w:t>I-omburtamab)</w:t>
            </w:r>
          </w:p>
        </w:tc>
        <w:tc>
          <w:tcPr>
            <w:tcW w:w="394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Project 3 (</w:t>
            </w:r>
            <w:r>
              <w:rPr>
                <w:rFonts w:ascii="Times New Roman" w:cs="Times New Roman" w:eastAsia="Times New Roman" w:hAnsi="Times New Roman"/>
                <w:sz w:val="16"/>
                <w:szCs w:val="16"/>
                <w:color w:val="auto"/>
              </w:rPr>
              <w:t>177</w:t>
            </w:r>
            <w:r>
              <w:rPr>
                <w:rFonts w:ascii="Times New Roman" w:cs="Times New Roman" w:eastAsia="Times New Roman" w:hAnsi="Times New Roman"/>
                <w:sz w:val="22"/>
                <w:szCs w:val="22"/>
                <w:color w:val="auto"/>
              </w:rPr>
              <w:t>Lu-DTPA-omburtamab)</w:t>
            </w:r>
          </w:p>
        </w:tc>
      </w:tr>
      <w:tr>
        <w:trPr>
          <w:trHeight w:val="177"/>
        </w:trPr>
        <w:tc>
          <w:tcPr>
            <w:tcW w:w="3980" w:type="dxa"/>
            <w:vAlign w:val="bottom"/>
            <w:tcBorders>
              <w:left w:val="single" w:sz="8" w:color="auto"/>
              <w:bottom w:val="single" w:sz="8" w:color="auto"/>
              <w:right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740" w:type="dxa"/>
            <w:vAlign w:val="bottom"/>
            <w:tcBorders>
              <w:bottom w:val="single" w:sz="8" w:color="auto"/>
              <w:right w:val="single" w:sz="8" w:color="auto"/>
            </w:tcBorders>
          </w:tcPr>
          <w:p>
            <w:pPr>
              <w:spacing w:after="0"/>
              <w:rPr>
                <w:sz w:val="15"/>
                <w:szCs w:val="15"/>
                <w:color w:val="auto"/>
              </w:rPr>
            </w:pPr>
          </w:p>
        </w:tc>
      </w:tr>
      <w:tr>
        <w:trPr>
          <w:trHeight w:val="276"/>
        </w:trPr>
        <w:tc>
          <w:tcPr>
            <w:tcW w:w="3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IND 009351</w:t>
            </w:r>
          </w:p>
        </w:tc>
        <w:tc>
          <w:tcPr>
            <w:tcW w:w="12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9"/>
              </w:rPr>
              <w:t>IND 143502</w:t>
            </w:r>
          </w:p>
        </w:tc>
        <w:tc>
          <w:tcPr>
            <w:tcW w:w="2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(medulloblast)</w:t>
            </w:r>
          </w:p>
        </w:tc>
      </w:tr>
      <w:tr>
        <w:trPr>
          <w:trHeight w:val="432"/>
        </w:trPr>
        <w:tc>
          <w:tcPr>
            <w:tcW w:w="3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BLA 761176</w:t>
            </w:r>
          </w:p>
        </w:tc>
        <w:tc>
          <w:tcPr>
            <w:tcW w:w="12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9"/>
              </w:rPr>
              <w:t>IND 145391</w:t>
            </w:r>
          </w:p>
        </w:tc>
        <w:tc>
          <w:tcPr>
            <w:tcW w:w="2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(LM solid tumors)</w:t>
            </w:r>
          </w:p>
        </w:tc>
      </w:tr>
      <w:tr>
        <w:trPr>
          <w:trHeight w:val="459"/>
        </w:trPr>
        <w:tc>
          <w:tcPr>
            <w:tcW w:w="3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US ODD NB</w:t>
            </w:r>
          </w:p>
        </w:tc>
        <w:tc>
          <w:tcPr>
            <w:tcW w:w="39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US RPDD medulloblastoma</w:t>
            </w:r>
          </w:p>
        </w:tc>
      </w:tr>
      <w:tr>
        <w:trPr>
          <w:trHeight w:val="459"/>
        </w:trPr>
        <w:tc>
          <w:tcPr>
            <w:tcW w:w="3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US RPDD NB</w:t>
            </w:r>
          </w:p>
        </w:tc>
        <w:tc>
          <w:tcPr>
            <w:tcW w:w="39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EU ODD medulloblastoma</w:t>
            </w:r>
          </w:p>
        </w:tc>
      </w:tr>
      <w:tr>
        <w:trPr>
          <w:trHeight w:val="459"/>
        </w:trPr>
        <w:tc>
          <w:tcPr>
            <w:tcW w:w="3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EU ODD NB</w:t>
            </w:r>
          </w:p>
        </w:tc>
        <w:tc>
          <w:tcPr>
            <w:tcW w:w="1200" w:type="dxa"/>
            <w:vAlign w:val="bottom"/>
          </w:tcPr>
          <w:p>
            <w:pPr>
              <w:spacing w:after="0"/>
              <w:rPr>
                <w:sz w:val="24"/>
                <w:szCs w:val="24"/>
                <w:color w:val="auto"/>
              </w:rPr>
            </w:pPr>
          </w:p>
        </w:tc>
        <w:tc>
          <w:tcPr>
            <w:tcW w:w="2740" w:type="dxa"/>
            <w:vAlign w:val="bottom"/>
            <w:tcBorders>
              <w:right w:val="single" w:sz="8" w:color="auto"/>
            </w:tcBorders>
          </w:tcPr>
          <w:p>
            <w:pPr>
              <w:spacing w:after="0"/>
              <w:rPr>
                <w:sz w:val="24"/>
                <w:szCs w:val="24"/>
                <w:color w:val="auto"/>
              </w:rPr>
            </w:pPr>
          </w:p>
        </w:tc>
      </w:tr>
      <w:tr>
        <w:trPr>
          <w:trHeight w:val="204"/>
        </w:trPr>
        <w:tc>
          <w:tcPr>
            <w:tcW w:w="3980" w:type="dxa"/>
            <w:vAlign w:val="bottom"/>
            <w:tcBorders>
              <w:left w:val="single" w:sz="8" w:color="auto"/>
              <w:bottom w:val="single" w:sz="8" w:color="auto"/>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74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28" w:lineRule="exact"/>
        <w:rPr>
          <w:sz w:val="20"/>
          <w:szCs w:val="20"/>
          <w:color w:val="auto"/>
        </w:rPr>
      </w:pPr>
    </w:p>
    <w:p>
      <w:pPr>
        <w:jc w:val="both"/>
        <w:ind w:left="540" w:right="559" w:firstLine="648"/>
        <w:spacing w:after="0" w:line="243" w:lineRule="auto"/>
        <w:rPr>
          <w:sz w:val="20"/>
          <w:szCs w:val="20"/>
          <w:color w:val="auto"/>
        </w:rPr>
      </w:pPr>
      <w:r>
        <w:rPr>
          <w:rFonts w:ascii="Times New Roman" w:cs="Times New Roman" w:eastAsia="Times New Roman" w:hAnsi="Times New Roman"/>
          <w:sz w:val="22"/>
          <w:szCs w:val="22"/>
          <w:b w:val="1"/>
          <w:bCs w:val="1"/>
          <w:color w:val="auto"/>
        </w:rPr>
        <w:t xml:space="preserve">3.4 </w:t>
      </w:r>
      <w:r>
        <w:rPr>
          <w:rFonts w:ascii="Times New Roman" w:cs="Times New Roman" w:eastAsia="Times New Roman" w:hAnsi="Times New Roman"/>
          <w:sz w:val="22"/>
          <w:szCs w:val="22"/>
          <w:color w:val="auto"/>
        </w:rPr>
        <w:t>MSK grants the LICENSEE a first right to in-license new data, relating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omburtamab, generated by MSK. LICENSEE will inform MSK in writing within thirty</w:t>
      </w:r>
    </w:p>
    <w:p>
      <w:pPr>
        <w:spacing w:after="0" w:line="2" w:lineRule="exact"/>
        <w:rPr>
          <w:sz w:val="20"/>
          <w:szCs w:val="20"/>
          <w:color w:val="auto"/>
        </w:rPr>
      </w:pPr>
    </w:p>
    <w:p>
      <w:pPr>
        <w:jc w:val="both"/>
        <w:ind w:left="540" w:right="559" w:hanging="1"/>
        <w:spacing w:after="0" w:line="234" w:lineRule="auto"/>
        <w:tabs>
          <w:tab w:leader="none" w:pos="1035"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of MSK informing LICENSEE of such a licensing opportunity whether LICENSEE wants to proceed with in-licensing additional data. If LICENSEE is not interested in proceeding, MSK shall be free to proceed without further obligation to LICENSEE with regards to such new data relating to omburtamab.</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465455</wp:posOffset>
            </wp:positionV>
            <wp:extent cx="5040630"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7">
                      <a:extLst>
                        <a:ext uri="{28A0092B-C50C-407E-A947-70E740481C1C}"/>
                      </a:extLst>
                    </a:blip>
                    <a:srcRect/>
                    <a:stretch>
                      <a:fillRect/>
                    </a:stretch>
                  </pic:blipFill>
                  <pic:spPr bwMode="auto">
                    <a:xfrm>
                      <a:off x="0" y="0"/>
                      <a:ext cx="5040630" cy="26035"/>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184" w:name="page185"/>
    <w:bookmarkEnd w:id="184"/>
    <w:p>
      <w:pPr>
        <w:ind w:left="1180"/>
        <w:spacing w:after="0"/>
        <w:tabs>
          <w:tab w:leader="none" w:pos="1820" w:val="left"/>
        </w:tabs>
        <w:rPr>
          <w:sz w:val="20"/>
          <w:szCs w:val="20"/>
          <w:color w:val="auto"/>
        </w:rPr>
      </w:pPr>
      <w:r>
        <w:rPr>
          <w:rFonts w:ascii="Times New Roman" w:cs="Times New Roman" w:eastAsia="Times New Roman" w:hAnsi="Times New Roman"/>
          <w:sz w:val="22"/>
          <w:szCs w:val="22"/>
          <w:b w:val="1"/>
          <w:bCs w:val="1"/>
          <w:color w:val="auto"/>
        </w:rPr>
        <w:t>3.5</w:t>
      </w:r>
      <w:r>
        <w:rPr>
          <w:sz w:val="20"/>
          <w:szCs w:val="20"/>
          <w:color w:val="auto"/>
        </w:rPr>
        <w:tab/>
      </w:r>
      <w:r>
        <w:rPr>
          <w:rFonts w:ascii="Times New Roman" w:cs="Times New Roman" w:eastAsia="Times New Roman" w:hAnsi="Times New Roman"/>
          <w:sz w:val="21"/>
          <w:szCs w:val="21"/>
          <w:color w:val="auto"/>
        </w:rPr>
        <w:t>The LICENSEE will transfer the following MSK:</w:t>
      </w:r>
    </w:p>
    <w:p>
      <w:pPr>
        <w:spacing w:after="0" w:line="210" w:lineRule="exact"/>
        <w:rPr>
          <w:sz w:val="20"/>
          <w:szCs w:val="20"/>
          <w:color w:val="auto"/>
        </w:rPr>
      </w:pPr>
    </w:p>
    <w:p>
      <w:pPr>
        <w:ind w:left="1840" w:hanging="653"/>
        <w:spacing w:after="0"/>
        <w:tabs>
          <w:tab w:leader="none" w:pos="18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transfers:</w:t>
      </w:r>
    </w:p>
    <w:p>
      <w:pPr>
        <w:spacing w:after="0" w:line="206" w:lineRule="exact"/>
        <w:rPr>
          <w:sz w:val="20"/>
          <w:szCs w:val="20"/>
          <w:color w:val="auto"/>
        </w:rPr>
      </w:pPr>
    </w:p>
    <w:p>
      <w:pPr>
        <w:ind w:left="1840"/>
        <w:spacing w:after="0"/>
        <w:tabs>
          <w:tab w:leader="none" w:pos="2460" w:val="left"/>
          <w:tab w:leader="none" w:pos="636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All omburtamab drug substance inventory;</w:t>
      </w:r>
      <w:r>
        <w:rPr>
          <w:sz w:val="20"/>
          <w:szCs w:val="20"/>
          <w:color w:val="auto"/>
        </w:rPr>
        <w:tab/>
      </w:r>
      <w:r>
        <w:rPr>
          <w:rFonts w:ascii="Times New Roman" w:cs="Times New Roman" w:eastAsia="Times New Roman" w:hAnsi="Times New Roman"/>
          <w:sz w:val="19"/>
          <w:szCs w:val="19"/>
          <w:color w:val="auto"/>
        </w:rPr>
        <w:t>and</w:t>
      </w:r>
    </w:p>
    <w:p>
      <w:pPr>
        <w:spacing w:after="0" w:line="206" w:lineRule="exact"/>
        <w:rPr>
          <w:sz w:val="20"/>
          <w:szCs w:val="20"/>
          <w:color w:val="auto"/>
        </w:rPr>
      </w:pPr>
    </w:p>
    <w:p>
      <w:pPr>
        <w:ind w:left="2480" w:hanging="645"/>
        <w:spacing w:after="0"/>
        <w:tabs>
          <w:tab w:leader="none" w:pos="2480"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murine hybridoma cell line producing omburtamab</w:t>
      </w:r>
    </w:p>
    <w:p>
      <w:pPr>
        <w:spacing w:after="0" w:line="206" w:lineRule="exact"/>
        <w:rPr>
          <w:rFonts w:ascii="Times New Roman" w:cs="Times New Roman" w:eastAsia="Times New Roman" w:hAnsi="Times New Roman"/>
          <w:sz w:val="22"/>
          <w:szCs w:val="22"/>
          <w:color w:val="auto"/>
        </w:rPr>
      </w:pPr>
    </w:p>
    <w:p>
      <w:pPr>
        <w:ind w:left="1840" w:hanging="653"/>
        <w:spacing w:after="0"/>
        <w:tabs>
          <w:tab w:leader="none" w:pos="184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trademark protection for Omburtamab.</w:t>
      </w:r>
    </w:p>
    <w:p>
      <w:pPr>
        <w:spacing w:after="0" w:line="202" w:lineRule="exact"/>
        <w:rPr>
          <w:sz w:val="20"/>
          <w:szCs w:val="20"/>
          <w:color w:val="auto"/>
        </w:rPr>
      </w:pPr>
    </w:p>
    <w:p>
      <w:pPr>
        <w:ind w:left="540" w:right="55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3.6 </w:t>
      </w:r>
      <w:r>
        <w:rPr>
          <w:rFonts w:ascii="Times New Roman" w:cs="Times New Roman" w:eastAsia="Times New Roman" w:hAnsi="Times New Roman"/>
          <w:sz w:val="22"/>
          <w:szCs w:val="22"/>
          <w:color w:val="auto"/>
        </w:rPr>
        <w:t>LICENSEE will do its best under the circumstances to assist MSK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reviving the Omburtamab program.</w:t>
      </w:r>
    </w:p>
    <w:p>
      <w:pPr>
        <w:spacing w:after="0" w:line="150" w:lineRule="exact"/>
        <w:rPr>
          <w:sz w:val="20"/>
          <w:szCs w:val="20"/>
          <w:color w:val="auto"/>
        </w:rPr>
      </w:pPr>
    </w:p>
    <w:p>
      <w:pPr>
        <w:ind w:left="540" w:right="739" w:firstLine="1296"/>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3.7 </w:t>
      </w:r>
      <w:r>
        <w:rPr>
          <w:rFonts w:ascii="Times New Roman" w:cs="Times New Roman" w:eastAsia="Times New Roman" w:hAnsi="Times New Roman"/>
          <w:sz w:val="21"/>
          <w:szCs w:val="21"/>
          <w:color w:val="auto"/>
        </w:rPr>
        <w:t>The Parties agree that in case the LICENSEE develops a B7H3-SADA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conjugate that is a Licensed Product it will be covered by the corresponding milestone, milestone payments and royalty payments as specified in the “DOTA-PRIT (Pre-Targeted Radioimmunotherapy)” agreement entered between the Parties on April 15,2020.</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FOLLOW]</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465455</wp:posOffset>
            </wp:positionV>
            <wp:extent cx="5040630"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8">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85" w:name="page186"/>
    <w:bookmarkEnd w:id="185"/>
    <w:p>
      <w:pPr>
        <w:jc w:val="both"/>
        <w:ind w:left="540" w:right="559" w:firstLine="648"/>
        <w:spacing w:after="0" w:line="244" w:lineRule="auto"/>
        <w:rPr>
          <w:sz w:val="20"/>
          <w:szCs w:val="20"/>
          <w:color w:val="auto"/>
        </w:rPr>
      </w:pPr>
      <w:r>
        <w:rPr>
          <w:rFonts w:ascii="Times New Roman" w:cs="Times New Roman" w:eastAsia="Times New Roman" w:hAnsi="Times New Roman"/>
          <w:sz w:val="22"/>
          <w:szCs w:val="22"/>
          <w:color w:val="auto"/>
        </w:rPr>
        <w:t>IN WITNESS WHEREOF, each of the Parties hereto has caused this Amendment to be executed by its duly authorized representative, effective as of the date of the last signature below.</w:t>
      </w:r>
    </w:p>
    <w:p>
      <w:pPr>
        <w:spacing w:after="0" w:line="200" w:lineRule="exact"/>
        <w:rPr>
          <w:sz w:val="20"/>
          <w:szCs w:val="20"/>
          <w:color w:val="auto"/>
        </w:rPr>
      </w:pPr>
    </w:p>
    <w:p>
      <w:pPr>
        <w:spacing w:after="0" w:line="32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MEMORIAL SLOAN KETTERING CANCER CENTER</w:t>
      </w:r>
    </w:p>
    <w:p>
      <w:pPr>
        <w:spacing w:after="0" w:line="200" w:lineRule="exact"/>
        <w:rPr>
          <w:sz w:val="20"/>
          <w:szCs w:val="20"/>
          <w:color w:val="auto"/>
        </w:rPr>
      </w:pPr>
    </w:p>
    <w:p>
      <w:pPr>
        <w:spacing w:after="0" w:line="24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By:_[***]</w:t>
      </w:r>
    </w:p>
    <w:p>
      <w:pPr>
        <w:spacing w:after="0" w:line="34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w:t>
      </w:r>
    </w:p>
    <w:p>
      <w:pPr>
        <w:spacing w:after="0" w:line="9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Y-MABS THERAPEUTICS, INC.</w:t>
      </w:r>
    </w:p>
    <w:p>
      <w:pPr>
        <w:spacing w:after="0" w:line="200" w:lineRule="exact"/>
        <w:rPr>
          <w:sz w:val="20"/>
          <w:szCs w:val="20"/>
          <w:color w:val="auto"/>
        </w:rPr>
      </w:pPr>
    </w:p>
    <w:p>
      <w:pPr>
        <w:spacing w:after="0" w:line="24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By: [***]</w:t>
      </w:r>
    </w:p>
    <w:p>
      <w:pPr>
        <w:spacing w:after="0" w:line="34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w:t>
      </w:r>
    </w:p>
    <w:p>
      <w:pPr>
        <w:spacing w:after="0" w:line="20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color w:val="auto"/>
        </w:rPr>
        <w:t>Y-MABS THERAPEUTICS, INC.</w:t>
      </w:r>
    </w:p>
    <w:p>
      <w:pPr>
        <w:spacing w:after="0" w:line="200" w:lineRule="exact"/>
        <w:rPr>
          <w:sz w:val="20"/>
          <w:szCs w:val="20"/>
          <w:color w:val="auto"/>
        </w:rPr>
      </w:pPr>
    </w:p>
    <w:p>
      <w:pPr>
        <w:spacing w:after="0" w:line="24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By: [***]</w:t>
      </w:r>
    </w:p>
    <w:p>
      <w:pPr>
        <w:spacing w:after="0" w:line="34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465455</wp:posOffset>
            </wp:positionV>
            <wp:extent cx="504063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9">
                      <a:extLst>
                        <a:ext uri="{28A0092B-C50C-407E-A947-70E740481C1C}"/>
                      </a:extLst>
                    </a:blip>
                    <a:srcRect/>
                    <a:stretch>
                      <a:fillRect/>
                    </a:stretch>
                  </pic:blipFill>
                  <pic:spPr bwMode="auto">
                    <a:xfrm>
                      <a:off x="0" y="0"/>
                      <a:ext cx="504063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6" w:name="page187"/>
    <w:bookmarkEnd w:id="186"/>
    <w:p>
      <w:pPr>
        <w:ind w:left="314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465455</wp:posOffset>
            </wp:positionV>
            <wp:extent cx="504063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0">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87" w:name="page188"/>
    <w:bookmarkEnd w:id="187"/>
    <w:p>
      <w:pPr>
        <w:ind w:left="7440"/>
        <w:spacing w:after="0"/>
        <w:rPr>
          <w:sz w:val="20"/>
          <w:szCs w:val="20"/>
          <w:color w:val="auto"/>
        </w:rPr>
      </w:pPr>
      <w:r>
        <w:rPr>
          <w:rFonts w:ascii="Times New Roman" w:cs="Times New Roman" w:eastAsia="Times New Roman" w:hAnsi="Times New Roman"/>
          <w:sz w:val="22"/>
          <w:szCs w:val="22"/>
          <w:b w:val="1"/>
          <w:bCs w:val="1"/>
          <w:color w:val="auto"/>
        </w:rPr>
        <w:t>Exhibit 10.43</w:t>
      </w:r>
    </w:p>
    <w:p>
      <w:pPr>
        <w:spacing w:after="0" w:line="20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5"/>
          <w:szCs w:val="25"/>
          <w:b w:val="1"/>
          <w:bCs w:val="1"/>
          <w:color w:val="auto"/>
        </w:rPr>
        <w:t>First Amendment to</w:t>
      </w:r>
    </w:p>
    <w:p>
      <w:pPr>
        <w:spacing w:after="0" w:line="15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5"/>
          <w:szCs w:val="25"/>
          <w:b w:val="1"/>
          <w:bCs w:val="1"/>
          <w:color w:val="auto"/>
        </w:rPr>
        <w:t>the</w:t>
      </w:r>
    </w:p>
    <w:p>
      <w:pPr>
        <w:spacing w:after="0" w:line="7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5"/>
          <w:szCs w:val="25"/>
          <w:b w:val="1"/>
          <w:bCs w:val="1"/>
          <w:color w:val="auto"/>
        </w:rPr>
        <w:t>LICENSE AGREEMENT</w:t>
      </w:r>
    </w:p>
    <w:p>
      <w:pPr>
        <w:spacing w:after="0" w:line="23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5"/>
          <w:szCs w:val="25"/>
          <w:b w:val="1"/>
          <w:bCs w:val="1"/>
          <w:color w:val="auto"/>
        </w:rPr>
        <w:t>Between Y-mAbs Therapeutics, Inc. and</w:t>
      </w:r>
    </w:p>
    <w:p>
      <w:pPr>
        <w:spacing w:after="0" w:line="7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5"/>
          <w:szCs w:val="25"/>
          <w:b w:val="1"/>
          <w:bCs w:val="1"/>
          <w:color w:val="auto"/>
        </w:rPr>
        <w:t>SciClone Pharmaceuticals International Ltd</w:t>
      </w:r>
      <w:r>
        <w:rPr>
          <w:rFonts w:ascii="Times New Roman" w:cs="Times New Roman" w:eastAsia="Times New Roman" w:hAnsi="Times New Roman"/>
          <w:sz w:val="28"/>
          <w:szCs w:val="28"/>
          <w:color w:val="0E4660"/>
        </w:rPr>
        <w:t>.</w:t>
      </w: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his</w:t>
      </w:r>
      <w:r>
        <w:rPr>
          <w:rFonts w:ascii="Times New Roman" w:cs="Times New Roman" w:eastAsia="Times New Roman" w:hAnsi="Times New Roman"/>
          <w:sz w:val="22"/>
          <w:szCs w:val="22"/>
          <w:b w:val="1"/>
          <w:bCs w:val="1"/>
          <w:color w:val="auto"/>
        </w:rPr>
        <w:t xml:space="preserve">  F</w:t>
      </w:r>
      <w:r>
        <w:rPr>
          <w:rFonts w:ascii="Times New Roman" w:cs="Times New Roman" w:eastAsia="Times New Roman" w:hAnsi="Times New Roman"/>
          <w:sz w:val="14"/>
          <w:szCs w:val="14"/>
          <w:b w:val="1"/>
          <w:bCs w:val="1"/>
          <w:color w:val="auto"/>
        </w:rPr>
        <w:t>irst</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mendment  to the</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icense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“Amendment”</w:t>
      </w:r>
      <w:r>
        <w:rPr>
          <w:rFonts w:ascii="Times New Roman" w:cs="Times New Roman" w:eastAsia="Times New Roman" w:hAnsi="Times New Roman"/>
          <w:sz w:val="22"/>
          <w:szCs w:val="22"/>
          <w:color w:val="auto"/>
        </w:rPr>
        <w:t>) is</w:t>
      </w:r>
    </w:p>
    <w:p>
      <w:pPr>
        <w:spacing w:after="0" w:line="34" w:lineRule="exact"/>
        <w:rPr>
          <w:sz w:val="20"/>
          <w:szCs w:val="20"/>
          <w:color w:val="auto"/>
        </w:rPr>
      </w:pPr>
    </w:p>
    <w:p>
      <w:pPr>
        <w:jc w:val="both"/>
        <w:ind w:left="340" w:right="379"/>
        <w:spacing w:after="0" w:line="233" w:lineRule="auto"/>
        <w:rPr>
          <w:sz w:val="20"/>
          <w:szCs w:val="20"/>
          <w:color w:val="auto"/>
        </w:rPr>
      </w:pPr>
      <w:r>
        <w:rPr>
          <w:rFonts w:ascii="Times New Roman" w:cs="Times New Roman" w:eastAsia="Times New Roman" w:hAnsi="Times New Roman"/>
          <w:sz w:val="22"/>
          <w:szCs w:val="22"/>
          <w:color w:val="auto"/>
        </w:rPr>
        <w:t xml:space="preserve">entered into as of December 9, 2024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xml:space="preserve">), by and between </w:t>
      </w:r>
      <w:r>
        <w:rPr>
          <w:rFonts w:ascii="Times New Roman" w:cs="Times New Roman" w:eastAsia="Times New Roman" w:hAnsi="Times New Roman"/>
          <w:sz w:val="22"/>
          <w:szCs w:val="22"/>
          <w:b w:val="1"/>
          <w:bCs w:val="1"/>
          <w:color w:val="auto"/>
        </w:rPr>
        <w:t>Y-</w:t>
      </w:r>
      <w:r>
        <w:rPr>
          <w:rFonts w:ascii="Times New Roman" w:cs="Times New Roman" w:eastAsia="Times New Roman" w:hAnsi="Times New Roman"/>
          <w:sz w:val="14"/>
          <w:szCs w:val="14"/>
          <w:b w:val="1"/>
          <w:bCs w:val="1"/>
          <w:color w:val="auto"/>
        </w:rPr>
        <w:t>m</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bs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22"/>
          <w:szCs w:val="22"/>
          <w:b w:val="1"/>
          <w:bCs w:val="1"/>
          <w:color w:val="auto"/>
        </w:rPr>
        <w:t xml:space="preserve"> ,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 Delaware corporation with its principal offices located at 230 Park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Avenue, Suite 3350, New York, NY 10169, USA (</w:t>
      </w:r>
      <w:r>
        <w:rPr>
          <w:rFonts w:ascii="Times New Roman" w:cs="Times New Roman" w:eastAsia="Times New Roman" w:hAnsi="Times New Roman"/>
          <w:sz w:val="22"/>
          <w:szCs w:val="22"/>
          <w:b w:val="1"/>
          <w:bCs w:val="1"/>
          <w:i w:val="1"/>
          <w:iCs w:val="1"/>
          <w:color w:val="auto"/>
        </w:rPr>
        <w:t>“Y- mAbs”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ci</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lone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harmaceuticals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nternational</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td</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 company having a registered address at P.O. Box 309, Ugland House,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Grand Cayman, KY 1-1104, the Cayman Islands (</w:t>
      </w:r>
      <w:r>
        <w:rPr>
          <w:rFonts w:ascii="Times New Roman" w:cs="Times New Roman" w:eastAsia="Times New Roman" w:hAnsi="Times New Roman"/>
          <w:sz w:val="22"/>
          <w:szCs w:val="22"/>
          <w:b w:val="1"/>
          <w:bCs w:val="1"/>
          <w:i w:val="1"/>
          <w:iCs w:val="1"/>
          <w:color w:val="auto"/>
        </w:rPr>
        <w:t>“SciClone”</w:t>
      </w:r>
      <w:r>
        <w:rPr>
          <w:rFonts w:ascii="Times New Roman" w:cs="Times New Roman" w:eastAsia="Times New Roman" w:hAnsi="Times New Roman"/>
          <w:sz w:val="22"/>
          <w:szCs w:val="22"/>
          <w:color w:val="auto"/>
        </w:rPr>
        <w:t>).</w:t>
      </w:r>
    </w:p>
    <w:p>
      <w:pPr>
        <w:spacing w:after="0" w:line="3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9"/>
          <w:szCs w:val="29"/>
          <w:color w:val="auto"/>
        </w:rPr>
        <w:t>R</w:t>
      </w:r>
      <w:r>
        <w:rPr>
          <w:rFonts w:ascii="Times New Roman" w:cs="Times New Roman" w:eastAsia="Times New Roman" w:hAnsi="Times New Roman"/>
          <w:sz w:val="20"/>
          <w:szCs w:val="20"/>
          <w:color w:val="auto"/>
        </w:rPr>
        <w:t>ecitals</w:t>
      </w:r>
    </w:p>
    <w:p>
      <w:pPr>
        <w:spacing w:after="0" w:line="329" w:lineRule="exact"/>
        <w:rPr>
          <w:sz w:val="20"/>
          <w:szCs w:val="20"/>
          <w:color w:val="auto"/>
        </w:rPr>
      </w:pPr>
    </w:p>
    <w:p>
      <w:pPr>
        <w:jc w:val="both"/>
        <w:ind w:left="360" w:right="379" w:firstLine="647"/>
        <w:spacing w:after="0" w:line="238"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7"/>
          <w:szCs w:val="17"/>
          <w:b w:val="1"/>
          <w:bCs w:val="1"/>
          <w:color w:val="auto"/>
        </w:rPr>
        <w:t>HEREAS</w:t>
      </w:r>
      <w:r>
        <w:rPr>
          <w:rFonts w:ascii="Times New Roman" w:cs="Times New Roman" w:eastAsia="Times New Roman" w:hAnsi="Times New Roman"/>
          <w:sz w:val="22"/>
          <w:szCs w:val="22"/>
          <w:color w:val="auto"/>
        </w:rPr>
        <w:t>, on December 17, 2020, Y-mAbs and SciClone entered into a certain License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(the “</w:t>
      </w:r>
      <w:r>
        <w:rPr>
          <w:rFonts w:ascii="Times New Roman" w:cs="Times New Roman" w:eastAsia="Times New Roman" w:hAnsi="Times New Roman"/>
          <w:sz w:val="22"/>
          <w:szCs w:val="22"/>
          <w:b w:val="1"/>
          <w:bCs w:val="1"/>
          <w:color w:val="auto"/>
        </w:rPr>
        <w:t>License Agreement</w:t>
      </w:r>
      <w:r>
        <w:rPr>
          <w:rFonts w:ascii="Times New Roman" w:cs="Times New Roman" w:eastAsia="Times New Roman" w:hAnsi="Times New Roman"/>
          <w:sz w:val="22"/>
          <w:szCs w:val="22"/>
          <w:color w:val="auto"/>
        </w:rPr>
        <w:t>”) whereby Y-mAbs granted to SciClone an exclusive license under the Y-mAbs Technology, as defined in the License Agreement, to Develop and Commercialize the Products in the Field in and for the SciClone Territory, subject to the terms and conditions of the License Agreement; and</w:t>
      </w:r>
    </w:p>
    <w:p>
      <w:pPr>
        <w:spacing w:after="0" w:line="204" w:lineRule="exact"/>
        <w:rPr>
          <w:sz w:val="20"/>
          <w:szCs w:val="20"/>
          <w:color w:val="auto"/>
        </w:rPr>
      </w:pPr>
    </w:p>
    <w:p>
      <w:pPr>
        <w:jc w:val="both"/>
        <w:ind w:left="360" w:right="199" w:firstLine="647"/>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Y-mAbs and SciClone wish to amend the License Agreement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terms hereof based on the adoption of a New Marketing Initiative (NMI) as it relates to sales of DANYELZA in the territories under the License Agreement; and</w:t>
      </w:r>
    </w:p>
    <w:p>
      <w:pPr>
        <w:spacing w:after="0" w:line="167" w:lineRule="exact"/>
        <w:rPr>
          <w:sz w:val="20"/>
          <w:szCs w:val="20"/>
          <w:color w:val="auto"/>
        </w:rPr>
      </w:pPr>
    </w:p>
    <w:p>
      <w:pPr>
        <w:jc w:val="both"/>
        <w:ind w:left="360" w:right="379" w:firstLine="647"/>
        <w:spacing w:after="0" w:line="241" w:lineRule="auto"/>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22"/>
          <w:szCs w:val="22"/>
          <w:b w:val="1"/>
          <w:bCs w:val="1"/>
          <w:color w:val="auto"/>
        </w:rPr>
        <w:t>,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consideration of the foregoing premises and the mutual covenants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 contained, and for other good and valuable consideration, the receipt and sufficiency of which are hereby acknowledged, Y-mAbs and SciClone hereby agree to amend the License Agreement as follows:</w:t>
      </w:r>
    </w:p>
    <w:p>
      <w:pPr>
        <w:spacing w:after="0" w:line="176" w:lineRule="exact"/>
        <w:rPr>
          <w:sz w:val="20"/>
          <w:szCs w:val="20"/>
          <w:color w:val="auto"/>
        </w:rPr>
      </w:pPr>
    </w:p>
    <w:p>
      <w:pPr>
        <w:ind w:left="840" w:right="499" w:hanging="317"/>
        <w:spacing w:after="0" w:line="258" w:lineRule="auto"/>
        <w:tabs>
          <w:tab w:leader="none" w:pos="84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All capitalized terms in this Amendment shall have the same meaning as set forth in the License Agreement unless otherwise defined herein.</w:t>
      </w:r>
    </w:p>
    <w:p>
      <w:pPr>
        <w:spacing w:after="0" w:line="158" w:lineRule="exact"/>
        <w:rPr>
          <w:rFonts w:ascii="Times New Roman" w:cs="Times New Roman" w:eastAsia="Times New Roman" w:hAnsi="Times New Roman"/>
          <w:sz w:val="22"/>
          <w:szCs w:val="22"/>
          <w:color w:val="auto"/>
        </w:rPr>
      </w:pPr>
    </w:p>
    <w:p>
      <w:pPr>
        <w:ind w:left="840" w:hanging="317"/>
        <w:spacing w:after="0"/>
        <w:tabs>
          <w:tab w:leader="none" w:pos="84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Deletions from the License Agreement</w:t>
      </w:r>
    </w:p>
    <w:p>
      <w:pPr>
        <w:spacing w:after="0" w:line="206" w:lineRule="exact"/>
        <w:rPr>
          <w:rFonts w:ascii="Times New Roman" w:cs="Times New Roman" w:eastAsia="Times New Roman" w:hAnsi="Times New Roman"/>
          <w:sz w:val="22"/>
          <w:szCs w:val="22"/>
          <w:color w:val="auto"/>
        </w:rPr>
      </w:pPr>
    </w:p>
    <w:p>
      <w:pPr>
        <w:jc w:val="both"/>
        <w:ind w:left="1500" w:right="379" w:hanging="329"/>
        <w:spacing w:after="0" w:line="282" w:lineRule="auto"/>
        <w:tabs>
          <w:tab w:leader="none" w:pos="1500"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defined terms are hereby removed and deleted in their entirety from the License Agreement as if they had never been a part of the License Agreement:</w:t>
      </w:r>
    </w:p>
    <w:p>
      <w:pPr>
        <w:spacing w:after="0" w:line="134" w:lineRule="exact"/>
        <w:rPr>
          <w:rFonts w:ascii="Times New Roman" w:cs="Times New Roman" w:eastAsia="Times New Roman" w:hAnsi="Times New Roman"/>
          <w:sz w:val="21"/>
          <w:szCs w:val="21"/>
          <w:color w:val="auto"/>
        </w:rPr>
      </w:pPr>
    </w:p>
    <w:p>
      <w:pPr>
        <w:ind w:left="2140" w:hanging="267"/>
        <w:spacing w:after="0"/>
        <w:tabs>
          <w:tab w:leader="none" w:pos="2140" w:val="left"/>
        </w:tabs>
        <w:numPr>
          <w:ilvl w:val="2"/>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defined term “Designated Charity Group”;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353695</wp:posOffset>
            </wp:positionV>
            <wp:extent cx="608647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1">
                      <a:extLst>
                        <a:ext uri="{28A0092B-C50C-407E-A947-70E740481C1C}"/>
                      </a:extLst>
                    </a:blip>
                    <a:srcRect/>
                    <a:stretch>
                      <a:fillRect/>
                    </a:stretch>
                  </pic:blipFill>
                  <pic:spPr bwMode="auto">
                    <a:xfrm>
                      <a:off x="0" y="0"/>
                      <a:ext cx="6086475" cy="17145"/>
                    </a:xfrm>
                    <a:prstGeom prst="rect">
                      <a:avLst/>
                    </a:prstGeom>
                    <a:noFill/>
                  </pic:spPr>
                </pic:pic>
              </a:graphicData>
            </a:graphic>
          </wp:anchor>
        </w:drawing>
      </w:r>
    </w:p>
    <w:p>
      <w:pPr>
        <w:sectPr>
          <w:pgSz w:w="11900" w:h="16838" w:orient="portrait"/>
          <w:cols w:equalWidth="0" w:num="1">
            <w:col w:w="9019"/>
          </w:cols>
          <w:pgMar w:left="1440" w:top="176" w:right="1440" w:bottom="1440" w:gutter="0" w:footer="0" w:header="0"/>
        </w:sectPr>
      </w:pPr>
    </w:p>
    <w:bookmarkStart w:id="188" w:name="page189"/>
    <w:bookmarkEnd w:id="188"/>
    <w:p>
      <w:pPr>
        <w:ind w:left="2120" w:hanging="315"/>
        <w:spacing w:after="0"/>
        <w:tabs>
          <w:tab w:leader="none" w:pos="2120" w:val="left"/>
        </w:tabs>
        <w:numPr>
          <w:ilvl w:val="3"/>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defined term “PAP Agreement”.</w:t>
      </w:r>
    </w:p>
    <w:p>
      <w:pPr>
        <w:spacing w:after="0" w:line="206" w:lineRule="exact"/>
        <w:rPr>
          <w:rFonts w:ascii="Times New Roman" w:cs="Times New Roman" w:eastAsia="Times New Roman" w:hAnsi="Times New Roman"/>
          <w:sz w:val="22"/>
          <w:szCs w:val="22"/>
          <w:color w:val="auto"/>
        </w:rPr>
      </w:pPr>
    </w:p>
    <w:p>
      <w:pPr>
        <w:ind w:left="840" w:hanging="317"/>
        <w:spacing w:after="0"/>
        <w:tabs>
          <w:tab w:leader="none" w:pos="84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to the License Agreement</w:t>
      </w:r>
    </w:p>
    <w:p>
      <w:pPr>
        <w:spacing w:after="0" w:line="206" w:lineRule="exact"/>
        <w:rPr>
          <w:rFonts w:ascii="Times New Roman" w:cs="Times New Roman" w:eastAsia="Times New Roman" w:hAnsi="Times New Roman"/>
          <w:sz w:val="22"/>
          <w:szCs w:val="22"/>
          <w:color w:val="auto"/>
        </w:rPr>
      </w:pPr>
    </w:p>
    <w:p>
      <w:pPr>
        <w:ind w:left="1500" w:right="639" w:hanging="329"/>
        <w:spacing w:after="0" w:line="258" w:lineRule="auto"/>
        <w:tabs>
          <w:tab w:leader="none" w:pos="150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3.6 (PAP Supply) of the License Agreement is hereby deleted in its entirety and replaced by new paragraph 3.6 as follows:</w:t>
      </w:r>
    </w:p>
    <w:p>
      <w:pPr>
        <w:spacing w:after="0" w:line="158"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 New Marketing Initiative.</w:t>
      </w:r>
    </w:p>
    <w:p>
      <w:pPr>
        <w:spacing w:after="0" w:line="202" w:lineRule="exact"/>
        <w:rPr>
          <w:rFonts w:ascii="Times New Roman" w:cs="Times New Roman" w:eastAsia="Times New Roman" w:hAnsi="Times New Roman"/>
          <w:sz w:val="22"/>
          <w:szCs w:val="22"/>
          <w:color w:val="auto"/>
        </w:rPr>
      </w:pPr>
    </w:p>
    <w:p>
      <w:pPr>
        <w:jc w:val="both"/>
        <w:ind w:left="1860" w:right="379" w:hanging="379"/>
        <w:spacing w:after="0" w:line="232" w:lineRule="auto"/>
        <w:tabs>
          <w:tab w:leader="none" w:pos="1860" w:val="left"/>
        </w:tabs>
        <w:numPr>
          <w:ilvl w:val="2"/>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SciClone shall manage a New Marketing Initiative (the “</w:t>
      </w:r>
      <w:r>
        <w:rPr>
          <w:rFonts w:ascii="Times New Roman" w:cs="Times New Roman" w:eastAsia="Times New Roman" w:hAnsi="Times New Roman"/>
          <w:sz w:val="22"/>
          <w:szCs w:val="22"/>
          <w:b w:val="1"/>
          <w:bCs w:val="1"/>
          <w:color w:val="auto"/>
        </w:rPr>
        <w:t>NMI</w:t>
      </w:r>
      <w:r>
        <w:rPr>
          <w:rFonts w:ascii="Times New Roman" w:cs="Times New Roman" w:eastAsia="Times New Roman" w:hAnsi="Times New Roman"/>
          <w:sz w:val="22"/>
          <w:szCs w:val="22"/>
          <w:color w:val="auto"/>
        </w:rPr>
        <w:t>”) to promote Naxitamab to patients with a valid prescription and a diagnosis of high-risk relapsed or refractory neuroblastoma in the bone or bone marrow that has shown a partial, minor or stable response to prior therapy (each a “Qualified Patient”.) Pursuant to the NMI, [***] of Naxitamab purchased from SciClone for Qualified Patients at the current product selling prices, SciClone will [***] provided that the Qualified Patient receives the dose in accordance with the standard Product dosing protocol (such additional cycle of Naxitamab provided [***] be referred to as the “</w:t>
      </w:r>
      <w:r>
        <w:rPr>
          <w:rFonts w:ascii="Times New Roman" w:cs="Times New Roman" w:eastAsia="Times New Roman" w:hAnsi="Times New Roman"/>
          <w:sz w:val="22"/>
          <w:szCs w:val="22"/>
          <w:b w:val="1"/>
          <w:bCs w:val="1"/>
          <w:color w:val="auto"/>
        </w:rPr>
        <w:t>NMI Product”</w:t>
      </w:r>
      <w:r>
        <w:rPr>
          <w:rFonts w:ascii="Times New Roman" w:cs="Times New Roman" w:eastAsia="Times New Roman" w:hAnsi="Times New Roman"/>
          <w:sz w:val="22"/>
          <w:szCs w:val="22"/>
          <w:color w:val="auto"/>
        </w:rPr>
        <w:t>). Only Qualified Patients starting a new course of three cycles after the Effective Date of the First Amendment to the License Agreement will be eligible to participate in the NMI. SciClone will pay the NMI Supply Price to Y-mAbs for each vial of NMI Product. Y-mAbs will issue a credit to SciClone for the NMI Products consumed during each quarter in which NMI Products are sold. The credit will be reflected in the quarterly royalty calculation and invoicing process. Six months after the commencement of the NMI, Y-mAbs and SciClone will review the NMI to assess its utility and viability. If the Parties mutually agree, they may extend the NMI for an additional six-month period, following which the Parties will review the NMI again. After the second review of the NMI, the Parties may agree in writing the terms and conditions under which the NMI will be continued for successive twelve-month periods, with annual reviews by both Parties. Either Party may terminate the NMI at any time. All extensions to the terms of the NMI under this Agreement must be agreed in writing by the Parties.</w:t>
      </w:r>
    </w:p>
    <w:p>
      <w:pPr>
        <w:spacing w:after="0" w:line="182" w:lineRule="exact"/>
        <w:rPr>
          <w:rFonts w:ascii="Times New Roman" w:cs="Times New Roman" w:eastAsia="Times New Roman" w:hAnsi="Times New Roman"/>
          <w:sz w:val="22"/>
          <w:szCs w:val="22"/>
          <w:color w:val="auto"/>
        </w:rPr>
      </w:pPr>
    </w:p>
    <w:p>
      <w:pPr>
        <w:jc w:val="both"/>
        <w:ind w:left="1860" w:right="379" w:hanging="376"/>
        <w:spacing w:after="0" w:line="238" w:lineRule="auto"/>
        <w:tabs>
          <w:tab w:leader="none" w:pos="1858" w:val="left"/>
        </w:tabs>
        <w:numPr>
          <w:ilvl w:val="2"/>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execution of this Agreement, Y-mAbs will have issued SciClone a credit memo [***] to fund marketing costs related to the NMI. This credit memo is intended to offset [***]. The credit memo will be used to reduce the outstanding balance owed by SciClone to Y-mAbs on or after the Effective Date.”</w:t>
      </w:r>
    </w:p>
    <w:p>
      <w:pPr>
        <w:spacing w:after="0" w:line="176" w:lineRule="exact"/>
        <w:rPr>
          <w:rFonts w:ascii="Times New Roman" w:cs="Times New Roman" w:eastAsia="Times New Roman" w:hAnsi="Times New Roman"/>
          <w:sz w:val="22"/>
          <w:szCs w:val="22"/>
          <w:color w:val="auto"/>
        </w:rPr>
      </w:pPr>
    </w:p>
    <w:p>
      <w:pPr>
        <w:ind w:left="1500" w:right="399" w:hanging="329"/>
        <w:spacing w:after="0" w:line="258" w:lineRule="auto"/>
        <w:tabs>
          <w:tab w:leader="none" w:pos="150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4.4 (Royalties) of the License Agreement is hereby amended and restated in its entirety as follows:</w:t>
      </w:r>
    </w:p>
    <w:p>
      <w:pPr>
        <w:spacing w:after="0" w:line="158" w:lineRule="exact"/>
        <w:rPr>
          <w:rFonts w:ascii="Times New Roman" w:cs="Times New Roman" w:eastAsia="Times New Roman" w:hAnsi="Times New Roman"/>
          <w:sz w:val="22"/>
          <w:szCs w:val="22"/>
          <w:color w:val="auto"/>
        </w:rPr>
      </w:pPr>
    </w:p>
    <w:p>
      <w:pPr>
        <w:ind w:left="1500" w:right="399"/>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 Royalties. Subject to Sections 4.5, 4.6 and 4.7, SciClone shall pay royalties to Y-mAbs, on a Product-by-Product and Region-by-Region basis,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323850</wp:posOffset>
            </wp:positionV>
            <wp:extent cx="608647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2">
                      <a:extLst>
                        <a:ext uri="{28A0092B-C50C-407E-A947-70E740481C1C}"/>
                      </a:extLst>
                    </a:blip>
                    <a:srcRect/>
                    <a:stretch>
                      <a:fillRect/>
                    </a:stretch>
                  </pic:blipFill>
                  <pic:spPr bwMode="auto">
                    <a:xfrm>
                      <a:off x="0" y="0"/>
                      <a:ext cx="6086475" cy="25400"/>
                    </a:xfrm>
                    <a:prstGeom prst="rect">
                      <a:avLst/>
                    </a:prstGeom>
                    <a:noFill/>
                  </pic:spPr>
                </pic:pic>
              </a:graphicData>
            </a:graphic>
          </wp:anchor>
        </w:drawing>
      </w:r>
    </w:p>
    <w:p>
      <w:pPr>
        <w:sectPr>
          <w:pgSz w:w="11900" w:h="16838" w:orient="portrait"/>
          <w:cols w:equalWidth="0" w:num="1">
            <w:col w:w="9019"/>
          </w:cols>
          <w:pgMar w:left="1440" w:top="180" w:right="1440" w:bottom="1440" w:gutter="0" w:footer="0" w:header="0"/>
        </w:sectPr>
      </w:pPr>
    </w:p>
    <w:bookmarkStart w:id="189" w:name="page190"/>
    <w:bookmarkEnd w:id="189"/>
    <w:p>
      <w:pPr>
        <w:ind w:left="1500" w:right="379"/>
        <w:spacing w:after="0" w:line="253" w:lineRule="auto"/>
        <w:rPr>
          <w:sz w:val="20"/>
          <w:szCs w:val="20"/>
          <w:color w:val="auto"/>
        </w:rPr>
      </w:pPr>
      <w:r>
        <w:rPr>
          <w:rFonts w:ascii="Times New Roman" w:cs="Times New Roman" w:eastAsia="Times New Roman" w:hAnsi="Times New Roman"/>
          <w:sz w:val="21"/>
          <w:szCs w:val="21"/>
          <w:color w:val="auto"/>
        </w:rPr>
        <w:t>Products sold by SciClone, its Affiliates and Sublicensees in the SciClone Territory, excluding the NMI Product, calculated by multiplying the royalty rate of</w:t>
      </w:r>
    </w:p>
    <w:p>
      <w:pPr>
        <w:spacing w:after="0" w:line="1" w:lineRule="exact"/>
        <w:rPr>
          <w:sz w:val="20"/>
          <w:szCs w:val="20"/>
          <w:color w:val="auto"/>
        </w:rPr>
      </w:pPr>
    </w:p>
    <w:p>
      <w:pPr>
        <w:jc w:val="both"/>
        <w:ind w:left="1500" w:right="379" w:firstLine="4"/>
        <w:spacing w:after="0" w:line="231" w:lineRule="auto"/>
        <w:tabs>
          <w:tab w:leader="none" w:pos="2064" w:val="left"/>
        </w:tabs>
        <w:numPr>
          <w:ilvl w:val="2"/>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amount of Net Sales of such Product for each Calendar Quarter within forty-five (45) days after the end of such Calendar Quarter. Each payment shall be preceded by (a) preliminary report of the estimated Net Sales of such Product by SciClone, its Affiliates and Sublicensees during such Calendar Quarter in reasonable detail to be delivered to Y-mAbs within five (5) days after the end of such Calendar Quarter and (b) a final report of the actual Net Sales of such Product by SciClone, its Affiliates and Sublicensees during such Calendar Quarter in reasonable detail to be delivered to Y-mAbs within thirty (30) days after the end of such Calendar Quarter (it being understood, for the avoidance of doubt, that, subject to Section 6.3 and Article 12, the payment of royalties by SciClone as contemplated in this Section 4.4 shall be based on such actual Net Sales as reported in such final report).”</w:t>
      </w:r>
    </w:p>
    <w:p>
      <w:pPr>
        <w:spacing w:after="0" w:line="182" w:lineRule="exact"/>
        <w:rPr>
          <w:rFonts w:ascii="Times New Roman" w:cs="Times New Roman" w:eastAsia="Times New Roman" w:hAnsi="Times New Roman"/>
          <w:sz w:val="22"/>
          <w:szCs w:val="22"/>
          <w:color w:val="auto"/>
        </w:rPr>
      </w:pPr>
    </w:p>
    <w:p>
      <w:pPr>
        <w:ind w:left="1500" w:right="619" w:hanging="329"/>
        <w:spacing w:after="0" w:line="262" w:lineRule="auto"/>
        <w:tabs>
          <w:tab w:leader="none" w:pos="150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defined term “</w:t>
      </w:r>
      <w:r>
        <w:rPr>
          <w:rFonts w:ascii="Times New Roman" w:cs="Times New Roman" w:eastAsia="Times New Roman" w:hAnsi="Times New Roman"/>
          <w:sz w:val="22"/>
          <w:szCs w:val="22"/>
          <w:b w:val="1"/>
          <w:bCs w:val="1"/>
          <w:color w:val="auto"/>
        </w:rPr>
        <w:t>COGS</w:t>
      </w:r>
      <w:r>
        <w:rPr>
          <w:rFonts w:ascii="Times New Roman" w:cs="Times New Roman" w:eastAsia="Times New Roman" w:hAnsi="Times New Roman"/>
          <w:sz w:val="22"/>
          <w:szCs w:val="22"/>
          <w:color w:val="auto"/>
        </w:rPr>
        <w:t>” under Section 5.2 of the License Agreement shall be amended and restated in its entirety as follows:</w:t>
      </w:r>
    </w:p>
    <w:p>
      <w:pPr>
        <w:spacing w:after="0" w:line="147" w:lineRule="exact"/>
        <w:rPr>
          <w:rFonts w:ascii="Times New Roman" w:cs="Times New Roman" w:eastAsia="Times New Roman" w:hAnsi="Times New Roman"/>
          <w:sz w:val="22"/>
          <w:szCs w:val="22"/>
          <w:color w:val="auto"/>
        </w:rPr>
      </w:pPr>
    </w:p>
    <w:p>
      <w:pPr>
        <w:jc w:val="both"/>
        <w:ind w:left="1500" w:right="379"/>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“As used herein, “</w:t>
      </w:r>
      <w:r>
        <w:rPr>
          <w:rFonts w:ascii="Times New Roman" w:cs="Times New Roman" w:eastAsia="Times New Roman" w:hAnsi="Times New Roman"/>
          <w:sz w:val="21"/>
          <w:szCs w:val="21"/>
          <w:b w:val="1"/>
          <w:bCs w:val="1"/>
          <w:i w:val="1"/>
          <w:iCs w:val="1"/>
          <w:color w:val="auto"/>
        </w:rPr>
        <w:t>COGS</w:t>
      </w:r>
      <w:r>
        <w:rPr>
          <w:rFonts w:ascii="Times New Roman" w:cs="Times New Roman" w:eastAsia="Times New Roman" w:hAnsi="Times New Roman"/>
          <w:sz w:val="21"/>
          <w:szCs w:val="21"/>
          <w:color w:val="auto"/>
        </w:rPr>
        <w:t xml:space="preserve">” means (i) with respect to Naxitimab, the actual cost of Manufacturing and packaging the Product by Y-mAbs (or its Affiliates) in finished form, or (ii) with respect to Omburtamab, the actual cost of Manufacturing the bulk Product (in the form of naked cold antibody), in each case calculated in accordance with U.S. Generally Accepted Accounting Principles, or, with respect to any Product Manufactured by a Third Party, the purchase price paid by Y-mAbs to such Third Party for such Product;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COGS for Naxitamab [***] per vial and the COGS for Omburtamab [***] per vial. Notwithstanding the foregoing, there will be no such limitation on the NMI Product, the Supply Price of which shall be calculated by using a base COGS</w:t>
      </w:r>
    </w:p>
    <w:p>
      <w:pPr>
        <w:spacing w:after="0" w:line="4" w:lineRule="exact"/>
        <w:rPr>
          <w:rFonts w:ascii="Times New Roman" w:cs="Times New Roman" w:eastAsia="Times New Roman" w:hAnsi="Times New Roman"/>
          <w:sz w:val="22"/>
          <w:szCs w:val="22"/>
          <w:color w:val="auto"/>
        </w:rPr>
      </w:pPr>
    </w:p>
    <w:p>
      <w:pPr>
        <w:jc w:val="both"/>
        <w:ind w:left="1500" w:right="379" w:firstLine="4"/>
        <w:spacing w:after="0" w:line="243" w:lineRule="auto"/>
        <w:tabs>
          <w:tab w:leader="none" w:pos="2089" w:val="left"/>
        </w:tabs>
        <w:numPr>
          <w:ilvl w:val="2"/>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color w:val="auto"/>
        </w:rPr>
        <w:t>NMI Supply Price</w:t>
      </w:r>
      <w:r>
        <w:rPr>
          <w:rFonts w:ascii="Times New Roman" w:cs="Times New Roman" w:eastAsia="Times New Roman" w:hAnsi="Times New Roman"/>
          <w:sz w:val="21"/>
          <w:szCs w:val="21"/>
          <w:color w:val="auto"/>
        </w:rPr>
        <w:t>”). The NMI Supply Price per vial will be communicated annually and subject to adjustment (not exceeding once per calendar year) for actual COGS-related cost increases. Y-mAbs will issue invoices to SciClone for the price difference between the NMI Supply Price and the supply price for the Product used in the quarter during the quarterly royalty calculation and invoicing process. For clarity, COGS shall include all (A) overhead costs reasonably allocable to Manufacturing and supply-related activities of Y-mAbs or any of its Affiliates, licensees (other than SciClone) or contractors in respect of the applicable Product and (B) direct labor costs, including all actual FTE costs of employees or contractors engaged in such Manufacturing or supply-related activities and quality control and quality assurance activities.”</w:t>
      </w:r>
    </w:p>
    <w:p>
      <w:pPr>
        <w:spacing w:after="0" w:line="296" w:lineRule="exact"/>
        <w:rPr>
          <w:rFonts w:ascii="Times New Roman" w:cs="Times New Roman" w:eastAsia="Times New Roman" w:hAnsi="Times New Roman"/>
          <w:sz w:val="21"/>
          <w:szCs w:val="21"/>
          <w:color w:val="auto"/>
        </w:rPr>
      </w:pPr>
    </w:p>
    <w:p>
      <w:pPr>
        <w:jc w:val="both"/>
        <w:ind w:left="840" w:right="199" w:hanging="317"/>
        <w:spacing w:after="0" w:line="288" w:lineRule="auto"/>
        <w:tabs>
          <w:tab w:leader="none" w:pos="8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the Amendment.</w:t>
      </w:r>
      <w:r>
        <w:rPr>
          <w:rFonts w:ascii="Times New Roman" w:cs="Times New Roman" w:eastAsia="Times New Roman" w:hAnsi="Times New Roman"/>
          <w:sz w:val="22"/>
          <w:szCs w:val="22"/>
          <w:color w:val="auto"/>
        </w:rPr>
        <w:t xml:space="preserve"> Except as expressly provided in this Amendment, all the terms and provisions of the License Agreement are and will remain in full force and effect. On and after the date hereof, each reference in the License Agreement to “this Agreement” “the Agreement”, “hereunder,” “hereof,” “herein’ or word of like import, and each reference to the License Agreement in any other agreements, documents or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322580</wp:posOffset>
            </wp:positionV>
            <wp:extent cx="608647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3">
                      <a:extLst>
                        <a:ext uri="{28A0092B-C50C-407E-A947-70E740481C1C}"/>
                      </a:extLst>
                    </a:blip>
                    <a:srcRect/>
                    <a:stretch>
                      <a:fillRect/>
                    </a:stretch>
                  </pic:blipFill>
                  <pic:spPr bwMode="auto">
                    <a:xfrm>
                      <a:off x="0" y="0"/>
                      <a:ext cx="6086475" cy="17145"/>
                    </a:xfrm>
                    <a:prstGeom prst="rect">
                      <a:avLst/>
                    </a:prstGeom>
                    <a:noFill/>
                  </pic:spPr>
                </pic:pic>
              </a:graphicData>
            </a:graphic>
          </wp:anchor>
        </w:drawing>
      </w:r>
    </w:p>
    <w:p>
      <w:pPr>
        <w:sectPr>
          <w:pgSz w:w="11900" w:h="16838" w:orient="portrait"/>
          <w:cols w:equalWidth="0" w:num="1">
            <w:col w:w="9019"/>
          </w:cols>
          <w:pgMar w:left="1440" w:top="180" w:right="1440" w:bottom="1440" w:gutter="0" w:footer="0" w:header="0"/>
        </w:sectPr>
      </w:pPr>
    </w:p>
    <w:bookmarkStart w:id="190" w:name="page191"/>
    <w:bookmarkEnd w:id="190"/>
    <w:p>
      <w:pPr>
        <w:jc w:val="both"/>
        <w:ind w:left="860" w:right="199"/>
        <w:spacing w:after="0" w:line="289" w:lineRule="auto"/>
        <w:rPr>
          <w:sz w:val="20"/>
          <w:szCs w:val="20"/>
          <w:color w:val="auto"/>
        </w:rPr>
      </w:pPr>
      <w:r>
        <w:rPr>
          <w:rFonts w:ascii="Times New Roman" w:cs="Times New Roman" w:eastAsia="Times New Roman" w:hAnsi="Times New Roman"/>
          <w:sz w:val="22"/>
          <w:szCs w:val="22"/>
          <w:color w:val="auto"/>
        </w:rPr>
        <w:t>executed and delivers pursuant to or in connection with the License Agreement will mean and be a reference to the License Agreement as amended by this Amendment. The Parties hereby agree and acknowledge that this Amendment shall be regarded as an integral part of or a supplementary agreement to the License Agreement. If there exists any conflict or inconsistency with respect to the matters specifically covered hereunder between this Amendment and the License Agreement, the provisions in this Amendment shall prevail.</w:t>
      </w:r>
    </w:p>
    <w:p>
      <w:pPr>
        <w:spacing w:after="0" w:line="211" w:lineRule="exact"/>
        <w:rPr>
          <w:sz w:val="20"/>
          <w:szCs w:val="20"/>
          <w:color w:val="auto"/>
        </w:rPr>
      </w:pPr>
    </w:p>
    <w:p>
      <w:pPr>
        <w:ind w:left="840" w:hanging="317"/>
        <w:spacing w:after="0"/>
        <w:tabs>
          <w:tab w:leader="none" w:pos="84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p>
    <w:p>
      <w:pPr>
        <w:spacing w:after="0" w:line="341" w:lineRule="exact"/>
        <w:rPr>
          <w:rFonts w:ascii="Times New Roman" w:cs="Times New Roman" w:eastAsia="Times New Roman" w:hAnsi="Times New Roman"/>
          <w:sz w:val="22"/>
          <w:szCs w:val="22"/>
          <w:color w:val="auto"/>
        </w:rPr>
      </w:pPr>
    </w:p>
    <w:p>
      <w:pPr>
        <w:jc w:val="both"/>
        <w:ind w:left="1500" w:right="219" w:hanging="329"/>
        <w:spacing w:after="0" w:line="281" w:lineRule="auto"/>
        <w:tabs>
          <w:tab w:leader="none" w:pos="150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 governed by and construed in accordance with the internal laws of the State of New York without giving effect to any conflict of law provision or rule (to the extent those rules would require applying another jurisdiction’s laws).</w:t>
      </w:r>
    </w:p>
    <w:p>
      <w:pPr>
        <w:spacing w:after="0" w:line="3" w:lineRule="exact"/>
        <w:rPr>
          <w:rFonts w:ascii="Times New Roman" w:cs="Times New Roman" w:eastAsia="Times New Roman" w:hAnsi="Times New Roman"/>
          <w:sz w:val="22"/>
          <w:szCs w:val="22"/>
          <w:color w:val="auto"/>
        </w:rPr>
      </w:pPr>
    </w:p>
    <w:p>
      <w:pPr>
        <w:ind w:left="1500" w:right="199" w:hanging="329"/>
        <w:spacing w:after="0" w:line="281" w:lineRule="auto"/>
        <w:tabs>
          <w:tab w:leader="none" w:pos="150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headings in this Amendment are for reference only and shall not affect the interpretation of this Amendment.</w:t>
      </w:r>
    </w:p>
    <w:p>
      <w:pPr>
        <w:spacing w:after="0" w:line="1" w:lineRule="exact"/>
        <w:rPr>
          <w:rFonts w:ascii="Times New Roman" w:cs="Times New Roman" w:eastAsia="Times New Roman" w:hAnsi="Times New Roman"/>
          <w:sz w:val="22"/>
          <w:szCs w:val="22"/>
          <w:color w:val="auto"/>
        </w:rPr>
      </w:pPr>
    </w:p>
    <w:p>
      <w:pPr>
        <w:jc w:val="both"/>
        <w:ind w:left="1500" w:right="199" w:hanging="329"/>
        <w:spacing w:after="0" w:line="286" w:lineRule="auto"/>
        <w:tabs>
          <w:tab w:leader="none" w:pos="150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counterparts, each of which shall be deemed an original bus all of which together shall be deemed to be one and the same agreement. A signed copy of this Amendment delivered by facsimile, e-mail or</w:t>
      </w:r>
    </w:p>
    <w:p>
      <w:pPr>
        <w:ind w:left="1500" w:right="199"/>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means of electronic transmission shall be deemed to have the same legal effect as delivery of an original signed copy of this Amendment.</w:t>
      </w:r>
    </w:p>
    <w:p>
      <w:pPr>
        <w:spacing w:after="0" w:line="5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359410</wp:posOffset>
            </wp:positionV>
            <wp:extent cx="608647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4">
                      <a:extLst>
                        <a:ext uri="{28A0092B-C50C-407E-A947-70E740481C1C}"/>
                      </a:extLst>
                    </a:blip>
                    <a:srcRect/>
                    <a:stretch>
                      <a:fillRect/>
                    </a:stretch>
                  </pic:blipFill>
                  <pic:spPr bwMode="auto">
                    <a:xfrm>
                      <a:off x="0" y="0"/>
                      <a:ext cx="6086475" cy="17145"/>
                    </a:xfrm>
                    <a:prstGeom prst="rect">
                      <a:avLst/>
                    </a:prstGeom>
                    <a:noFill/>
                  </pic:spPr>
                </pic:pic>
              </a:graphicData>
            </a:graphic>
          </wp:anchor>
        </w:drawing>
      </w:r>
    </w:p>
    <w:p>
      <w:pPr>
        <w:sectPr>
          <w:pgSz w:w="11900" w:h="16838" w:orient="portrait"/>
          <w:cols w:equalWidth="0" w:num="1">
            <w:col w:w="9019"/>
          </w:cols>
          <w:pgMar w:left="1440" w:top="207" w:right="1440" w:bottom="1440" w:gutter="0" w:footer="0" w:header="0"/>
        </w:sectPr>
      </w:pPr>
    </w:p>
    <w:bookmarkStart w:id="191" w:name="page192"/>
    <w:bookmarkEnd w:id="191"/>
    <w:p>
      <w:pPr>
        <w:ind w:left="200"/>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caused this Amendment to be executed by their authorized officer or representative as of the Effective Date.</w:t>
      </w:r>
    </w:p>
    <w:p>
      <w:pPr>
        <w:spacing w:after="0" w:line="200" w:lineRule="exact"/>
        <w:rPr>
          <w:sz w:val="20"/>
          <w:szCs w:val="20"/>
          <w:color w:val="auto"/>
        </w:rPr>
      </w:pPr>
    </w:p>
    <w:p>
      <w:pPr>
        <w:spacing w:after="0" w:line="224" w:lineRule="exact"/>
        <w:rPr>
          <w:sz w:val="20"/>
          <w:szCs w:val="20"/>
          <w:color w:val="auto"/>
        </w:rPr>
      </w:pPr>
    </w:p>
    <w:tbl>
      <w:tblPr>
        <w:tblLayout w:type="fixed"/>
        <w:tblInd w:w="200" w:type="dxa"/>
        <w:tblCellMar>
          <w:top w:w="0" w:type="dxa"/>
          <w:left w:w="0" w:type="dxa"/>
          <w:bottom w:w="0" w:type="dxa"/>
          <w:right w:w="0" w:type="dxa"/>
        </w:tblCellMar>
      </w:tblPr>
      <w:tr>
        <w:trPr>
          <w:trHeight w:val="286"/>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Y-MABS THERAPEUTICS, INC.</w:t>
            </w:r>
          </w:p>
        </w:tc>
        <w:tc>
          <w:tcPr>
            <w:tcW w:w="4800" w:type="dxa"/>
            <w:vAlign w:val="bottom"/>
          </w:tcPr>
          <w:p>
            <w:pPr>
              <w:ind w:left="600"/>
              <w:spacing w:after="0"/>
              <w:rPr>
                <w:sz w:val="20"/>
                <w:szCs w:val="20"/>
                <w:color w:val="auto"/>
              </w:rPr>
            </w:pPr>
            <w:r>
              <w:rPr>
                <w:rFonts w:ascii="Times New Roman" w:cs="Times New Roman" w:eastAsia="Times New Roman" w:hAnsi="Times New Roman"/>
                <w:sz w:val="22"/>
                <w:szCs w:val="22"/>
                <w:b w:val="1"/>
                <w:bCs w:val="1"/>
                <w:color w:val="auto"/>
                <w:w w:val="96"/>
              </w:rPr>
              <w:t>SciClone Pharmaceuticals International LTD.</w:t>
            </w:r>
          </w:p>
        </w:tc>
        <w:tc>
          <w:tcPr>
            <w:tcW w:w="0" w:type="dxa"/>
            <w:vAlign w:val="bottom"/>
          </w:tcPr>
          <w:p>
            <w:pPr>
              <w:spacing w:after="0"/>
              <w:rPr>
                <w:sz w:val="1"/>
                <w:szCs w:val="1"/>
                <w:color w:val="auto"/>
              </w:rPr>
            </w:pPr>
          </w:p>
        </w:tc>
      </w:tr>
      <w:tr>
        <w:trPr>
          <w:trHeight w:val="443"/>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Print Name: [ * * * ]</w:t>
            </w:r>
          </w:p>
        </w:tc>
        <w:tc>
          <w:tcPr>
            <w:tcW w:w="4800" w:type="dxa"/>
            <w:vAlign w:val="bottom"/>
          </w:tcPr>
          <w:p>
            <w:pPr>
              <w:ind w:left="620"/>
              <w:spacing w:after="0"/>
              <w:rPr>
                <w:sz w:val="20"/>
                <w:szCs w:val="20"/>
                <w:color w:val="auto"/>
              </w:rPr>
            </w:pPr>
            <w:r>
              <w:rPr>
                <w:rFonts w:ascii="Times New Roman" w:cs="Times New Roman" w:eastAsia="Times New Roman" w:hAnsi="Times New Roman"/>
                <w:sz w:val="22"/>
                <w:szCs w:val="22"/>
                <w:b w:val="1"/>
                <w:bCs w:val="1"/>
                <w:color w:val="auto"/>
              </w:rPr>
              <w:t>Print Name: [***]</w:t>
            </w: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Title:</w:t>
            </w:r>
          </w:p>
        </w:tc>
        <w:tc>
          <w:tcPr>
            <w:tcW w:w="2420" w:type="dxa"/>
            <w:vAlign w:val="bottom"/>
          </w:tcPr>
          <w:p>
            <w:pPr>
              <w:jc w:val="right"/>
              <w:ind w:right="1772"/>
              <w:spacing w:after="0"/>
              <w:rPr>
                <w:sz w:val="20"/>
                <w:szCs w:val="20"/>
                <w:color w:val="auto"/>
              </w:rPr>
            </w:pPr>
            <w:r>
              <w:rPr>
                <w:rFonts w:ascii="Times New Roman" w:cs="Times New Roman" w:eastAsia="Times New Roman" w:hAnsi="Times New Roman"/>
                <w:sz w:val="22"/>
                <w:szCs w:val="22"/>
                <w:b w:val="1"/>
                <w:bCs w:val="1"/>
                <w:color w:val="auto"/>
              </w:rPr>
              <w:t>[***]</w:t>
            </w:r>
          </w:p>
        </w:tc>
        <w:tc>
          <w:tcPr>
            <w:tcW w:w="48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Title: [ * * * ]</w:t>
            </w:r>
          </w:p>
        </w:tc>
        <w:tc>
          <w:tcPr>
            <w:tcW w:w="0" w:type="dxa"/>
            <w:vAlign w:val="bottom"/>
          </w:tcPr>
          <w:p>
            <w:pPr>
              <w:spacing w:after="0"/>
              <w:rPr>
                <w:sz w:val="1"/>
                <w:szCs w:val="1"/>
                <w:color w:val="auto"/>
              </w:rPr>
            </w:pPr>
          </w:p>
        </w:tc>
      </w:tr>
      <w:tr>
        <w:trPr>
          <w:trHeight w:val="486"/>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Signed by:</w:t>
            </w:r>
          </w:p>
        </w:tc>
        <w:tc>
          <w:tcPr>
            <w:tcW w:w="24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Print Name:</w:t>
            </w:r>
          </w:p>
        </w:tc>
        <w:tc>
          <w:tcPr>
            <w:tcW w:w="24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24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w:t>
            </w:r>
          </w:p>
        </w:tc>
        <w:tc>
          <w:tcPr>
            <w:tcW w:w="48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Signed by</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2420" w:type="dxa"/>
            <w:vAlign w:val="bottom"/>
          </w:tcPr>
          <w:p>
            <w:pPr>
              <w:spacing w:after="0"/>
              <w:rPr>
                <w:sz w:val="7"/>
                <w:szCs w:val="7"/>
                <w:color w:val="auto"/>
              </w:rPr>
            </w:pPr>
          </w:p>
        </w:tc>
        <w:tc>
          <w:tcPr>
            <w:tcW w:w="4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0" w:right="1460"/>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caused this Amendment to be executed by their authorized officer or representative as of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323850</wp:posOffset>
            </wp:positionV>
            <wp:extent cx="608647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5">
                      <a:extLst>
                        <a:ext uri="{28A0092B-C50C-407E-A947-70E740481C1C}"/>
                      </a:extLst>
                    </a:blip>
                    <a:srcRect/>
                    <a:stretch>
                      <a:fillRect/>
                    </a:stretch>
                  </pic:blipFill>
                  <pic:spPr bwMode="auto">
                    <a:xfrm>
                      <a:off x="0" y="0"/>
                      <a:ext cx="6086475" cy="26035"/>
                    </a:xfrm>
                    <a:prstGeom prst="rect">
                      <a:avLst/>
                    </a:prstGeom>
                    <a:noFill/>
                  </pic:spPr>
                </pic:pic>
              </a:graphicData>
            </a:graphic>
          </wp:anchor>
        </w:drawing>
      </w:r>
    </w:p>
    <w:p>
      <w:pPr>
        <w:sectPr>
          <w:pgSz w:w="11900" w:h="16838" w:orient="portrait"/>
          <w:cols w:equalWidth="0" w:num="1">
            <w:col w:w="9540"/>
          </w:cols>
          <w:pgMar w:left="1440" w:top="180" w:right="919" w:bottom="1440" w:gutter="0" w:footer="0" w:header="0"/>
        </w:sectPr>
      </w:pPr>
    </w:p>
    <w:bookmarkStart w:id="192" w:name="page193"/>
    <w:bookmarkEnd w:id="192"/>
    <w:p>
      <w:pPr>
        <w:ind w:left="8220"/>
        <w:spacing w:after="0"/>
        <w:rPr>
          <w:sz w:val="20"/>
          <w:szCs w:val="20"/>
          <w:color w:val="auto"/>
        </w:rPr>
      </w:pPr>
      <w:r>
        <w:rPr>
          <w:rFonts w:ascii="Calibri" w:cs="Calibri" w:eastAsia="Calibri" w:hAnsi="Calibri"/>
          <w:sz w:val="21"/>
          <w:szCs w:val="21"/>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3394710</wp:posOffset>
            </wp:positionH>
            <wp:positionV relativeFrom="paragraph">
              <wp:posOffset>163830</wp:posOffset>
            </wp:positionV>
            <wp:extent cx="2057400" cy="3086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6">
                      <a:extLst>
                        <a:ext uri="{28A0092B-C50C-407E-A947-70E740481C1C}"/>
                      </a:extLst>
                    </a:blip>
                    <a:srcRect/>
                    <a:stretch>
                      <a:fillRect/>
                    </a:stretch>
                  </pic:blipFill>
                  <pic:spPr bwMode="auto">
                    <a:xfrm>
                      <a:off x="0" y="0"/>
                      <a:ext cx="205740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Y-mAbs Therapeutcs, Inc. Insider Trading Compliance Policy</w:t>
      </w:r>
    </w:p>
    <w:p>
      <w:pPr>
        <w:spacing w:after="0" w:line="219" w:lineRule="exact"/>
        <w:rPr>
          <w:sz w:val="20"/>
          <w:szCs w:val="20"/>
          <w:color w:val="auto"/>
        </w:rPr>
      </w:pPr>
    </w:p>
    <w:p>
      <w:pPr>
        <w:ind w:left="4260" w:hanging="435"/>
        <w:spacing w:after="0"/>
        <w:tabs>
          <w:tab w:leader="none" w:pos="4260" w:val="left"/>
        </w:tabs>
        <w:numPr>
          <w:ilvl w:val="0"/>
          <w:numId w:val="102"/>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PURPOSE</w:t>
      </w:r>
    </w:p>
    <w:p>
      <w:pPr>
        <w:spacing w:after="0" w:line="201" w:lineRule="exact"/>
        <w:rPr>
          <w:sz w:val="20"/>
          <w:szCs w:val="20"/>
          <w:color w:val="auto"/>
        </w:rPr>
      </w:pPr>
    </w:p>
    <w:p>
      <w:pPr>
        <w:jc w:val="both"/>
        <w:spacing w:after="0" w:line="238" w:lineRule="auto"/>
        <w:rPr>
          <w:sz w:val="20"/>
          <w:szCs w:val="20"/>
          <w:color w:val="auto"/>
        </w:rPr>
      </w:pPr>
      <w:r>
        <w:rPr>
          <w:rFonts w:ascii="Calibri" w:cs="Calibri" w:eastAsia="Calibri" w:hAnsi="Calibri"/>
          <w:sz w:val="22"/>
          <w:szCs w:val="22"/>
          <w:color w:val="auto"/>
        </w:rPr>
        <w:t>Y-mAbs Therapeutcs, Inc. (“</w:t>
      </w:r>
      <w:r>
        <w:rPr>
          <w:rFonts w:ascii="Calibri" w:cs="Calibri" w:eastAsia="Calibri" w:hAnsi="Calibri"/>
          <w:sz w:val="22"/>
          <w:szCs w:val="22"/>
          <w:b w:val="1"/>
          <w:bCs w:val="1"/>
          <w:color w:val="auto"/>
        </w:rPr>
        <w:t>Y-mAbs</w:t>
      </w:r>
      <w:r>
        <w:rPr>
          <w:rFonts w:ascii="Calibri" w:cs="Calibri" w:eastAsia="Calibri" w:hAnsi="Calibri"/>
          <w:sz w:val="22"/>
          <w:szCs w:val="22"/>
          <w:color w:val="auto"/>
        </w:rPr>
        <w:t>” or the “</w:t>
      </w:r>
      <w:r>
        <w:rPr>
          <w:rFonts w:ascii="Calibri" w:cs="Calibri" w:eastAsia="Calibri" w:hAnsi="Calibri"/>
          <w:sz w:val="22"/>
          <w:szCs w:val="22"/>
          <w:b w:val="1"/>
          <w:bCs w:val="1"/>
          <w:color w:val="auto"/>
        </w:rPr>
        <w:t>Company</w:t>
      </w:r>
      <w:r>
        <w:rPr>
          <w:rFonts w:ascii="Calibri" w:cs="Calibri" w:eastAsia="Calibri" w:hAnsi="Calibri"/>
          <w:sz w:val="22"/>
          <w:szCs w:val="22"/>
          <w:color w:val="auto"/>
        </w:rPr>
        <w:t>”) has adopted this Insider Trading Compliance Policy (the “</w:t>
      </w:r>
      <w:r>
        <w:rPr>
          <w:rFonts w:ascii="Calibri" w:cs="Calibri" w:eastAsia="Calibri" w:hAnsi="Calibri"/>
          <w:sz w:val="22"/>
          <w:szCs w:val="22"/>
          <w:b w:val="1"/>
          <w:bCs w:val="1"/>
          <w:color w:val="auto"/>
        </w:rPr>
        <w:t>Policy</w:t>
      </w:r>
      <w:r>
        <w:rPr>
          <w:rFonts w:ascii="Calibri" w:cs="Calibri" w:eastAsia="Calibri" w:hAnsi="Calibri"/>
          <w:sz w:val="22"/>
          <w:szCs w:val="22"/>
          <w:color w:val="auto"/>
        </w:rPr>
        <w:t>”) to assist with compliance with insider trading laws and to prevent even the appearance of improper trading. Additonally, this Policy prohibits the unauthorized disclosure and misuse of any material, non-public informaton.</w:t>
      </w:r>
    </w:p>
    <w:p>
      <w:pPr>
        <w:spacing w:after="0" w:line="234" w:lineRule="exact"/>
        <w:rPr>
          <w:sz w:val="20"/>
          <w:szCs w:val="20"/>
          <w:color w:val="auto"/>
        </w:rPr>
      </w:pPr>
    </w:p>
    <w:p>
      <w:pPr>
        <w:ind w:left="4400" w:hanging="501"/>
        <w:spacing w:after="0"/>
        <w:tabs>
          <w:tab w:leader="none" w:pos="4400" w:val="left"/>
        </w:tabs>
        <w:numPr>
          <w:ilvl w:val="1"/>
          <w:numId w:val="103"/>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SCOPE</w:t>
      </w:r>
    </w:p>
    <w:p>
      <w:pPr>
        <w:spacing w:after="0" w:line="200" w:lineRule="exact"/>
        <w:rPr>
          <w:rFonts w:ascii="Calibri" w:cs="Calibri" w:eastAsia="Calibri" w:hAnsi="Calibri"/>
          <w:sz w:val="22"/>
          <w:szCs w:val="22"/>
          <w:b w:val="1"/>
          <w:bCs w:val="1"/>
          <w:color w:val="auto"/>
        </w:rPr>
      </w:pPr>
    </w:p>
    <w:p>
      <w:pPr>
        <w:jc w:val="both"/>
        <w:ind w:left="420" w:hanging="320"/>
        <w:spacing w:after="0" w:line="238" w:lineRule="auto"/>
        <w:tabs>
          <w:tab w:leader="none" w:pos="420" w:val="left"/>
        </w:tabs>
        <w:numPr>
          <w:ilvl w:val="0"/>
          <w:numId w:val="104"/>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Persons Covered by This Policy. </w:t>
      </w:r>
      <w:r>
        <w:rPr>
          <w:rFonts w:ascii="Calibri" w:cs="Calibri" w:eastAsia="Calibri" w:hAnsi="Calibri"/>
          <w:sz w:val="22"/>
          <w:szCs w:val="22"/>
          <w:color w:val="auto"/>
        </w:rPr>
        <w:t>This Policy applies to all directors, ofcers, employees of Y-mAbs in</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additon to designated consultants and independent contractors of Y-mAbs. References to Y-mAbs include subsidiaries of Y-mAbs. References in this Policy to “you” (as well as general references to directors, ofcers, employees, consultants and independent contractors of Y-mAbs) should also be understood to include members of your immediate family, persons with whom you share a household, persons who reside with you, persons who do not live in your household but whose transactons in Y-mAbs securites are directed by you or are subject to your infuence or control, persons who are your economic dependents and any other individuals or enttes (including trusts) whose transactons in securites you infuence, direct or control (including, e.g., a venture or other investment fund, if you infuence, direct or control transactons by the fund). However, this policy does not apply to any entty that invests in securites in the ordinary course of its business (e.g., a venture or other investment fund) if (and only if) such entty has established its own insider trading controls and procedures in compliance with applicable securites laws with respect to trading in YmAbs’s securites.</w:t>
      </w:r>
    </w:p>
    <w:p>
      <w:pPr>
        <w:spacing w:after="0" w:line="240" w:lineRule="exact"/>
        <w:rPr>
          <w:rFonts w:ascii="Calibri" w:cs="Calibri" w:eastAsia="Calibri" w:hAnsi="Calibri"/>
          <w:sz w:val="22"/>
          <w:szCs w:val="22"/>
          <w:b w:val="1"/>
          <w:bCs w:val="1"/>
          <w:color w:val="auto"/>
        </w:rPr>
      </w:pPr>
    </w:p>
    <w:p>
      <w:pPr>
        <w:jc w:val="both"/>
        <w:ind w:left="420" w:hanging="320"/>
        <w:spacing w:after="0" w:line="238" w:lineRule="auto"/>
        <w:tabs>
          <w:tab w:leader="none" w:pos="420" w:val="left"/>
        </w:tabs>
        <w:numPr>
          <w:ilvl w:val="0"/>
          <w:numId w:val="104"/>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Types of Transactons Covered by This Policy. </w:t>
      </w:r>
      <w:r>
        <w:rPr>
          <w:rFonts w:ascii="Calibri" w:cs="Calibri" w:eastAsia="Calibri" w:hAnsi="Calibri"/>
          <w:sz w:val="22"/>
          <w:szCs w:val="22"/>
          <w:color w:val="auto"/>
        </w:rPr>
        <w:t>Except as explicitly set forth in “</w:t>
      </w:r>
      <w:r>
        <w:rPr>
          <w:rFonts w:ascii="Calibri" w:cs="Calibri" w:eastAsia="Calibri" w:hAnsi="Calibri"/>
          <w:sz w:val="22"/>
          <w:szCs w:val="22"/>
          <w:b w:val="1"/>
          <w:bCs w:val="1"/>
          <w:color w:val="auto"/>
        </w:rPr>
        <w:t>Limited Exceptons</w:t>
      </w:r>
      <w:r>
        <w:rPr>
          <w:rFonts w:ascii="Calibri" w:cs="Calibri" w:eastAsia="Calibri" w:hAnsi="Calibri"/>
          <w:sz w:val="22"/>
          <w:szCs w:val="22"/>
          <w:color w:val="auto"/>
        </w:rPr>
        <w:t>”</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below, this Policy applies broadly to any purchase, sale, acquisiton, transfer, dispositon, gif or other transacton or arrangement in securites issued by Y-mAbs as well as derivatve securites that are not issued by Y-mAbs, such as exchange-traded put or call optons or swaps relatng to Y-mAbs’s securites. Accordingly, for purposes of this policy, the terms “</w:t>
      </w:r>
      <w:r>
        <w:rPr>
          <w:rFonts w:ascii="Calibri" w:cs="Calibri" w:eastAsia="Calibri" w:hAnsi="Calibri"/>
          <w:sz w:val="22"/>
          <w:szCs w:val="22"/>
          <w:b w:val="1"/>
          <w:bCs w:val="1"/>
          <w:color w:val="auto"/>
        </w:rPr>
        <w:t>trade</w:t>
      </w:r>
      <w:r>
        <w:rPr>
          <w:rFonts w:ascii="Calibri" w:cs="Calibri" w:eastAsia="Calibri" w:hAnsi="Calibri"/>
          <w:sz w:val="22"/>
          <w:szCs w:val="22"/>
          <w:color w:val="auto"/>
        </w:rPr>
        <w:t>,” “</w:t>
      </w:r>
      <w:r>
        <w:rPr>
          <w:rFonts w:ascii="Calibri" w:cs="Calibri" w:eastAsia="Calibri" w:hAnsi="Calibri"/>
          <w:sz w:val="22"/>
          <w:szCs w:val="22"/>
          <w:b w:val="1"/>
          <w:bCs w:val="1"/>
          <w:color w:val="auto"/>
        </w:rPr>
        <w:t>trading</w:t>
      </w:r>
      <w:r>
        <w:rPr>
          <w:rFonts w:ascii="Calibri" w:cs="Calibri" w:eastAsia="Calibri" w:hAnsi="Calibri"/>
          <w:sz w:val="22"/>
          <w:szCs w:val="22"/>
          <w:color w:val="auto"/>
        </w:rPr>
        <w:t>” and “</w:t>
      </w:r>
      <w:r>
        <w:rPr>
          <w:rFonts w:ascii="Calibri" w:cs="Calibri" w:eastAsia="Calibri" w:hAnsi="Calibri"/>
          <w:sz w:val="22"/>
          <w:szCs w:val="22"/>
          <w:b w:val="1"/>
          <w:bCs w:val="1"/>
          <w:color w:val="auto"/>
        </w:rPr>
        <w:t>transactons</w:t>
      </w:r>
      <w:r>
        <w:rPr>
          <w:rFonts w:ascii="Calibri" w:cs="Calibri" w:eastAsia="Calibri" w:hAnsi="Calibri"/>
          <w:sz w:val="22"/>
          <w:szCs w:val="22"/>
          <w:color w:val="auto"/>
        </w:rPr>
        <w:t>” include not only purchases and sales of Y-mAbs’s securites in the public market but also any other purchases, sales, transfers, gifs or other acquisitons or dispositons of common or preferred equity, optons, warrants and other securites (including debt securites) and other arrangements or transactons that afect economic exposure to changes in the prices of these securites. Except as discussed in “Limited Exceptons” below, there are no exceptons from this Policy based on the size of the transacton or personal circumstances. In additon, it is the policy of Y-mAbs that no person subject to this Policy who, in the course of his or her relatonship with Y-mAbs, learns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543560</wp:posOffset>
            </wp:positionV>
            <wp:extent cx="594042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7">
                      <a:extLst>
                        <a:ext uri="{28A0092B-C50C-407E-A947-70E740481C1C}"/>
                      </a:extLst>
                    </a:blip>
                    <a:srcRect/>
                    <a:stretch>
                      <a:fillRect/>
                    </a:stretch>
                  </pic:blipFill>
                  <pic:spPr bwMode="auto">
                    <a:xfrm>
                      <a:off x="0" y="0"/>
                      <a:ext cx="5940425" cy="17145"/>
                    </a:xfrm>
                    <a:prstGeom prst="rect">
                      <a:avLst/>
                    </a:prstGeom>
                    <a:noFill/>
                  </pic:spPr>
                </pic:pic>
              </a:graphicData>
            </a:graphic>
          </wp:anchor>
        </w:drawing>
      </w:r>
    </w:p>
    <w:p>
      <w:pPr>
        <w:sectPr>
          <w:pgSz w:w="11900" w:h="16838" w:orient="portrait"/>
          <w:cols w:equalWidth="0" w:num="1">
            <w:col w:w="9280"/>
          </w:cols>
          <w:pgMar w:left="1300" w:top="367" w:right="1319" w:bottom="1440" w:gutter="0" w:footer="0" w:header="0"/>
        </w:sectPr>
      </w:pPr>
    </w:p>
    <w:bookmarkStart w:id="193" w:name="page194"/>
    <w:bookmarkEnd w:id="193"/>
    <w:p>
      <w:pPr>
        <w:ind w:left="420" w:right="80"/>
        <w:spacing w:after="0" w:line="337" w:lineRule="auto"/>
        <w:rPr>
          <w:sz w:val="20"/>
          <w:szCs w:val="20"/>
          <w:color w:val="auto"/>
        </w:rPr>
      </w:pPr>
      <w:r>
        <w:rPr>
          <w:rFonts w:ascii="Arial" w:cs="Arial" w:eastAsia="Arial" w:hAnsi="Arial"/>
          <w:sz w:val="19"/>
          <w:szCs w:val="19"/>
          <w:color w:val="auto"/>
        </w:rPr>
        <w:t>confdental informaton that is material to another publicly traded company with which Y-mAbs does business, including but not limited to a partner, collaborator, customer or supplier of Y-mAbs,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color w:val="auto"/>
        </w:rPr>
        <w:t>274497348 v8</w:t>
      </w:r>
    </w:p>
    <w:p>
      <w:pPr>
        <w:spacing w:after="0" w:line="272" w:lineRule="exact"/>
        <w:rPr>
          <w:sz w:val="20"/>
          <w:szCs w:val="20"/>
          <w:color w:val="auto"/>
        </w:rPr>
      </w:pPr>
    </w:p>
    <w:p>
      <w:pPr>
        <w:ind w:left="420" w:right="80"/>
        <w:spacing w:after="0" w:line="259" w:lineRule="auto"/>
        <w:rPr>
          <w:sz w:val="20"/>
          <w:szCs w:val="20"/>
          <w:color w:val="auto"/>
        </w:rPr>
      </w:pPr>
      <w:r>
        <w:rPr>
          <w:rFonts w:ascii="Arial" w:cs="Arial" w:eastAsia="Arial" w:hAnsi="Arial"/>
          <w:sz w:val="22"/>
          <w:szCs w:val="22"/>
          <w:color w:val="auto"/>
        </w:rPr>
        <w:t>may trade in that other company’s securites untl the informaton becomes public or is no longer material to that other company.</w:t>
      </w:r>
    </w:p>
    <w:p>
      <w:pPr>
        <w:spacing w:after="0" w:line="224" w:lineRule="exact"/>
        <w:rPr>
          <w:sz w:val="20"/>
          <w:szCs w:val="20"/>
          <w:color w:val="auto"/>
        </w:rPr>
      </w:pPr>
    </w:p>
    <w:p>
      <w:pPr>
        <w:jc w:val="both"/>
        <w:ind w:left="440" w:right="80" w:hanging="332"/>
        <w:spacing w:after="0" w:line="241" w:lineRule="auto"/>
        <w:rPr>
          <w:sz w:val="20"/>
          <w:szCs w:val="20"/>
          <w:color w:val="auto"/>
        </w:rPr>
      </w:pPr>
      <w:r>
        <w:rPr>
          <w:rFonts w:ascii="Calibri" w:cs="Calibri" w:eastAsia="Calibri" w:hAnsi="Calibri"/>
          <w:sz w:val="22"/>
          <w:szCs w:val="22"/>
          <w:b w:val="1"/>
          <w:bCs w:val="1"/>
          <w:color w:val="auto"/>
        </w:rPr>
        <w:t xml:space="preserve">C. Applicability of This Policy afer Your Departure. </w:t>
      </w:r>
      <w:r>
        <w:rPr>
          <w:rFonts w:ascii="Calibri" w:cs="Calibri" w:eastAsia="Calibri" w:hAnsi="Calibri"/>
          <w:sz w:val="22"/>
          <w:szCs w:val="22"/>
          <w:color w:val="auto"/>
        </w:rPr>
        <w:t>You may not trade in the Company’s securites or</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 xml:space="preserve">securites of other applicable companies afer your departure from Y-mAbs when you are aware of material non-public informaton regarding the Company untl that informaton has become public or is no longer material. Further, if your departure from Y-mAbs is during a trading blackout period (defned below), then you may not trade Y-mAbs’s securites or the securites of other applicable </w:t>
      </w:r>
      <w:r>
        <w:rPr>
          <w:rFonts w:ascii="Arial" w:cs="Arial" w:eastAsia="Arial" w:hAnsi="Arial"/>
          <w:sz w:val="22"/>
          <w:szCs w:val="22"/>
          <w:color w:val="auto"/>
        </w:rPr>
        <w:t>companies untl the trading blackout period has ended. In additon, unless notfed otherwise by the Company, the pre-clearance requirements set forth herein contnue to apply for six months afer your departure from Y-mAbs.</w:t>
      </w:r>
    </w:p>
    <w:p>
      <w:pPr>
        <w:spacing w:after="0" w:line="239" w:lineRule="exact"/>
        <w:rPr>
          <w:sz w:val="20"/>
          <w:szCs w:val="20"/>
          <w:color w:val="auto"/>
        </w:rPr>
      </w:pPr>
    </w:p>
    <w:p>
      <w:pPr>
        <w:ind w:left="3100" w:hanging="570"/>
        <w:spacing w:after="0"/>
        <w:tabs>
          <w:tab w:leader="none" w:pos="3100" w:val="left"/>
        </w:tabs>
        <w:numPr>
          <w:ilvl w:val="2"/>
          <w:numId w:val="105"/>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GENERALLY PROHIBITED ACTIVITIES</w:t>
      </w:r>
    </w:p>
    <w:p>
      <w:pPr>
        <w:spacing w:after="0" w:line="200" w:lineRule="exact"/>
        <w:rPr>
          <w:rFonts w:ascii="Calibri" w:cs="Calibri" w:eastAsia="Calibri" w:hAnsi="Calibri"/>
          <w:sz w:val="22"/>
          <w:szCs w:val="22"/>
          <w:b w:val="1"/>
          <w:bCs w:val="1"/>
          <w:color w:val="auto"/>
        </w:rPr>
      </w:pPr>
    </w:p>
    <w:p>
      <w:pPr>
        <w:jc w:val="both"/>
        <w:ind w:left="340" w:right="80" w:hanging="321"/>
        <w:spacing w:after="0" w:line="233" w:lineRule="auto"/>
        <w:tabs>
          <w:tab w:leader="none" w:pos="340" w:val="left"/>
        </w:tabs>
        <w:numPr>
          <w:ilvl w:val="0"/>
          <w:numId w:val="106"/>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Trading on material non-public informaton. </w:t>
      </w:r>
      <w:r>
        <w:rPr>
          <w:rFonts w:ascii="Calibri" w:cs="Calibri" w:eastAsia="Calibri" w:hAnsi="Calibri"/>
          <w:sz w:val="22"/>
          <w:szCs w:val="22"/>
          <w:color w:val="auto"/>
        </w:rPr>
        <w:t>The prohibiton against insider trading is absolute. It</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applies even if the decision to trade is not based on material non-public informaton. Except as discussed in “Limited Exceptons” below:</w:t>
      </w:r>
    </w:p>
    <w:p>
      <w:pPr>
        <w:spacing w:after="0" w:line="216" w:lineRule="exact"/>
        <w:rPr>
          <w:rFonts w:ascii="Calibri" w:cs="Calibri" w:eastAsia="Calibri" w:hAnsi="Calibri"/>
          <w:sz w:val="22"/>
          <w:szCs w:val="22"/>
          <w:b w:val="1"/>
          <w:bCs w:val="1"/>
          <w:color w:val="auto"/>
        </w:rPr>
      </w:pPr>
    </w:p>
    <w:p>
      <w:pPr>
        <w:jc w:val="both"/>
        <w:ind w:left="1320" w:right="80" w:hanging="329"/>
        <w:spacing w:after="0" w:line="239" w:lineRule="auto"/>
        <w:tabs>
          <w:tab w:leader="none" w:pos="1320" w:val="left"/>
        </w:tabs>
        <w:numPr>
          <w:ilvl w:val="1"/>
          <w:numId w:val="106"/>
        </w:numPr>
        <w:rPr>
          <w:rFonts w:ascii="Calibri" w:cs="Calibri" w:eastAsia="Calibri" w:hAnsi="Calibri"/>
          <w:sz w:val="22"/>
          <w:szCs w:val="22"/>
          <w:b w:val="1"/>
          <w:bCs w:val="1"/>
          <w:color w:val="auto"/>
        </w:rPr>
      </w:pPr>
      <w:r>
        <w:rPr>
          <w:rFonts w:ascii="Calibri" w:cs="Calibri" w:eastAsia="Calibri" w:hAnsi="Calibri"/>
          <w:sz w:val="22"/>
          <w:szCs w:val="22"/>
          <w:color w:val="auto"/>
        </w:rPr>
        <w:t xml:space="preserve">you may not buy, sell or otherwise trade or engage in any transacton in Y-mAbs’s </w:t>
      </w:r>
      <w:r>
        <w:rPr>
          <w:rFonts w:ascii="Arial" w:cs="Arial" w:eastAsia="Arial" w:hAnsi="Arial"/>
          <w:sz w:val="22"/>
          <w:szCs w:val="22"/>
          <w:color w:val="auto"/>
        </w:rPr>
        <w:t xml:space="preserve">securites while aware of material non-public informaton relatng to Y-mAbs. It does not mater that you did not “use” the informaton in your transacton. It is your responsibility </w:t>
      </w:r>
      <w:r>
        <w:rPr>
          <w:rFonts w:ascii="Calibri" w:cs="Calibri" w:eastAsia="Calibri" w:hAnsi="Calibri"/>
          <w:sz w:val="22"/>
          <w:szCs w:val="22"/>
          <w:color w:val="auto"/>
        </w:rPr>
        <w:t>to be certain that you do not have material non-public informaton when determining to trade.</w:t>
      </w:r>
    </w:p>
    <w:p>
      <w:pPr>
        <w:spacing w:after="0" w:line="217" w:lineRule="exact"/>
        <w:rPr>
          <w:rFonts w:ascii="Calibri" w:cs="Calibri" w:eastAsia="Calibri" w:hAnsi="Calibri"/>
          <w:sz w:val="22"/>
          <w:szCs w:val="22"/>
          <w:b w:val="1"/>
          <w:bCs w:val="1"/>
          <w:color w:val="auto"/>
        </w:rPr>
      </w:pPr>
    </w:p>
    <w:p>
      <w:pPr>
        <w:ind w:left="1320" w:right="100" w:hanging="329"/>
        <w:spacing w:after="0" w:line="254" w:lineRule="auto"/>
        <w:tabs>
          <w:tab w:leader="none" w:pos="1320" w:val="left"/>
        </w:tabs>
        <w:numPr>
          <w:ilvl w:val="1"/>
          <w:numId w:val="106"/>
        </w:numPr>
        <w:rPr>
          <w:rFonts w:ascii="Calibri" w:cs="Calibri" w:eastAsia="Calibri" w:hAnsi="Calibri"/>
          <w:sz w:val="21"/>
          <w:szCs w:val="21"/>
          <w:b w:val="1"/>
          <w:bCs w:val="1"/>
          <w:color w:val="auto"/>
        </w:rPr>
      </w:pPr>
      <w:r>
        <w:rPr>
          <w:rFonts w:ascii="Calibri" w:cs="Calibri" w:eastAsia="Calibri" w:hAnsi="Calibri"/>
          <w:sz w:val="21"/>
          <w:szCs w:val="21"/>
          <w:color w:val="auto"/>
        </w:rPr>
        <w:t>You may not buy, sell or otherwise trade in Y-mAbs’s securites during any trading blackout period applicable to you as designated by the Compliance Ofcer (as defned below).</w:t>
      </w:r>
    </w:p>
    <w:p>
      <w:pPr>
        <w:spacing w:after="0" w:line="199" w:lineRule="exact"/>
        <w:rPr>
          <w:rFonts w:ascii="Calibri" w:cs="Calibri" w:eastAsia="Calibri" w:hAnsi="Calibri"/>
          <w:sz w:val="21"/>
          <w:szCs w:val="21"/>
          <w:b w:val="1"/>
          <w:bCs w:val="1"/>
          <w:color w:val="auto"/>
        </w:rPr>
      </w:pPr>
    </w:p>
    <w:p>
      <w:pPr>
        <w:jc w:val="both"/>
        <w:ind w:left="340" w:right="80" w:hanging="321"/>
        <w:spacing w:after="0"/>
        <w:tabs>
          <w:tab w:leader="none" w:pos="340" w:val="left"/>
        </w:tabs>
        <w:numPr>
          <w:ilvl w:val="0"/>
          <w:numId w:val="106"/>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Tipping. </w:t>
      </w:r>
      <w:r>
        <w:rPr>
          <w:rFonts w:ascii="Calibri" w:cs="Calibri" w:eastAsia="Calibri" w:hAnsi="Calibri"/>
          <w:sz w:val="22"/>
          <w:szCs w:val="22"/>
          <w:color w:val="auto"/>
        </w:rPr>
        <w:t>You may not recommend the purchase or sale or other trade of Y-mAbs’s securites to</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 xml:space="preserve">another person. In additon, providing material nonpublic informaton to another person who may trade or advise others to trade on the basis of that informaton is known as “tpping” and is illegal. Therefore, you may not “tp” or provide material nonpublic informaton concerning the Company to </w:t>
      </w:r>
      <w:r>
        <w:rPr>
          <w:rFonts w:ascii="Arial" w:cs="Arial" w:eastAsia="Arial" w:hAnsi="Arial"/>
          <w:sz w:val="22"/>
          <w:szCs w:val="22"/>
          <w:color w:val="auto"/>
        </w:rPr>
        <w:t xml:space="preserve">any person within Y-mAbs whose job does not require having that informaton or outside Y-mAbs to other persons such as family, friends, business associates or investors, unless authorized by Y-mAbs in </w:t>
      </w:r>
      <w:r>
        <w:rPr>
          <w:rFonts w:ascii="Calibri" w:cs="Calibri" w:eastAsia="Calibri" w:hAnsi="Calibri"/>
          <w:sz w:val="22"/>
          <w:szCs w:val="22"/>
          <w:color w:val="auto"/>
        </w:rPr>
        <w:t>accordance with Y-mAbs policies regarding the protecton and authorizaton of disclosures of informaton regarding Y-mAbs.</w:t>
      </w:r>
    </w:p>
    <w:p>
      <w:pPr>
        <w:spacing w:after="0" w:line="229" w:lineRule="exact"/>
        <w:rPr>
          <w:rFonts w:ascii="Calibri" w:cs="Calibri" w:eastAsia="Calibri" w:hAnsi="Calibri"/>
          <w:sz w:val="22"/>
          <w:szCs w:val="22"/>
          <w:b w:val="1"/>
          <w:bCs w:val="1"/>
          <w:color w:val="auto"/>
        </w:rPr>
      </w:pPr>
    </w:p>
    <w:p>
      <w:pPr>
        <w:jc w:val="both"/>
        <w:ind w:left="340" w:hanging="321"/>
        <w:spacing w:after="0" w:line="253" w:lineRule="auto"/>
        <w:tabs>
          <w:tab w:leader="none" w:pos="340" w:val="left"/>
        </w:tabs>
        <w:numPr>
          <w:ilvl w:val="0"/>
          <w:numId w:val="106"/>
        </w:numPr>
        <w:rPr>
          <w:rFonts w:ascii="Calibri" w:cs="Calibri" w:eastAsia="Calibri" w:hAnsi="Calibri"/>
          <w:sz w:val="21"/>
          <w:szCs w:val="21"/>
          <w:b w:val="1"/>
          <w:bCs w:val="1"/>
          <w:color w:val="auto"/>
        </w:rPr>
      </w:pPr>
      <w:r>
        <w:rPr>
          <w:rFonts w:ascii="Calibri" w:cs="Calibri" w:eastAsia="Calibri" w:hAnsi="Calibri"/>
          <w:sz w:val="21"/>
          <w:szCs w:val="21"/>
          <w:b w:val="1"/>
          <w:bCs w:val="1"/>
          <w:color w:val="auto"/>
        </w:rPr>
        <w:t xml:space="preserve">Engaging in Short Sales. </w:t>
      </w:r>
      <w:r>
        <w:rPr>
          <w:rFonts w:ascii="Arial" w:cs="Arial" w:eastAsia="Arial" w:hAnsi="Arial"/>
          <w:sz w:val="21"/>
          <w:szCs w:val="21"/>
          <w:color w:val="auto"/>
        </w:rPr>
        <w:t>This Policy prohibits short sales (i.e., the sale of a security that the seller does</w:t>
      </w:r>
      <w:r>
        <w:rPr>
          <w:rFonts w:ascii="Calibri" w:cs="Calibri" w:eastAsia="Calibri" w:hAnsi="Calibri"/>
          <w:sz w:val="21"/>
          <w:szCs w:val="21"/>
          <w:b w:val="1"/>
          <w:bCs w:val="1"/>
          <w:color w:val="auto"/>
        </w:rPr>
        <w:t xml:space="preserve"> </w:t>
      </w:r>
      <w:r>
        <w:rPr>
          <w:rFonts w:ascii="Arial" w:cs="Arial" w:eastAsia="Arial" w:hAnsi="Arial"/>
          <w:sz w:val="21"/>
          <w:szCs w:val="21"/>
          <w:color w:val="auto"/>
        </w:rPr>
        <w:t>not own at the tme of the trade or must be borrowed to make delivery) and “selling short against the box” (i.e., a sale with a delayed delivery) with respect to Y-mAbs securites.</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4640" w:type="dxa"/>
            <w:vAlign w:val="bottom"/>
          </w:tcPr>
          <w:p>
            <w:pPr>
              <w:spacing w:after="0"/>
              <w:rPr>
                <w:sz w:val="20"/>
                <w:szCs w:val="20"/>
                <w:color w:val="auto"/>
              </w:rPr>
            </w:pPr>
            <w:r>
              <w:rPr>
                <w:rFonts w:ascii="Arial" w:cs="Arial" w:eastAsia="Arial" w:hAnsi="Arial"/>
                <w:sz w:val="22"/>
                <w:szCs w:val="22"/>
                <w:color w:val="auto"/>
              </w:rPr>
              <w:t>‌</w:t>
            </w:r>
          </w:p>
        </w:tc>
        <w:tc>
          <w:tcPr>
            <w:tcW w:w="4700" w:type="dxa"/>
            <w:vAlign w:val="bottom"/>
          </w:tcPr>
          <w:p>
            <w:pPr>
              <w:jc w:val="right"/>
              <w:spacing w:after="0"/>
              <w:rPr>
                <w:sz w:val="20"/>
                <w:szCs w:val="20"/>
                <w:color w:val="auto"/>
              </w:rPr>
            </w:pPr>
            <w:r>
              <w:rPr>
                <w:rFonts w:ascii="Calibri" w:cs="Calibri" w:eastAsia="Calibri" w:hAnsi="Calibri"/>
                <w:sz w:val="18"/>
                <w:szCs w:val="18"/>
                <w:color w:val="auto"/>
              </w:rPr>
              <w:t>2</w:t>
            </w:r>
          </w:p>
        </w:tc>
      </w:tr>
      <w:tr>
        <w:trPr>
          <w:trHeight w:val="805"/>
        </w:trPr>
        <w:tc>
          <w:tcPr>
            <w:tcW w:w="46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9360"/>
          </w:cols>
          <w:pgMar w:left="1300" w:top="908" w:right="1239" w:bottom="1440" w:gutter="0" w:footer="0" w:header="0"/>
        </w:sectPr>
      </w:pPr>
    </w:p>
    <w:bookmarkStart w:id="194" w:name="page195"/>
    <w:bookmarkEnd w:id="194"/>
    <w:p>
      <w:pPr>
        <w:jc w:val="both"/>
        <w:ind w:left="321" w:right="80" w:hanging="321"/>
        <w:spacing w:after="0" w:line="288" w:lineRule="auto"/>
        <w:tabs>
          <w:tab w:leader="none" w:pos="321" w:val="left"/>
        </w:tabs>
        <w:numPr>
          <w:ilvl w:val="0"/>
          <w:numId w:val="107"/>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 xml:space="preserve">Derivatve Securites and Hedging Transactons. </w:t>
      </w:r>
      <w:r>
        <w:rPr>
          <w:rFonts w:ascii="Arial" w:cs="Arial" w:eastAsia="Arial" w:hAnsi="Arial"/>
          <w:sz w:val="19"/>
          <w:szCs w:val="19"/>
          <w:color w:val="auto"/>
        </w:rPr>
        <w:t>This Policy prohibits transactons in publicly traded</w:t>
      </w:r>
      <w:r>
        <w:rPr>
          <w:rFonts w:ascii="Calibri" w:cs="Calibri" w:eastAsia="Calibri" w:hAnsi="Calibri"/>
          <w:sz w:val="19"/>
          <w:szCs w:val="19"/>
          <w:b w:val="1"/>
          <w:bCs w:val="1"/>
          <w:color w:val="auto"/>
        </w:rPr>
        <w:t xml:space="preserve"> </w:t>
      </w:r>
      <w:r>
        <w:rPr>
          <w:rFonts w:ascii="Arial" w:cs="Arial" w:eastAsia="Arial" w:hAnsi="Arial"/>
          <w:sz w:val="19"/>
          <w:szCs w:val="19"/>
          <w:color w:val="auto"/>
        </w:rPr>
        <w:t>optons, such as puts and calls, and other derivatve securites or any other inherently speculatve transacton with respect to Y-mAbs securites with respect to Y-mAbs’s securites. This prohibiton extends to any hedging or similar transacton designed to decrease the risks associated with holding</w:t>
      </w:r>
    </w:p>
    <w:p>
      <w:pPr>
        <w:spacing w:after="0" w:line="1" w:lineRule="exact"/>
        <w:rPr>
          <w:rFonts w:ascii="Calibri" w:cs="Calibri" w:eastAsia="Calibri" w:hAnsi="Calibri"/>
          <w:sz w:val="19"/>
          <w:szCs w:val="19"/>
          <w:b w:val="1"/>
          <w:bCs w:val="1"/>
          <w:color w:val="auto"/>
        </w:rPr>
      </w:pPr>
    </w:p>
    <w:p>
      <w:pPr>
        <w:ind w:left="321"/>
        <w:spacing w:after="0" w:line="231" w:lineRule="auto"/>
        <w:rPr>
          <w:rFonts w:ascii="Calibri" w:cs="Calibri" w:eastAsia="Calibri" w:hAnsi="Calibri"/>
          <w:sz w:val="19"/>
          <w:szCs w:val="19"/>
          <w:b w:val="1"/>
          <w:bCs w:val="1"/>
          <w:color w:val="auto"/>
        </w:rPr>
      </w:pPr>
      <w:r>
        <w:rPr>
          <w:rFonts w:ascii="Calibri" w:cs="Calibri" w:eastAsia="Calibri" w:hAnsi="Calibri"/>
          <w:sz w:val="22"/>
          <w:szCs w:val="22"/>
          <w:color w:val="auto"/>
        </w:rPr>
        <w:t>Y-mAbs securites.</w:t>
      </w:r>
    </w:p>
    <w:p>
      <w:pPr>
        <w:spacing w:after="0" w:line="214" w:lineRule="exact"/>
        <w:rPr>
          <w:rFonts w:ascii="Calibri" w:cs="Calibri" w:eastAsia="Calibri" w:hAnsi="Calibri"/>
          <w:sz w:val="19"/>
          <w:szCs w:val="19"/>
          <w:b w:val="1"/>
          <w:bCs w:val="1"/>
          <w:color w:val="auto"/>
        </w:rPr>
      </w:pPr>
    </w:p>
    <w:p>
      <w:pPr>
        <w:ind w:left="321" w:right="80" w:hanging="321"/>
        <w:spacing w:after="0" w:line="235" w:lineRule="auto"/>
        <w:tabs>
          <w:tab w:leader="none" w:pos="321" w:val="left"/>
        </w:tabs>
        <w:numPr>
          <w:ilvl w:val="0"/>
          <w:numId w:val="107"/>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Pledging Company Securites as Collateral for Loans. </w:t>
      </w:r>
      <w:r>
        <w:rPr>
          <w:rFonts w:ascii="Calibri" w:cs="Calibri" w:eastAsia="Calibri" w:hAnsi="Calibri"/>
          <w:sz w:val="22"/>
          <w:szCs w:val="22"/>
          <w:color w:val="auto"/>
        </w:rPr>
        <w:t>This Policy prohibits the pledging of Y-mAbs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securites as collateral for loans.</w:t>
      </w:r>
    </w:p>
    <w:p>
      <w:pPr>
        <w:spacing w:after="0" w:line="230" w:lineRule="exact"/>
        <w:rPr>
          <w:rFonts w:ascii="Calibri" w:cs="Calibri" w:eastAsia="Calibri" w:hAnsi="Calibri"/>
          <w:sz w:val="22"/>
          <w:szCs w:val="22"/>
          <w:b w:val="1"/>
          <w:bCs w:val="1"/>
          <w:color w:val="auto"/>
        </w:rPr>
      </w:pPr>
    </w:p>
    <w:p>
      <w:pPr>
        <w:ind w:left="321" w:right="80" w:hanging="321"/>
        <w:spacing w:after="0" w:line="229" w:lineRule="auto"/>
        <w:tabs>
          <w:tab w:leader="none" w:pos="321" w:val="left"/>
        </w:tabs>
        <w:numPr>
          <w:ilvl w:val="0"/>
          <w:numId w:val="107"/>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Holding Company Securites in Margin Accounts. </w:t>
      </w:r>
      <w:r>
        <w:rPr>
          <w:rFonts w:ascii="Calibri" w:cs="Calibri" w:eastAsia="Calibri" w:hAnsi="Calibri"/>
          <w:sz w:val="22"/>
          <w:szCs w:val="22"/>
          <w:color w:val="auto"/>
        </w:rPr>
        <w:t>This Policy prohibits holding Y-mAbs securites in</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margin accounts.</w:t>
      </w:r>
    </w:p>
    <w:p>
      <w:pPr>
        <w:spacing w:after="0" w:line="230" w:lineRule="exact"/>
        <w:rPr>
          <w:rFonts w:ascii="Calibri" w:cs="Calibri" w:eastAsia="Calibri" w:hAnsi="Calibri"/>
          <w:sz w:val="22"/>
          <w:szCs w:val="22"/>
          <w:b w:val="1"/>
          <w:bCs w:val="1"/>
          <w:color w:val="auto"/>
        </w:rPr>
      </w:pPr>
    </w:p>
    <w:p>
      <w:pPr>
        <w:jc w:val="both"/>
        <w:ind w:left="321" w:hanging="321"/>
        <w:spacing w:after="0" w:line="235" w:lineRule="auto"/>
        <w:tabs>
          <w:tab w:leader="none" w:pos="321" w:val="left"/>
        </w:tabs>
        <w:numPr>
          <w:ilvl w:val="0"/>
          <w:numId w:val="107"/>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Frequent Trades of Company Securites. </w:t>
      </w:r>
      <w:r>
        <w:rPr>
          <w:rFonts w:ascii="Calibri" w:cs="Calibri" w:eastAsia="Calibri" w:hAnsi="Calibri"/>
          <w:sz w:val="22"/>
          <w:szCs w:val="22"/>
          <w:color w:val="auto"/>
        </w:rPr>
        <w:t>Y-mAbs strongly discourages you from actvely trading in the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Company’s securites. You should expect to hold any of the Company securites that you acquire for at least six months before you sell them, unless the securites are subject to forced sale (for example, as a consequence of a merger or acquisiton).</w:t>
      </w:r>
    </w:p>
    <w:p>
      <w:pPr>
        <w:spacing w:after="0" w:line="230" w:lineRule="exact"/>
        <w:rPr>
          <w:rFonts w:ascii="Calibri" w:cs="Calibri" w:eastAsia="Calibri" w:hAnsi="Calibri"/>
          <w:sz w:val="22"/>
          <w:szCs w:val="22"/>
          <w:b w:val="1"/>
          <w:bCs w:val="1"/>
          <w:color w:val="auto"/>
        </w:rPr>
      </w:pPr>
    </w:p>
    <w:p>
      <w:pPr>
        <w:jc w:val="both"/>
        <w:ind w:left="321" w:right="80" w:hanging="321"/>
        <w:spacing w:after="0" w:line="239" w:lineRule="auto"/>
        <w:tabs>
          <w:tab w:leader="none" w:pos="321" w:val="left"/>
        </w:tabs>
        <w:numPr>
          <w:ilvl w:val="0"/>
          <w:numId w:val="107"/>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Placing Open Orders with Brokers. </w:t>
      </w:r>
      <w:r>
        <w:rPr>
          <w:rFonts w:ascii="Calibri" w:cs="Calibri" w:eastAsia="Calibri" w:hAnsi="Calibri"/>
          <w:sz w:val="22"/>
          <w:szCs w:val="22"/>
          <w:color w:val="auto"/>
        </w:rPr>
        <w:t>You should exercise cauton when placing open orders, such as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 xml:space="preserve">limit orders or stop orders (other than pursuant to an approved 10b5-1 Plan (as defned below)), with brokers, partcularly where the order is likely to remain outstanding for an extended period of tme. Open orders may result in the executon of a trade at a tme when you are aware of material non-public informaton or otherwise are not permited to trade in Y-mAbs securites. If you are subject to blackout periods or pre-clearance requirements, you are required to inform your broker of your </w:t>
      </w:r>
      <w:r>
        <w:rPr>
          <w:rFonts w:ascii="Arial" w:cs="Arial" w:eastAsia="Arial" w:hAnsi="Arial"/>
          <w:sz w:val="22"/>
          <w:szCs w:val="22"/>
          <w:color w:val="auto"/>
        </w:rPr>
        <w:t xml:space="preserve">obligatons under this Policy when you place any open order at the tme the order is placed. Individuals subject to pre-clearance requirements may not maintain open orders beyond the period </w:t>
      </w:r>
      <w:r>
        <w:rPr>
          <w:rFonts w:ascii="Calibri" w:cs="Calibri" w:eastAsia="Calibri" w:hAnsi="Calibri"/>
          <w:sz w:val="22"/>
          <w:szCs w:val="22"/>
          <w:color w:val="auto"/>
        </w:rPr>
        <w:t>for which pre-clearance has been obtained, except pursuant to a 10b5-1 Plan. Any order should be limited to a short duraton and the person using such order is required to cancel such instructons immediately in event the restrictons on the ability to trade are imposed pursuant to Secton IX - Trading Blackout Periods or otherwise.</w:t>
      </w:r>
    </w:p>
    <w:p>
      <w:pPr>
        <w:spacing w:after="0" w:line="221" w:lineRule="exact"/>
        <w:rPr>
          <w:rFonts w:ascii="Calibri" w:cs="Calibri" w:eastAsia="Calibri" w:hAnsi="Calibri"/>
          <w:sz w:val="22"/>
          <w:szCs w:val="22"/>
          <w:b w:val="1"/>
          <w:bCs w:val="1"/>
          <w:color w:val="auto"/>
        </w:rPr>
      </w:pPr>
    </w:p>
    <w:p>
      <w:pPr>
        <w:jc w:val="both"/>
        <w:ind w:left="321" w:right="80" w:hanging="321"/>
        <w:spacing w:after="0" w:line="253" w:lineRule="auto"/>
        <w:tabs>
          <w:tab w:leader="none" w:pos="321" w:val="left"/>
        </w:tabs>
        <w:numPr>
          <w:ilvl w:val="0"/>
          <w:numId w:val="107"/>
        </w:numPr>
        <w:rPr>
          <w:rFonts w:ascii="Calibri" w:cs="Calibri" w:eastAsia="Calibri" w:hAnsi="Calibri"/>
          <w:sz w:val="21"/>
          <w:szCs w:val="21"/>
          <w:b w:val="1"/>
          <w:bCs w:val="1"/>
          <w:color w:val="auto"/>
        </w:rPr>
      </w:pPr>
      <w:r>
        <w:rPr>
          <w:rFonts w:ascii="Calibri" w:cs="Calibri" w:eastAsia="Calibri" w:hAnsi="Calibri"/>
          <w:sz w:val="21"/>
          <w:szCs w:val="21"/>
          <w:b w:val="1"/>
          <w:bCs w:val="1"/>
          <w:color w:val="auto"/>
        </w:rPr>
        <w:t xml:space="preserve">Trading in Securites of Other Companies. </w:t>
      </w:r>
      <w:r>
        <w:rPr>
          <w:rFonts w:ascii="Calibri" w:cs="Calibri" w:eastAsia="Calibri" w:hAnsi="Calibri"/>
          <w:sz w:val="21"/>
          <w:szCs w:val="21"/>
          <w:color w:val="auto"/>
        </w:rPr>
        <w:t>You may not engage in transactons involving the securites</w:t>
      </w:r>
      <w:r>
        <w:rPr>
          <w:rFonts w:ascii="Calibri" w:cs="Calibri" w:eastAsia="Calibri" w:hAnsi="Calibri"/>
          <w:sz w:val="21"/>
          <w:szCs w:val="21"/>
          <w:b w:val="1"/>
          <w:bCs w:val="1"/>
          <w:color w:val="auto"/>
        </w:rPr>
        <w:t xml:space="preserve"> </w:t>
      </w:r>
      <w:r>
        <w:rPr>
          <w:rFonts w:ascii="Calibri" w:cs="Calibri" w:eastAsia="Calibri" w:hAnsi="Calibri"/>
          <w:sz w:val="21"/>
          <w:szCs w:val="21"/>
          <w:color w:val="auto"/>
        </w:rPr>
        <w:t xml:space="preserve">of any other company (e.g., Y-mAbs’s customers, vendors, partners, collaborators, suppliers and compettors) if you are aware of material non-public informaton about that company. Prohibited actvites include: (i) trading in the securites of the other company, or (b) tpping or disclosing such </w:t>
      </w:r>
      <w:r>
        <w:rPr>
          <w:rFonts w:ascii="Arial" w:cs="Arial" w:eastAsia="Arial" w:hAnsi="Arial"/>
          <w:sz w:val="21"/>
          <w:szCs w:val="21"/>
          <w:color w:val="auto"/>
        </w:rPr>
        <w:t xml:space="preserve">material nonpublic informaton concerning the other company to anyone. Trades conducted through </w:t>
      </w:r>
      <w:r>
        <w:rPr>
          <w:rFonts w:ascii="Calibri" w:cs="Calibri" w:eastAsia="Calibri" w:hAnsi="Calibri"/>
          <w:sz w:val="21"/>
          <w:szCs w:val="21"/>
          <w:color w:val="auto"/>
        </w:rPr>
        <w:t>mutual funds or other trades over which you do not exert investment or votng control of securites are permissible. You may not assist anyone in engaging in any of the above prohibited actvites.</w:t>
      </w:r>
    </w:p>
    <w:p>
      <w:pPr>
        <w:spacing w:after="0" w:line="202" w:lineRule="exact"/>
        <w:rPr>
          <w:rFonts w:ascii="Calibri" w:cs="Calibri" w:eastAsia="Calibri" w:hAnsi="Calibri"/>
          <w:sz w:val="21"/>
          <w:szCs w:val="21"/>
          <w:b w:val="1"/>
          <w:bCs w:val="1"/>
          <w:color w:val="auto"/>
        </w:rPr>
      </w:pPr>
    </w:p>
    <w:p>
      <w:pPr>
        <w:jc w:val="both"/>
        <w:ind w:left="321" w:right="80" w:hanging="321"/>
        <w:spacing w:after="0" w:line="253" w:lineRule="auto"/>
        <w:tabs>
          <w:tab w:leader="none" w:pos="321" w:val="left"/>
        </w:tabs>
        <w:numPr>
          <w:ilvl w:val="0"/>
          <w:numId w:val="107"/>
        </w:numPr>
        <w:rPr>
          <w:rFonts w:ascii="Calibri" w:cs="Calibri" w:eastAsia="Calibri" w:hAnsi="Calibri"/>
          <w:sz w:val="21"/>
          <w:szCs w:val="21"/>
          <w:b w:val="1"/>
          <w:bCs w:val="1"/>
          <w:color w:val="auto"/>
        </w:rPr>
      </w:pPr>
      <w:r>
        <w:rPr>
          <w:rFonts w:ascii="Calibri" w:cs="Calibri" w:eastAsia="Calibri" w:hAnsi="Calibri"/>
          <w:sz w:val="21"/>
          <w:szCs w:val="21"/>
          <w:b w:val="1"/>
          <w:bCs w:val="1"/>
          <w:color w:val="auto"/>
        </w:rPr>
        <w:t xml:space="preserve">Pension Blackout. </w:t>
      </w:r>
      <w:r>
        <w:rPr>
          <w:rFonts w:ascii="Calibri" w:cs="Calibri" w:eastAsia="Calibri" w:hAnsi="Calibri"/>
          <w:sz w:val="21"/>
          <w:szCs w:val="21"/>
          <w:color w:val="auto"/>
        </w:rPr>
        <w:t>No director or executve ofcer of Y-mAbs may, directly or indirectly, purchase, sell</w:t>
      </w:r>
      <w:r>
        <w:rPr>
          <w:rFonts w:ascii="Calibri" w:cs="Calibri" w:eastAsia="Calibri" w:hAnsi="Calibri"/>
          <w:sz w:val="21"/>
          <w:szCs w:val="21"/>
          <w:b w:val="1"/>
          <w:bCs w:val="1"/>
          <w:color w:val="auto"/>
        </w:rPr>
        <w:t xml:space="preserve"> </w:t>
      </w:r>
      <w:r>
        <w:rPr>
          <w:rFonts w:ascii="Calibri" w:cs="Calibri" w:eastAsia="Calibri" w:hAnsi="Calibri"/>
          <w:sz w:val="21"/>
          <w:szCs w:val="21"/>
          <w:color w:val="auto"/>
        </w:rPr>
        <w:t xml:space="preserve">or otherwise transfer any equity security of Y-mAbs (other than an exempt security) during any “blackout period’’ (as defned in Regulaton BTR under the Exchange Act) if a director or executve ofcer acquires or previously acquired such equity security in connecton with his or her service or </w:t>
      </w:r>
      <w:r>
        <w:rPr>
          <w:rFonts w:ascii="Arial" w:cs="Arial" w:eastAsia="Arial" w:hAnsi="Arial"/>
          <w:sz w:val="21"/>
          <w:szCs w:val="21"/>
          <w:color w:val="auto"/>
        </w:rPr>
        <w:t xml:space="preserve">employment as a director or executve ofcer. This prohibiton does not apply to any transactons that </w:t>
      </w:r>
      <w:r>
        <w:rPr>
          <w:rFonts w:ascii="Calibri" w:cs="Calibri" w:eastAsia="Calibri" w:hAnsi="Calibri"/>
          <w:sz w:val="21"/>
          <w:szCs w:val="21"/>
          <w:color w:val="auto"/>
        </w:rPr>
        <w:t xml:space="preserve">are specifcally exempted, including but not limited to, purchases or sales of Y-mAbs’s securites made </w:t>
      </w:r>
      <w:r>
        <w:rPr>
          <w:rFonts w:ascii="Arial" w:cs="Arial" w:eastAsia="Arial" w:hAnsi="Arial"/>
          <w:sz w:val="21"/>
          <w:szCs w:val="21"/>
          <w:color w:val="auto"/>
        </w:rPr>
        <w:t>pursuant to, and in compliance with, a 10b5-1 Trading Plan; compensatory grants or awards of</w:t>
      </w:r>
    </w:p>
    <w:p>
      <w:pPr>
        <w:spacing w:after="0" w:line="14" w:lineRule="exact"/>
        <w:rPr>
          <w:sz w:val="20"/>
          <w:szCs w:val="20"/>
          <w:color w:val="auto"/>
        </w:rPr>
      </w:pPr>
    </w:p>
    <w:tbl>
      <w:tblPr>
        <w:tblLayout w:type="fixed"/>
        <w:tblInd w:w="1" w:type="dxa"/>
        <w:tblCellMar>
          <w:top w:w="0" w:type="dxa"/>
          <w:left w:w="0" w:type="dxa"/>
          <w:bottom w:w="0" w:type="dxa"/>
          <w:right w:w="0" w:type="dxa"/>
        </w:tblCellMar>
      </w:tblPr>
      <w:tr>
        <w:trPr>
          <w:trHeight w:val="256"/>
        </w:trPr>
        <w:tc>
          <w:tcPr>
            <w:tcW w:w="4640" w:type="dxa"/>
            <w:vAlign w:val="bottom"/>
          </w:tcPr>
          <w:p>
            <w:pPr>
              <w:spacing w:after="0"/>
              <w:rPr>
                <w:sz w:val="20"/>
                <w:szCs w:val="20"/>
                <w:color w:val="auto"/>
              </w:rPr>
            </w:pPr>
            <w:r>
              <w:rPr>
                <w:rFonts w:ascii="Arial" w:cs="Arial" w:eastAsia="Arial" w:hAnsi="Arial"/>
                <w:sz w:val="22"/>
                <w:szCs w:val="22"/>
                <w:color w:val="auto"/>
              </w:rPr>
              <w:t>‌</w:t>
            </w:r>
          </w:p>
        </w:tc>
        <w:tc>
          <w:tcPr>
            <w:tcW w:w="4700" w:type="dxa"/>
            <w:vAlign w:val="bottom"/>
          </w:tcPr>
          <w:p>
            <w:pPr>
              <w:jc w:val="right"/>
              <w:spacing w:after="0"/>
              <w:rPr>
                <w:sz w:val="20"/>
                <w:szCs w:val="20"/>
                <w:color w:val="auto"/>
              </w:rPr>
            </w:pPr>
            <w:r>
              <w:rPr>
                <w:rFonts w:ascii="Calibri" w:cs="Calibri" w:eastAsia="Calibri" w:hAnsi="Calibri"/>
                <w:sz w:val="18"/>
                <w:szCs w:val="18"/>
                <w:color w:val="auto"/>
              </w:rPr>
              <w:t>3</w:t>
            </w:r>
          </w:p>
        </w:tc>
      </w:tr>
      <w:tr>
        <w:trPr>
          <w:trHeight w:val="819"/>
        </w:trPr>
        <w:tc>
          <w:tcPr>
            <w:tcW w:w="46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9341"/>
          </w:cols>
          <w:pgMar w:left="1319" w:top="908" w:right="1239" w:bottom="1440" w:gutter="0" w:footer="0" w:header="0"/>
        </w:sectPr>
      </w:pPr>
    </w:p>
    <w:bookmarkStart w:id="195" w:name="page196"/>
    <w:bookmarkEnd w:id="195"/>
    <w:p>
      <w:pPr>
        <w:jc w:val="both"/>
        <w:ind w:left="340" w:right="80"/>
        <w:spacing w:after="0" w:line="267" w:lineRule="auto"/>
        <w:rPr>
          <w:sz w:val="20"/>
          <w:szCs w:val="20"/>
          <w:color w:val="auto"/>
        </w:rPr>
      </w:pPr>
      <w:r>
        <w:rPr>
          <w:rFonts w:ascii="Calibri" w:cs="Calibri" w:eastAsia="Calibri" w:hAnsi="Calibri"/>
          <w:sz w:val="21"/>
          <w:szCs w:val="21"/>
          <w:color w:val="auto"/>
        </w:rPr>
        <w:t xml:space="preserve">equity securites pursuant to a plan that, by its terms, permits executve ofcers and directors to </w:t>
      </w:r>
      <w:r>
        <w:rPr>
          <w:rFonts w:ascii="Arial" w:cs="Arial" w:eastAsia="Arial" w:hAnsi="Arial"/>
          <w:sz w:val="21"/>
          <w:szCs w:val="21"/>
          <w:color w:val="auto"/>
        </w:rPr>
        <w:t>receive automatc grants or awards and specifes the terms of the grants and awards; or acquisitons</w:t>
      </w:r>
    </w:p>
    <w:p>
      <w:pPr>
        <w:spacing w:after="0" w:line="189" w:lineRule="exact"/>
        <w:rPr>
          <w:sz w:val="20"/>
          <w:szCs w:val="20"/>
          <w:color w:val="auto"/>
        </w:rPr>
      </w:pPr>
    </w:p>
    <w:p>
      <w:pPr>
        <w:jc w:val="both"/>
        <w:ind w:left="340" w:right="80"/>
        <w:spacing w:after="0" w:line="251" w:lineRule="auto"/>
        <w:rPr>
          <w:sz w:val="20"/>
          <w:szCs w:val="20"/>
          <w:color w:val="auto"/>
        </w:rPr>
      </w:pPr>
      <w:r>
        <w:rPr>
          <w:rFonts w:ascii="Arial" w:cs="Arial" w:eastAsia="Arial" w:hAnsi="Arial"/>
          <w:sz w:val="22"/>
          <w:szCs w:val="22"/>
          <w:color w:val="auto"/>
        </w:rPr>
        <w:t xml:space="preserve">or dispositons of equity securites involving a bona fde gif or by will or the laws of descent or pursuant to a domestc relatons order. Y-mAbs will notfy each director and executve ofcer of any blackout periods in accordance with the provisions of Regulaton BTR. Because Regulaton BTR is very complex, no director or executve ofcer of Y-mAbs should engage in any transactons in Y-mAbs’s securites, even if believed to be exempt from Regulaton BTR, without frst consultng with the </w:t>
      </w:r>
      <w:r>
        <w:rPr>
          <w:rFonts w:ascii="Calibri" w:cs="Calibri" w:eastAsia="Calibri" w:hAnsi="Calibri"/>
          <w:sz w:val="22"/>
          <w:szCs w:val="22"/>
          <w:color w:val="auto"/>
        </w:rPr>
        <w:t>Compliance Ofcer.</w:t>
      </w:r>
    </w:p>
    <w:p>
      <w:pPr>
        <w:spacing w:after="0" w:line="235" w:lineRule="exact"/>
        <w:rPr>
          <w:sz w:val="20"/>
          <w:szCs w:val="20"/>
          <w:color w:val="auto"/>
        </w:rPr>
      </w:pPr>
    </w:p>
    <w:p>
      <w:pPr>
        <w:ind w:left="1540"/>
        <w:spacing w:after="0"/>
        <w:tabs>
          <w:tab w:leader="none" w:pos="2080" w:val="left"/>
        </w:tabs>
        <w:rPr>
          <w:sz w:val="20"/>
          <w:szCs w:val="20"/>
          <w:color w:val="auto"/>
        </w:rPr>
      </w:pPr>
      <w:r>
        <w:rPr>
          <w:rFonts w:ascii="Calibri" w:cs="Calibri" w:eastAsia="Calibri" w:hAnsi="Calibri"/>
          <w:sz w:val="22"/>
          <w:szCs w:val="22"/>
          <w:b w:val="1"/>
          <w:bCs w:val="1"/>
          <w:color w:val="auto"/>
        </w:rPr>
        <w:t>IV.</w:t>
      </w:r>
      <w:r>
        <w:rPr>
          <w:sz w:val="20"/>
          <w:szCs w:val="20"/>
          <w:color w:val="auto"/>
        </w:rPr>
        <w:tab/>
      </w:r>
      <w:r>
        <w:rPr>
          <w:rFonts w:ascii="Calibri" w:cs="Calibri" w:eastAsia="Calibri" w:hAnsi="Calibri"/>
          <w:sz w:val="22"/>
          <w:szCs w:val="22"/>
          <w:b w:val="1"/>
          <w:bCs w:val="1"/>
          <w:color w:val="auto"/>
        </w:rPr>
        <w:t>DEFINITION OF INSIDERS AND ADDITIONAL RESTRICTIONS</w:t>
      </w:r>
    </w:p>
    <w:p>
      <w:pPr>
        <w:spacing w:after="0" w:line="201" w:lineRule="exact"/>
        <w:rPr>
          <w:sz w:val="20"/>
          <w:szCs w:val="20"/>
          <w:color w:val="auto"/>
        </w:rPr>
      </w:pPr>
    </w:p>
    <w:p>
      <w:pPr>
        <w:jc w:val="both"/>
        <w:ind w:left="500" w:right="80" w:hanging="319"/>
        <w:spacing w:after="0" w:line="242" w:lineRule="auto"/>
        <w:tabs>
          <w:tab w:leader="none" w:pos="500" w:val="left"/>
        </w:tabs>
        <w:numPr>
          <w:ilvl w:val="0"/>
          <w:numId w:val="108"/>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Board and Management Individuals</w:t>
      </w:r>
      <w:r>
        <w:rPr>
          <w:rFonts w:ascii="Arial" w:cs="Arial" w:eastAsia="Arial" w:hAnsi="Arial"/>
          <w:sz w:val="22"/>
          <w:szCs w:val="22"/>
          <w:color w:val="auto"/>
        </w:rPr>
        <w:t>. The members of the board of directors and the Company’s</w:t>
      </w:r>
      <w:r>
        <w:rPr>
          <w:rFonts w:ascii="Calibri" w:cs="Calibri" w:eastAsia="Calibri" w:hAnsi="Calibri"/>
          <w:sz w:val="22"/>
          <w:szCs w:val="22"/>
          <w:b w:val="1"/>
          <w:bCs w:val="1"/>
          <w:color w:val="auto"/>
        </w:rPr>
        <w:t xml:space="preserve"> </w:t>
      </w:r>
      <w:r>
        <w:rPr>
          <w:rFonts w:ascii="Arial" w:cs="Arial" w:eastAsia="Arial" w:hAnsi="Arial"/>
          <w:sz w:val="22"/>
          <w:szCs w:val="22"/>
          <w:color w:val="auto"/>
        </w:rPr>
        <w:t>executve ofcers are defned as “</w:t>
      </w:r>
      <w:r>
        <w:rPr>
          <w:rFonts w:ascii="Calibri" w:cs="Calibri" w:eastAsia="Calibri" w:hAnsi="Calibri"/>
          <w:sz w:val="22"/>
          <w:szCs w:val="22"/>
          <w:b w:val="1"/>
          <w:bCs w:val="1"/>
          <w:color w:val="auto"/>
        </w:rPr>
        <w:t>Directors and Ofcers</w:t>
      </w:r>
      <w:r>
        <w:rPr>
          <w:rFonts w:ascii="Arial" w:cs="Arial" w:eastAsia="Arial" w:hAnsi="Arial"/>
          <w:sz w:val="22"/>
          <w:szCs w:val="22"/>
          <w:color w:val="auto"/>
        </w:rPr>
        <w:t>.” Directors and Ofcers are subject to Secton IX - Trading Blackout Periods and Secton X - Pre-Clearance of Trades.</w:t>
      </w:r>
    </w:p>
    <w:p>
      <w:pPr>
        <w:spacing w:after="0" w:line="269" w:lineRule="exact"/>
        <w:rPr>
          <w:rFonts w:ascii="Calibri" w:cs="Calibri" w:eastAsia="Calibri" w:hAnsi="Calibri"/>
          <w:sz w:val="22"/>
          <w:szCs w:val="22"/>
          <w:b w:val="1"/>
          <w:bCs w:val="1"/>
          <w:color w:val="auto"/>
        </w:rPr>
      </w:pPr>
    </w:p>
    <w:p>
      <w:pPr>
        <w:jc w:val="both"/>
        <w:ind w:left="500" w:right="80" w:hanging="319"/>
        <w:spacing w:after="0" w:line="237" w:lineRule="auto"/>
        <w:tabs>
          <w:tab w:leader="none" w:pos="500" w:val="left"/>
        </w:tabs>
        <w:numPr>
          <w:ilvl w:val="0"/>
          <w:numId w:val="108"/>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Other Insiders</w:t>
      </w:r>
      <w:r>
        <w:rPr>
          <w:rFonts w:ascii="Calibri" w:cs="Calibri" w:eastAsia="Calibri" w:hAnsi="Calibri"/>
          <w:sz w:val="22"/>
          <w:szCs w:val="22"/>
          <w:color w:val="auto"/>
        </w:rPr>
        <w:t>. All Y-mAbs’s employees and designated independent consultants and designated</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third-party contractors are defned as “</w:t>
      </w:r>
      <w:r>
        <w:rPr>
          <w:rFonts w:ascii="Calibri" w:cs="Calibri" w:eastAsia="Calibri" w:hAnsi="Calibri"/>
          <w:sz w:val="22"/>
          <w:szCs w:val="22"/>
          <w:b w:val="1"/>
          <w:bCs w:val="1"/>
          <w:color w:val="auto"/>
        </w:rPr>
        <w:t>Other Insiders</w:t>
      </w:r>
      <w:r>
        <w:rPr>
          <w:rFonts w:ascii="Calibri" w:cs="Calibri" w:eastAsia="Calibri" w:hAnsi="Calibri"/>
          <w:sz w:val="22"/>
          <w:szCs w:val="22"/>
          <w:color w:val="auto"/>
        </w:rPr>
        <w:t>” and are subject to Secton IX - Trading Blackout Periods and Secton X - Pre-Clearance of Trades.</w:t>
      </w:r>
    </w:p>
    <w:p>
      <w:pPr>
        <w:spacing w:after="0" w:line="220" w:lineRule="exact"/>
        <w:rPr>
          <w:sz w:val="20"/>
          <w:szCs w:val="20"/>
          <w:color w:val="auto"/>
        </w:rPr>
      </w:pPr>
    </w:p>
    <w:p>
      <w:pPr>
        <w:ind w:left="3740" w:hanging="508"/>
        <w:spacing w:after="0"/>
        <w:tabs>
          <w:tab w:leader="none" w:pos="3740" w:val="left"/>
        </w:tabs>
        <w:numPr>
          <w:ilvl w:val="0"/>
          <w:numId w:val="109"/>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LIMITED EXCEPTIONS</w:t>
      </w:r>
    </w:p>
    <w:p>
      <w:pPr>
        <w:spacing w:after="0" w:line="201" w:lineRule="exact"/>
        <w:rPr>
          <w:sz w:val="20"/>
          <w:szCs w:val="20"/>
          <w:color w:val="auto"/>
        </w:rPr>
      </w:pPr>
    </w:p>
    <w:p>
      <w:pPr>
        <w:jc w:val="both"/>
        <w:ind w:right="80"/>
        <w:spacing w:after="0" w:line="237" w:lineRule="auto"/>
        <w:rPr>
          <w:sz w:val="20"/>
          <w:szCs w:val="20"/>
          <w:color w:val="auto"/>
        </w:rPr>
      </w:pPr>
      <w:r>
        <w:rPr>
          <w:rFonts w:ascii="Calibri" w:cs="Calibri" w:eastAsia="Calibri" w:hAnsi="Calibri"/>
          <w:sz w:val="22"/>
          <w:szCs w:val="22"/>
          <w:color w:val="auto"/>
        </w:rPr>
        <w:t xml:space="preserve">The following are certain limited exceptons to the restrictons imposed by Y-mAbs under this Policy. Please be aware that even if a transacton is subject to an excepton to this Policy, you will need to separately assess whether the transacton complies with applicable law. For example, even if a transacton is indicated as exempt from this Policy, Directors and Ofcers must comply with the “shortswing” trading restrictons under Secton 16(b) of the Exchange Act. You are responsible for </w:t>
      </w:r>
      <w:r>
        <w:rPr>
          <w:rFonts w:ascii="Arial" w:cs="Arial" w:eastAsia="Arial" w:hAnsi="Arial"/>
          <w:sz w:val="22"/>
          <w:szCs w:val="22"/>
          <w:color w:val="auto"/>
        </w:rPr>
        <w:t>complying with applicable law at all tmes.</w:t>
      </w:r>
    </w:p>
    <w:p>
      <w:pPr>
        <w:spacing w:after="0" w:line="231" w:lineRule="exact"/>
        <w:rPr>
          <w:sz w:val="20"/>
          <w:szCs w:val="20"/>
          <w:color w:val="auto"/>
        </w:rPr>
      </w:pPr>
    </w:p>
    <w:p>
      <w:pPr>
        <w:jc w:val="both"/>
        <w:ind w:left="340" w:right="80" w:hanging="321"/>
        <w:spacing w:after="0" w:line="238" w:lineRule="auto"/>
        <w:tabs>
          <w:tab w:leader="none" w:pos="340" w:val="left"/>
        </w:tabs>
        <w:numPr>
          <w:ilvl w:val="0"/>
          <w:numId w:val="110"/>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Transactons Pursuant to a Trading Plan that Complies with SEC Rules. </w:t>
      </w:r>
      <w:r>
        <w:rPr>
          <w:rFonts w:ascii="Calibri" w:cs="Calibri" w:eastAsia="Calibri" w:hAnsi="Calibri"/>
          <w:sz w:val="22"/>
          <w:szCs w:val="22"/>
          <w:color w:val="auto"/>
        </w:rPr>
        <w:t>The trading restrictons under</w:t>
      </w:r>
      <w:r>
        <w:rPr>
          <w:rFonts w:ascii="Calibri" w:cs="Calibri" w:eastAsia="Calibri" w:hAnsi="Calibri"/>
          <w:sz w:val="22"/>
          <w:szCs w:val="22"/>
          <w:b w:val="1"/>
          <w:bCs w:val="1"/>
          <w:color w:val="auto"/>
        </w:rPr>
        <w:t xml:space="preserve"> </w:t>
      </w:r>
      <w:r>
        <w:rPr>
          <w:rFonts w:ascii="Arial" w:cs="Arial" w:eastAsia="Arial" w:hAnsi="Arial"/>
          <w:sz w:val="22"/>
          <w:szCs w:val="22"/>
          <w:color w:val="auto"/>
        </w:rPr>
        <w:t>this Policy do not apply to purchases and sales made pursuant to a writen plan under Rule 10b5-1 under the Exchange Act (a “</w:t>
      </w:r>
      <w:r>
        <w:rPr>
          <w:rFonts w:ascii="Calibri" w:cs="Calibri" w:eastAsia="Calibri" w:hAnsi="Calibri"/>
          <w:sz w:val="22"/>
          <w:szCs w:val="22"/>
          <w:b w:val="1"/>
          <w:bCs w:val="1"/>
          <w:color w:val="auto"/>
        </w:rPr>
        <w:t>10b5-1 Plan</w:t>
      </w:r>
      <w:r>
        <w:rPr>
          <w:rFonts w:ascii="Arial" w:cs="Arial" w:eastAsia="Arial" w:hAnsi="Arial"/>
          <w:sz w:val="22"/>
          <w:szCs w:val="22"/>
          <w:color w:val="auto"/>
        </w:rPr>
        <w:t>”) that is properly adopted and operated in compliance with the terms of this Policy set forth in Secton XI below.</w:t>
      </w:r>
    </w:p>
    <w:p>
      <w:pPr>
        <w:spacing w:after="0" w:line="219" w:lineRule="exact"/>
        <w:rPr>
          <w:rFonts w:ascii="Calibri" w:cs="Calibri" w:eastAsia="Calibri" w:hAnsi="Calibri"/>
          <w:sz w:val="22"/>
          <w:szCs w:val="22"/>
          <w:b w:val="1"/>
          <w:bCs w:val="1"/>
          <w:color w:val="auto"/>
        </w:rPr>
      </w:pPr>
    </w:p>
    <w:p>
      <w:pPr>
        <w:jc w:val="both"/>
        <w:ind w:left="340" w:right="80" w:hanging="321"/>
        <w:spacing w:after="0" w:line="247" w:lineRule="auto"/>
        <w:tabs>
          <w:tab w:leader="none" w:pos="340" w:val="left"/>
        </w:tabs>
        <w:numPr>
          <w:ilvl w:val="0"/>
          <w:numId w:val="110"/>
        </w:numPr>
        <w:rPr>
          <w:rFonts w:ascii="Calibri" w:cs="Calibri" w:eastAsia="Calibri" w:hAnsi="Calibri"/>
          <w:sz w:val="21"/>
          <w:szCs w:val="21"/>
          <w:b w:val="1"/>
          <w:bCs w:val="1"/>
          <w:color w:val="auto"/>
        </w:rPr>
      </w:pPr>
      <w:r>
        <w:rPr>
          <w:rFonts w:ascii="Calibri" w:cs="Calibri" w:eastAsia="Calibri" w:hAnsi="Calibri"/>
          <w:sz w:val="21"/>
          <w:szCs w:val="21"/>
          <w:b w:val="1"/>
          <w:bCs w:val="1"/>
          <w:color w:val="auto"/>
        </w:rPr>
        <w:t xml:space="preserve">Exercise of Stock Optons. </w:t>
      </w:r>
      <w:r>
        <w:rPr>
          <w:rFonts w:ascii="Calibri" w:cs="Calibri" w:eastAsia="Calibri" w:hAnsi="Calibri"/>
          <w:sz w:val="21"/>
          <w:szCs w:val="21"/>
          <w:color w:val="auto"/>
        </w:rPr>
        <w:t>The trading restrictons under this Policy do not apply to the exercise of</w:t>
      </w:r>
      <w:r>
        <w:rPr>
          <w:rFonts w:ascii="Calibri" w:cs="Calibri" w:eastAsia="Calibri" w:hAnsi="Calibri"/>
          <w:sz w:val="21"/>
          <w:szCs w:val="21"/>
          <w:b w:val="1"/>
          <w:bCs w:val="1"/>
          <w:color w:val="auto"/>
        </w:rPr>
        <w:t xml:space="preserve"> </w:t>
      </w:r>
      <w:r>
        <w:rPr>
          <w:rFonts w:ascii="Calibri" w:cs="Calibri" w:eastAsia="Calibri" w:hAnsi="Calibri"/>
          <w:sz w:val="21"/>
          <w:szCs w:val="21"/>
          <w:color w:val="auto"/>
        </w:rPr>
        <w:t>stock optons for cash under Y-mAbs’s stock opton plans. Likewise, the trading restrictons under this Policy do not apply to the exercise of stock optons in a net setlement or stock-for-stock exercise with</w:t>
      </w:r>
    </w:p>
    <w:p>
      <w:pPr>
        <w:spacing w:after="0" w:line="5" w:lineRule="exact"/>
        <w:rPr>
          <w:rFonts w:ascii="Calibri" w:cs="Calibri" w:eastAsia="Calibri" w:hAnsi="Calibri"/>
          <w:sz w:val="21"/>
          <w:szCs w:val="21"/>
          <w:b w:val="1"/>
          <w:bCs w:val="1"/>
          <w:color w:val="auto"/>
        </w:rPr>
      </w:pPr>
    </w:p>
    <w:p>
      <w:pPr>
        <w:jc w:val="both"/>
        <w:ind w:left="340" w:right="80"/>
        <w:spacing w:after="0" w:line="249" w:lineRule="auto"/>
        <w:rPr>
          <w:rFonts w:ascii="Calibri" w:cs="Calibri" w:eastAsia="Calibri" w:hAnsi="Calibri"/>
          <w:sz w:val="21"/>
          <w:szCs w:val="21"/>
          <w:b w:val="1"/>
          <w:bCs w:val="1"/>
          <w:color w:val="auto"/>
        </w:rPr>
      </w:pPr>
      <w:r>
        <w:rPr>
          <w:rFonts w:ascii="Arial" w:cs="Arial" w:eastAsia="Arial" w:hAnsi="Arial"/>
          <w:sz w:val="22"/>
          <w:szCs w:val="22"/>
          <w:color w:val="auto"/>
        </w:rPr>
        <w:t xml:space="preserve">Y-mAbs. However, the trading restrictons under this Policy do apply to (i) the sale of any securites issued upon the exercise of a stock opton, (ii) a cashless exercise of a stock opton through a broker, because this involves selling a porton of the underlying securites to cover the costs of exercise, (iii) any other market sale whether or not for the purpose of generatng the cash needed to pay the exercise price of an opton; and (iv) the sale of any securites to cover tax withholding obligatons. You </w:t>
      </w:r>
      <w:r>
        <w:rPr>
          <w:rFonts w:ascii="Calibri" w:cs="Calibri" w:eastAsia="Calibri" w:hAnsi="Calibri"/>
          <w:sz w:val="22"/>
          <w:szCs w:val="22"/>
          <w:color w:val="auto"/>
        </w:rPr>
        <w:t>shall notfy the Compliance Ofcer in advance of your exercise of stock optons under Y-mAbs’s stock opton plans.</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4640" w:type="dxa"/>
            <w:vAlign w:val="bottom"/>
          </w:tcPr>
          <w:p>
            <w:pPr>
              <w:spacing w:after="0"/>
              <w:rPr>
                <w:sz w:val="20"/>
                <w:szCs w:val="20"/>
                <w:color w:val="auto"/>
              </w:rPr>
            </w:pPr>
            <w:r>
              <w:rPr>
                <w:rFonts w:ascii="Arial" w:cs="Arial" w:eastAsia="Arial" w:hAnsi="Arial"/>
                <w:sz w:val="22"/>
                <w:szCs w:val="22"/>
                <w:color w:val="auto"/>
              </w:rPr>
              <w:t>‌</w:t>
            </w:r>
          </w:p>
        </w:tc>
        <w:tc>
          <w:tcPr>
            <w:tcW w:w="4700" w:type="dxa"/>
            <w:vAlign w:val="bottom"/>
          </w:tcPr>
          <w:p>
            <w:pPr>
              <w:jc w:val="right"/>
              <w:spacing w:after="0"/>
              <w:rPr>
                <w:sz w:val="20"/>
                <w:szCs w:val="20"/>
                <w:color w:val="auto"/>
              </w:rPr>
            </w:pPr>
            <w:r>
              <w:rPr>
                <w:rFonts w:ascii="Calibri" w:cs="Calibri" w:eastAsia="Calibri" w:hAnsi="Calibri"/>
                <w:sz w:val="18"/>
                <w:szCs w:val="18"/>
                <w:color w:val="auto"/>
              </w:rPr>
              <w:t>4</w:t>
            </w:r>
          </w:p>
        </w:tc>
      </w:tr>
      <w:tr>
        <w:trPr>
          <w:trHeight w:val="819"/>
        </w:trPr>
        <w:tc>
          <w:tcPr>
            <w:tcW w:w="46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9360"/>
          </w:cols>
          <w:pgMar w:left="1300" w:top="908" w:right="1239" w:bottom="1440" w:gutter="0" w:footer="0" w:header="0"/>
        </w:sectPr>
      </w:pPr>
    </w:p>
    <w:bookmarkStart w:id="196" w:name="page197"/>
    <w:bookmarkEnd w:id="196"/>
    <w:p>
      <w:pPr>
        <w:jc w:val="both"/>
        <w:ind w:left="321" w:right="80" w:hanging="321"/>
        <w:spacing w:after="0" w:line="239" w:lineRule="auto"/>
        <w:tabs>
          <w:tab w:leader="none" w:pos="321" w:val="left"/>
        </w:tabs>
        <w:numPr>
          <w:ilvl w:val="0"/>
          <w:numId w:val="111"/>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Withholding of Securites. </w:t>
      </w:r>
      <w:r>
        <w:rPr>
          <w:rFonts w:ascii="Calibri" w:cs="Calibri" w:eastAsia="Calibri" w:hAnsi="Calibri"/>
          <w:sz w:val="22"/>
          <w:szCs w:val="22"/>
          <w:color w:val="auto"/>
        </w:rPr>
        <w:t>The trading restrictons under this Policy do not apply to the withholding</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 xml:space="preserve">of shares of restricted stock, securites underlying restricted stock units or performance-based </w:t>
      </w:r>
      <w:r>
        <w:rPr>
          <w:rFonts w:ascii="Arial" w:cs="Arial" w:eastAsia="Arial" w:hAnsi="Arial"/>
          <w:sz w:val="22"/>
          <w:szCs w:val="22"/>
          <w:color w:val="auto"/>
        </w:rPr>
        <w:t xml:space="preserve">restricted stock units or securites subject to an opton by Y-mAbs to satsfy tax withholding requirements. However, the trading restrictons under this Policy do apply to the sale of any securites </w:t>
      </w:r>
      <w:r>
        <w:rPr>
          <w:rFonts w:ascii="Calibri" w:cs="Calibri" w:eastAsia="Calibri" w:hAnsi="Calibri"/>
          <w:sz w:val="22"/>
          <w:szCs w:val="22"/>
          <w:color w:val="auto"/>
        </w:rPr>
        <w:t>to cover tax withholding obligatons other than pursuant to "sell to cover" arrangements implemented by Y-mAbs.</w:t>
      </w:r>
    </w:p>
    <w:p>
      <w:pPr>
        <w:spacing w:after="0" w:line="219" w:lineRule="exact"/>
        <w:rPr>
          <w:rFonts w:ascii="Calibri" w:cs="Calibri" w:eastAsia="Calibri" w:hAnsi="Calibri"/>
          <w:sz w:val="22"/>
          <w:szCs w:val="22"/>
          <w:b w:val="1"/>
          <w:bCs w:val="1"/>
          <w:color w:val="auto"/>
        </w:rPr>
      </w:pPr>
    </w:p>
    <w:p>
      <w:pPr>
        <w:jc w:val="both"/>
        <w:ind w:left="321" w:right="80" w:hanging="321"/>
        <w:spacing w:after="0" w:line="239" w:lineRule="auto"/>
        <w:tabs>
          <w:tab w:leader="none" w:pos="321" w:val="left"/>
        </w:tabs>
        <w:numPr>
          <w:ilvl w:val="0"/>
          <w:numId w:val="111"/>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Purchases under the Employee Stock Purchase Plan. </w:t>
      </w:r>
      <w:r>
        <w:rPr>
          <w:rFonts w:ascii="Calibri" w:cs="Calibri" w:eastAsia="Calibri" w:hAnsi="Calibri"/>
          <w:sz w:val="22"/>
          <w:szCs w:val="22"/>
          <w:color w:val="auto"/>
        </w:rPr>
        <w:t>The trading restrictons in this Policy do not</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apply to the purchase of securites through the employee stock purchase plan established by Y-mAbs on periodic designated dates in accordance with such plan. However, the trading restrictons do apply to electons to partcipate in such plan, the sale of any such securites and changing instructons regarding the level of withholding contributons which are used to purchase securites.</w:t>
      </w:r>
    </w:p>
    <w:p>
      <w:pPr>
        <w:spacing w:after="0" w:line="215" w:lineRule="exact"/>
        <w:rPr>
          <w:rFonts w:ascii="Calibri" w:cs="Calibri" w:eastAsia="Calibri" w:hAnsi="Calibri"/>
          <w:sz w:val="22"/>
          <w:szCs w:val="22"/>
          <w:b w:val="1"/>
          <w:bCs w:val="1"/>
          <w:color w:val="auto"/>
        </w:rPr>
      </w:pPr>
    </w:p>
    <w:p>
      <w:pPr>
        <w:jc w:val="both"/>
        <w:ind w:left="321" w:right="80" w:hanging="321"/>
        <w:spacing w:after="0" w:line="235" w:lineRule="auto"/>
        <w:tabs>
          <w:tab w:leader="none" w:pos="321" w:val="left"/>
        </w:tabs>
        <w:numPr>
          <w:ilvl w:val="0"/>
          <w:numId w:val="111"/>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Change in Form of Ownership. </w:t>
      </w:r>
      <w:r>
        <w:rPr>
          <w:rFonts w:ascii="Calibri" w:cs="Calibri" w:eastAsia="Calibri" w:hAnsi="Calibri"/>
          <w:sz w:val="22"/>
          <w:szCs w:val="22"/>
          <w:color w:val="auto"/>
        </w:rPr>
        <w:t>Transactons that involve merely a change in the form in which you</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 xml:space="preserve">own securites are generally not subject to the trading restrictons under this Policy. For example, you may transfer securites to an </w:t>
      </w:r>
      <w:r>
        <w:rPr>
          <w:rFonts w:ascii="Calibri" w:cs="Calibri" w:eastAsia="Calibri" w:hAnsi="Calibri"/>
          <w:sz w:val="22"/>
          <w:szCs w:val="22"/>
          <w:i w:val="1"/>
          <w:iCs w:val="1"/>
          <w:color w:val="auto"/>
        </w:rPr>
        <w:t>inter vivos</w:t>
      </w:r>
      <w:r>
        <w:rPr>
          <w:rFonts w:ascii="Calibri" w:cs="Calibri" w:eastAsia="Calibri" w:hAnsi="Calibri"/>
          <w:sz w:val="22"/>
          <w:szCs w:val="22"/>
          <w:color w:val="auto"/>
        </w:rPr>
        <w:t xml:space="preserve"> trust of which you are the sole benefciary during your lifetme. However, you must notfy the Compliance ofcer in advance of any such transacton.</w:t>
      </w:r>
    </w:p>
    <w:p>
      <w:pPr>
        <w:spacing w:after="0" w:line="217" w:lineRule="exact"/>
        <w:rPr>
          <w:rFonts w:ascii="Calibri" w:cs="Calibri" w:eastAsia="Calibri" w:hAnsi="Calibri"/>
          <w:sz w:val="22"/>
          <w:szCs w:val="22"/>
          <w:b w:val="1"/>
          <w:bCs w:val="1"/>
          <w:color w:val="auto"/>
        </w:rPr>
      </w:pPr>
    </w:p>
    <w:p>
      <w:pPr>
        <w:jc w:val="both"/>
        <w:ind w:left="321" w:right="80" w:hanging="321"/>
        <w:spacing w:after="0" w:line="253" w:lineRule="auto"/>
        <w:tabs>
          <w:tab w:leader="none" w:pos="321" w:val="left"/>
        </w:tabs>
        <w:numPr>
          <w:ilvl w:val="0"/>
          <w:numId w:val="111"/>
        </w:numPr>
        <w:rPr>
          <w:rFonts w:ascii="Calibri" w:cs="Calibri" w:eastAsia="Calibri" w:hAnsi="Calibri"/>
          <w:sz w:val="21"/>
          <w:szCs w:val="21"/>
          <w:b w:val="1"/>
          <w:bCs w:val="1"/>
          <w:color w:val="auto"/>
        </w:rPr>
      </w:pPr>
      <w:r>
        <w:rPr>
          <w:rFonts w:ascii="Calibri" w:cs="Calibri" w:eastAsia="Calibri" w:hAnsi="Calibri"/>
          <w:sz w:val="21"/>
          <w:szCs w:val="21"/>
          <w:b w:val="1"/>
          <w:bCs w:val="1"/>
          <w:color w:val="auto"/>
        </w:rPr>
        <w:t>401(k) Plan</w:t>
      </w:r>
      <w:r>
        <w:rPr>
          <w:rFonts w:ascii="Calibri" w:cs="Calibri" w:eastAsia="Calibri" w:hAnsi="Calibri"/>
          <w:sz w:val="21"/>
          <w:szCs w:val="21"/>
          <w:color w:val="auto"/>
        </w:rPr>
        <w:t>. The trading restrictons under this policy do not apply to purchases of Y-mAbs’s</w:t>
      </w:r>
      <w:r>
        <w:rPr>
          <w:rFonts w:ascii="Calibri" w:cs="Calibri" w:eastAsia="Calibri" w:hAnsi="Calibri"/>
          <w:sz w:val="21"/>
          <w:szCs w:val="21"/>
          <w:b w:val="1"/>
          <w:bCs w:val="1"/>
          <w:color w:val="auto"/>
        </w:rPr>
        <w:t xml:space="preserve"> </w:t>
      </w:r>
      <w:r>
        <w:rPr>
          <w:rFonts w:ascii="Calibri" w:cs="Calibri" w:eastAsia="Calibri" w:hAnsi="Calibri"/>
          <w:sz w:val="21"/>
          <w:szCs w:val="21"/>
          <w:color w:val="auto"/>
        </w:rPr>
        <w:t xml:space="preserve">securites in Y-mAbs’s 401(k) plan resultng from your periodic contributon of money to the plan </w:t>
      </w:r>
      <w:r>
        <w:rPr>
          <w:rFonts w:ascii="Arial" w:cs="Arial" w:eastAsia="Arial" w:hAnsi="Arial"/>
          <w:sz w:val="21"/>
          <w:szCs w:val="21"/>
          <w:color w:val="auto"/>
        </w:rPr>
        <w:t xml:space="preserve">pursuant to your payroll deducton electon. This policy does apply, however, to certain electons you may make under the 401(k) plan, including: (a) an electon to increase or decrease the percentage of </w:t>
      </w:r>
      <w:r>
        <w:rPr>
          <w:rFonts w:ascii="Calibri" w:cs="Calibri" w:eastAsia="Calibri" w:hAnsi="Calibri"/>
          <w:sz w:val="21"/>
          <w:szCs w:val="21"/>
          <w:color w:val="auto"/>
        </w:rPr>
        <w:t xml:space="preserve">your periodic contributons that will be allocated to the Y-mAbs stock fund; (b) an electon to make an intra-plan transfer of an existng account balance into or out of the Y-mAbs stock fund; (c) an electon to borrow money against your 401(k) plan account if the loan will result in a liquidaton of some or all of your Y-mAbs stock fund balance; and (d) an electon to pre-pay a plan loan if the pre-payment </w:t>
      </w:r>
      <w:r>
        <w:rPr>
          <w:rFonts w:ascii="Arial" w:cs="Arial" w:eastAsia="Arial" w:hAnsi="Arial"/>
          <w:sz w:val="21"/>
          <w:szCs w:val="21"/>
          <w:color w:val="auto"/>
        </w:rPr>
        <w:t>will result in allocaton of loan proceeds to the Y-mAbs stock fund.</w:t>
      </w:r>
    </w:p>
    <w:p>
      <w:pPr>
        <w:spacing w:after="0" w:line="204" w:lineRule="exact"/>
        <w:rPr>
          <w:rFonts w:ascii="Calibri" w:cs="Calibri" w:eastAsia="Calibri" w:hAnsi="Calibri"/>
          <w:sz w:val="21"/>
          <w:szCs w:val="21"/>
          <w:b w:val="1"/>
          <w:bCs w:val="1"/>
          <w:color w:val="auto"/>
        </w:rPr>
      </w:pPr>
    </w:p>
    <w:p>
      <w:pPr>
        <w:ind w:left="321" w:right="80" w:hanging="321"/>
        <w:spacing w:after="0" w:line="235" w:lineRule="auto"/>
        <w:tabs>
          <w:tab w:leader="none" w:pos="321" w:val="left"/>
        </w:tabs>
        <w:numPr>
          <w:ilvl w:val="0"/>
          <w:numId w:val="111"/>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Other Exceptons. </w:t>
      </w:r>
      <w:r>
        <w:rPr>
          <w:rFonts w:ascii="Arial" w:cs="Arial" w:eastAsia="Arial" w:hAnsi="Arial"/>
          <w:sz w:val="22"/>
          <w:szCs w:val="22"/>
          <w:color w:val="auto"/>
        </w:rPr>
        <w:t>Any other excepton from this Policy must be approved by an independent</w:t>
      </w:r>
      <w:r>
        <w:rPr>
          <w:rFonts w:ascii="Calibri" w:cs="Calibri" w:eastAsia="Calibri" w:hAnsi="Calibri"/>
          <w:sz w:val="22"/>
          <w:szCs w:val="22"/>
          <w:b w:val="1"/>
          <w:bCs w:val="1"/>
          <w:color w:val="auto"/>
        </w:rPr>
        <w:t xml:space="preserve"> </w:t>
      </w:r>
      <w:r>
        <w:rPr>
          <w:rFonts w:ascii="Arial" w:cs="Arial" w:eastAsia="Arial" w:hAnsi="Arial"/>
          <w:sz w:val="22"/>
          <w:szCs w:val="22"/>
          <w:color w:val="auto"/>
        </w:rPr>
        <w:t>commitee of the Compliance Ofcer.</w:t>
      </w:r>
    </w:p>
    <w:p>
      <w:pPr>
        <w:spacing w:after="0" w:line="233" w:lineRule="exact"/>
        <w:rPr>
          <w:sz w:val="20"/>
          <w:szCs w:val="20"/>
          <w:color w:val="auto"/>
        </w:rPr>
      </w:pPr>
    </w:p>
    <w:p>
      <w:pPr>
        <w:ind w:left="1801"/>
        <w:spacing w:after="0"/>
        <w:tabs>
          <w:tab w:leader="none" w:pos="2361" w:val="left"/>
        </w:tabs>
        <w:rPr>
          <w:sz w:val="20"/>
          <w:szCs w:val="20"/>
          <w:color w:val="auto"/>
        </w:rPr>
      </w:pPr>
      <w:r>
        <w:rPr>
          <w:rFonts w:ascii="Calibri" w:cs="Calibri" w:eastAsia="Calibri" w:hAnsi="Calibri"/>
          <w:sz w:val="22"/>
          <w:szCs w:val="22"/>
          <w:b w:val="1"/>
          <w:bCs w:val="1"/>
          <w:color w:val="auto"/>
        </w:rPr>
        <w:t>VI.</w:t>
      </w:r>
      <w:r>
        <w:rPr>
          <w:sz w:val="20"/>
          <w:szCs w:val="20"/>
          <w:color w:val="auto"/>
        </w:rPr>
        <w:tab/>
      </w:r>
      <w:r>
        <w:rPr>
          <w:rFonts w:ascii="Calibri" w:cs="Calibri" w:eastAsia="Calibri" w:hAnsi="Calibri"/>
          <w:sz w:val="22"/>
          <w:szCs w:val="22"/>
          <w:b w:val="1"/>
          <w:bCs w:val="1"/>
          <w:color w:val="auto"/>
        </w:rPr>
        <w:t>POTENTIAL PENALTIES AND DISCIPLINARY ACTIONS</w:t>
      </w:r>
    </w:p>
    <w:p>
      <w:pPr>
        <w:spacing w:after="0" w:line="214" w:lineRule="exact"/>
        <w:rPr>
          <w:sz w:val="20"/>
          <w:szCs w:val="20"/>
          <w:color w:val="auto"/>
        </w:rPr>
      </w:pPr>
    </w:p>
    <w:p>
      <w:pPr>
        <w:jc w:val="both"/>
        <w:ind w:left="321" w:right="80" w:hanging="321"/>
        <w:spacing w:after="0" w:line="237" w:lineRule="auto"/>
        <w:tabs>
          <w:tab w:leader="none" w:pos="321" w:val="left"/>
        </w:tabs>
        <w:numPr>
          <w:ilvl w:val="0"/>
          <w:numId w:val="112"/>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Civil and Criminal Penaltes for Insider Trading. </w:t>
      </w:r>
      <w:r>
        <w:rPr>
          <w:rFonts w:ascii="Calibri" w:cs="Calibri" w:eastAsia="Calibri" w:hAnsi="Calibri"/>
          <w:sz w:val="22"/>
          <w:szCs w:val="22"/>
          <w:color w:val="auto"/>
        </w:rPr>
        <w:t>The consequences of prohibited insider trading or</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 xml:space="preserve">tpping can be severe. Persons violatng insider trading or tpping rules may be required to disgorge the proft made or the loss avoided by the trading, pay the loss sufered by the person who purchased securites from or sold securites to the insider or tppee, pay signifcant civil and/or criminal </w:t>
      </w:r>
      <w:r>
        <w:rPr>
          <w:rFonts w:ascii="Arial" w:cs="Arial" w:eastAsia="Arial" w:hAnsi="Arial"/>
          <w:sz w:val="22"/>
          <w:szCs w:val="22"/>
          <w:color w:val="auto"/>
        </w:rPr>
        <w:t xml:space="preserve">penaltes, and serve a lengthy jail term. In such circumstances, Y-mAbs may also be required to pay </w:t>
      </w:r>
      <w:r>
        <w:rPr>
          <w:rFonts w:ascii="Calibri" w:cs="Calibri" w:eastAsia="Calibri" w:hAnsi="Calibri"/>
          <w:sz w:val="22"/>
          <w:szCs w:val="22"/>
          <w:color w:val="auto"/>
        </w:rPr>
        <w:t>major civil or criminal penaltes.</w:t>
      </w:r>
    </w:p>
    <w:p>
      <w:pPr>
        <w:spacing w:after="0" w:line="217" w:lineRule="exact"/>
        <w:rPr>
          <w:rFonts w:ascii="Calibri" w:cs="Calibri" w:eastAsia="Calibri" w:hAnsi="Calibri"/>
          <w:sz w:val="22"/>
          <w:szCs w:val="22"/>
          <w:b w:val="1"/>
          <w:bCs w:val="1"/>
          <w:color w:val="auto"/>
        </w:rPr>
      </w:pPr>
    </w:p>
    <w:p>
      <w:pPr>
        <w:jc w:val="both"/>
        <w:ind w:left="321" w:right="80" w:hanging="321"/>
        <w:spacing w:after="0" w:line="237" w:lineRule="auto"/>
        <w:tabs>
          <w:tab w:leader="none" w:pos="321" w:val="left"/>
        </w:tabs>
        <w:numPr>
          <w:ilvl w:val="0"/>
          <w:numId w:val="112"/>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Disciplinary Actons. </w:t>
      </w:r>
      <w:r>
        <w:rPr>
          <w:rFonts w:ascii="Calibri" w:cs="Calibri" w:eastAsia="Calibri" w:hAnsi="Calibri"/>
          <w:sz w:val="22"/>
          <w:szCs w:val="22"/>
          <w:color w:val="auto"/>
        </w:rPr>
        <w:t>Violatons of this Policy may result in disciplinary acton, up to and including</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 xml:space="preserve">dismissal for cause. In additon, Y-mAbs may give stop transfer and other instructons to Y-mAbs’s </w:t>
      </w:r>
      <w:r>
        <w:rPr>
          <w:rFonts w:ascii="Arial" w:cs="Arial" w:eastAsia="Arial" w:hAnsi="Arial"/>
          <w:sz w:val="22"/>
          <w:szCs w:val="22"/>
          <w:color w:val="auto"/>
        </w:rPr>
        <w:t>transfer agent or equity plan administrator to enforce compliance with this Policy.</w:t>
      </w:r>
    </w:p>
    <w:p>
      <w:pPr>
        <w:spacing w:after="0" w:line="200" w:lineRule="exact"/>
        <w:rPr>
          <w:sz w:val="20"/>
          <w:szCs w:val="20"/>
          <w:color w:val="auto"/>
        </w:rPr>
      </w:pPr>
    </w:p>
    <w:p>
      <w:pPr>
        <w:spacing w:after="0" w:line="300" w:lineRule="exact"/>
        <w:rPr>
          <w:sz w:val="20"/>
          <w:szCs w:val="20"/>
          <w:color w:val="auto"/>
        </w:rPr>
      </w:pPr>
    </w:p>
    <w:tbl>
      <w:tblPr>
        <w:tblLayout w:type="fixed"/>
        <w:tblInd w:w="1" w:type="dxa"/>
        <w:tblCellMar>
          <w:top w:w="0" w:type="dxa"/>
          <w:left w:w="0" w:type="dxa"/>
          <w:bottom w:w="0" w:type="dxa"/>
          <w:right w:w="0" w:type="dxa"/>
        </w:tblCellMar>
      </w:tblPr>
      <w:tr>
        <w:trPr>
          <w:trHeight w:val="256"/>
        </w:trPr>
        <w:tc>
          <w:tcPr>
            <w:tcW w:w="4640" w:type="dxa"/>
            <w:vAlign w:val="bottom"/>
          </w:tcPr>
          <w:p>
            <w:pPr>
              <w:spacing w:after="0"/>
              <w:rPr>
                <w:sz w:val="20"/>
                <w:szCs w:val="20"/>
                <w:color w:val="auto"/>
              </w:rPr>
            </w:pPr>
            <w:r>
              <w:rPr>
                <w:rFonts w:ascii="Arial" w:cs="Arial" w:eastAsia="Arial" w:hAnsi="Arial"/>
                <w:sz w:val="22"/>
                <w:szCs w:val="22"/>
                <w:color w:val="auto"/>
              </w:rPr>
              <w:t>‌</w:t>
            </w:r>
          </w:p>
        </w:tc>
        <w:tc>
          <w:tcPr>
            <w:tcW w:w="4700" w:type="dxa"/>
            <w:vAlign w:val="bottom"/>
          </w:tcPr>
          <w:p>
            <w:pPr>
              <w:jc w:val="right"/>
              <w:spacing w:after="0"/>
              <w:rPr>
                <w:sz w:val="20"/>
                <w:szCs w:val="20"/>
                <w:color w:val="auto"/>
              </w:rPr>
            </w:pPr>
            <w:r>
              <w:rPr>
                <w:rFonts w:ascii="Calibri" w:cs="Calibri" w:eastAsia="Calibri" w:hAnsi="Calibri"/>
                <w:sz w:val="18"/>
                <w:szCs w:val="18"/>
                <w:color w:val="auto"/>
              </w:rPr>
              <w:t>5</w:t>
            </w:r>
          </w:p>
        </w:tc>
      </w:tr>
      <w:tr>
        <w:trPr>
          <w:trHeight w:val="805"/>
        </w:trPr>
        <w:tc>
          <w:tcPr>
            <w:tcW w:w="46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9341"/>
          </w:cols>
          <w:pgMar w:left="1319" w:top="908" w:right="1239" w:bottom="1440" w:gutter="0" w:footer="0" w:header="0"/>
        </w:sectPr>
      </w:pPr>
    </w:p>
    <w:bookmarkStart w:id="197" w:name="page198"/>
    <w:bookmarkEnd w:id="197"/>
    <w:p>
      <w:pPr>
        <w:ind w:left="3060"/>
        <w:spacing w:after="0"/>
        <w:tabs>
          <w:tab w:leader="none" w:pos="3680" w:val="left"/>
        </w:tabs>
        <w:rPr>
          <w:sz w:val="20"/>
          <w:szCs w:val="20"/>
          <w:color w:val="auto"/>
        </w:rPr>
      </w:pPr>
      <w:r>
        <w:rPr>
          <w:rFonts w:ascii="Calibri" w:cs="Calibri" w:eastAsia="Calibri" w:hAnsi="Calibri"/>
          <w:sz w:val="22"/>
          <w:szCs w:val="22"/>
          <w:b w:val="1"/>
          <w:bCs w:val="1"/>
          <w:color w:val="auto"/>
        </w:rPr>
        <w:t>VII.</w:t>
      </w:r>
      <w:r>
        <w:rPr>
          <w:sz w:val="20"/>
          <w:szCs w:val="20"/>
          <w:color w:val="auto"/>
        </w:rPr>
        <w:tab/>
      </w:r>
      <w:r>
        <w:rPr>
          <w:rFonts w:ascii="Calibri" w:cs="Calibri" w:eastAsia="Calibri" w:hAnsi="Calibri"/>
          <w:sz w:val="22"/>
          <w:szCs w:val="22"/>
          <w:b w:val="1"/>
          <w:bCs w:val="1"/>
          <w:color w:val="auto"/>
        </w:rPr>
        <w:t>COMPLIANCE OFFICER</w:t>
      </w:r>
    </w:p>
    <w:p>
      <w:pPr>
        <w:spacing w:after="0" w:line="269" w:lineRule="exact"/>
        <w:rPr>
          <w:sz w:val="20"/>
          <w:szCs w:val="20"/>
          <w:color w:val="auto"/>
        </w:rPr>
      </w:pPr>
    </w:p>
    <w:p>
      <w:pPr>
        <w:jc w:val="both"/>
        <w:ind w:right="80"/>
        <w:spacing w:after="0" w:line="251" w:lineRule="auto"/>
        <w:rPr>
          <w:sz w:val="20"/>
          <w:szCs w:val="20"/>
          <w:color w:val="auto"/>
        </w:rPr>
      </w:pPr>
      <w:r>
        <w:rPr>
          <w:rFonts w:ascii="Arial" w:cs="Arial" w:eastAsia="Arial" w:hAnsi="Arial"/>
          <w:sz w:val="22"/>
          <w:szCs w:val="22"/>
          <w:color w:val="auto"/>
        </w:rPr>
        <w:t>The Company has designated the Company’s General Counsel as the individual responsible for ensuring compliance with this Policy (the “</w:t>
      </w:r>
      <w:r>
        <w:rPr>
          <w:rFonts w:ascii="Calibri" w:cs="Calibri" w:eastAsia="Calibri" w:hAnsi="Calibri"/>
          <w:sz w:val="22"/>
          <w:szCs w:val="22"/>
          <w:b w:val="1"/>
          <w:bCs w:val="1"/>
          <w:color w:val="auto"/>
        </w:rPr>
        <w:t>Compliance Ofcer</w:t>
      </w:r>
      <w:r>
        <w:rPr>
          <w:rFonts w:ascii="Arial" w:cs="Arial" w:eastAsia="Arial" w:hAnsi="Arial"/>
          <w:sz w:val="22"/>
          <w:szCs w:val="22"/>
          <w:color w:val="auto"/>
        </w:rPr>
        <w:t>”). The dutes of the Compliance Ofcer include the following:</w:t>
      </w:r>
    </w:p>
    <w:p>
      <w:pPr>
        <w:spacing w:after="0" w:line="270" w:lineRule="exact"/>
        <w:rPr>
          <w:sz w:val="20"/>
          <w:szCs w:val="20"/>
          <w:color w:val="auto"/>
        </w:rPr>
      </w:pPr>
    </w:p>
    <w:p>
      <w:pPr>
        <w:ind w:left="340" w:right="100" w:hanging="321"/>
        <w:spacing w:after="0" w:line="229" w:lineRule="auto"/>
        <w:tabs>
          <w:tab w:leader="none" w:pos="340" w:val="left"/>
        </w:tabs>
        <w:numPr>
          <w:ilvl w:val="0"/>
          <w:numId w:val="113"/>
        </w:numPr>
        <w:rPr>
          <w:rFonts w:ascii="Calibri" w:cs="Calibri" w:eastAsia="Calibri" w:hAnsi="Calibri"/>
          <w:sz w:val="22"/>
          <w:szCs w:val="22"/>
          <w:b w:val="1"/>
          <w:bCs w:val="1"/>
          <w:color w:val="auto"/>
        </w:rPr>
      </w:pPr>
      <w:r>
        <w:rPr>
          <w:rFonts w:ascii="Arial" w:cs="Arial" w:eastAsia="Arial" w:hAnsi="Arial"/>
          <w:sz w:val="22"/>
          <w:szCs w:val="22"/>
          <w:color w:val="auto"/>
        </w:rPr>
        <w:t xml:space="preserve">Administering this Policy and monitoring and enforcing compliance with all Policy provisions and </w:t>
      </w:r>
      <w:r>
        <w:rPr>
          <w:rFonts w:ascii="Calibri" w:cs="Calibri" w:eastAsia="Calibri" w:hAnsi="Calibri"/>
          <w:sz w:val="22"/>
          <w:szCs w:val="22"/>
          <w:color w:val="auto"/>
        </w:rPr>
        <w:t>procedures.</w:t>
      </w:r>
    </w:p>
    <w:p>
      <w:pPr>
        <w:spacing w:after="0" w:line="230" w:lineRule="exact"/>
        <w:rPr>
          <w:rFonts w:ascii="Calibri" w:cs="Calibri" w:eastAsia="Calibri" w:hAnsi="Calibri"/>
          <w:sz w:val="22"/>
          <w:szCs w:val="22"/>
          <w:b w:val="1"/>
          <w:bCs w:val="1"/>
          <w:color w:val="auto"/>
        </w:rPr>
      </w:pPr>
    </w:p>
    <w:p>
      <w:pPr>
        <w:ind w:left="340" w:right="100" w:hanging="321"/>
        <w:spacing w:after="0" w:line="246" w:lineRule="auto"/>
        <w:tabs>
          <w:tab w:leader="none" w:pos="340" w:val="left"/>
        </w:tabs>
        <w:numPr>
          <w:ilvl w:val="0"/>
          <w:numId w:val="113"/>
        </w:numPr>
        <w:rPr>
          <w:rFonts w:ascii="Calibri" w:cs="Calibri" w:eastAsia="Calibri" w:hAnsi="Calibri"/>
          <w:sz w:val="22"/>
          <w:szCs w:val="22"/>
          <w:b w:val="1"/>
          <w:bCs w:val="1"/>
          <w:color w:val="auto"/>
        </w:rPr>
      </w:pPr>
      <w:r>
        <w:rPr>
          <w:rFonts w:ascii="Arial" w:cs="Arial" w:eastAsia="Arial" w:hAnsi="Arial"/>
          <w:sz w:val="22"/>
          <w:szCs w:val="22"/>
          <w:color w:val="auto"/>
        </w:rPr>
        <w:t>Reviewing and either approving or denying all proposed trades by Directors and Ofcers and Other Insiders in accordance with the pre-clearance procedures set forth in Secton X.</w:t>
      </w:r>
    </w:p>
    <w:p>
      <w:pPr>
        <w:spacing w:after="0" w:line="207" w:lineRule="exact"/>
        <w:rPr>
          <w:rFonts w:ascii="Calibri" w:cs="Calibri" w:eastAsia="Calibri" w:hAnsi="Calibri"/>
          <w:sz w:val="22"/>
          <w:szCs w:val="22"/>
          <w:b w:val="1"/>
          <w:bCs w:val="1"/>
          <w:color w:val="auto"/>
        </w:rPr>
      </w:pPr>
    </w:p>
    <w:p>
      <w:pPr>
        <w:ind w:left="340" w:right="80" w:hanging="321"/>
        <w:spacing w:after="0" w:line="235" w:lineRule="auto"/>
        <w:tabs>
          <w:tab w:leader="none" w:pos="340" w:val="left"/>
        </w:tabs>
        <w:numPr>
          <w:ilvl w:val="0"/>
          <w:numId w:val="113"/>
        </w:numPr>
        <w:rPr>
          <w:rFonts w:ascii="Calibri" w:cs="Calibri" w:eastAsia="Calibri" w:hAnsi="Calibri"/>
          <w:sz w:val="22"/>
          <w:szCs w:val="22"/>
          <w:b w:val="1"/>
          <w:bCs w:val="1"/>
          <w:color w:val="auto"/>
        </w:rPr>
      </w:pPr>
      <w:r>
        <w:rPr>
          <w:rFonts w:ascii="Calibri" w:cs="Calibri" w:eastAsia="Calibri" w:hAnsi="Calibri"/>
          <w:sz w:val="22"/>
          <w:szCs w:val="22"/>
          <w:color w:val="auto"/>
        </w:rPr>
        <w:t>Designatng and announcing trading blackout periods during which you may not trade in Y-mAbs’s securites.</w:t>
      </w:r>
    </w:p>
    <w:p>
      <w:pPr>
        <w:spacing w:after="0" w:line="216" w:lineRule="exact"/>
        <w:rPr>
          <w:rFonts w:ascii="Calibri" w:cs="Calibri" w:eastAsia="Calibri" w:hAnsi="Calibri"/>
          <w:sz w:val="22"/>
          <w:szCs w:val="22"/>
          <w:b w:val="1"/>
          <w:bCs w:val="1"/>
          <w:color w:val="auto"/>
        </w:rPr>
      </w:pPr>
    </w:p>
    <w:p>
      <w:pPr>
        <w:ind w:left="340" w:right="100" w:hanging="321"/>
        <w:spacing w:after="0" w:line="235" w:lineRule="auto"/>
        <w:tabs>
          <w:tab w:leader="none" w:pos="340" w:val="left"/>
        </w:tabs>
        <w:numPr>
          <w:ilvl w:val="0"/>
          <w:numId w:val="113"/>
        </w:numPr>
        <w:rPr>
          <w:rFonts w:ascii="Calibri" w:cs="Calibri" w:eastAsia="Calibri" w:hAnsi="Calibri"/>
          <w:sz w:val="22"/>
          <w:szCs w:val="22"/>
          <w:b w:val="1"/>
          <w:bCs w:val="1"/>
          <w:color w:val="auto"/>
        </w:rPr>
      </w:pPr>
      <w:r>
        <w:rPr>
          <w:rFonts w:ascii="Calibri" w:cs="Calibri" w:eastAsia="Calibri" w:hAnsi="Calibri"/>
          <w:sz w:val="22"/>
          <w:szCs w:val="22"/>
          <w:color w:val="auto"/>
        </w:rPr>
        <w:t>Providing copies of this Policy and other appropriate materials to all new Directors and Ofcers and Other Insiders.</w:t>
      </w:r>
    </w:p>
    <w:p>
      <w:pPr>
        <w:spacing w:after="0" w:line="230" w:lineRule="exact"/>
        <w:rPr>
          <w:rFonts w:ascii="Calibri" w:cs="Calibri" w:eastAsia="Calibri" w:hAnsi="Calibri"/>
          <w:sz w:val="22"/>
          <w:szCs w:val="22"/>
          <w:b w:val="1"/>
          <w:bCs w:val="1"/>
          <w:color w:val="auto"/>
        </w:rPr>
      </w:pPr>
    </w:p>
    <w:p>
      <w:pPr>
        <w:ind w:left="340" w:right="80" w:hanging="321"/>
        <w:spacing w:after="0" w:line="229" w:lineRule="auto"/>
        <w:tabs>
          <w:tab w:leader="none" w:pos="340" w:val="left"/>
        </w:tabs>
        <w:numPr>
          <w:ilvl w:val="0"/>
          <w:numId w:val="113"/>
        </w:numPr>
        <w:rPr>
          <w:rFonts w:ascii="Calibri" w:cs="Calibri" w:eastAsia="Calibri" w:hAnsi="Calibri"/>
          <w:sz w:val="22"/>
          <w:szCs w:val="22"/>
          <w:b w:val="1"/>
          <w:bCs w:val="1"/>
          <w:color w:val="auto"/>
        </w:rPr>
      </w:pPr>
      <w:r>
        <w:rPr>
          <w:rFonts w:ascii="Arial" w:cs="Arial" w:eastAsia="Arial" w:hAnsi="Arial"/>
          <w:sz w:val="22"/>
          <w:szCs w:val="22"/>
          <w:color w:val="auto"/>
        </w:rPr>
        <w:t xml:space="preserve">Administering, monitoring and enforcing compliance with all federal and state insider trading laws </w:t>
      </w:r>
      <w:r>
        <w:rPr>
          <w:rFonts w:ascii="Calibri" w:cs="Calibri" w:eastAsia="Calibri" w:hAnsi="Calibri"/>
          <w:sz w:val="22"/>
          <w:szCs w:val="22"/>
          <w:color w:val="auto"/>
        </w:rPr>
        <w:t>and regulatons.</w:t>
      </w:r>
    </w:p>
    <w:p>
      <w:pPr>
        <w:spacing w:after="0" w:line="217" w:lineRule="exact"/>
        <w:rPr>
          <w:rFonts w:ascii="Calibri" w:cs="Calibri" w:eastAsia="Calibri" w:hAnsi="Calibri"/>
          <w:sz w:val="22"/>
          <w:szCs w:val="22"/>
          <w:b w:val="1"/>
          <w:bCs w:val="1"/>
          <w:color w:val="auto"/>
        </w:rPr>
      </w:pPr>
    </w:p>
    <w:p>
      <w:pPr>
        <w:ind w:left="340" w:hanging="321"/>
        <w:spacing w:after="0"/>
        <w:tabs>
          <w:tab w:leader="none" w:pos="340" w:val="left"/>
        </w:tabs>
        <w:numPr>
          <w:ilvl w:val="0"/>
          <w:numId w:val="113"/>
        </w:numPr>
        <w:rPr>
          <w:rFonts w:ascii="Calibri" w:cs="Calibri" w:eastAsia="Calibri" w:hAnsi="Calibri"/>
          <w:sz w:val="22"/>
          <w:szCs w:val="22"/>
          <w:b w:val="1"/>
          <w:bCs w:val="1"/>
          <w:color w:val="auto"/>
        </w:rPr>
      </w:pPr>
      <w:r>
        <w:rPr>
          <w:rFonts w:ascii="Calibri" w:cs="Calibri" w:eastAsia="Calibri" w:hAnsi="Calibri"/>
          <w:sz w:val="22"/>
          <w:szCs w:val="22"/>
          <w:color w:val="auto"/>
        </w:rPr>
        <w:t>Assistng in the preparaton and fling of all required reports to the Securites and Exchange</w:t>
      </w:r>
    </w:p>
    <w:p>
      <w:pPr>
        <w:spacing w:after="0" w:line="3" w:lineRule="exact"/>
        <w:rPr>
          <w:rFonts w:ascii="Calibri" w:cs="Calibri" w:eastAsia="Calibri" w:hAnsi="Calibri"/>
          <w:sz w:val="22"/>
          <w:szCs w:val="22"/>
          <w:b w:val="1"/>
          <w:bCs w:val="1"/>
          <w:color w:val="auto"/>
        </w:rPr>
      </w:pPr>
    </w:p>
    <w:p>
      <w:pPr>
        <w:ind w:left="340"/>
        <w:spacing w:after="0"/>
        <w:rPr>
          <w:rFonts w:ascii="Calibri" w:cs="Calibri" w:eastAsia="Calibri" w:hAnsi="Calibri"/>
          <w:sz w:val="22"/>
          <w:szCs w:val="22"/>
          <w:b w:val="1"/>
          <w:bCs w:val="1"/>
          <w:color w:val="auto"/>
        </w:rPr>
      </w:pPr>
      <w:r>
        <w:rPr>
          <w:rFonts w:ascii="Arial" w:cs="Arial" w:eastAsia="Arial" w:hAnsi="Arial"/>
          <w:sz w:val="22"/>
          <w:szCs w:val="22"/>
          <w:color w:val="auto"/>
        </w:rPr>
        <w:t>Commission (the “</w:t>
      </w:r>
      <w:r>
        <w:rPr>
          <w:rFonts w:ascii="Calibri" w:cs="Calibri" w:eastAsia="Calibri" w:hAnsi="Calibri"/>
          <w:sz w:val="22"/>
          <w:szCs w:val="22"/>
          <w:b w:val="1"/>
          <w:bCs w:val="1"/>
          <w:color w:val="auto"/>
        </w:rPr>
        <w:t>SEC</w:t>
      </w:r>
      <w:r>
        <w:rPr>
          <w:rFonts w:ascii="Arial" w:cs="Arial" w:eastAsia="Arial" w:hAnsi="Arial"/>
          <w:sz w:val="22"/>
          <w:szCs w:val="22"/>
          <w:color w:val="auto"/>
        </w:rPr>
        <w:t>”) relatng to insider trading in Y-mAbs’s securites.</w:t>
      </w:r>
    </w:p>
    <w:p>
      <w:pPr>
        <w:spacing w:after="0" w:line="214" w:lineRule="exact"/>
        <w:rPr>
          <w:rFonts w:ascii="Calibri" w:cs="Calibri" w:eastAsia="Calibri" w:hAnsi="Calibri"/>
          <w:sz w:val="22"/>
          <w:szCs w:val="22"/>
          <w:b w:val="1"/>
          <w:bCs w:val="1"/>
          <w:color w:val="auto"/>
        </w:rPr>
      </w:pPr>
    </w:p>
    <w:p>
      <w:pPr>
        <w:jc w:val="both"/>
        <w:ind w:left="340" w:right="80" w:hanging="321"/>
        <w:spacing w:after="0" w:line="252" w:lineRule="auto"/>
        <w:tabs>
          <w:tab w:leader="none" w:pos="340" w:val="left"/>
        </w:tabs>
        <w:numPr>
          <w:ilvl w:val="0"/>
          <w:numId w:val="113"/>
        </w:numPr>
        <w:rPr>
          <w:rFonts w:ascii="Calibri" w:cs="Calibri" w:eastAsia="Calibri" w:hAnsi="Calibri"/>
          <w:sz w:val="22"/>
          <w:szCs w:val="22"/>
          <w:b w:val="1"/>
          <w:bCs w:val="1"/>
          <w:color w:val="auto"/>
        </w:rPr>
      </w:pPr>
      <w:r>
        <w:rPr>
          <w:rFonts w:ascii="Arial" w:cs="Arial" w:eastAsia="Arial" w:hAnsi="Arial"/>
          <w:sz w:val="22"/>
          <w:szCs w:val="22"/>
          <w:color w:val="auto"/>
        </w:rPr>
        <w:t>Revising the Policy as necessary to refect changes in federal or state insider trading laws and regulatons, or revising the Policy to impose additonal restrictons or requirements as otherwise deemed necessary or appropriate with the approval of the board of directors of Y-mAbs or other authorized commitee of the board of directors of Y-mAbs.</w:t>
      </w:r>
    </w:p>
    <w:p>
      <w:pPr>
        <w:spacing w:after="0" w:line="217" w:lineRule="exact"/>
        <w:rPr>
          <w:sz w:val="20"/>
          <w:szCs w:val="20"/>
          <w:color w:val="auto"/>
        </w:rPr>
      </w:pPr>
    </w:p>
    <w:p>
      <w:pPr>
        <w:ind w:right="1440" w:firstLine="757"/>
        <w:spacing w:after="0" w:line="434" w:lineRule="auto"/>
        <w:rPr>
          <w:sz w:val="20"/>
          <w:szCs w:val="20"/>
          <w:color w:val="auto"/>
        </w:rPr>
      </w:pPr>
      <w:r>
        <w:rPr>
          <w:rFonts w:ascii="Calibri" w:cs="Calibri" w:eastAsia="Calibri" w:hAnsi="Calibri"/>
          <w:sz w:val="22"/>
          <w:szCs w:val="22"/>
          <w:b w:val="1"/>
          <w:bCs w:val="1"/>
          <w:color w:val="auto"/>
        </w:rPr>
        <w:t>VIII. DETERMINING WHETHER INFORMATION IS MATERIAL AND NON-PUBLIC A. “Material” Informaton</w:t>
      </w:r>
    </w:p>
    <w:p>
      <w:pPr>
        <w:spacing w:after="0" w:line="1" w:lineRule="exact"/>
        <w:rPr>
          <w:sz w:val="20"/>
          <w:szCs w:val="20"/>
          <w:color w:val="auto"/>
        </w:rPr>
      </w:pPr>
    </w:p>
    <w:p>
      <w:pPr>
        <w:jc w:val="both"/>
        <w:ind w:right="80"/>
        <w:spacing w:after="0" w:line="250" w:lineRule="auto"/>
        <w:rPr>
          <w:sz w:val="20"/>
          <w:szCs w:val="20"/>
          <w:color w:val="auto"/>
        </w:rPr>
      </w:pPr>
      <w:r>
        <w:rPr>
          <w:rFonts w:ascii="Arial" w:cs="Arial" w:eastAsia="Arial" w:hAnsi="Arial"/>
          <w:sz w:val="22"/>
          <w:szCs w:val="22"/>
          <w:color w:val="auto"/>
        </w:rPr>
        <w:t xml:space="preserve">Informaton is material if it would infuence a reasonable investor in deciding whether to buy, hold or sell securites or if a reasonable investor would view the informaton as signifcantly altering the total mix of informaton in the marketplace. There is no bright-line test for determining whether partcular </w:t>
      </w:r>
      <w:r>
        <w:rPr>
          <w:rFonts w:ascii="Calibri" w:cs="Calibri" w:eastAsia="Calibri" w:hAnsi="Calibri"/>
          <w:sz w:val="22"/>
          <w:szCs w:val="22"/>
          <w:color w:val="auto"/>
        </w:rPr>
        <w:t xml:space="preserve">informaton is material, and such determinaton depends on the facts and circumstances unique to each </w:t>
      </w:r>
      <w:r>
        <w:rPr>
          <w:rFonts w:ascii="Arial" w:cs="Arial" w:eastAsia="Arial" w:hAnsi="Arial"/>
          <w:sz w:val="22"/>
          <w:szCs w:val="22"/>
          <w:color w:val="auto"/>
        </w:rPr>
        <w:t>situaton. In general, any informaton that could reasonably be expected to afect the market price of a company’s securites or be important to investors is likely to be material. Both positve and negatve informaton may be material. If informaton makes you want to trade in securites, it would probably have the same efect on others.</w:t>
      </w:r>
    </w:p>
    <w:p>
      <w:pPr>
        <w:spacing w:after="0" w:line="208" w:lineRule="exact"/>
        <w:rPr>
          <w:sz w:val="20"/>
          <w:szCs w:val="20"/>
          <w:color w:val="auto"/>
        </w:rPr>
      </w:pPr>
    </w:p>
    <w:p>
      <w:pPr>
        <w:ind w:right="80"/>
        <w:spacing w:after="0" w:line="244" w:lineRule="auto"/>
        <w:rPr>
          <w:sz w:val="20"/>
          <w:szCs w:val="20"/>
          <w:color w:val="auto"/>
        </w:rPr>
      </w:pPr>
      <w:r>
        <w:rPr>
          <w:rFonts w:ascii="Arial" w:cs="Arial" w:eastAsia="Arial" w:hAnsi="Arial"/>
          <w:sz w:val="22"/>
          <w:szCs w:val="22"/>
          <w:color w:val="auto"/>
        </w:rPr>
        <w:t xml:space="preserve">It is not possible to defne all categories of “material” informaton. However, some examples of </w:t>
      </w:r>
      <w:r>
        <w:rPr>
          <w:rFonts w:ascii="Calibri" w:cs="Calibri" w:eastAsia="Calibri" w:hAnsi="Calibri"/>
          <w:sz w:val="22"/>
          <w:szCs w:val="22"/>
          <w:color w:val="auto"/>
        </w:rPr>
        <w:t>informaton that could be regarded as material include informaton with respect to:</w:t>
      </w:r>
    </w:p>
    <w:p>
      <w:pPr>
        <w:spacing w:after="0" w:line="118" w:lineRule="exact"/>
        <w:rPr>
          <w:sz w:val="20"/>
          <w:szCs w:val="20"/>
          <w:color w:val="auto"/>
        </w:rPr>
      </w:pPr>
    </w:p>
    <w:p>
      <w:pPr>
        <w:ind w:left="660" w:right="100" w:hanging="317"/>
        <w:spacing w:after="0" w:line="235" w:lineRule="auto"/>
        <w:tabs>
          <w:tab w:leader="none" w:pos="660" w:val="left"/>
        </w:tabs>
        <w:numPr>
          <w:ilvl w:val="0"/>
          <w:numId w:val="114"/>
        </w:numPr>
        <w:rPr>
          <w:rFonts w:ascii="Arial" w:cs="Arial" w:eastAsia="Arial" w:hAnsi="Arial"/>
          <w:sz w:val="22"/>
          <w:szCs w:val="22"/>
          <w:color w:val="auto"/>
        </w:rPr>
      </w:pPr>
      <w:r>
        <w:rPr>
          <w:rFonts w:ascii="Calibri" w:cs="Calibri" w:eastAsia="Calibri" w:hAnsi="Calibri"/>
          <w:sz w:val="22"/>
          <w:szCs w:val="22"/>
          <w:color w:val="auto"/>
        </w:rPr>
        <w:t xml:space="preserve">Financial results, fnancial conditon, earnings pre-announcements, guidance, projectons or </w:t>
      </w:r>
      <w:r>
        <w:rPr>
          <w:rFonts w:ascii="Arial" w:cs="Arial" w:eastAsia="Arial" w:hAnsi="Arial"/>
          <w:sz w:val="22"/>
          <w:szCs w:val="22"/>
          <w:color w:val="auto"/>
        </w:rPr>
        <w:t>forecasts, signifcant changes in liquidity or accountng restatements;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4640" w:type="dxa"/>
            <w:vAlign w:val="bottom"/>
          </w:tcPr>
          <w:p>
            <w:pPr>
              <w:spacing w:after="0"/>
              <w:rPr>
                <w:sz w:val="20"/>
                <w:szCs w:val="20"/>
                <w:color w:val="auto"/>
              </w:rPr>
            </w:pPr>
            <w:r>
              <w:rPr>
                <w:rFonts w:ascii="Arial" w:cs="Arial" w:eastAsia="Arial" w:hAnsi="Arial"/>
                <w:sz w:val="22"/>
                <w:szCs w:val="22"/>
                <w:color w:val="auto"/>
              </w:rPr>
              <w:t>‌</w:t>
            </w:r>
          </w:p>
        </w:tc>
        <w:tc>
          <w:tcPr>
            <w:tcW w:w="4700" w:type="dxa"/>
            <w:vAlign w:val="bottom"/>
          </w:tcPr>
          <w:p>
            <w:pPr>
              <w:jc w:val="right"/>
              <w:spacing w:after="0"/>
              <w:rPr>
                <w:sz w:val="20"/>
                <w:szCs w:val="20"/>
                <w:color w:val="auto"/>
              </w:rPr>
            </w:pPr>
            <w:r>
              <w:rPr>
                <w:rFonts w:ascii="Calibri" w:cs="Calibri" w:eastAsia="Calibri" w:hAnsi="Calibri"/>
                <w:sz w:val="18"/>
                <w:szCs w:val="18"/>
                <w:color w:val="auto"/>
              </w:rPr>
              <w:t>6</w:t>
            </w:r>
          </w:p>
        </w:tc>
      </w:tr>
      <w:tr>
        <w:trPr>
          <w:trHeight w:val="817"/>
        </w:trPr>
        <w:tc>
          <w:tcPr>
            <w:tcW w:w="46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9360"/>
          </w:cols>
          <w:pgMar w:left="1300" w:top="924" w:right="1239" w:bottom="1440" w:gutter="0" w:footer="0" w:header="0"/>
        </w:sectPr>
      </w:pPr>
    </w:p>
    <w:bookmarkStart w:id="198" w:name="page199"/>
    <w:bookmarkEnd w:id="198"/>
    <w:p>
      <w:pPr>
        <w:ind w:left="660" w:right="100" w:hanging="317"/>
        <w:spacing w:after="0" w:line="235" w:lineRule="auto"/>
        <w:tabs>
          <w:tab w:leader="none" w:pos="660" w:val="left"/>
        </w:tabs>
        <w:numPr>
          <w:ilvl w:val="0"/>
          <w:numId w:val="115"/>
        </w:numPr>
        <w:rPr>
          <w:rFonts w:ascii="Arial" w:cs="Arial" w:eastAsia="Arial" w:hAnsi="Arial"/>
          <w:sz w:val="22"/>
          <w:szCs w:val="22"/>
          <w:color w:val="auto"/>
        </w:rPr>
      </w:pPr>
      <w:r>
        <w:rPr>
          <w:rFonts w:ascii="Calibri" w:cs="Calibri" w:eastAsia="Calibri" w:hAnsi="Calibri"/>
          <w:sz w:val="22"/>
          <w:szCs w:val="22"/>
          <w:color w:val="auto"/>
        </w:rPr>
        <w:t>Major contracts, licenses, orders, suppliers, customers, or fnance sources or the loss thereof or product introductons or product defects;</w:t>
      </w:r>
    </w:p>
    <w:p>
      <w:pPr>
        <w:spacing w:after="0" w:line="216" w:lineRule="exact"/>
        <w:rPr>
          <w:rFonts w:ascii="Arial" w:cs="Arial" w:eastAsia="Arial" w:hAnsi="Arial"/>
          <w:sz w:val="22"/>
          <w:szCs w:val="22"/>
          <w:color w:val="auto"/>
        </w:rPr>
      </w:pPr>
    </w:p>
    <w:p>
      <w:pPr>
        <w:ind w:left="660" w:right="80" w:hanging="317"/>
        <w:spacing w:after="0" w:line="235" w:lineRule="auto"/>
        <w:tabs>
          <w:tab w:leader="none" w:pos="660" w:val="left"/>
        </w:tabs>
        <w:numPr>
          <w:ilvl w:val="0"/>
          <w:numId w:val="115"/>
        </w:numPr>
        <w:rPr>
          <w:rFonts w:ascii="Arial" w:cs="Arial" w:eastAsia="Arial" w:hAnsi="Arial"/>
          <w:sz w:val="22"/>
          <w:szCs w:val="22"/>
          <w:color w:val="auto"/>
        </w:rPr>
      </w:pPr>
      <w:r>
        <w:rPr>
          <w:rFonts w:ascii="Calibri" w:cs="Calibri" w:eastAsia="Calibri" w:hAnsi="Calibri"/>
          <w:sz w:val="22"/>
          <w:szCs w:val="22"/>
          <w:color w:val="auto"/>
        </w:rPr>
        <w:t>Status or developments in research and development, clinical trials, clinical data or relatng to intellectual property;</w:t>
      </w:r>
    </w:p>
    <w:p>
      <w:pPr>
        <w:spacing w:after="0" w:line="111" w:lineRule="exact"/>
        <w:rPr>
          <w:rFonts w:ascii="Arial" w:cs="Arial" w:eastAsia="Arial" w:hAnsi="Arial"/>
          <w:sz w:val="22"/>
          <w:szCs w:val="22"/>
          <w:color w:val="auto"/>
        </w:rPr>
      </w:pPr>
    </w:p>
    <w:p>
      <w:pPr>
        <w:ind w:left="660" w:hanging="317"/>
        <w:spacing w:after="0"/>
        <w:tabs>
          <w:tab w:leader="none" w:pos="660" w:val="left"/>
        </w:tabs>
        <w:numPr>
          <w:ilvl w:val="0"/>
          <w:numId w:val="115"/>
        </w:numPr>
        <w:rPr>
          <w:rFonts w:ascii="Arial" w:cs="Arial" w:eastAsia="Arial" w:hAnsi="Arial"/>
          <w:sz w:val="22"/>
          <w:szCs w:val="22"/>
          <w:color w:val="auto"/>
        </w:rPr>
      </w:pPr>
      <w:r>
        <w:rPr>
          <w:rFonts w:ascii="Calibri" w:cs="Calibri" w:eastAsia="Calibri" w:hAnsi="Calibri"/>
          <w:sz w:val="22"/>
          <w:szCs w:val="22"/>
          <w:color w:val="auto"/>
        </w:rPr>
        <w:t>Legal or regulatory developments, including new product approvals;</w:t>
      </w:r>
    </w:p>
    <w:p>
      <w:pPr>
        <w:spacing w:after="0" w:line="106" w:lineRule="exact"/>
        <w:rPr>
          <w:rFonts w:ascii="Arial" w:cs="Arial" w:eastAsia="Arial" w:hAnsi="Arial"/>
          <w:sz w:val="22"/>
          <w:szCs w:val="22"/>
          <w:color w:val="auto"/>
        </w:rPr>
      </w:pPr>
    </w:p>
    <w:p>
      <w:pPr>
        <w:jc w:val="both"/>
        <w:ind w:left="660" w:right="100" w:hanging="317"/>
        <w:spacing w:after="0" w:line="238" w:lineRule="auto"/>
        <w:tabs>
          <w:tab w:leader="none" w:pos="66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 xml:space="preserve">Major events involving Y-mAbs’s securites, including sales of securites, calls of securites for </w:t>
      </w:r>
      <w:r>
        <w:rPr>
          <w:rFonts w:ascii="Calibri" w:cs="Calibri" w:eastAsia="Calibri" w:hAnsi="Calibri"/>
          <w:sz w:val="22"/>
          <w:szCs w:val="22"/>
          <w:color w:val="auto"/>
        </w:rPr>
        <w:t>redempton, adopton of securites repurchase programs, opton repricings, stock splits, or changes in dividend policies;</w:t>
      </w:r>
    </w:p>
    <w:p>
      <w:pPr>
        <w:spacing w:after="0" w:line="110" w:lineRule="exact"/>
        <w:rPr>
          <w:rFonts w:ascii="Arial" w:cs="Arial" w:eastAsia="Arial" w:hAnsi="Arial"/>
          <w:sz w:val="22"/>
          <w:szCs w:val="22"/>
          <w:color w:val="auto"/>
        </w:rPr>
      </w:pPr>
    </w:p>
    <w:p>
      <w:pPr>
        <w:ind w:left="660" w:hanging="317"/>
        <w:spacing w:after="0"/>
        <w:tabs>
          <w:tab w:leader="none" w:pos="660" w:val="left"/>
        </w:tabs>
        <w:numPr>
          <w:ilvl w:val="0"/>
          <w:numId w:val="115"/>
        </w:numPr>
        <w:rPr>
          <w:rFonts w:ascii="Arial" w:cs="Arial" w:eastAsia="Arial" w:hAnsi="Arial"/>
          <w:sz w:val="22"/>
          <w:szCs w:val="22"/>
          <w:color w:val="auto"/>
        </w:rPr>
      </w:pPr>
      <w:r>
        <w:rPr>
          <w:rFonts w:ascii="Calibri" w:cs="Calibri" w:eastAsia="Calibri" w:hAnsi="Calibri"/>
          <w:sz w:val="22"/>
          <w:szCs w:val="22"/>
          <w:color w:val="auto"/>
        </w:rPr>
        <w:t>Potental signifcant mergers and acquisitons, or sale of signifcant business or asset;</w:t>
      </w:r>
    </w:p>
    <w:p>
      <w:pPr>
        <w:spacing w:after="0" w:line="93" w:lineRule="exact"/>
        <w:rPr>
          <w:rFonts w:ascii="Arial" w:cs="Arial" w:eastAsia="Arial" w:hAnsi="Arial"/>
          <w:sz w:val="22"/>
          <w:szCs w:val="22"/>
          <w:color w:val="auto"/>
        </w:rPr>
      </w:pPr>
    </w:p>
    <w:p>
      <w:pPr>
        <w:ind w:left="660" w:right="100" w:hanging="317"/>
        <w:spacing w:after="0" w:line="235" w:lineRule="auto"/>
        <w:tabs>
          <w:tab w:leader="none" w:pos="660" w:val="left"/>
        </w:tabs>
        <w:numPr>
          <w:ilvl w:val="0"/>
          <w:numId w:val="115"/>
        </w:numPr>
        <w:rPr>
          <w:rFonts w:ascii="Arial" w:cs="Arial" w:eastAsia="Arial" w:hAnsi="Arial"/>
          <w:sz w:val="22"/>
          <w:szCs w:val="22"/>
          <w:color w:val="auto"/>
        </w:rPr>
      </w:pPr>
      <w:r>
        <w:rPr>
          <w:rFonts w:ascii="Calibri" w:cs="Calibri" w:eastAsia="Calibri" w:hAnsi="Calibri"/>
          <w:sz w:val="22"/>
          <w:szCs w:val="22"/>
          <w:color w:val="auto"/>
        </w:rPr>
        <w:t>Major personnel changes, such as changes in senior management or lay-ofs and restructuring events;</w:t>
      </w:r>
    </w:p>
    <w:p>
      <w:pPr>
        <w:spacing w:after="0" w:line="122" w:lineRule="exact"/>
        <w:rPr>
          <w:rFonts w:ascii="Arial" w:cs="Arial" w:eastAsia="Arial" w:hAnsi="Arial"/>
          <w:sz w:val="22"/>
          <w:szCs w:val="22"/>
          <w:color w:val="auto"/>
        </w:rPr>
      </w:pPr>
    </w:p>
    <w:p>
      <w:pPr>
        <w:ind w:left="660" w:hanging="317"/>
        <w:spacing w:after="0"/>
        <w:tabs>
          <w:tab w:leader="none" w:pos="66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Tender ofers, proxy rights, litgaton or setlement;</w:t>
      </w:r>
    </w:p>
    <w:p>
      <w:pPr>
        <w:spacing w:after="0" w:line="87" w:lineRule="exact"/>
        <w:rPr>
          <w:rFonts w:ascii="Arial" w:cs="Arial" w:eastAsia="Arial" w:hAnsi="Arial"/>
          <w:sz w:val="22"/>
          <w:szCs w:val="22"/>
          <w:color w:val="auto"/>
        </w:rPr>
      </w:pPr>
    </w:p>
    <w:p>
      <w:pPr>
        <w:ind w:left="660" w:hanging="317"/>
        <w:spacing w:after="0"/>
        <w:tabs>
          <w:tab w:leader="none" w:pos="660" w:val="left"/>
        </w:tabs>
        <w:numPr>
          <w:ilvl w:val="0"/>
          <w:numId w:val="115"/>
        </w:numPr>
        <w:rPr>
          <w:rFonts w:ascii="Arial" w:cs="Arial" w:eastAsia="Arial" w:hAnsi="Arial"/>
          <w:sz w:val="22"/>
          <w:szCs w:val="22"/>
          <w:color w:val="auto"/>
        </w:rPr>
      </w:pPr>
      <w:r>
        <w:rPr>
          <w:rFonts w:ascii="Calibri" w:cs="Calibri" w:eastAsia="Calibri" w:hAnsi="Calibri"/>
          <w:sz w:val="22"/>
          <w:szCs w:val="22"/>
          <w:color w:val="auto"/>
        </w:rPr>
        <w:t>Impending bankruptcy;</w:t>
      </w:r>
    </w:p>
    <w:p>
      <w:pPr>
        <w:spacing w:after="0" w:line="82" w:lineRule="exact"/>
        <w:rPr>
          <w:rFonts w:ascii="Arial" w:cs="Arial" w:eastAsia="Arial" w:hAnsi="Arial"/>
          <w:sz w:val="22"/>
          <w:szCs w:val="22"/>
          <w:color w:val="auto"/>
        </w:rPr>
      </w:pPr>
    </w:p>
    <w:p>
      <w:pPr>
        <w:ind w:left="660" w:hanging="317"/>
        <w:spacing w:after="0"/>
        <w:tabs>
          <w:tab w:leader="none" w:pos="660" w:val="left"/>
        </w:tabs>
        <w:numPr>
          <w:ilvl w:val="0"/>
          <w:numId w:val="115"/>
        </w:numPr>
        <w:rPr>
          <w:rFonts w:ascii="Arial" w:cs="Arial" w:eastAsia="Arial" w:hAnsi="Arial"/>
          <w:sz w:val="22"/>
          <w:szCs w:val="22"/>
          <w:color w:val="auto"/>
        </w:rPr>
      </w:pPr>
      <w:r>
        <w:rPr>
          <w:rFonts w:ascii="Calibri" w:cs="Calibri" w:eastAsia="Calibri" w:hAnsi="Calibri"/>
          <w:sz w:val="22"/>
          <w:szCs w:val="22"/>
          <w:color w:val="auto"/>
        </w:rPr>
        <w:t>Disrupton in operatons or unauthorized access of property or assets; and</w:t>
      </w:r>
    </w:p>
    <w:p>
      <w:pPr>
        <w:spacing w:after="0" w:line="95" w:lineRule="exact"/>
        <w:rPr>
          <w:rFonts w:ascii="Arial" w:cs="Arial" w:eastAsia="Arial" w:hAnsi="Arial"/>
          <w:sz w:val="22"/>
          <w:szCs w:val="22"/>
          <w:color w:val="auto"/>
        </w:rPr>
      </w:pPr>
    </w:p>
    <w:p>
      <w:pPr>
        <w:ind w:left="660" w:hanging="317"/>
        <w:spacing w:after="0"/>
        <w:tabs>
          <w:tab w:leader="none" w:pos="660" w:val="left"/>
        </w:tabs>
        <w:numPr>
          <w:ilvl w:val="0"/>
          <w:numId w:val="115"/>
        </w:numPr>
        <w:rPr>
          <w:rFonts w:ascii="Arial" w:cs="Arial" w:eastAsia="Arial" w:hAnsi="Arial"/>
          <w:sz w:val="22"/>
          <w:szCs w:val="22"/>
          <w:color w:val="auto"/>
        </w:rPr>
      </w:pPr>
      <w:r>
        <w:rPr>
          <w:rFonts w:ascii="Calibri" w:cs="Calibri" w:eastAsia="Calibri" w:hAnsi="Calibri"/>
          <w:sz w:val="22"/>
          <w:szCs w:val="22"/>
          <w:color w:val="auto"/>
        </w:rPr>
        <w:t>Cybersecurity incidents.</w:t>
      </w:r>
    </w:p>
    <w:p>
      <w:pPr>
        <w:spacing w:after="0" w:line="228" w:lineRule="exact"/>
        <w:rPr>
          <w:sz w:val="20"/>
          <w:szCs w:val="20"/>
          <w:color w:val="auto"/>
        </w:rPr>
      </w:pPr>
    </w:p>
    <w:p>
      <w:pPr>
        <w:jc w:val="both"/>
        <w:ind w:right="80"/>
        <w:spacing w:after="0" w:line="372" w:lineRule="auto"/>
        <w:rPr>
          <w:sz w:val="20"/>
          <w:szCs w:val="20"/>
          <w:color w:val="auto"/>
        </w:rPr>
      </w:pPr>
      <w:r>
        <w:rPr>
          <w:rFonts w:ascii="Arial" w:cs="Arial" w:eastAsia="Arial" w:hAnsi="Arial"/>
          <w:sz w:val="19"/>
          <w:szCs w:val="19"/>
          <w:color w:val="auto"/>
        </w:rPr>
        <w:t xml:space="preserve">If you have any questons as to whether informaton should be considered “material,” you should consult with the Compliance Ofcer. In general, it is advisable to resolve any close questons as to the materiality of any informaton by assuming that the informaton is material. </w:t>
      </w:r>
      <w:r>
        <w:rPr>
          <w:rFonts w:ascii="Calibri" w:cs="Calibri" w:eastAsia="Calibri" w:hAnsi="Calibri"/>
          <w:sz w:val="19"/>
          <w:szCs w:val="19"/>
          <w:b w:val="1"/>
          <w:bCs w:val="1"/>
          <w:color w:val="auto"/>
        </w:rPr>
        <w:t>B. “Non-Public” Informaton.</w:t>
      </w:r>
    </w:p>
    <w:p>
      <w:pPr>
        <w:spacing w:after="0" w:line="57" w:lineRule="exact"/>
        <w:rPr>
          <w:sz w:val="20"/>
          <w:szCs w:val="20"/>
          <w:color w:val="auto"/>
        </w:rPr>
      </w:pPr>
    </w:p>
    <w:p>
      <w:pPr>
        <w:jc w:val="both"/>
        <w:ind w:right="80"/>
        <w:spacing w:after="0" w:line="242" w:lineRule="auto"/>
        <w:rPr>
          <w:sz w:val="20"/>
          <w:szCs w:val="20"/>
          <w:color w:val="auto"/>
        </w:rPr>
      </w:pPr>
      <w:r>
        <w:rPr>
          <w:rFonts w:ascii="Calibri" w:cs="Calibri" w:eastAsia="Calibri" w:hAnsi="Calibri"/>
          <w:sz w:val="22"/>
          <w:szCs w:val="22"/>
          <w:color w:val="auto"/>
        </w:rPr>
        <w:t xml:space="preserve">Informaton is considered non-public untl it has been broadly disseminated by the Company to the public through a widely circulated news or wire service (such as PR Newswire, MarketWired, Bloomberg, Dow Jones, etc.), through a pre-announced public webcast, or through a public fling with the SEC. The informaton disseminated must be some form of authorized “ofcial” announcement or disclosure by </w:t>
      </w:r>
      <w:r>
        <w:rPr>
          <w:rFonts w:ascii="Arial" w:cs="Arial" w:eastAsia="Arial" w:hAnsi="Arial"/>
          <w:sz w:val="22"/>
          <w:szCs w:val="22"/>
          <w:color w:val="auto"/>
        </w:rPr>
        <w:t xml:space="preserve">YmAbs, which, in the case of informaton about the Company, must be made by the Company. In other words, the fact that rumors, speculaton, or statements published by other partes and/or atributed to unidentfed sources are public is insufcient to be considered widely disseminated even when the rumors, speculaton, or statements are accurate. Finally, for the purposes of this Policy, informaton will </w:t>
      </w:r>
      <w:r>
        <w:rPr>
          <w:rFonts w:ascii="Calibri" w:cs="Calibri" w:eastAsia="Calibri" w:hAnsi="Calibri"/>
          <w:sz w:val="22"/>
          <w:szCs w:val="22"/>
          <w:color w:val="auto"/>
        </w:rPr>
        <w:t xml:space="preserve">be considered non-public untl at least </w:t>
      </w:r>
      <w:r>
        <w:rPr>
          <w:rFonts w:ascii="Calibri" w:cs="Calibri" w:eastAsia="Calibri" w:hAnsi="Calibri"/>
          <w:sz w:val="22"/>
          <w:szCs w:val="22"/>
          <w:b w:val="1"/>
          <w:bCs w:val="1"/>
          <w:color w:val="auto"/>
        </w:rPr>
        <w:t>two full trading days</w:t>
      </w:r>
      <w:r>
        <w:rPr>
          <w:rFonts w:ascii="Calibri" w:cs="Calibri" w:eastAsia="Calibri" w:hAnsi="Calibri"/>
          <w:sz w:val="22"/>
          <w:szCs w:val="22"/>
          <w:color w:val="auto"/>
        </w:rPr>
        <w:t xml:space="preserve"> have elapsed following the Company’s widespread public release of the informaton. Any questons as to whether informaton is non-public should be directed to the Compliance Ofcer.</w:t>
      </w:r>
    </w:p>
    <w:p>
      <w:pPr>
        <w:spacing w:after="0" w:line="214" w:lineRule="exact"/>
        <w:rPr>
          <w:sz w:val="20"/>
          <w:szCs w:val="20"/>
          <w:color w:val="auto"/>
        </w:rPr>
      </w:pPr>
    </w:p>
    <w:p>
      <w:pPr>
        <w:jc w:val="both"/>
        <w:ind w:right="80"/>
        <w:spacing w:after="0" w:line="242" w:lineRule="auto"/>
        <w:rPr>
          <w:sz w:val="20"/>
          <w:szCs w:val="20"/>
          <w:color w:val="auto"/>
        </w:rPr>
      </w:pPr>
      <w:r>
        <w:rPr>
          <w:rFonts w:ascii="Arial" w:cs="Arial" w:eastAsia="Arial" w:hAnsi="Arial"/>
          <w:sz w:val="22"/>
          <w:szCs w:val="22"/>
          <w:color w:val="auto"/>
        </w:rPr>
        <w:t>The term “</w:t>
      </w:r>
      <w:r>
        <w:rPr>
          <w:rFonts w:ascii="Calibri" w:cs="Calibri" w:eastAsia="Calibri" w:hAnsi="Calibri"/>
          <w:sz w:val="22"/>
          <w:szCs w:val="22"/>
          <w:b w:val="1"/>
          <w:bCs w:val="1"/>
          <w:color w:val="auto"/>
        </w:rPr>
        <w:t>trading day</w:t>
      </w:r>
      <w:r>
        <w:rPr>
          <w:rFonts w:ascii="Arial" w:cs="Arial" w:eastAsia="Arial" w:hAnsi="Arial"/>
          <w:sz w:val="22"/>
          <w:szCs w:val="22"/>
          <w:color w:val="auto"/>
        </w:rPr>
        <w:t>” means a day on which natonal stock exchanges are open for trading. A “</w:t>
      </w:r>
      <w:r>
        <w:rPr>
          <w:rFonts w:ascii="Calibri" w:cs="Calibri" w:eastAsia="Calibri" w:hAnsi="Calibri"/>
          <w:sz w:val="22"/>
          <w:szCs w:val="22"/>
          <w:b w:val="1"/>
          <w:bCs w:val="1"/>
          <w:color w:val="auto"/>
        </w:rPr>
        <w:t>full</w:t>
      </w:r>
      <w:r>
        <w:rPr>
          <w:rFonts w:ascii="Arial" w:cs="Arial" w:eastAsia="Arial" w:hAnsi="Arial"/>
          <w:sz w:val="22"/>
          <w:szCs w:val="22"/>
          <w:color w:val="auto"/>
        </w:rPr>
        <w:t>” trading day has elapsed when, afer the public disclosure, trading in the relevant security has opened and then closed.</w:t>
      </w:r>
    </w:p>
    <w:p>
      <w:pPr>
        <w:spacing w:after="0" w:line="232" w:lineRule="exact"/>
        <w:rPr>
          <w:sz w:val="20"/>
          <w:szCs w:val="20"/>
          <w:color w:val="auto"/>
        </w:rPr>
      </w:pPr>
    </w:p>
    <w:p>
      <w:pPr>
        <w:ind w:left="2780"/>
        <w:spacing w:after="0"/>
        <w:tabs>
          <w:tab w:leader="none" w:pos="3340" w:val="left"/>
        </w:tabs>
        <w:rPr>
          <w:sz w:val="20"/>
          <w:szCs w:val="20"/>
          <w:color w:val="auto"/>
        </w:rPr>
      </w:pPr>
      <w:r>
        <w:rPr>
          <w:rFonts w:ascii="Calibri" w:cs="Calibri" w:eastAsia="Calibri" w:hAnsi="Calibri"/>
          <w:sz w:val="22"/>
          <w:szCs w:val="22"/>
          <w:b w:val="1"/>
          <w:bCs w:val="1"/>
          <w:color w:val="auto"/>
        </w:rPr>
        <w:t>IX.</w:t>
      </w:r>
      <w:r>
        <w:rPr>
          <w:sz w:val="20"/>
          <w:szCs w:val="20"/>
          <w:color w:val="auto"/>
        </w:rPr>
        <w:tab/>
      </w:r>
      <w:r>
        <w:rPr>
          <w:rFonts w:ascii="Calibri" w:cs="Calibri" w:eastAsia="Calibri" w:hAnsi="Calibri"/>
          <w:sz w:val="22"/>
          <w:szCs w:val="22"/>
          <w:b w:val="1"/>
          <w:bCs w:val="1"/>
          <w:color w:val="auto"/>
        </w:rPr>
        <w:t>TRADING BLACKOUT PERIODS</w:t>
      </w:r>
    </w:p>
    <w:p>
      <w:pPr>
        <w:spacing w:after="0" w:line="201" w:lineRule="exact"/>
        <w:rPr>
          <w:sz w:val="20"/>
          <w:szCs w:val="20"/>
          <w:color w:val="auto"/>
        </w:rPr>
      </w:pPr>
    </w:p>
    <w:p>
      <w:pPr>
        <w:jc w:val="both"/>
        <w:ind w:left="340" w:right="80" w:hanging="321"/>
        <w:spacing w:after="0" w:line="242" w:lineRule="auto"/>
        <w:tabs>
          <w:tab w:leader="none" w:pos="340" w:val="left"/>
        </w:tabs>
        <w:numPr>
          <w:ilvl w:val="0"/>
          <w:numId w:val="116"/>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Trading Only When Trading Window is Open. </w:t>
      </w:r>
      <w:r>
        <w:rPr>
          <w:rFonts w:ascii="Arial" w:cs="Arial" w:eastAsia="Arial" w:hAnsi="Arial"/>
          <w:sz w:val="22"/>
          <w:szCs w:val="22"/>
          <w:color w:val="auto"/>
        </w:rPr>
        <w:t>To limit the likelihood of trading at tmes when there is</w:t>
      </w:r>
      <w:r>
        <w:rPr>
          <w:rFonts w:ascii="Calibri" w:cs="Calibri" w:eastAsia="Calibri" w:hAnsi="Calibri"/>
          <w:sz w:val="22"/>
          <w:szCs w:val="22"/>
          <w:b w:val="1"/>
          <w:bCs w:val="1"/>
          <w:color w:val="auto"/>
        </w:rPr>
        <w:t xml:space="preserve"> </w:t>
      </w:r>
      <w:r>
        <w:rPr>
          <w:rFonts w:ascii="Arial" w:cs="Arial" w:eastAsia="Arial" w:hAnsi="Arial"/>
          <w:sz w:val="22"/>
          <w:szCs w:val="22"/>
          <w:color w:val="auto"/>
        </w:rPr>
        <w:t>a signifcant risk of insider trading exposure, Y-mAbs has insttuted quarterly trading blackout periods and may insttute special trading blackout periods from tme to tme.</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4640" w:type="dxa"/>
            <w:vAlign w:val="bottom"/>
          </w:tcPr>
          <w:p>
            <w:pPr>
              <w:spacing w:after="0"/>
              <w:rPr>
                <w:sz w:val="20"/>
                <w:szCs w:val="20"/>
                <w:color w:val="auto"/>
              </w:rPr>
            </w:pPr>
            <w:r>
              <w:rPr>
                <w:rFonts w:ascii="Arial" w:cs="Arial" w:eastAsia="Arial" w:hAnsi="Arial"/>
                <w:sz w:val="22"/>
                <w:szCs w:val="22"/>
                <w:color w:val="auto"/>
              </w:rPr>
              <w:t>‌</w:t>
            </w:r>
          </w:p>
        </w:tc>
        <w:tc>
          <w:tcPr>
            <w:tcW w:w="4700" w:type="dxa"/>
            <w:vAlign w:val="bottom"/>
          </w:tcPr>
          <w:p>
            <w:pPr>
              <w:jc w:val="right"/>
              <w:spacing w:after="0"/>
              <w:rPr>
                <w:sz w:val="20"/>
                <w:szCs w:val="20"/>
                <w:color w:val="auto"/>
              </w:rPr>
            </w:pPr>
            <w:r>
              <w:rPr>
                <w:rFonts w:ascii="Calibri" w:cs="Calibri" w:eastAsia="Calibri" w:hAnsi="Calibri"/>
                <w:sz w:val="18"/>
                <w:szCs w:val="18"/>
                <w:color w:val="auto"/>
              </w:rPr>
              <w:t>7</w:t>
            </w:r>
          </w:p>
        </w:tc>
      </w:tr>
      <w:tr>
        <w:trPr>
          <w:trHeight w:val="819"/>
        </w:trPr>
        <w:tc>
          <w:tcPr>
            <w:tcW w:w="46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9360"/>
          </w:cols>
          <w:pgMar w:left="1300" w:top="908" w:right="1239" w:bottom="1440" w:gutter="0" w:footer="0" w:header="0"/>
        </w:sectPr>
      </w:pPr>
    </w:p>
    <w:bookmarkStart w:id="199" w:name="page200"/>
    <w:bookmarkEnd w:id="199"/>
    <w:p>
      <w:pPr>
        <w:jc w:val="both"/>
        <w:ind w:left="340" w:right="80" w:hanging="321"/>
        <w:spacing w:after="0" w:line="242" w:lineRule="auto"/>
        <w:tabs>
          <w:tab w:leader="none" w:pos="340" w:val="left"/>
        </w:tabs>
        <w:numPr>
          <w:ilvl w:val="0"/>
          <w:numId w:val="117"/>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No Trading While Aware of Material Non-public Informaton. </w:t>
      </w:r>
      <w:r>
        <w:rPr>
          <w:rFonts w:ascii="Calibri" w:cs="Calibri" w:eastAsia="Calibri" w:hAnsi="Calibri"/>
          <w:sz w:val="22"/>
          <w:szCs w:val="22"/>
          <w:color w:val="auto"/>
        </w:rPr>
        <w:t>It is important to note that whether or</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 xml:space="preserve">not you are subject to blackout periods, you remain subject to the prohibitons on trading while in possession of material non-public informaton and any other applicable restrictons in this Policy. The U.S. federal securites laws do not recognize any mitgatng circumstances to insider trading. In </w:t>
      </w:r>
      <w:r>
        <w:rPr>
          <w:rFonts w:ascii="Arial" w:cs="Arial" w:eastAsia="Arial" w:hAnsi="Arial"/>
          <w:sz w:val="22"/>
          <w:szCs w:val="22"/>
          <w:color w:val="auto"/>
        </w:rPr>
        <w:t xml:space="preserve">additon, even the appearance of an improper transacton must be avoided to preserve the Company’s reputaton for adhering to the highest standards of conduct. In some circumstances, you may need to forgo a planned transacton even if you planned it before becoming aware of the </w:t>
      </w:r>
      <w:r>
        <w:rPr>
          <w:rFonts w:ascii="Calibri" w:cs="Calibri" w:eastAsia="Calibri" w:hAnsi="Calibri"/>
          <w:sz w:val="22"/>
          <w:szCs w:val="22"/>
          <w:color w:val="auto"/>
        </w:rPr>
        <w:t>material nonpublic informaton. So, even if you believe you may sufer an economic loss or sacrifce an antcipated proft by waitng to trade, you must wait.</w:t>
      </w:r>
    </w:p>
    <w:p>
      <w:pPr>
        <w:spacing w:after="0" w:line="199" w:lineRule="exact"/>
        <w:rPr>
          <w:rFonts w:ascii="Calibri" w:cs="Calibri" w:eastAsia="Calibri" w:hAnsi="Calibri"/>
          <w:sz w:val="22"/>
          <w:szCs w:val="22"/>
          <w:b w:val="1"/>
          <w:bCs w:val="1"/>
          <w:color w:val="auto"/>
        </w:rPr>
      </w:pPr>
    </w:p>
    <w:p>
      <w:pPr>
        <w:jc w:val="both"/>
        <w:ind w:left="340" w:right="80" w:hanging="321"/>
        <w:spacing w:after="0" w:line="237" w:lineRule="auto"/>
        <w:tabs>
          <w:tab w:leader="none" w:pos="340" w:val="left"/>
        </w:tabs>
        <w:numPr>
          <w:ilvl w:val="0"/>
          <w:numId w:val="117"/>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Quarterly Blackout Periods. </w:t>
      </w:r>
      <w:r>
        <w:rPr>
          <w:rFonts w:ascii="Calibri" w:cs="Calibri" w:eastAsia="Calibri" w:hAnsi="Calibri"/>
          <w:sz w:val="22"/>
          <w:szCs w:val="22"/>
          <w:color w:val="auto"/>
        </w:rPr>
        <w:t>Except as discussed in “Limited Exceptons,” Directors and Ofcers and</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Other Insiders must not trade Y-mAbs’s securites during quarterly blackout periods. From tme to tme, Y-mAbs may identfy other persons who should be subject to Quarterly Blackout Periods. The Compliance Ofcer may update and revise the persons who are designated as Other Insiders. Even when a Quarterly Blackout Period is not in efect, an individual may be subject to other trading restrictons under this Policy.</w:t>
      </w:r>
    </w:p>
    <w:p>
      <w:pPr>
        <w:spacing w:after="0" w:line="231" w:lineRule="exact"/>
        <w:rPr>
          <w:rFonts w:ascii="Calibri" w:cs="Calibri" w:eastAsia="Calibri" w:hAnsi="Calibri"/>
          <w:sz w:val="22"/>
          <w:szCs w:val="22"/>
          <w:b w:val="1"/>
          <w:bCs w:val="1"/>
          <w:color w:val="auto"/>
        </w:rPr>
      </w:pPr>
    </w:p>
    <w:p>
      <w:pPr>
        <w:jc w:val="both"/>
        <w:ind w:left="340" w:right="80" w:hanging="321"/>
        <w:spacing w:after="0" w:line="237" w:lineRule="auto"/>
        <w:tabs>
          <w:tab w:leader="none" w:pos="340" w:val="left"/>
        </w:tabs>
        <w:numPr>
          <w:ilvl w:val="0"/>
          <w:numId w:val="117"/>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Duraton of Quarterly Blackout Periods. </w:t>
      </w:r>
      <w:r>
        <w:rPr>
          <w:rFonts w:ascii="Calibri" w:cs="Calibri" w:eastAsia="Calibri" w:hAnsi="Calibri"/>
          <w:sz w:val="22"/>
          <w:szCs w:val="22"/>
          <w:color w:val="auto"/>
        </w:rPr>
        <w:t>The “</w:t>
      </w:r>
      <w:r>
        <w:rPr>
          <w:rFonts w:ascii="Calibri" w:cs="Calibri" w:eastAsia="Calibri" w:hAnsi="Calibri"/>
          <w:sz w:val="22"/>
          <w:szCs w:val="22"/>
          <w:b w:val="1"/>
          <w:bCs w:val="1"/>
          <w:color w:val="auto"/>
        </w:rPr>
        <w:t>Quarterly Blackout Period</w:t>
      </w:r>
      <w:r>
        <w:rPr>
          <w:rFonts w:ascii="Calibri" w:cs="Calibri" w:eastAsia="Calibri" w:hAnsi="Calibri"/>
          <w:sz w:val="22"/>
          <w:szCs w:val="22"/>
          <w:color w:val="auto"/>
        </w:rPr>
        <w:t>” generally starts at the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 xml:space="preserve">beginning of the day that is two weeks prior to the last day of each fscal quarter and ends afer two full trading days following the public disclosure of the fnancial results for that fscal period. Please note that the quarterly trading blackout period may commence early or may be extended if, in the judgment of the Chief Executve Ofcer, Chief Financial Ofcer or General Counsel, there exists undisclosed informaton that would make trades by Y-mAbs employees, directors or designated consultants inappropriate. It is important to note that the fact that the quarterly trading blackout period has commenced early or has been extended should be considered material non-public </w:t>
      </w:r>
      <w:r>
        <w:rPr>
          <w:rFonts w:ascii="Arial" w:cs="Arial" w:eastAsia="Arial" w:hAnsi="Arial"/>
          <w:sz w:val="22"/>
          <w:szCs w:val="22"/>
          <w:color w:val="auto"/>
        </w:rPr>
        <w:t>informaton that should not be communicated to any other person.</w:t>
      </w:r>
    </w:p>
    <w:p>
      <w:pPr>
        <w:spacing w:after="0" w:line="218" w:lineRule="exact"/>
        <w:rPr>
          <w:rFonts w:ascii="Calibri" w:cs="Calibri" w:eastAsia="Calibri" w:hAnsi="Calibri"/>
          <w:sz w:val="22"/>
          <w:szCs w:val="22"/>
          <w:b w:val="1"/>
          <w:bCs w:val="1"/>
          <w:color w:val="auto"/>
        </w:rPr>
      </w:pPr>
    </w:p>
    <w:p>
      <w:pPr>
        <w:jc w:val="both"/>
        <w:ind w:left="340" w:right="80" w:hanging="321"/>
        <w:spacing w:after="0" w:line="236" w:lineRule="auto"/>
        <w:tabs>
          <w:tab w:leader="none" w:pos="340" w:val="left"/>
        </w:tabs>
        <w:numPr>
          <w:ilvl w:val="0"/>
          <w:numId w:val="117"/>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Notfcaton of the End of Quarterly Blackout Period. </w:t>
      </w:r>
      <w:r>
        <w:rPr>
          <w:rFonts w:ascii="Arial" w:cs="Arial" w:eastAsia="Arial" w:hAnsi="Arial"/>
          <w:sz w:val="22"/>
          <w:szCs w:val="22"/>
          <w:color w:val="auto"/>
        </w:rPr>
        <w:t>If this Secton IX applies to you, Y-mAbs will</w:t>
      </w:r>
      <w:r>
        <w:rPr>
          <w:rFonts w:ascii="Calibri" w:cs="Calibri" w:eastAsia="Calibri" w:hAnsi="Calibri"/>
          <w:sz w:val="22"/>
          <w:szCs w:val="22"/>
          <w:b w:val="1"/>
          <w:bCs w:val="1"/>
          <w:color w:val="auto"/>
        </w:rPr>
        <w:t xml:space="preserve"> </w:t>
      </w:r>
      <w:r>
        <w:rPr>
          <w:rFonts w:ascii="Arial" w:cs="Arial" w:eastAsia="Arial" w:hAnsi="Arial"/>
          <w:sz w:val="22"/>
          <w:szCs w:val="22"/>
          <w:color w:val="auto"/>
        </w:rPr>
        <w:t xml:space="preserve">notfy you when each Quarterly Blackout Period starts and ends so that you will know when you may </w:t>
      </w:r>
      <w:r>
        <w:rPr>
          <w:rFonts w:ascii="Calibri" w:cs="Calibri" w:eastAsia="Calibri" w:hAnsi="Calibri"/>
          <w:sz w:val="22"/>
          <w:szCs w:val="22"/>
          <w:color w:val="auto"/>
        </w:rPr>
        <w:t>and may not trade Y-mAbs’s securites. Individuals subject to this Secton IX are responsible for complying with the blackout period described in this Policy regardless of whether you receive notfcaton from Y-mAbs about the period.</w:t>
      </w:r>
    </w:p>
    <w:p>
      <w:pPr>
        <w:spacing w:after="0" w:line="218" w:lineRule="exact"/>
        <w:rPr>
          <w:rFonts w:ascii="Calibri" w:cs="Calibri" w:eastAsia="Calibri" w:hAnsi="Calibri"/>
          <w:sz w:val="22"/>
          <w:szCs w:val="22"/>
          <w:b w:val="1"/>
          <w:bCs w:val="1"/>
          <w:color w:val="auto"/>
        </w:rPr>
      </w:pPr>
    </w:p>
    <w:p>
      <w:pPr>
        <w:jc w:val="both"/>
        <w:ind w:left="340" w:right="80" w:hanging="321"/>
        <w:spacing w:after="0" w:line="236" w:lineRule="auto"/>
        <w:tabs>
          <w:tab w:leader="none" w:pos="340" w:val="left"/>
        </w:tabs>
        <w:numPr>
          <w:ilvl w:val="0"/>
          <w:numId w:val="117"/>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Special Blackout Periods. </w:t>
      </w:r>
      <w:r>
        <w:rPr>
          <w:rFonts w:ascii="Calibri" w:cs="Calibri" w:eastAsia="Calibri" w:hAnsi="Calibri"/>
          <w:sz w:val="22"/>
          <w:szCs w:val="22"/>
          <w:color w:val="auto"/>
        </w:rPr>
        <w:t>From tme to tme, Y-mAbs may also prohibit you from engaging in</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 xml:space="preserve">transactons involving Y-mAbs’s securites when, in the judgment of the Compliance Ofcer, a trading blackout is warranted. Y-mAbs will generally impose special blackout periods when there are material developments known to Y-mAbs that have not yet been disclosed to the public. Special blackout </w:t>
      </w:r>
      <w:r>
        <w:rPr>
          <w:rFonts w:ascii="Arial" w:cs="Arial" w:eastAsia="Arial" w:hAnsi="Arial"/>
          <w:sz w:val="22"/>
          <w:szCs w:val="22"/>
          <w:color w:val="auto"/>
        </w:rPr>
        <w:t>periods may be declared for any reason at the discreton of the Compliance Ofcer.</w:t>
      </w:r>
    </w:p>
    <w:p>
      <w:pPr>
        <w:spacing w:after="0" w:line="219" w:lineRule="exact"/>
        <w:rPr>
          <w:sz w:val="20"/>
          <w:szCs w:val="20"/>
          <w:color w:val="auto"/>
        </w:rPr>
      </w:pPr>
    </w:p>
    <w:p>
      <w:pPr>
        <w:jc w:val="both"/>
        <w:ind w:right="200"/>
        <w:spacing w:after="0" w:line="242" w:lineRule="auto"/>
        <w:rPr>
          <w:sz w:val="20"/>
          <w:szCs w:val="20"/>
          <w:color w:val="auto"/>
        </w:rPr>
      </w:pPr>
      <w:r>
        <w:rPr>
          <w:rFonts w:ascii="Calibri" w:cs="Calibri" w:eastAsia="Calibri" w:hAnsi="Calibri"/>
          <w:sz w:val="22"/>
          <w:szCs w:val="22"/>
          <w:b w:val="1"/>
          <w:bCs w:val="1"/>
          <w:color w:val="auto"/>
        </w:rPr>
        <w:t>Y-MABS WILL NOTIFY YOU IF YOU ARE SUBJECT TO A SPECIAL BLACKOUT PERIOD, IN WHICH CASE YOU MAY NOT TRADE Y-MABS’S SECURITIES UNTIL INSTRUCTED THAT IT IS PERMISSIBLE, AND YOU SHOULD NOT DISCLOSE THE EXISTENCE OF THE SPECIAL BLACKOUT PERIOD TO OTHERS.</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4640" w:type="dxa"/>
            <w:vAlign w:val="bottom"/>
          </w:tcPr>
          <w:p>
            <w:pPr>
              <w:spacing w:after="0"/>
              <w:rPr>
                <w:sz w:val="20"/>
                <w:szCs w:val="20"/>
                <w:color w:val="auto"/>
              </w:rPr>
            </w:pPr>
            <w:r>
              <w:rPr>
                <w:rFonts w:ascii="Arial" w:cs="Arial" w:eastAsia="Arial" w:hAnsi="Arial"/>
                <w:sz w:val="22"/>
                <w:szCs w:val="22"/>
                <w:color w:val="auto"/>
              </w:rPr>
              <w:t>‌</w:t>
            </w:r>
          </w:p>
        </w:tc>
        <w:tc>
          <w:tcPr>
            <w:tcW w:w="4700" w:type="dxa"/>
            <w:vAlign w:val="bottom"/>
          </w:tcPr>
          <w:p>
            <w:pPr>
              <w:jc w:val="right"/>
              <w:spacing w:after="0"/>
              <w:rPr>
                <w:sz w:val="20"/>
                <w:szCs w:val="20"/>
                <w:color w:val="auto"/>
              </w:rPr>
            </w:pPr>
            <w:r>
              <w:rPr>
                <w:rFonts w:ascii="Calibri" w:cs="Calibri" w:eastAsia="Calibri" w:hAnsi="Calibri"/>
                <w:sz w:val="18"/>
                <w:szCs w:val="18"/>
                <w:color w:val="auto"/>
              </w:rPr>
              <w:t>8</w:t>
            </w:r>
          </w:p>
        </w:tc>
      </w:tr>
      <w:tr>
        <w:trPr>
          <w:trHeight w:val="819"/>
        </w:trPr>
        <w:tc>
          <w:tcPr>
            <w:tcW w:w="46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9360"/>
          </w:cols>
          <w:pgMar w:left="1300" w:top="908" w:right="1239" w:bottom="1440" w:gutter="0" w:footer="0" w:header="0"/>
        </w:sectPr>
      </w:pPr>
    </w:p>
    <w:bookmarkStart w:id="200" w:name="page201"/>
    <w:bookmarkEnd w:id="200"/>
    <w:p>
      <w:pPr>
        <w:ind w:left="3440" w:hanging="510"/>
        <w:spacing w:after="0"/>
        <w:tabs>
          <w:tab w:leader="none" w:pos="3440" w:val="left"/>
        </w:tabs>
        <w:numPr>
          <w:ilvl w:val="0"/>
          <w:numId w:val="118"/>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PRE-CLEARANCE OF TRADES</w:t>
      </w:r>
    </w:p>
    <w:p>
      <w:pPr>
        <w:spacing w:after="0" w:line="201" w:lineRule="exact"/>
        <w:rPr>
          <w:sz w:val="20"/>
          <w:szCs w:val="20"/>
          <w:color w:val="auto"/>
        </w:rPr>
      </w:pPr>
    </w:p>
    <w:p>
      <w:pPr>
        <w:jc w:val="both"/>
        <w:ind w:right="80"/>
        <w:spacing w:after="0" w:line="235" w:lineRule="auto"/>
        <w:rPr>
          <w:sz w:val="20"/>
          <w:szCs w:val="20"/>
          <w:color w:val="auto"/>
        </w:rPr>
      </w:pPr>
      <w:r>
        <w:rPr>
          <w:rFonts w:ascii="Calibri" w:cs="Calibri" w:eastAsia="Calibri" w:hAnsi="Calibri"/>
          <w:sz w:val="22"/>
          <w:szCs w:val="22"/>
          <w:color w:val="auto"/>
        </w:rPr>
        <w:t>Directors and Ofcers and Other Insiders, including family members of the foregoing and trusts, corporatons and other enttes controlled by the foregoing (collectvely, “</w:t>
      </w:r>
      <w:r>
        <w:rPr>
          <w:rFonts w:ascii="Calibri" w:cs="Calibri" w:eastAsia="Calibri" w:hAnsi="Calibri"/>
          <w:sz w:val="22"/>
          <w:szCs w:val="22"/>
          <w:b w:val="1"/>
          <w:bCs w:val="1"/>
          <w:color w:val="auto"/>
        </w:rPr>
        <w:t>Pre-Clearance Individuals</w:t>
      </w:r>
      <w:r>
        <w:rPr>
          <w:rFonts w:ascii="Calibri" w:cs="Calibri" w:eastAsia="Calibri" w:hAnsi="Calibri"/>
          <w:sz w:val="22"/>
          <w:szCs w:val="22"/>
          <w:color w:val="auto"/>
        </w:rPr>
        <w:t>”) must refrain from trading Y-mAbs’s securites (including opton exercises, gifs, contributons to a trust or other contributons) without frst obtaining pre</w:t>
      </w:r>
      <w:r>
        <w:rPr>
          <w:rFonts w:ascii="Calibri" w:cs="Calibri" w:eastAsia="Calibri" w:hAnsi="Calibri"/>
          <w:sz w:val="22"/>
          <w:szCs w:val="22"/>
          <w:b w:val="1"/>
          <w:bCs w:val="1"/>
          <w:color w:val="auto"/>
        </w:rPr>
        <w:t>-</w:t>
      </w:r>
      <w:r>
        <w:rPr>
          <w:rFonts w:ascii="Calibri" w:cs="Calibri" w:eastAsia="Calibri" w:hAnsi="Calibri"/>
          <w:sz w:val="22"/>
          <w:szCs w:val="22"/>
          <w:color w:val="auto"/>
        </w:rPr>
        <w:t>clearance of the transacton from the Compliance Ofcer.</w:t>
      </w:r>
    </w:p>
    <w:p>
      <w:pPr>
        <w:spacing w:after="0" w:line="200" w:lineRule="exact"/>
        <w:rPr>
          <w:sz w:val="20"/>
          <w:szCs w:val="20"/>
          <w:color w:val="auto"/>
        </w:rPr>
      </w:pPr>
    </w:p>
    <w:p>
      <w:pPr>
        <w:spacing w:after="0" w:line="287" w:lineRule="exact"/>
        <w:rPr>
          <w:sz w:val="20"/>
          <w:szCs w:val="20"/>
          <w:color w:val="auto"/>
        </w:rPr>
      </w:pPr>
    </w:p>
    <w:p>
      <w:pPr>
        <w:ind w:left="660" w:right="100" w:hanging="317"/>
        <w:spacing w:after="0" w:line="235" w:lineRule="auto"/>
        <w:tabs>
          <w:tab w:leader="none" w:pos="660" w:val="left"/>
        </w:tabs>
        <w:numPr>
          <w:ilvl w:val="0"/>
          <w:numId w:val="119"/>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Pre-Clearance Procedures for Pre-Clearance Individuals. </w:t>
      </w:r>
      <w:r>
        <w:rPr>
          <w:rFonts w:ascii="Arial" w:cs="Arial" w:eastAsia="Arial" w:hAnsi="Arial"/>
          <w:sz w:val="22"/>
          <w:szCs w:val="22"/>
          <w:color w:val="auto"/>
        </w:rPr>
        <w:t>Pre-Clearance Individuals may obtain</w:t>
      </w:r>
      <w:r>
        <w:rPr>
          <w:rFonts w:ascii="Calibri" w:cs="Calibri" w:eastAsia="Calibri" w:hAnsi="Calibri"/>
          <w:sz w:val="22"/>
          <w:szCs w:val="22"/>
          <w:b w:val="1"/>
          <w:bCs w:val="1"/>
          <w:color w:val="auto"/>
        </w:rPr>
        <w:t xml:space="preserve"> </w:t>
      </w:r>
      <w:r>
        <w:rPr>
          <w:rFonts w:ascii="Arial" w:cs="Arial" w:eastAsia="Arial" w:hAnsi="Arial"/>
          <w:sz w:val="22"/>
          <w:szCs w:val="22"/>
          <w:color w:val="auto"/>
        </w:rPr>
        <w:t>pre</w:t>
      </w:r>
      <w:r>
        <w:rPr>
          <w:rFonts w:ascii="Calibri" w:cs="Calibri" w:eastAsia="Calibri" w:hAnsi="Calibri"/>
          <w:sz w:val="22"/>
          <w:szCs w:val="22"/>
          <w:b w:val="1"/>
          <w:bCs w:val="1"/>
          <w:color w:val="auto"/>
        </w:rPr>
        <w:t>-</w:t>
      </w:r>
      <w:r>
        <w:rPr>
          <w:rFonts w:ascii="Arial" w:cs="Arial" w:eastAsia="Arial" w:hAnsi="Arial"/>
          <w:sz w:val="22"/>
          <w:szCs w:val="22"/>
          <w:color w:val="auto"/>
        </w:rPr>
        <w:t>clearance of a trade from the Compliance Ofcer by:</w:t>
      </w:r>
    </w:p>
    <w:p>
      <w:pPr>
        <w:spacing w:after="0" w:line="230" w:lineRule="exact"/>
        <w:rPr>
          <w:rFonts w:ascii="Calibri" w:cs="Calibri" w:eastAsia="Calibri" w:hAnsi="Calibri"/>
          <w:sz w:val="22"/>
          <w:szCs w:val="22"/>
          <w:b w:val="1"/>
          <w:bCs w:val="1"/>
          <w:color w:val="auto"/>
        </w:rPr>
      </w:pPr>
    </w:p>
    <w:p>
      <w:pPr>
        <w:jc w:val="both"/>
        <w:ind w:left="1000" w:right="80" w:hanging="333"/>
        <w:spacing w:after="0" w:line="237" w:lineRule="auto"/>
        <w:tabs>
          <w:tab w:leader="none" w:pos="1000" w:val="left"/>
        </w:tabs>
        <w:numPr>
          <w:ilvl w:val="1"/>
          <w:numId w:val="119"/>
        </w:numPr>
        <w:rPr>
          <w:rFonts w:ascii="Calibri" w:cs="Calibri" w:eastAsia="Calibri" w:hAnsi="Calibri"/>
          <w:sz w:val="22"/>
          <w:szCs w:val="22"/>
          <w:b w:val="1"/>
          <w:bCs w:val="1"/>
          <w:color w:val="auto"/>
        </w:rPr>
      </w:pPr>
      <w:r>
        <w:rPr>
          <w:rFonts w:ascii="Calibri" w:cs="Calibri" w:eastAsia="Calibri" w:hAnsi="Calibri"/>
          <w:sz w:val="22"/>
          <w:szCs w:val="22"/>
          <w:color w:val="auto"/>
        </w:rPr>
        <w:t xml:space="preserve">Emailing the Compliance Ofcer at least three business days prior to the proposed trade and </w:t>
      </w:r>
      <w:r>
        <w:rPr>
          <w:rFonts w:ascii="Arial" w:cs="Arial" w:eastAsia="Arial" w:hAnsi="Arial"/>
          <w:sz w:val="22"/>
          <w:szCs w:val="22"/>
          <w:color w:val="auto"/>
        </w:rPr>
        <w:t>receiving pre-approval for such trade during the Open Window Period. The request for preclearance should indicate the amount and nature of the proposed trade;</w:t>
      </w:r>
    </w:p>
    <w:p>
      <w:pPr>
        <w:spacing w:after="0" w:line="218" w:lineRule="exact"/>
        <w:rPr>
          <w:rFonts w:ascii="Calibri" w:cs="Calibri" w:eastAsia="Calibri" w:hAnsi="Calibri"/>
          <w:sz w:val="22"/>
          <w:szCs w:val="22"/>
          <w:b w:val="1"/>
          <w:bCs w:val="1"/>
          <w:color w:val="auto"/>
        </w:rPr>
      </w:pPr>
    </w:p>
    <w:p>
      <w:pPr>
        <w:jc w:val="both"/>
        <w:ind w:left="1000" w:right="80" w:hanging="333"/>
        <w:spacing w:after="0" w:line="239" w:lineRule="auto"/>
        <w:tabs>
          <w:tab w:leader="none" w:pos="1000" w:val="left"/>
        </w:tabs>
        <w:numPr>
          <w:ilvl w:val="1"/>
          <w:numId w:val="119"/>
        </w:numPr>
        <w:rPr>
          <w:rFonts w:ascii="Calibri" w:cs="Calibri" w:eastAsia="Calibri" w:hAnsi="Calibri"/>
          <w:sz w:val="22"/>
          <w:szCs w:val="22"/>
          <w:b w:val="1"/>
          <w:bCs w:val="1"/>
          <w:color w:val="auto"/>
        </w:rPr>
      </w:pPr>
      <w:r>
        <w:rPr>
          <w:rFonts w:ascii="Arial" w:cs="Arial" w:eastAsia="Arial" w:hAnsi="Arial"/>
          <w:sz w:val="22"/>
          <w:szCs w:val="22"/>
          <w:color w:val="auto"/>
        </w:rPr>
        <w:t xml:space="preserve">Certfying to the Compliance Ofcer in writng at least one business day prior to the proposed trade that you are not aware of material nonpublic informaton concerning Y-mAbs and that </w:t>
      </w:r>
      <w:r>
        <w:rPr>
          <w:rFonts w:ascii="Calibri" w:cs="Calibri" w:eastAsia="Calibri" w:hAnsi="Calibri"/>
          <w:sz w:val="22"/>
          <w:szCs w:val="22"/>
          <w:color w:val="auto"/>
        </w:rPr>
        <w:t>should you receive pre-approval to trade you will complete the transacton within three trading days and in no event during a blackout period;</w:t>
      </w:r>
    </w:p>
    <w:p>
      <w:pPr>
        <w:spacing w:after="0" w:line="204" w:lineRule="exact"/>
        <w:rPr>
          <w:rFonts w:ascii="Calibri" w:cs="Calibri" w:eastAsia="Calibri" w:hAnsi="Calibri"/>
          <w:sz w:val="22"/>
          <w:szCs w:val="22"/>
          <w:b w:val="1"/>
          <w:bCs w:val="1"/>
          <w:color w:val="auto"/>
        </w:rPr>
      </w:pPr>
    </w:p>
    <w:p>
      <w:pPr>
        <w:ind w:left="1000" w:hanging="333"/>
        <w:spacing w:after="0"/>
        <w:tabs>
          <w:tab w:leader="none" w:pos="1000" w:val="left"/>
        </w:tabs>
        <w:numPr>
          <w:ilvl w:val="1"/>
          <w:numId w:val="119"/>
        </w:numPr>
        <w:rPr>
          <w:rFonts w:ascii="Calibri" w:cs="Calibri" w:eastAsia="Calibri" w:hAnsi="Calibri"/>
          <w:sz w:val="22"/>
          <w:szCs w:val="22"/>
          <w:b w:val="1"/>
          <w:bCs w:val="1"/>
          <w:color w:val="auto"/>
        </w:rPr>
      </w:pPr>
      <w:r>
        <w:rPr>
          <w:rFonts w:ascii="Calibri" w:cs="Calibri" w:eastAsia="Calibri" w:hAnsi="Calibri"/>
          <w:sz w:val="22"/>
          <w:szCs w:val="22"/>
          <w:color w:val="auto"/>
        </w:rPr>
        <w:t>Approval must be in writng, specifying the securites and tming involved; and</w:t>
      </w:r>
    </w:p>
    <w:p>
      <w:pPr>
        <w:spacing w:after="0" w:line="214" w:lineRule="exact"/>
        <w:rPr>
          <w:rFonts w:ascii="Calibri" w:cs="Calibri" w:eastAsia="Calibri" w:hAnsi="Calibri"/>
          <w:sz w:val="22"/>
          <w:szCs w:val="22"/>
          <w:b w:val="1"/>
          <w:bCs w:val="1"/>
          <w:color w:val="auto"/>
        </w:rPr>
      </w:pPr>
    </w:p>
    <w:p>
      <w:pPr>
        <w:jc w:val="both"/>
        <w:ind w:left="1000" w:right="80" w:hanging="333"/>
        <w:spacing w:after="0" w:line="237" w:lineRule="auto"/>
        <w:tabs>
          <w:tab w:leader="none" w:pos="1000" w:val="left"/>
        </w:tabs>
        <w:numPr>
          <w:ilvl w:val="1"/>
          <w:numId w:val="119"/>
        </w:numPr>
        <w:rPr>
          <w:rFonts w:ascii="Calibri" w:cs="Calibri" w:eastAsia="Calibri" w:hAnsi="Calibri"/>
          <w:sz w:val="22"/>
          <w:szCs w:val="22"/>
          <w:b w:val="1"/>
          <w:bCs w:val="1"/>
          <w:color w:val="auto"/>
        </w:rPr>
      </w:pPr>
      <w:r>
        <w:rPr>
          <w:rFonts w:ascii="Calibri" w:cs="Calibri" w:eastAsia="Calibri" w:hAnsi="Calibri"/>
          <w:sz w:val="22"/>
          <w:szCs w:val="22"/>
          <w:color w:val="auto"/>
        </w:rPr>
        <w:t>If the Compliance Ofcer desires to complete any trades involving Y-mAbs’s securites, he or she must frst obtain approval of the Chief Executve Ofcer and Chief Financial Ofcer in accordance with the pre-clearance procedure described above.</w:t>
      </w:r>
    </w:p>
    <w:p>
      <w:pPr>
        <w:spacing w:after="0" w:line="216" w:lineRule="exact"/>
        <w:rPr>
          <w:rFonts w:ascii="Calibri" w:cs="Calibri" w:eastAsia="Calibri" w:hAnsi="Calibri"/>
          <w:sz w:val="22"/>
          <w:szCs w:val="22"/>
          <w:b w:val="1"/>
          <w:bCs w:val="1"/>
          <w:color w:val="auto"/>
        </w:rPr>
      </w:pPr>
    </w:p>
    <w:p>
      <w:pPr>
        <w:jc w:val="both"/>
        <w:ind w:left="660" w:right="80" w:hanging="317"/>
        <w:spacing w:after="0" w:line="246" w:lineRule="auto"/>
        <w:tabs>
          <w:tab w:leader="none" w:pos="660" w:val="left"/>
        </w:tabs>
        <w:numPr>
          <w:ilvl w:val="0"/>
          <w:numId w:val="119"/>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Trades Must be Completed Within Five Trading Days Afer Pre-Clearance</w:t>
      </w:r>
      <w:r>
        <w:rPr>
          <w:rFonts w:ascii="Calibri" w:cs="Calibri" w:eastAsia="Calibri" w:hAnsi="Calibri"/>
          <w:sz w:val="22"/>
          <w:szCs w:val="22"/>
          <w:color w:val="auto"/>
        </w:rPr>
        <w:t>. Afer the receipt of</w:t>
      </w:r>
      <w:r>
        <w:rPr>
          <w:rFonts w:ascii="Calibri" w:cs="Calibri" w:eastAsia="Calibri" w:hAnsi="Calibri"/>
          <w:sz w:val="22"/>
          <w:szCs w:val="22"/>
          <w:b w:val="1"/>
          <w:bCs w:val="1"/>
          <w:color w:val="auto"/>
        </w:rPr>
        <w:t xml:space="preserve"> </w:t>
      </w:r>
      <w:r>
        <w:rPr>
          <w:rFonts w:ascii="Arial" w:cs="Arial" w:eastAsia="Arial" w:hAnsi="Arial"/>
          <w:sz w:val="22"/>
          <w:szCs w:val="22"/>
          <w:color w:val="auto"/>
        </w:rPr>
        <w:t>pre-clearance approval, the requested trade(s) must be completed within fve trading days of the approval and, in any event, may not be afected during a blackout period. Once the approval period has expired, a new notce and certfcaton must be requested to trade in Y-mAbs’s securites.</w:t>
      </w:r>
    </w:p>
    <w:p>
      <w:pPr>
        <w:spacing w:after="0" w:line="210" w:lineRule="exact"/>
        <w:rPr>
          <w:rFonts w:ascii="Calibri" w:cs="Calibri" w:eastAsia="Calibri" w:hAnsi="Calibri"/>
          <w:sz w:val="22"/>
          <w:szCs w:val="22"/>
          <w:b w:val="1"/>
          <w:bCs w:val="1"/>
          <w:color w:val="auto"/>
        </w:rPr>
      </w:pPr>
    </w:p>
    <w:p>
      <w:pPr>
        <w:jc w:val="both"/>
        <w:ind w:left="660" w:right="80" w:hanging="317"/>
        <w:spacing w:after="0" w:line="237" w:lineRule="auto"/>
        <w:tabs>
          <w:tab w:leader="none" w:pos="660" w:val="left"/>
        </w:tabs>
        <w:numPr>
          <w:ilvl w:val="0"/>
          <w:numId w:val="119"/>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No Obligaton to Approve Trades</w:t>
      </w:r>
      <w:r>
        <w:rPr>
          <w:rFonts w:ascii="Calibri" w:cs="Calibri" w:eastAsia="Calibri" w:hAnsi="Calibri"/>
          <w:sz w:val="22"/>
          <w:szCs w:val="22"/>
          <w:color w:val="auto"/>
        </w:rPr>
        <w:t>. The Compliance Ofcer is under no obligaton to approve a</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trade submited for pre-clearance and may determine not to permit the trade at his or her discreton.</w:t>
      </w:r>
    </w:p>
    <w:p>
      <w:pPr>
        <w:spacing w:after="0" w:line="203" w:lineRule="exact"/>
        <w:rPr>
          <w:rFonts w:ascii="Calibri" w:cs="Calibri" w:eastAsia="Calibri" w:hAnsi="Calibri"/>
          <w:sz w:val="22"/>
          <w:szCs w:val="22"/>
          <w:b w:val="1"/>
          <w:bCs w:val="1"/>
          <w:color w:val="auto"/>
        </w:rPr>
      </w:pPr>
    </w:p>
    <w:p>
      <w:pPr>
        <w:jc w:val="both"/>
        <w:ind w:left="660" w:right="80" w:hanging="317"/>
        <w:spacing w:after="0" w:line="242" w:lineRule="auto"/>
        <w:tabs>
          <w:tab w:leader="none" w:pos="660" w:val="left"/>
        </w:tabs>
        <w:numPr>
          <w:ilvl w:val="0"/>
          <w:numId w:val="119"/>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Hardship Exemptons. </w:t>
      </w:r>
      <w:r>
        <w:rPr>
          <w:rFonts w:ascii="Arial" w:cs="Arial" w:eastAsia="Arial" w:hAnsi="Arial"/>
          <w:sz w:val="22"/>
          <w:szCs w:val="22"/>
          <w:color w:val="auto"/>
        </w:rPr>
        <w:t>Those subject to the blackout periods may request a hardship exempton</w:t>
      </w:r>
      <w:r>
        <w:rPr>
          <w:rFonts w:ascii="Calibri" w:cs="Calibri" w:eastAsia="Calibri" w:hAnsi="Calibri"/>
          <w:sz w:val="22"/>
          <w:szCs w:val="22"/>
          <w:b w:val="1"/>
          <w:bCs w:val="1"/>
          <w:color w:val="auto"/>
        </w:rPr>
        <w:t xml:space="preserve"> </w:t>
      </w:r>
      <w:r>
        <w:rPr>
          <w:rFonts w:ascii="Arial" w:cs="Arial" w:eastAsia="Arial" w:hAnsi="Arial"/>
          <w:sz w:val="22"/>
          <w:szCs w:val="22"/>
          <w:color w:val="auto"/>
        </w:rPr>
        <w:t xml:space="preserve">during a Blackout Period if they are not in possession of material non-public informaton and are not otherwise prohibited from trading pursuant to this Policy. Hardship exemptons are granted infrequently and only in exceptonal circumstances. Any request for a hardship exempton should </w:t>
      </w:r>
      <w:r>
        <w:rPr>
          <w:rFonts w:ascii="Calibri" w:cs="Calibri" w:eastAsia="Calibri" w:hAnsi="Calibri"/>
          <w:sz w:val="22"/>
          <w:szCs w:val="22"/>
          <w:color w:val="auto"/>
        </w:rPr>
        <w:t>be made to the Compliance Ofcer.</w:t>
      </w:r>
    </w:p>
    <w:p>
      <w:pPr>
        <w:spacing w:after="0" w:line="216" w:lineRule="exact"/>
        <w:rPr>
          <w:rFonts w:ascii="Calibri" w:cs="Calibri" w:eastAsia="Calibri" w:hAnsi="Calibri"/>
          <w:sz w:val="22"/>
          <w:szCs w:val="22"/>
          <w:b w:val="1"/>
          <w:bCs w:val="1"/>
          <w:color w:val="auto"/>
        </w:rPr>
      </w:pPr>
    </w:p>
    <w:p>
      <w:pPr>
        <w:jc w:val="both"/>
        <w:ind w:left="660" w:right="80" w:hanging="317"/>
        <w:spacing w:after="0" w:line="242" w:lineRule="auto"/>
        <w:tabs>
          <w:tab w:leader="none" w:pos="660" w:val="left"/>
        </w:tabs>
        <w:numPr>
          <w:ilvl w:val="0"/>
          <w:numId w:val="119"/>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Audit Commitee Chair Approval. </w:t>
      </w:r>
      <w:r>
        <w:rPr>
          <w:rFonts w:ascii="Calibri" w:cs="Calibri" w:eastAsia="Calibri" w:hAnsi="Calibri"/>
          <w:sz w:val="22"/>
          <w:szCs w:val="22"/>
          <w:color w:val="auto"/>
        </w:rPr>
        <w:t>The Compliance Ofcer shall be obligated to obtain approval</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 xml:space="preserve">from the Chairperson of the Audit Commitee of the Company’s board of directors before </w:t>
      </w:r>
      <w:r>
        <w:rPr>
          <w:rFonts w:ascii="Arial" w:cs="Arial" w:eastAsia="Arial" w:hAnsi="Arial"/>
          <w:sz w:val="22"/>
          <w:szCs w:val="22"/>
          <w:color w:val="auto"/>
        </w:rPr>
        <w:t>approving any proposed trades by the Company’s Chief Executve Ofcer, Chief Financial Ofcer or a Board member.</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4640" w:type="dxa"/>
            <w:vAlign w:val="bottom"/>
          </w:tcPr>
          <w:p>
            <w:pPr>
              <w:spacing w:after="0"/>
              <w:rPr>
                <w:sz w:val="20"/>
                <w:szCs w:val="20"/>
                <w:color w:val="auto"/>
              </w:rPr>
            </w:pPr>
            <w:r>
              <w:rPr>
                <w:rFonts w:ascii="Arial" w:cs="Arial" w:eastAsia="Arial" w:hAnsi="Arial"/>
                <w:sz w:val="22"/>
                <w:szCs w:val="22"/>
                <w:color w:val="auto"/>
              </w:rPr>
              <w:t>‌</w:t>
            </w:r>
          </w:p>
        </w:tc>
        <w:tc>
          <w:tcPr>
            <w:tcW w:w="4700" w:type="dxa"/>
            <w:vAlign w:val="bottom"/>
          </w:tcPr>
          <w:p>
            <w:pPr>
              <w:jc w:val="right"/>
              <w:spacing w:after="0"/>
              <w:rPr>
                <w:sz w:val="20"/>
                <w:szCs w:val="20"/>
                <w:color w:val="auto"/>
              </w:rPr>
            </w:pPr>
            <w:r>
              <w:rPr>
                <w:rFonts w:ascii="Calibri" w:cs="Calibri" w:eastAsia="Calibri" w:hAnsi="Calibri"/>
                <w:sz w:val="18"/>
                <w:szCs w:val="18"/>
                <w:color w:val="auto"/>
              </w:rPr>
              <w:t>9</w:t>
            </w:r>
          </w:p>
        </w:tc>
      </w:tr>
      <w:tr>
        <w:trPr>
          <w:trHeight w:val="805"/>
        </w:trPr>
        <w:tc>
          <w:tcPr>
            <w:tcW w:w="46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9360"/>
          </w:cols>
          <w:pgMar w:left="1300" w:top="924" w:right="1239" w:bottom="1440" w:gutter="0" w:footer="0" w:header="0"/>
        </w:sectPr>
      </w:pPr>
    </w:p>
    <w:bookmarkStart w:id="201" w:name="page202"/>
    <w:bookmarkEnd w:id="201"/>
    <w:p>
      <w:pPr>
        <w:ind w:left="2340"/>
        <w:spacing w:after="0"/>
        <w:tabs>
          <w:tab w:leader="none" w:pos="2900" w:val="left"/>
        </w:tabs>
        <w:rPr>
          <w:sz w:val="20"/>
          <w:szCs w:val="20"/>
          <w:color w:val="auto"/>
        </w:rPr>
      </w:pPr>
      <w:r>
        <w:rPr>
          <w:rFonts w:ascii="Calibri" w:cs="Calibri" w:eastAsia="Calibri" w:hAnsi="Calibri"/>
          <w:sz w:val="22"/>
          <w:szCs w:val="22"/>
          <w:b w:val="1"/>
          <w:bCs w:val="1"/>
          <w:color w:val="auto"/>
        </w:rPr>
        <w:t>XI.</w:t>
      </w:r>
      <w:r>
        <w:rPr>
          <w:sz w:val="20"/>
          <w:szCs w:val="20"/>
          <w:color w:val="auto"/>
        </w:rPr>
        <w:tab/>
      </w:r>
      <w:r>
        <w:rPr>
          <w:rFonts w:ascii="Calibri" w:cs="Calibri" w:eastAsia="Calibri" w:hAnsi="Calibri"/>
          <w:sz w:val="22"/>
          <w:szCs w:val="22"/>
          <w:b w:val="1"/>
          <w:bCs w:val="1"/>
          <w:color w:val="auto"/>
        </w:rPr>
        <w:t>10B5-1 TRADING PLAN GUIDELINES</w:t>
      </w:r>
    </w:p>
    <w:p>
      <w:pPr>
        <w:spacing w:after="0" w:line="201" w:lineRule="exact"/>
        <w:rPr>
          <w:sz w:val="20"/>
          <w:szCs w:val="20"/>
          <w:color w:val="auto"/>
        </w:rPr>
      </w:pPr>
    </w:p>
    <w:p>
      <w:pPr>
        <w:jc w:val="both"/>
        <w:ind w:right="80"/>
        <w:spacing w:after="0" w:line="235" w:lineRule="auto"/>
        <w:rPr>
          <w:sz w:val="20"/>
          <w:szCs w:val="20"/>
          <w:color w:val="auto"/>
        </w:rPr>
      </w:pPr>
      <w:r>
        <w:rPr>
          <w:rFonts w:ascii="Calibri" w:cs="Calibri" w:eastAsia="Calibri" w:hAnsi="Calibri"/>
          <w:sz w:val="22"/>
          <w:szCs w:val="22"/>
          <w:color w:val="auto"/>
        </w:rPr>
        <w:t>The following provisions contain guidelines for any Rule 10b5-1 trading plan covering publicly traded securites of Y-mAbs Therapeutcs, Inc. (the “</w:t>
      </w:r>
      <w:r>
        <w:rPr>
          <w:rFonts w:ascii="Calibri" w:cs="Calibri" w:eastAsia="Calibri" w:hAnsi="Calibri"/>
          <w:sz w:val="22"/>
          <w:szCs w:val="22"/>
          <w:b w:val="1"/>
          <w:bCs w:val="1"/>
          <w:color w:val="auto"/>
        </w:rPr>
        <w:t>Company</w:t>
      </w:r>
      <w:r>
        <w:rPr>
          <w:rFonts w:ascii="Calibri" w:cs="Calibri" w:eastAsia="Calibri" w:hAnsi="Calibri"/>
          <w:sz w:val="22"/>
          <w:szCs w:val="22"/>
          <w:color w:val="auto"/>
        </w:rPr>
        <w:t>”). In additon to honoring these guidelines, all 10b5-1 trading plans, along with any amendments or modifcatons to those plans, must comply with Rule 10b5-1 of the Securites Exchange Act of 1934, as amended (the “</w:t>
      </w:r>
      <w:r>
        <w:rPr>
          <w:rFonts w:ascii="Calibri" w:cs="Calibri" w:eastAsia="Calibri" w:hAnsi="Calibri"/>
          <w:sz w:val="22"/>
          <w:szCs w:val="22"/>
          <w:b w:val="1"/>
          <w:bCs w:val="1"/>
          <w:color w:val="auto"/>
        </w:rPr>
        <w:t>Exchange Act</w:t>
      </w:r>
      <w:r>
        <w:rPr>
          <w:rFonts w:ascii="Calibri" w:cs="Calibri" w:eastAsia="Calibri" w:hAnsi="Calibri"/>
          <w:sz w:val="22"/>
          <w:szCs w:val="22"/>
          <w:color w:val="auto"/>
        </w:rPr>
        <w:t>”).</w:t>
      </w:r>
    </w:p>
    <w:p>
      <w:pPr>
        <w:spacing w:after="0" w:line="231" w:lineRule="exact"/>
        <w:rPr>
          <w:sz w:val="20"/>
          <w:szCs w:val="20"/>
          <w:color w:val="auto"/>
        </w:rPr>
      </w:pPr>
    </w:p>
    <w:p>
      <w:pPr>
        <w:jc w:val="both"/>
        <w:ind w:left="20" w:right="80" w:hanging="1"/>
        <w:spacing w:after="0"/>
        <w:tabs>
          <w:tab w:leader="none" w:pos="668" w:val="left"/>
        </w:tabs>
        <w:numPr>
          <w:ilvl w:val="0"/>
          <w:numId w:val="120"/>
        </w:numPr>
        <w:rPr>
          <w:rFonts w:ascii="Calibri" w:cs="Calibri" w:eastAsia="Calibri" w:hAnsi="Calibri"/>
          <w:sz w:val="22"/>
          <w:szCs w:val="22"/>
          <w:color w:val="auto"/>
        </w:rPr>
      </w:pPr>
      <w:r>
        <w:rPr>
          <w:rFonts w:ascii="Calibri" w:cs="Calibri" w:eastAsia="Calibri" w:hAnsi="Calibri"/>
          <w:sz w:val="22"/>
          <w:szCs w:val="22"/>
          <w:b w:val="1"/>
          <w:bCs w:val="1"/>
          <w:color w:val="auto"/>
        </w:rPr>
        <w:t>PLAN ADOPTION AND APPROVAL</w:t>
      </w:r>
      <w:r>
        <w:rPr>
          <w:rFonts w:ascii="Calibri" w:cs="Calibri" w:eastAsia="Calibri" w:hAnsi="Calibri"/>
          <w:sz w:val="22"/>
          <w:szCs w:val="22"/>
          <w:color w:val="auto"/>
        </w:rPr>
        <w:t>. The 10b5-1 trading plan must be in writng and signed by the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 xml:space="preserve">partcipant establishing the plan. The Compliance Ofcer or an individual designated by the Compliance Ofcer must pre-approve, in writng, each 10b5-1 trading plan, including any amendment, modifcaton or </w:t>
      </w:r>
      <w:r>
        <w:rPr>
          <w:rFonts w:ascii="Arial" w:cs="Arial" w:eastAsia="Arial" w:hAnsi="Arial"/>
          <w:sz w:val="22"/>
          <w:szCs w:val="22"/>
          <w:color w:val="auto"/>
        </w:rPr>
        <w:t xml:space="preserve">terminaton. Partcipants must enter into a plan in good faith and not as part of a plan or scheme to evade the prohibitons of Rule 10b-5 of the Exchange Act. In additon, all partcipants that enter into a 10b5-1 trading plan must act in good faith with respect to such plan on an ongoing basis. Partcipants </w:t>
      </w:r>
      <w:r>
        <w:rPr>
          <w:rFonts w:ascii="Calibri" w:cs="Calibri" w:eastAsia="Calibri" w:hAnsi="Calibri"/>
          <w:sz w:val="22"/>
          <w:szCs w:val="22"/>
          <w:color w:val="auto"/>
        </w:rPr>
        <w:t>must provide the Compliance Ofcer with a copy of any executed 10b5-1 trading plan or any modifcaton or amendment thereof.</w:t>
      </w:r>
    </w:p>
    <w:p>
      <w:pPr>
        <w:spacing w:after="0" w:line="218" w:lineRule="exact"/>
        <w:rPr>
          <w:rFonts w:ascii="Calibri" w:cs="Calibri" w:eastAsia="Calibri" w:hAnsi="Calibri"/>
          <w:sz w:val="22"/>
          <w:szCs w:val="22"/>
          <w:color w:val="auto"/>
        </w:rPr>
      </w:pPr>
    </w:p>
    <w:p>
      <w:pPr>
        <w:jc w:val="both"/>
        <w:ind w:left="20" w:right="80" w:hanging="1"/>
        <w:spacing w:after="0" w:line="238" w:lineRule="auto"/>
        <w:tabs>
          <w:tab w:leader="none" w:pos="668" w:val="left"/>
        </w:tabs>
        <w:numPr>
          <w:ilvl w:val="0"/>
          <w:numId w:val="120"/>
        </w:numPr>
        <w:rPr>
          <w:rFonts w:ascii="Calibri" w:cs="Calibri" w:eastAsia="Calibri" w:hAnsi="Calibri"/>
          <w:sz w:val="22"/>
          <w:szCs w:val="22"/>
          <w:color w:val="auto"/>
        </w:rPr>
      </w:pPr>
      <w:r>
        <w:rPr>
          <w:rFonts w:ascii="Calibri" w:cs="Calibri" w:eastAsia="Calibri" w:hAnsi="Calibri"/>
          <w:sz w:val="22"/>
          <w:szCs w:val="22"/>
          <w:b w:val="1"/>
          <w:bCs w:val="1"/>
          <w:color w:val="auto"/>
        </w:rPr>
        <w:t>REPRESENTATION/CERTIFICATION</w:t>
      </w:r>
      <w:r>
        <w:rPr>
          <w:rFonts w:ascii="Calibri" w:cs="Calibri" w:eastAsia="Calibri" w:hAnsi="Calibri"/>
          <w:sz w:val="22"/>
          <w:szCs w:val="22"/>
          <w:color w:val="auto"/>
        </w:rPr>
        <w:t>. The 10b5-1 trading plan must include a representaton</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certfying that, at the tme of adopton, the partcipant: (i) is not aware of any material nonpublic informaton about the Company or its securites and (ii) is adoptng the 10b5-1 trading plan in good faith and not as part of a scheme to evade the prohibitons of Secton 10(b) of the Exchange Act.</w:t>
      </w:r>
    </w:p>
    <w:p>
      <w:pPr>
        <w:spacing w:after="0" w:line="217" w:lineRule="exact"/>
        <w:rPr>
          <w:rFonts w:ascii="Calibri" w:cs="Calibri" w:eastAsia="Calibri" w:hAnsi="Calibri"/>
          <w:sz w:val="22"/>
          <w:szCs w:val="22"/>
          <w:color w:val="auto"/>
        </w:rPr>
      </w:pPr>
    </w:p>
    <w:p>
      <w:pPr>
        <w:jc w:val="both"/>
        <w:ind w:left="20" w:right="80" w:hanging="1"/>
        <w:spacing w:after="0" w:line="257" w:lineRule="auto"/>
        <w:tabs>
          <w:tab w:leader="none" w:pos="668" w:val="left"/>
        </w:tabs>
        <w:numPr>
          <w:ilvl w:val="0"/>
          <w:numId w:val="120"/>
        </w:numPr>
        <w:rPr>
          <w:rFonts w:ascii="Calibri" w:cs="Calibri" w:eastAsia="Calibri" w:hAnsi="Calibri"/>
          <w:sz w:val="21"/>
          <w:szCs w:val="21"/>
          <w:color w:val="auto"/>
        </w:rPr>
      </w:pPr>
      <w:r>
        <w:rPr>
          <w:rFonts w:ascii="Calibri" w:cs="Calibri" w:eastAsia="Calibri" w:hAnsi="Calibri"/>
          <w:sz w:val="21"/>
          <w:szCs w:val="21"/>
          <w:b w:val="1"/>
          <w:bCs w:val="1"/>
          <w:color w:val="auto"/>
        </w:rPr>
        <w:t>TIMING AND TERM OF A PLAN</w:t>
      </w:r>
      <w:r>
        <w:rPr>
          <w:rFonts w:ascii="Calibri" w:cs="Calibri" w:eastAsia="Calibri" w:hAnsi="Calibri"/>
          <w:sz w:val="21"/>
          <w:szCs w:val="21"/>
          <w:color w:val="auto"/>
        </w:rPr>
        <w:t>. There are limits on when a 10b5-1 trading plan can be adopted,</w:t>
      </w:r>
      <w:r>
        <w:rPr>
          <w:rFonts w:ascii="Calibri" w:cs="Calibri" w:eastAsia="Calibri" w:hAnsi="Calibri"/>
          <w:sz w:val="21"/>
          <w:szCs w:val="21"/>
          <w:b w:val="1"/>
          <w:bCs w:val="1"/>
          <w:color w:val="auto"/>
        </w:rPr>
        <w:t xml:space="preserve"> </w:t>
      </w:r>
      <w:r>
        <w:rPr>
          <w:rFonts w:ascii="Calibri" w:cs="Calibri" w:eastAsia="Calibri" w:hAnsi="Calibri"/>
          <w:sz w:val="21"/>
          <w:szCs w:val="21"/>
          <w:color w:val="auto"/>
        </w:rPr>
        <w:t xml:space="preserve">so plan ahead. In short, a partcipant can only set up a 10b5-1 trading plan when the partcipant does not possess material nonpublic informaton about the Company. In additon, partcipants that are subject to </w:t>
      </w:r>
      <w:r>
        <w:rPr>
          <w:rFonts w:ascii="Arial" w:cs="Arial" w:eastAsia="Arial" w:hAnsi="Arial"/>
          <w:sz w:val="21"/>
          <w:szCs w:val="21"/>
          <w:color w:val="auto"/>
        </w:rPr>
        <w:t>trading windows under the Company’s Insider Trading Policy may only adopt a trading plan during an open trading window. Each 10b5-1 trading plan must have a term of at least 9 months but no longer than 24 months. That said, a 10b5-1 trading plan may provide for early terminaton at any tme afer 90 days following the terminaton of the partcipant’s employment or directorship.</w:t>
      </w:r>
    </w:p>
    <w:p>
      <w:pPr>
        <w:spacing w:after="0" w:line="205" w:lineRule="exact"/>
        <w:rPr>
          <w:rFonts w:ascii="Calibri" w:cs="Calibri" w:eastAsia="Calibri" w:hAnsi="Calibri"/>
          <w:sz w:val="21"/>
          <w:szCs w:val="21"/>
          <w:color w:val="auto"/>
        </w:rPr>
      </w:pPr>
    </w:p>
    <w:p>
      <w:pPr>
        <w:jc w:val="both"/>
        <w:ind w:left="20" w:right="80" w:hanging="1"/>
        <w:spacing w:after="0" w:line="239" w:lineRule="auto"/>
        <w:tabs>
          <w:tab w:leader="none" w:pos="668" w:val="left"/>
        </w:tabs>
        <w:numPr>
          <w:ilvl w:val="0"/>
          <w:numId w:val="120"/>
        </w:numPr>
        <w:rPr>
          <w:rFonts w:ascii="Arial" w:cs="Arial" w:eastAsia="Arial" w:hAnsi="Arial"/>
          <w:sz w:val="22"/>
          <w:szCs w:val="22"/>
          <w:color w:val="auto"/>
        </w:rPr>
      </w:pPr>
      <w:r>
        <w:rPr>
          <w:rFonts w:ascii="Calibri" w:cs="Calibri" w:eastAsia="Calibri" w:hAnsi="Calibri"/>
          <w:sz w:val="22"/>
          <w:szCs w:val="22"/>
          <w:b w:val="1"/>
          <w:bCs w:val="1"/>
          <w:color w:val="auto"/>
        </w:rPr>
        <w:t>TIMING OF A PLAN AMENDMENT OR MODIFICATION</w:t>
      </w:r>
      <w:r>
        <w:rPr>
          <w:rFonts w:ascii="Arial" w:cs="Arial" w:eastAsia="Arial" w:hAnsi="Arial"/>
          <w:sz w:val="22"/>
          <w:szCs w:val="22"/>
          <w:color w:val="auto"/>
        </w:rPr>
        <w:t>. All partcipants must pre-clear any</w:t>
      </w:r>
      <w:r>
        <w:rPr>
          <w:rFonts w:ascii="Calibri" w:cs="Calibri" w:eastAsia="Calibri" w:hAnsi="Calibri"/>
          <w:sz w:val="22"/>
          <w:szCs w:val="22"/>
          <w:b w:val="1"/>
          <w:bCs w:val="1"/>
          <w:color w:val="auto"/>
        </w:rPr>
        <w:t xml:space="preserve"> </w:t>
      </w:r>
      <w:r>
        <w:rPr>
          <w:rFonts w:ascii="Arial" w:cs="Arial" w:eastAsia="Arial" w:hAnsi="Arial"/>
          <w:sz w:val="22"/>
          <w:szCs w:val="22"/>
          <w:color w:val="auto"/>
        </w:rPr>
        <w:t xml:space="preserve">modifcaton of a 10b5-1 trading plan with the Compliance Ofcer or an individual designated by the Compliance Ofcer. In additon, all partcipants must promptly notfy the Compliance Ofcer or an </w:t>
      </w:r>
      <w:r>
        <w:rPr>
          <w:rFonts w:ascii="Calibri" w:cs="Calibri" w:eastAsia="Calibri" w:hAnsi="Calibri"/>
          <w:sz w:val="22"/>
          <w:szCs w:val="22"/>
          <w:color w:val="auto"/>
        </w:rPr>
        <w:t>individual designated by the Compliance Ofcer following any pre-approved modifcaton of a 10b5-1 trading plan and provide a copy of such modifed plan. Each 10b5-1 trading plan may be amended or modifed to change the amount, price or tming of the purchase or sale of the securites underlying a 10b5-1 trading plan (a “</w:t>
      </w:r>
      <w:r>
        <w:rPr>
          <w:rFonts w:ascii="Calibri" w:cs="Calibri" w:eastAsia="Calibri" w:hAnsi="Calibri"/>
          <w:sz w:val="22"/>
          <w:szCs w:val="22"/>
          <w:b w:val="1"/>
          <w:bCs w:val="1"/>
          <w:color w:val="auto"/>
        </w:rPr>
        <w:t>Material Modifcaton</w:t>
      </w:r>
      <w:r>
        <w:rPr>
          <w:rFonts w:ascii="Calibri" w:cs="Calibri" w:eastAsia="Calibri" w:hAnsi="Calibri"/>
          <w:sz w:val="22"/>
          <w:szCs w:val="22"/>
          <w:color w:val="auto"/>
        </w:rPr>
        <w:t xml:space="preserve">”) only when the partcipant does not possess material nonpublic informaton about the Company. In additon, partcipants that are subject to trading windows </w:t>
      </w:r>
      <w:r>
        <w:rPr>
          <w:rFonts w:ascii="Arial" w:cs="Arial" w:eastAsia="Arial" w:hAnsi="Arial"/>
          <w:sz w:val="22"/>
          <w:szCs w:val="22"/>
          <w:color w:val="auto"/>
        </w:rPr>
        <w:t xml:space="preserve">under the Company’s Insider Trading Policy may only enter into a Material Modifcaton during an open </w:t>
      </w:r>
      <w:r>
        <w:rPr>
          <w:rFonts w:ascii="Calibri" w:cs="Calibri" w:eastAsia="Calibri" w:hAnsi="Calibri"/>
          <w:sz w:val="22"/>
          <w:szCs w:val="22"/>
          <w:color w:val="auto"/>
        </w:rPr>
        <w:t xml:space="preserve">trading window. Any Material Modifcaton must include the representaton set forth under “Representaton/Certfcaton” above. A Material Modifcaton of a 10b5-1 trading plan may not be entered into more than once in any 12-month period. If a partcipant enters into separate contracts at the </w:t>
      </w:r>
      <w:r>
        <w:rPr>
          <w:rFonts w:ascii="Arial" w:cs="Arial" w:eastAsia="Arial" w:hAnsi="Arial"/>
          <w:sz w:val="22"/>
          <w:szCs w:val="22"/>
          <w:color w:val="auto"/>
        </w:rPr>
        <w:t xml:space="preserve">same tme with diferent agents to execute trades that are collectvely compliant with Rule 10b5-1, such </w:t>
      </w:r>
      <w:r>
        <w:rPr>
          <w:rFonts w:ascii="Calibri" w:cs="Calibri" w:eastAsia="Calibri" w:hAnsi="Calibri"/>
          <w:sz w:val="22"/>
          <w:szCs w:val="22"/>
          <w:color w:val="auto"/>
        </w:rPr>
        <w:t>contracts may be treated as a single plan and a Material Modifcaton of any such contract will be considered a Material Modifcaton of the other such contracts.</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4600" w:type="dxa"/>
            <w:vAlign w:val="bottom"/>
          </w:tcPr>
          <w:p>
            <w:pPr>
              <w:spacing w:after="0"/>
              <w:rPr>
                <w:sz w:val="20"/>
                <w:szCs w:val="20"/>
                <w:color w:val="auto"/>
              </w:rPr>
            </w:pPr>
            <w:r>
              <w:rPr>
                <w:rFonts w:ascii="Arial" w:cs="Arial" w:eastAsia="Arial" w:hAnsi="Arial"/>
                <w:sz w:val="22"/>
                <w:szCs w:val="22"/>
                <w:color w:val="auto"/>
              </w:rPr>
              <w:t>‌</w:t>
            </w:r>
          </w:p>
        </w:tc>
        <w:tc>
          <w:tcPr>
            <w:tcW w:w="4740" w:type="dxa"/>
            <w:vAlign w:val="bottom"/>
          </w:tcPr>
          <w:p>
            <w:pPr>
              <w:jc w:val="right"/>
              <w:spacing w:after="0"/>
              <w:rPr>
                <w:sz w:val="20"/>
                <w:szCs w:val="20"/>
                <w:color w:val="auto"/>
              </w:rPr>
            </w:pPr>
            <w:r>
              <w:rPr>
                <w:rFonts w:ascii="Calibri" w:cs="Calibri" w:eastAsia="Calibri" w:hAnsi="Calibri"/>
                <w:sz w:val="18"/>
                <w:szCs w:val="18"/>
                <w:color w:val="auto"/>
              </w:rPr>
              <w:t>10</w:t>
            </w:r>
          </w:p>
        </w:tc>
      </w:tr>
      <w:tr>
        <w:trPr>
          <w:trHeight w:val="805"/>
        </w:trPr>
        <w:tc>
          <w:tcPr>
            <w:tcW w:w="46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9360"/>
          </w:cols>
          <w:pgMar w:left="1300" w:top="924" w:right="1239" w:bottom="1440" w:gutter="0" w:footer="0" w:header="0"/>
        </w:sectPr>
      </w:pPr>
    </w:p>
    <w:bookmarkStart w:id="202" w:name="page203"/>
    <w:bookmarkEnd w:id="202"/>
    <w:p>
      <w:pPr>
        <w:jc w:val="both"/>
        <w:ind w:left="1" w:right="80" w:hanging="1"/>
        <w:spacing w:after="0" w:line="241" w:lineRule="auto"/>
        <w:tabs>
          <w:tab w:leader="none" w:pos="649" w:val="left"/>
        </w:tabs>
        <w:numPr>
          <w:ilvl w:val="0"/>
          <w:numId w:val="121"/>
        </w:numPr>
        <w:rPr>
          <w:rFonts w:ascii="Arial" w:cs="Arial" w:eastAsia="Arial" w:hAnsi="Arial"/>
          <w:sz w:val="22"/>
          <w:szCs w:val="22"/>
          <w:color w:val="auto"/>
        </w:rPr>
      </w:pPr>
      <w:r>
        <w:rPr>
          <w:rFonts w:ascii="Calibri" w:cs="Calibri" w:eastAsia="Calibri" w:hAnsi="Calibri"/>
          <w:sz w:val="22"/>
          <w:szCs w:val="22"/>
          <w:b w:val="1"/>
          <w:bCs w:val="1"/>
          <w:color w:val="auto"/>
        </w:rPr>
        <w:t>TERMINATION</w:t>
      </w:r>
      <w:r>
        <w:rPr>
          <w:rFonts w:ascii="Arial" w:cs="Arial" w:eastAsia="Arial" w:hAnsi="Arial"/>
          <w:sz w:val="22"/>
          <w:szCs w:val="22"/>
          <w:color w:val="auto"/>
        </w:rPr>
        <w:t>. All partcipants must pre-clear any terminaton of a 10b5-1 trading plan. In</w:t>
      </w:r>
      <w:r>
        <w:rPr>
          <w:rFonts w:ascii="Calibri" w:cs="Calibri" w:eastAsia="Calibri" w:hAnsi="Calibri"/>
          <w:sz w:val="22"/>
          <w:szCs w:val="22"/>
          <w:b w:val="1"/>
          <w:bCs w:val="1"/>
          <w:color w:val="auto"/>
        </w:rPr>
        <w:t xml:space="preserve"> </w:t>
      </w:r>
      <w:r>
        <w:rPr>
          <w:rFonts w:ascii="Arial" w:cs="Arial" w:eastAsia="Arial" w:hAnsi="Arial"/>
          <w:sz w:val="22"/>
          <w:szCs w:val="22"/>
          <w:color w:val="auto"/>
        </w:rPr>
        <w:t xml:space="preserve">additon, all partcipants must promptly notfy the Compliance Ofcer or an individual designated by the Compliance Ofcer following any pre-approved terminaton of a 10b5-1 trading plan. Partcipants are discouraged from terminatng a 10b5-1 trading plan while in possession of material nonpublic </w:t>
      </w:r>
      <w:r>
        <w:rPr>
          <w:rFonts w:ascii="Calibri" w:cs="Calibri" w:eastAsia="Calibri" w:hAnsi="Calibri"/>
          <w:sz w:val="22"/>
          <w:szCs w:val="22"/>
          <w:color w:val="auto"/>
        </w:rPr>
        <w:t>informaton. In additon, partcipants that are subject to trading windows under the Company’s Insider Trading Policy are discouraged from terminatng a 10b5-1 trading plan during a closed trading window. If a partcipant terminates their 10b5-1 trading plan early, they must wait at least 30 days before trading outside of the 10b5-1 trading plan.</w:t>
      </w:r>
    </w:p>
    <w:p>
      <w:pPr>
        <w:spacing w:after="0" w:line="222" w:lineRule="exact"/>
        <w:rPr>
          <w:rFonts w:ascii="Arial" w:cs="Arial" w:eastAsia="Arial" w:hAnsi="Arial"/>
          <w:sz w:val="22"/>
          <w:szCs w:val="22"/>
          <w:color w:val="auto"/>
        </w:rPr>
      </w:pPr>
    </w:p>
    <w:p>
      <w:pPr>
        <w:jc w:val="both"/>
        <w:ind w:left="1" w:right="80" w:hanging="1"/>
        <w:spacing w:after="0" w:line="244" w:lineRule="auto"/>
        <w:tabs>
          <w:tab w:leader="none" w:pos="649" w:val="left"/>
        </w:tabs>
        <w:numPr>
          <w:ilvl w:val="0"/>
          <w:numId w:val="121"/>
        </w:numPr>
        <w:rPr>
          <w:rFonts w:ascii="Calibri" w:cs="Calibri" w:eastAsia="Calibri" w:hAnsi="Calibri"/>
          <w:sz w:val="22"/>
          <w:szCs w:val="22"/>
          <w:color w:val="auto"/>
        </w:rPr>
      </w:pPr>
      <w:r>
        <w:rPr>
          <w:rFonts w:ascii="Calibri" w:cs="Calibri" w:eastAsia="Calibri" w:hAnsi="Calibri"/>
          <w:sz w:val="22"/>
          <w:szCs w:val="22"/>
          <w:b w:val="1"/>
          <w:bCs w:val="1"/>
          <w:color w:val="auto"/>
        </w:rPr>
        <w:t>DELAYED EFFECTIVENESS OF FIRST TRADE</w:t>
      </w:r>
      <w:r>
        <w:rPr>
          <w:rFonts w:ascii="Calibri" w:cs="Calibri" w:eastAsia="Calibri" w:hAnsi="Calibri"/>
          <w:sz w:val="22"/>
          <w:szCs w:val="22"/>
          <w:color w:val="auto"/>
        </w:rPr>
        <w:t>. The frst trade under a 10b5-1 trading plan cannot</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 xml:space="preserve">occur untl the later of: (i) 90 days following the adopton of the 10b5-1 trading plan; or (ii) two business </w:t>
      </w:r>
      <w:r>
        <w:rPr>
          <w:rFonts w:ascii="Arial" w:cs="Arial" w:eastAsia="Arial" w:hAnsi="Arial"/>
          <w:sz w:val="22"/>
          <w:szCs w:val="22"/>
          <w:color w:val="auto"/>
        </w:rPr>
        <w:t>days following the disclosure of the Company’s fnancial results in a Form 10-Q or Form 10-K for the fscal quarter in which the plan was adopted (subject to a maximum of 120 days afer adopton of the plan), (the “</w:t>
      </w:r>
      <w:r>
        <w:rPr>
          <w:rFonts w:ascii="Calibri" w:cs="Calibri" w:eastAsia="Calibri" w:hAnsi="Calibri"/>
          <w:sz w:val="22"/>
          <w:szCs w:val="22"/>
          <w:b w:val="1"/>
          <w:bCs w:val="1"/>
          <w:color w:val="auto"/>
        </w:rPr>
        <w:t>Waitng Period</w:t>
      </w:r>
      <w:r>
        <w:rPr>
          <w:rFonts w:ascii="Arial" w:cs="Arial" w:eastAsia="Arial" w:hAnsi="Arial"/>
          <w:sz w:val="22"/>
          <w:szCs w:val="22"/>
          <w:color w:val="auto"/>
        </w:rPr>
        <w:t>”). Following a Material Modifcaton of a 10b5-1 trading plan, a partcipant may not trade under the plan untl the expiraton of the applicable Waitng Period measured from the date of the Material Modifcaton.</w:t>
      </w:r>
    </w:p>
    <w:p>
      <w:pPr>
        <w:spacing w:after="0" w:line="215" w:lineRule="exact"/>
        <w:rPr>
          <w:rFonts w:ascii="Calibri" w:cs="Calibri" w:eastAsia="Calibri" w:hAnsi="Calibri"/>
          <w:sz w:val="22"/>
          <w:szCs w:val="22"/>
          <w:color w:val="auto"/>
        </w:rPr>
      </w:pPr>
    </w:p>
    <w:p>
      <w:pPr>
        <w:jc w:val="both"/>
        <w:ind w:left="1" w:right="80" w:hanging="1"/>
        <w:spacing w:after="0" w:line="242" w:lineRule="auto"/>
        <w:tabs>
          <w:tab w:leader="none" w:pos="649" w:val="left"/>
        </w:tabs>
        <w:numPr>
          <w:ilvl w:val="0"/>
          <w:numId w:val="121"/>
        </w:numPr>
        <w:rPr>
          <w:rFonts w:ascii="Arial" w:cs="Arial" w:eastAsia="Arial" w:hAnsi="Arial"/>
          <w:sz w:val="22"/>
          <w:szCs w:val="22"/>
          <w:color w:val="auto"/>
        </w:rPr>
      </w:pPr>
      <w:r>
        <w:rPr>
          <w:rFonts w:ascii="Calibri" w:cs="Calibri" w:eastAsia="Calibri" w:hAnsi="Calibri"/>
          <w:sz w:val="22"/>
          <w:szCs w:val="22"/>
          <w:b w:val="1"/>
          <w:bCs w:val="1"/>
          <w:color w:val="auto"/>
        </w:rPr>
        <w:t>RELATIONSHIPS WITH PLAN BROKER; NO SUBSEQUENT INFLUENCE</w:t>
      </w:r>
      <w:r>
        <w:rPr>
          <w:rFonts w:ascii="Arial" w:cs="Arial" w:eastAsia="Arial" w:hAnsi="Arial"/>
          <w:sz w:val="22"/>
          <w:szCs w:val="22"/>
          <w:color w:val="auto"/>
        </w:rPr>
        <w:t>. If the 10b5-1 trading plan</w:t>
      </w:r>
      <w:r>
        <w:rPr>
          <w:rFonts w:ascii="Calibri" w:cs="Calibri" w:eastAsia="Calibri" w:hAnsi="Calibri"/>
          <w:sz w:val="22"/>
          <w:szCs w:val="22"/>
          <w:b w:val="1"/>
          <w:bCs w:val="1"/>
          <w:color w:val="auto"/>
        </w:rPr>
        <w:t xml:space="preserve"> </w:t>
      </w:r>
      <w:r>
        <w:rPr>
          <w:rFonts w:ascii="Arial" w:cs="Arial" w:eastAsia="Arial" w:hAnsi="Arial"/>
          <w:sz w:val="22"/>
          <w:szCs w:val="22"/>
          <w:color w:val="auto"/>
        </w:rPr>
        <w:t xml:space="preserve">allows a broker discreton regarding the details of trading (e.g., tming, share amounts), the partcipant cannot communicate any material nonpublic informaton about the Company to the broker, or atempt to infuence how the broker exercises its discreton. In additon, any individual who is authorized to exercise </w:t>
      </w:r>
      <w:r>
        <w:rPr>
          <w:rFonts w:ascii="Calibri" w:cs="Calibri" w:eastAsia="Calibri" w:hAnsi="Calibri"/>
          <w:sz w:val="22"/>
          <w:szCs w:val="22"/>
          <w:color w:val="auto"/>
        </w:rPr>
        <w:t>discreton in executng the partcipant’s 10b5-1 trading plan must be a diferent individual from the person who executes trades for the partcipant in other securites.</w:t>
      </w:r>
    </w:p>
    <w:p>
      <w:pPr>
        <w:spacing w:after="0" w:line="215" w:lineRule="exact"/>
        <w:rPr>
          <w:rFonts w:ascii="Arial" w:cs="Arial" w:eastAsia="Arial" w:hAnsi="Arial"/>
          <w:sz w:val="22"/>
          <w:szCs w:val="22"/>
          <w:color w:val="auto"/>
        </w:rPr>
      </w:pPr>
    </w:p>
    <w:p>
      <w:pPr>
        <w:jc w:val="both"/>
        <w:ind w:left="1" w:right="80" w:hanging="1"/>
        <w:spacing w:after="0" w:line="256" w:lineRule="auto"/>
        <w:tabs>
          <w:tab w:leader="none" w:pos="649" w:val="left"/>
        </w:tabs>
        <w:numPr>
          <w:ilvl w:val="0"/>
          <w:numId w:val="121"/>
        </w:numPr>
        <w:rPr>
          <w:rFonts w:ascii="Calibri" w:cs="Calibri" w:eastAsia="Calibri" w:hAnsi="Calibri"/>
          <w:sz w:val="21"/>
          <w:szCs w:val="21"/>
          <w:color w:val="auto"/>
        </w:rPr>
      </w:pPr>
      <w:r>
        <w:rPr>
          <w:rFonts w:ascii="Calibri" w:cs="Calibri" w:eastAsia="Calibri" w:hAnsi="Calibri"/>
          <w:sz w:val="21"/>
          <w:szCs w:val="21"/>
          <w:b w:val="1"/>
          <w:bCs w:val="1"/>
          <w:color w:val="auto"/>
        </w:rPr>
        <w:t>PLAN SPECIFICATIONS; DISCRETION REGARDING TRADES</w:t>
      </w:r>
      <w:r>
        <w:rPr>
          <w:rFonts w:ascii="Calibri" w:cs="Calibri" w:eastAsia="Calibri" w:hAnsi="Calibri"/>
          <w:sz w:val="21"/>
          <w:szCs w:val="21"/>
          <w:color w:val="auto"/>
        </w:rPr>
        <w:t>. The 10b5-1 trading plan must specify</w:t>
      </w:r>
      <w:r>
        <w:rPr>
          <w:rFonts w:ascii="Calibri" w:cs="Calibri" w:eastAsia="Calibri" w:hAnsi="Calibri"/>
          <w:sz w:val="21"/>
          <w:szCs w:val="21"/>
          <w:b w:val="1"/>
          <w:bCs w:val="1"/>
          <w:color w:val="auto"/>
        </w:rPr>
        <w:t xml:space="preserve"> </w:t>
      </w:r>
      <w:r>
        <w:rPr>
          <w:rFonts w:ascii="Calibri" w:cs="Calibri" w:eastAsia="Calibri" w:hAnsi="Calibri"/>
          <w:sz w:val="21"/>
          <w:szCs w:val="21"/>
          <w:color w:val="auto"/>
        </w:rPr>
        <w:t xml:space="preserve">the amount of stock to be purchased or sold, or specify or set an objectve formula for determining the </w:t>
      </w:r>
      <w:r>
        <w:rPr>
          <w:rFonts w:ascii="Arial" w:cs="Arial" w:eastAsia="Arial" w:hAnsi="Arial"/>
          <w:sz w:val="21"/>
          <w:szCs w:val="21"/>
          <w:color w:val="auto"/>
        </w:rPr>
        <w:t>amount of stock to be sold. Other than plans providing for nondiscretonary sell-to-cover transactons to satsfy tax withholding obligatons arising exclusively from the vestng of restricted stock or restricted stock units (“</w:t>
      </w:r>
      <w:r>
        <w:rPr>
          <w:rFonts w:ascii="Calibri" w:cs="Calibri" w:eastAsia="Calibri" w:hAnsi="Calibri"/>
          <w:sz w:val="21"/>
          <w:szCs w:val="21"/>
          <w:b w:val="1"/>
          <w:bCs w:val="1"/>
          <w:color w:val="auto"/>
        </w:rPr>
        <w:t>Qualifed Sell-to-Cover Transactons</w:t>
      </w:r>
      <w:r>
        <w:rPr>
          <w:rFonts w:ascii="Arial" w:cs="Arial" w:eastAsia="Arial" w:hAnsi="Arial"/>
          <w:sz w:val="21"/>
          <w:szCs w:val="21"/>
          <w:color w:val="auto"/>
        </w:rPr>
        <w:t xml:space="preserve">”), 10b5-1 trading plans that are designed to efect the </w:t>
      </w:r>
      <w:r>
        <w:rPr>
          <w:rFonts w:ascii="Calibri" w:cs="Calibri" w:eastAsia="Calibri" w:hAnsi="Calibri"/>
          <w:sz w:val="21"/>
          <w:szCs w:val="21"/>
          <w:color w:val="auto"/>
        </w:rPr>
        <w:t xml:space="preserve">open-market purchase or sale of Company securites as a single trade may only be entered into once per 12-month period. Transacton types such as market, limit, and VWAP orders are allowed. Each 10b5-1 trading plan should specify the tming of trading or allow for the broker to exercise its discreton regarding the tming of trading. While the Company generally will not comment on the specifc trading instructons proposed to be included in a 10b5-1 trading plan, the Company may, in the exercise of his/her discreton, </w:t>
      </w:r>
      <w:r>
        <w:rPr>
          <w:rFonts w:ascii="Arial" w:cs="Arial" w:eastAsia="Arial" w:hAnsi="Arial"/>
          <w:sz w:val="21"/>
          <w:szCs w:val="21"/>
          <w:color w:val="auto"/>
        </w:rPr>
        <w:t>refrain from approving a proposed 10b5-1 trading plan on the basis of the proposed trading instructons. For example, the Company likely will not approve a 10b5-1 trading plan if the trading instructons provide for trades on a frequent (e.g., weekly) basis for an extended tme period.</w:t>
      </w:r>
    </w:p>
    <w:p>
      <w:pPr>
        <w:spacing w:after="0" w:line="210" w:lineRule="exact"/>
        <w:rPr>
          <w:rFonts w:ascii="Calibri" w:cs="Calibri" w:eastAsia="Calibri" w:hAnsi="Calibri"/>
          <w:sz w:val="21"/>
          <w:szCs w:val="21"/>
          <w:color w:val="auto"/>
        </w:rPr>
      </w:pPr>
    </w:p>
    <w:p>
      <w:pPr>
        <w:jc w:val="both"/>
        <w:ind w:left="1" w:right="80" w:hanging="1"/>
        <w:spacing w:after="0" w:line="293" w:lineRule="auto"/>
        <w:tabs>
          <w:tab w:leader="none" w:pos="649" w:val="left"/>
        </w:tabs>
        <w:numPr>
          <w:ilvl w:val="0"/>
          <w:numId w:val="121"/>
        </w:numPr>
        <w:rPr>
          <w:rFonts w:ascii="Arial" w:cs="Arial" w:eastAsia="Arial" w:hAnsi="Arial"/>
          <w:sz w:val="19"/>
          <w:szCs w:val="19"/>
          <w:color w:val="auto"/>
        </w:rPr>
      </w:pPr>
      <w:r>
        <w:rPr>
          <w:rFonts w:ascii="Calibri" w:cs="Calibri" w:eastAsia="Calibri" w:hAnsi="Calibri"/>
          <w:sz w:val="19"/>
          <w:szCs w:val="19"/>
          <w:b w:val="1"/>
          <w:bCs w:val="1"/>
          <w:color w:val="auto"/>
        </w:rPr>
        <w:t>OTHER TRADES</w:t>
      </w:r>
      <w:r>
        <w:rPr>
          <w:rFonts w:ascii="Arial" w:cs="Arial" w:eastAsia="Arial" w:hAnsi="Arial"/>
          <w:sz w:val="19"/>
          <w:szCs w:val="19"/>
          <w:color w:val="auto"/>
        </w:rPr>
        <w:t>. Trading the Company’s securites outside of a partcipant’s 10b5-1 trading plan</w:t>
      </w:r>
      <w:r>
        <w:rPr>
          <w:rFonts w:ascii="Calibri" w:cs="Calibri" w:eastAsia="Calibri" w:hAnsi="Calibri"/>
          <w:sz w:val="19"/>
          <w:szCs w:val="19"/>
          <w:b w:val="1"/>
          <w:bCs w:val="1"/>
          <w:color w:val="auto"/>
        </w:rPr>
        <w:t xml:space="preserve"> </w:t>
      </w:r>
      <w:r>
        <w:rPr>
          <w:rFonts w:ascii="Arial" w:cs="Arial" w:eastAsia="Arial" w:hAnsi="Arial"/>
          <w:sz w:val="19"/>
          <w:szCs w:val="19"/>
          <w:color w:val="auto"/>
        </w:rPr>
        <w:t xml:space="preserve">could, in certain circumstances, jeopardize the validity of a partcipant’s plan. Therefore, except as may be approved in advance by the Compliance Ofcer, no partcipant entering into a 10b5-1 trading plan may </w:t>
      </w:r>
      <w:r>
        <w:rPr>
          <w:rFonts w:ascii="Calibri" w:cs="Calibri" w:eastAsia="Calibri" w:hAnsi="Calibri"/>
          <w:sz w:val="19"/>
          <w:szCs w:val="19"/>
          <w:color w:val="auto"/>
        </w:rPr>
        <w:t>make open-market purchases or sales of the Company’s securites while a 10b5-1 trading plan is in efect.</w:t>
      </w:r>
    </w:p>
    <w:p>
      <w:pPr>
        <w:spacing w:after="0" w:line="200" w:lineRule="exact"/>
        <w:rPr>
          <w:sz w:val="20"/>
          <w:szCs w:val="20"/>
          <w:color w:val="auto"/>
        </w:rPr>
      </w:pPr>
    </w:p>
    <w:p>
      <w:pPr>
        <w:spacing w:after="0" w:line="250" w:lineRule="exact"/>
        <w:rPr>
          <w:sz w:val="20"/>
          <w:szCs w:val="20"/>
          <w:color w:val="auto"/>
        </w:rPr>
      </w:pPr>
    </w:p>
    <w:tbl>
      <w:tblPr>
        <w:tblLayout w:type="fixed"/>
        <w:tblInd w:w="1" w:type="dxa"/>
        <w:tblCellMar>
          <w:top w:w="0" w:type="dxa"/>
          <w:left w:w="0" w:type="dxa"/>
          <w:bottom w:w="0" w:type="dxa"/>
          <w:right w:w="0" w:type="dxa"/>
        </w:tblCellMar>
      </w:tblPr>
      <w:tr>
        <w:trPr>
          <w:trHeight w:val="258"/>
        </w:trPr>
        <w:tc>
          <w:tcPr>
            <w:tcW w:w="4600" w:type="dxa"/>
            <w:vAlign w:val="bottom"/>
          </w:tcPr>
          <w:p>
            <w:pPr>
              <w:spacing w:after="0"/>
              <w:rPr>
                <w:sz w:val="20"/>
                <w:szCs w:val="20"/>
                <w:color w:val="auto"/>
              </w:rPr>
            </w:pPr>
            <w:r>
              <w:rPr>
                <w:rFonts w:ascii="Arial" w:cs="Arial" w:eastAsia="Arial" w:hAnsi="Arial"/>
                <w:sz w:val="22"/>
                <w:szCs w:val="22"/>
                <w:color w:val="auto"/>
              </w:rPr>
              <w:t>‌</w:t>
            </w:r>
          </w:p>
        </w:tc>
        <w:tc>
          <w:tcPr>
            <w:tcW w:w="4740" w:type="dxa"/>
            <w:vAlign w:val="bottom"/>
          </w:tcPr>
          <w:p>
            <w:pPr>
              <w:jc w:val="right"/>
              <w:spacing w:after="0"/>
              <w:rPr>
                <w:sz w:val="20"/>
                <w:szCs w:val="20"/>
                <w:color w:val="auto"/>
              </w:rPr>
            </w:pPr>
            <w:r>
              <w:rPr>
                <w:rFonts w:ascii="Calibri" w:cs="Calibri" w:eastAsia="Calibri" w:hAnsi="Calibri"/>
                <w:sz w:val="18"/>
                <w:szCs w:val="18"/>
                <w:color w:val="auto"/>
              </w:rPr>
              <w:t>11</w:t>
            </w:r>
          </w:p>
        </w:tc>
      </w:tr>
      <w:tr>
        <w:trPr>
          <w:trHeight w:val="804"/>
        </w:trPr>
        <w:tc>
          <w:tcPr>
            <w:tcW w:w="46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9341"/>
          </w:cols>
          <w:pgMar w:left="1319" w:top="908" w:right="1239" w:bottom="1440" w:gutter="0" w:footer="0" w:header="0"/>
        </w:sectPr>
      </w:pPr>
    </w:p>
    <w:bookmarkStart w:id="203" w:name="page204"/>
    <w:bookmarkEnd w:id="203"/>
    <w:p>
      <w:pPr>
        <w:jc w:val="both"/>
        <w:ind w:left="1" w:right="80" w:hanging="1"/>
        <w:spacing w:after="0" w:line="254" w:lineRule="auto"/>
        <w:tabs>
          <w:tab w:leader="none" w:pos="649" w:val="left"/>
        </w:tabs>
        <w:numPr>
          <w:ilvl w:val="0"/>
          <w:numId w:val="122"/>
        </w:numPr>
        <w:rPr>
          <w:rFonts w:ascii="Arial" w:cs="Arial" w:eastAsia="Arial" w:hAnsi="Arial"/>
          <w:sz w:val="21"/>
          <w:szCs w:val="21"/>
          <w:color w:val="auto"/>
        </w:rPr>
      </w:pPr>
      <w:r>
        <w:rPr>
          <w:rFonts w:ascii="Calibri" w:cs="Calibri" w:eastAsia="Calibri" w:hAnsi="Calibri"/>
          <w:sz w:val="21"/>
          <w:szCs w:val="21"/>
          <w:b w:val="1"/>
          <w:bCs w:val="1"/>
          <w:color w:val="auto"/>
        </w:rPr>
        <w:t>ONLY ONE PLAN IN EFFECT AT ANY TIME</w:t>
      </w:r>
      <w:r>
        <w:rPr>
          <w:rFonts w:ascii="Arial" w:cs="Arial" w:eastAsia="Arial" w:hAnsi="Arial"/>
          <w:sz w:val="21"/>
          <w:szCs w:val="21"/>
          <w:color w:val="auto"/>
        </w:rPr>
        <w:t>. A partcipant may have only one 10b5-1 trading plan in</w:t>
      </w:r>
      <w:r>
        <w:rPr>
          <w:rFonts w:ascii="Calibri" w:cs="Calibri" w:eastAsia="Calibri" w:hAnsi="Calibri"/>
          <w:sz w:val="21"/>
          <w:szCs w:val="21"/>
          <w:b w:val="1"/>
          <w:bCs w:val="1"/>
          <w:color w:val="auto"/>
        </w:rPr>
        <w:t xml:space="preserve"> </w:t>
      </w:r>
      <w:r>
        <w:rPr>
          <w:rFonts w:ascii="Arial" w:cs="Arial" w:eastAsia="Arial" w:hAnsi="Arial"/>
          <w:sz w:val="21"/>
          <w:szCs w:val="21"/>
          <w:color w:val="auto"/>
        </w:rPr>
        <w:t xml:space="preserve">efect at any tme. However, a partcipant may, during the term of an existng plan, adopt one new 10b5-1 trading plan to replace the existng plan, but only if the frst scheduled trade under the new 10b51 trading plan does not occur before all trades under the existng 10b5-1 trading plan are completed or expire </w:t>
      </w:r>
      <w:r>
        <w:rPr>
          <w:rFonts w:ascii="Calibri" w:cs="Calibri" w:eastAsia="Calibri" w:hAnsi="Calibri"/>
          <w:sz w:val="21"/>
          <w:szCs w:val="21"/>
          <w:color w:val="auto"/>
        </w:rPr>
        <w:t>without executon; provided, however, that if a partcipant terminates the existng plan afer adopton of the replacement plan but prior to the existng plan’s scheduled expiraton, the partcipant trades may not commence under the replacement plan untl the expiraton of the applicable Waitng Period, measured from the date of terminaton of the existng plan. This restricton on overlapping plans does not apply to plans providing for Qualifed Sell-to-Cover Transactons.</w:t>
      </w:r>
    </w:p>
    <w:p>
      <w:pPr>
        <w:spacing w:after="0" w:line="208" w:lineRule="exact"/>
        <w:rPr>
          <w:rFonts w:ascii="Arial" w:cs="Arial" w:eastAsia="Arial" w:hAnsi="Arial"/>
          <w:sz w:val="21"/>
          <w:szCs w:val="21"/>
          <w:color w:val="auto"/>
        </w:rPr>
      </w:pPr>
    </w:p>
    <w:p>
      <w:pPr>
        <w:jc w:val="both"/>
        <w:ind w:left="1" w:right="80" w:hanging="1"/>
        <w:spacing w:after="0" w:line="245" w:lineRule="auto"/>
        <w:tabs>
          <w:tab w:leader="none" w:pos="649" w:val="left"/>
        </w:tabs>
        <w:numPr>
          <w:ilvl w:val="0"/>
          <w:numId w:val="122"/>
        </w:numPr>
        <w:rPr>
          <w:rFonts w:ascii="Calibri" w:cs="Calibri" w:eastAsia="Calibri" w:hAnsi="Calibri"/>
          <w:sz w:val="22"/>
          <w:szCs w:val="22"/>
          <w:color w:val="auto"/>
        </w:rPr>
      </w:pPr>
      <w:r>
        <w:rPr>
          <w:rFonts w:ascii="Calibri" w:cs="Calibri" w:eastAsia="Calibri" w:hAnsi="Calibri"/>
          <w:sz w:val="22"/>
          <w:szCs w:val="22"/>
          <w:b w:val="1"/>
          <w:bCs w:val="1"/>
          <w:color w:val="auto"/>
        </w:rPr>
        <w:t>NO HEDGING</w:t>
      </w:r>
      <w:r>
        <w:rPr>
          <w:rFonts w:ascii="Calibri" w:cs="Calibri" w:eastAsia="Calibri" w:hAnsi="Calibri"/>
          <w:sz w:val="22"/>
          <w:szCs w:val="22"/>
          <w:color w:val="auto"/>
        </w:rPr>
        <w:t>. Individuals subject to the Insider Trading Policy are prohibited from engaging in any</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 xml:space="preserve">hedging or similar transactons designed to decrease the risks associated with holding the Company’s </w:t>
      </w:r>
      <w:r>
        <w:rPr>
          <w:rFonts w:ascii="Arial" w:cs="Arial" w:eastAsia="Arial" w:hAnsi="Arial"/>
          <w:sz w:val="22"/>
          <w:szCs w:val="22"/>
          <w:color w:val="auto"/>
        </w:rPr>
        <w:t>securites. Likewise, before adoptng a 10b5-1 trading plan, the partcipant may not have entered into a transacton or positon that has yet to setle with respect to the securites subject to the 10b5-1 trading plan. The partcipant must also agree not to enter into any such transacton while the 10b5-1 trading plan is in efect.</w:t>
      </w:r>
    </w:p>
    <w:p>
      <w:pPr>
        <w:spacing w:after="0" w:line="211" w:lineRule="exact"/>
        <w:rPr>
          <w:rFonts w:ascii="Calibri" w:cs="Calibri" w:eastAsia="Calibri" w:hAnsi="Calibri"/>
          <w:sz w:val="22"/>
          <w:szCs w:val="22"/>
          <w:color w:val="auto"/>
        </w:rPr>
      </w:pPr>
    </w:p>
    <w:p>
      <w:pPr>
        <w:jc w:val="both"/>
        <w:ind w:left="1" w:right="80" w:hanging="1"/>
        <w:spacing w:after="0" w:line="242" w:lineRule="auto"/>
        <w:tabs>
          <w:tab w:leader="none" w:pos="649" w:val="left"/>
        </w:tabs>
        <w:numPr>
          <w:ilvl w:val="0"/>
          <w:numId w:val="122"/>
        </w:numPr>
        <w:rPr>
          <w:rFonts w:ascii="Arial" w:cs="Arial" w:eastAsia="Arial" w:hAnsi="Arial"/>
          <w:sz w:val="22"/>
          <w:szCs w:val="22"/>
          <w:color w:val="auto"/>
        </w:rPr>
      </w:pPr>
      <w:r>
        <w:rPr>
          <w:rFonts w:ascii="Calibri" w:cs="Calibri" w:eastAsia="Calibri" w:hAnsi="Calibri"/>
          <w:sz w:val="22"/>
          <w:szCs w:val="22"/>
          <w:b w:val="1"/>
          <w:bCs w:val="1"/>
          <w:color w:val="auto"/>
        </w:rPr>
        <w:t>MANDATORY SUSPENSION OR TERMINATION</w:t>
      </w:r>
      <w:r>
        <w:rPr>
          <w:rFonts w:ascii="Arial" w:cs="Arial" w:eastAsia="Arial" w:hAnsi="Arial"/>
          <w:sz w:val="22"/>
          <w:szCs w:val="22"/>
          <w:color w:val="auto"/>
        </w:rPr>
        <w:t>. Each 10b5-1 trading plan must suspend trades or</w:t>
      </w:r>
      <w:r>
        <w:rPr>
          <w:rFonts w:ascii="Calibri" w:cs="Calibri" w:eastAsia="Calibri" w:hAnsi="Calibri"/>
          <w:sz w:val="22"/>
          <w:szCs w:val="22"/>
          <w:b w:val="1"/>
          <w:bCs w:val="1"/>
          <w:color w:val="auto"/>
        </w:rPr>
        <w:t xml:space="preserve"> </w:t>
      </w:r>
      <w:r>
        <w:rPr>
          <w:rFonts w:ascii="Arial" w:cs="Arial" w:eastAsia="Arial" w:hAnsi="Arial"/>
          <w:sz w:val="22"/>
          <w:szCs w:val="22"/>
          <w:color w:val="auto"/>
        </w:rPr>
        <w:t xml:space="preserve">terminate if legal, regulatory, or contractual restrictons are imposed on the partcipant, or other events occur that would prohibit sales under such a plan. For example, trading would need to be suspended or the plan terminated if these guidelines were amended to preclude the partcular sort of trade </w:t>
      </w:r>
      <w:r>
        <w:rPr>
          <w:rFonts w:ascii="Calibri" w:cs="Calibri" w:eastAsia="Calibri" w:hAnsi="Calibri"/>
          <w:sz w:val="22"/>
          <w:szCs w:val="22"/>
          <w:color w:val="auto"/>
        </w:rPr>
        <w:t>contemplated by the plan.</w:t>
      </w:r>
    </w:p>
    <w:p>
      <w:pPr>
        <w:spacing w:after="0" w:line="216" w:lineRule="exact"/>
        <w:rPr>
          <w:rFonts w:ascii="Arial" w:cs="Arial" w:eastAsia="Arial" w:hAnsi="Arial"/>
          <w:sz w:val="22"/>
          <w:szCs w:val="22"/>
          <w:color w:val="auto"/>
        </w:rPr>
      </w:pPr>
    </w:p>
    <w:p>
      <w:pPr>
        <w:jc w:val="both"/>
        <w:ind w:left="1" w:right="80" w:hanging="1"/>
        <w:spacing w:after="0" w:line="238" w:lineRule="auto"/>
        <w:tabs>
          <w:tab w:leader="none" w:pos="649" w:val="left"/>
        </w:tabs>
        <w:numPr>
          <w:ilvl w:val="0"/>
          <w:numId w:val="122"/>
        </w:numPr>
        <w:rPr>
          <w:rFonts w:ascii="Calibri" w:cs="Calibri" w:eastAsia="Calibri" w:hAnsi="Calibri"/>
          <w:sz w:val="22"/>
          <w:szCs w:val="22"/>
          <w:color w:val="auto"/>
        </w:rPr>
      </w:pPr>
      <w:r>
        <w:rPr>
          <w:rFonts w:ascii="Calibri" w:cs="Calibri" w:eastAsia="Calibri" w:hAnsi="Calibri"/>
          <w:sz w:val="22"/>
          <w:szCs w:val="22"/>
          <w:b w:val="1"/>
          <w:bCs w:val="1"/>
          <w:color w:val="auto"/>
        </w:rPr>
        <w:t>COMPLIANCE WITH RULE 144</w:t>
      </w:r>
      <w:r>
        <w:rPr>
          <w:rFonts w:ascii="Calibri" w:cs="Calibri" w:eastAsia="Calibri" w:hAnsi="Calibri"/>
          <w:sz w:val="22"/>
          <w:szCs w:val="22"/>
          <w:color w:val="auto"/>
        </w:rPr>
        <w:t>. Each 10b5-1 trading plan must provide for specifc procedures to</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comply with Rule 144 under the Securites Act of 1933, as amended, including the fling of Forms 144, when applicable. If you need additonal informaton on Rule 144 and Form 144, please contact the Compliance Ofcer. If requested by the Company, partcipants must footnote trades disclosed on Forms</w:t>
      </w:r>
    </w:p>
    <w:p>
      <w:pPr>
        <w:spacing w:after="0" w:line="14" w:lineRule="exact"/>
        <w:rPr>
          <w:rFonts w:ascii="Calibri" w:cs="Calibri" w:eastAsia="Calibri" w:hAnsi="Calibri"/>
          <w:sz w:val="22"/>
          <w:szCs w:val="22"/>
          <w:color w:val="auto"/>
        </w:rPr>
      </w:pPr>
    </w:p>
    <w:p>
      <w:pPr>
        <w:ind w:left="1"/>
        <w:spacing w:after="0"/>
        <w:rPr>
          <w:rFonts w:ascii="Calibri" w:cs="Calibri" w:eastAsia="Calibri" w:hAnsi="Calibri"/>
          <w:sz w:val="22"/>
          <w:szCs w:val="22"/>
          <w:color w:val="auto"/>
        </w:rPr>
      </w:pPr>
      <w:r>
        <w:rPr>
          <w:rFonts w:ascii="Arial" w:cs="Arial" w:eastAsia="Arial" w:hAnsi="Arial"/>
          <w:sz w:val="22"/>
          <w:szCs w:val="22"/>
          <w:color w:val="auto"/>
        </w:rPr>
        <w:t>144 to indicate that the trades were made pursuant to a 10b5-1 trading plan.</w:t>
      </w:r>
    </w:p>
    <w:p>
      <w:pPr>
        <w:spacing w:after="0" w:line="219" w:lineRule="exact"/>
        <w:rPr>
          <w:rFonts w:ascii="Calibri" w:cs="Calibri" w:eastAsia="Calibri" w:hAnsi="Calibri"/>
          <w:sz w:val="22"/>
          <w:szCs w:val="22"/>
          <w:color w:val="auto"/>
        </w:rPr>
      </w:pPr>
    </w:p>
    <w:p>
      <w:pPr>
        <w:jc w:val="both"/>
        <w:ind w:left="1" w:right="80" w:hanging="1"/>
        <w:spacing w:after="0" w:line="235" w:lineRule="auto"/>
        <w:tabs>
          <w:tab w:leader="none" w:pos="649" w:val="left"/>
        </w:tabs>
        <w:numPr>
          <w:ilvl w:val="0"/>
          <w:numId w:val="122"/>
        </w:numPr>
        <w:rPr>
          <w:rFonts w:ascii="Arial" w:cs="Arial" w:eastAsia="Arial" w:hAnsi="Arial"/>
          <w:sz w:val="22"/>
          <w:szCs w:val="22"/>
          <w:color w:val="auto"/>
        </w:rPr>
      </w:pPr>
      <w:r>
        <w:rPr>
          <w:rFonts w:ascii="Calibri" w:cs="Calibri" w:eastAsia="Calibri" w:hAnsi="Calibri"/>
          <w:sz w:val="22"/>
          <w:szCs w:val="22"/>
          <w:b w:val="1"/>
          <w:bCs w:val="1"/>
          <w:color w:val="auto"/>
        </w:rPr>
        <w:t>BROKER OBLIGATION TO PROVIDE NOTICE OF TRADES</w:t>
      </w:r>
      <w:r>
        <w:rPr>
          <w:rFonts w:ascii="Arial" w:cs="Arial" w:eastAsia="Arial" w:hAnsi="Arial"/>
          <w:sz w:val="22"/>
          <w:szCs w:val="22"/>
          <w:color w:val="auto"/>
        </w:rPr>
        <w:t>. Each 10b5-1 trading plan must provide</w:t>
      </w:r>
      <w:r>
        <w:rPr>
          <w:rFonts w:ascii="Calibri" w:cs="Calibri" w:eastAsia="Calibri" w:hAnsi="Calibri"/>
          <w:sz w:val="22"/>
          <w:szCs w:val="22"/>
          <w:b w:val="1"/>
          <w:bCs w:val="1"/>
          <w:color w:val="auto"/>
        </w:rPr>
        <w:t xml:space="preserve"> </w:t>
      </w:r>
      <w:r>
        <w:rPr>
          <w:rFonts w:ascii="Arial" w:cs="Arial" w:eastAsia="Arial" w:hAnsi="Arial"/>
          <w:sz w:val="22"/>
          <w:szCs w:val="22"/>
          <w:color w:val="auto"/>
        </w:rPr>
        <w:t xml:space="preserve">that the broker will promptly notfy the partcipant and the Company of any trades under the plan so </w:t>
      </w:r>
      <w:r>
        <w:rPr>
          <w:rFonts w:ascii="Calibri" w:cs="Calibri" w:eastAsia="Calibri" w:hAnsi="Calibri"/>
          <w:sz w:val="22"/>
          <w:szCs w:val="22"/>
          <w:color w:val="auto"/>
        </w:rPr>
        <w:t>that, where required, the partcipant can make tmely flings under the Exchange Act (i.e., no later than the close of business on the day of the trade).</w:t>
      </w:r>
    </w:p>
    <w:p>
      <w:pPr>
        <w:spacing w:after="0" w:line="217" w:lineRule="exact"/>
        <w:rPr>
          <w:rFonts w:ascii="Arial" w:cs="Arial" w:eastAsia="Arial" w:hAnsi="Arial"/>
          <w:sz w:val="22"/>
          <w:szCs w:val="22"/>
          <w:color w:val="auto"/>
        </w:rPr>
      </w:pPr>
    </w:p>
    <w:p>
      <w:pPr>
        <w:jc w:val="both"/>
        <w:ind w:left="1" w:right="80" w:hanging="1"/>
        <w:spacing w:after="0" w:line="252" w:lineRule="auto"/>
        <w:tabs>
          <w:tab w:leader="none" w:pos="649" w:val="left"/>
        </w:tabs>
        <w:numPr>
          <w:ilvl w:val="0"/>
          <w:numId w:val="122"/>
        </w:numPr>
        <w:rPr>
          <w:rFonts w:ascii="Calibri" w:cs="Calibri" w:eastAsia="Calibri" w:hAnsi="Calibri"/>
          <w:sz w:val="21"/>
          <w:szCs w:val="21"/>
          <w:color w:val="auto"/>
        </w:rPr>
      </w:pPr>
      <w:r>
        <w:rPr>
          <w:rFonts w:ascii="Calibri" w:cs="Calibri" w:eastAsia="Calibri" w:hAnsi="Calibri"/>
          <w:sz w:val="21"/>
          <w:szCs w:val="21"/>
          <w:b w:val="1"/>
          <w:bCs w:val="1"/>
          <w:color w:val="auto"/>
        </w:rPr>
        <w:t>REQUIRED EXCHANGE ACT FILINGS</w:t>
      </w:r>
      <w:r>
        <w:rPr>
          <w:rFonts w:ascii="Calibri" w:cs="Calibri" w:eastAsia="Calibri" w:hAnsi="Calibri"/>
          <w:sz w:val="21"/>
          <w:szCs w:val="21"/>
          <w:color w:val="auto"/>
        </w:rPr>
        <w:t>. Each 10b5-1 trading plan must contain an explicit</w:t>
      </w:r>
      <w:r>
        <w:rPr>
          <w:rFonts w:ascii="Calibri" w:cs="Calibri" w:eastAsia="Calibri" w:hAnsi="Calibri"/>
          <w:sz w:val="21"/>
          <w:szCs w:val="21"/>
          <w:b w:val="1"/>
          <w:bCs w:val="1"/>
          <w:color w:val="auto"/>
        </w:rPr>
        <w:t xml:space="preserve"> </w:t>
      </w:r>
      <w:r>
        <w:rPr>
          <w:rFonts w:ascii="Calibri" w:cs="Calibri" w:eastAsia="Calibri" w:hAnsi="Calibri"/>
          <w:sz w:val="21"/>
          <w:szCs w:val="21"/>
          <w:color w:val="auto"/>
        </w:rPr>
        <w:t xml:space="preserve">acknowledgement by the partcipant that all Secton 16 flings required by the Exchange Act, as a result of or in connecton with trades under the plan, are the sole obligaton of the partcipant and not the Company. In additon, the Company is required to disclose certain informaton on a quarterly basis on Form 10-Q and 10-K with respect to the adopton, Material Modifcaton or terminaton of 10b5-1 trading </w:t>
      </w:r>
      <w:r>
        <w:rPr>
          <w:rFonts w:ascii="Arial" w:cs="Arial" w:eastAsia="Arial" w:hAnsi="Arial"/>
          <w:sz w:val="21"/>
          <w:szCs w:val="21"/>
          <w:color w:val="auto"/>
        </w:rPr>
        <w:t xml:space="preserve">plans by any director or Secton 16 ofcer. Directors and Secton 16 ofcers must, in any Secton 16 fling reportng a transacton efected pursuant to a 10b5-1 trading plan, check the appropriate box to indicate </w:t>
      </w:r>
      <w:r>
        <w:rPr>
          <w:rFonts w:ascii="Calibri" w:cs="Calibri" w:eastAsia="Calibri" w:hAnsi="Calibri"/>
          <w:sz w:val="21"/>
          <w:szCs w:val="21"/>
          <w:color w:val="auto"/>
        </w:rPr>
        <w:t>that the transacton is pursuant to a 10b5-1 trading plan and provide the date of adopton of the plan. By entering into a 10b5-1 trading plan, the Company’s directors and Secton 16 ofcers are deemed to understand, and agree to cooperate with the Company with respect to, such disclosure obligatons,</w:t>
      </w:r>
    </w:p>
    <w:p>
      <w:pPr>
        <w:spacing w:after="0" w:line="226" w:lineRule="exact"/>
        <w:rPr>
          <w:sz w:val="20"/>
          <w:szCs w:val="20"/>
          <w:color w:val="auto"/>
        </w:rPr>
      </w:pPr>
    </w:p>
    <w:tbl>
      <w:tblPr>
        <w:tblLayout w:type="fixed"/>
        <w:tblInd w:w="1" w:type="dxa"/>
        <w:tblCellMar>
          <w:top w:w="0" w:type="dxa"/>
          <w:left w:w="0" w:type="dxa"/>
          <w:bottom w:w="0" w:type="dxa"/>
          <w:right w:w="0" w:type="dxa"/>
        </w:tblCellMar>
      </w:tblPr>
      <w:tr>
        <w:trPr>
          <w:trHeight w:val="258"/>
        </w:trPr>
        <w:tc>
          <w:tcPr>
            <w:tcW w:w="4600" w:type="dxa"/>
            <w:vAlign w:val="bottom"/>
          </w:tcPr>
          <w:p>
            <w:pPr>
              <w:spacing w:after="0"/>
              <w:rPr>
                <w:sz w:val="20"/>
                <w:szCs w:val="20"/>
                <w:color w:val="auto"/>
              </w:rPr>
            </w:pPr>
            <w:r>
              <w:rPr>
                <w:rFonts w:ascii="Arial" w:cs="Arial" w:eastAsia="Arial" w:hAnsi="Arial"/>
                <w:sz w:val="22"/>
                <w:szCs w:val="22"/>
                <w:color w:val="auto"/>
              </w:rPr>
              <w:t>‌</w:t>
            </w:r>
          </w:p>
        </w:tc>
        <w:tc>
          <w:tcPr>
            <w:tcW w:w="4740" w:type="dxa"/>
            <w:vAlign w:val="bottom"/>
          </w:tcPr>
          <w:p>
            <w:pPr>
              <w:jc w:val="right"/>
              <w:spacing w:after="0"/>
              <w:rPr>
                <w:sz w:val="20"/>
                <w:szCs w:val="20"/>
                <w:color w:val="auto"/>
              </w:rPr>
            </w:pPr>
            <w:r>
              <w:rPr>
                <w:rFonts w:ascii="Calibri" w:cs="Calibri" w:eastAsia="Calibri" w:hAnsi="Calibri"/>
                <w:sz w:val="18"/>
                <w:szCs w:val="18"/>
                <w:color w:val="auto"/>
              </w:rPr>
              <w:t>12</w:t>
            </w:r>
          </w:p>
        </w:tc>
      </w:tr>
      <w:tr>
        <w:trPr>
          <w:trHeight w:val="804"/>
        </w:trPr>
        <w:tc>
          <w:tcPr>
            <w:tcW w:w="46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9341"/>
          </w:cols>
          <w:pgMar w:left="1319" w:top="908" w:right="1239" w:bottom="1440" w:gutter="0" w:footer="0" w:header="0"/>
        </w:sectPr>
      </w:pPr>
    </w:p>
    <w:bookmarkStart w:id="204" w:name="page205"/>
    <w:bookmarkEnd w:id="204"/>
    <w:p>
      <w:pPr>
        <w:ind w:left="20" w:right="80"/>
        <w:spacing w:after="0" w:line="260" w:lineRule="auto"/>
        <w:rPr>
          <w:sz w:val="20"/>
          <w:szCs w:val="20"/>
          <w:color w:val="auto"/>
        </w:rPr>
      </w:pPr>
      <w:r>
        <w:rPr>
          <w:rFonts w:ascii="Arial" w:cs="Arial" w:eastAsia="Arial" w:hAnsi="Arial"/>
          <w:sz w:val="22"/>
          <w:szCs w:val="22"/>
          <w:color w:val="auto"/>
        </w:rPr>
        <w:t>including by notfying the Compliance Ofcer of informaton relevant to the preparaton of such disclosure.</w:t>
      </w:r>
    </w:p>
    <w:p>
      <w:pPr>
        <w:spacing w:after="0" w:line="194" w:lineRule="exact"/>
        <w:rPr>
          <w:sz w:val="20"/>
          <w:szCs w:val="20"/>
          <w:color w:val="auto"/>
        </w:rPr>
      </w:pPr>
    </w:p>
    <w:p>
      <w:pPr>
        <w:jc w:val="both"/>
        <w:ind w:left="20" w:right="80" w:hanging="1"/>
        <w:spacing w:after="0" w:line="243" w:lineRule="auto"/>
        <w:tabs>
          <w:tab w:leader="none" w:pos="668" w:val="left"/>
        </w:tabs>
        <w:numPr>
          <w:ilvl w:val="0"/>
          <w:numId w:val="123"/>
        </w:numPr>
        <w:rPr>
          <w:rFonts w:ascii="Arial" w:cs="Arial" w:eastAsia="Arial" w:hAnsi="Arial"/>
          <w:sz w:val="22"/>
          <w:szCs w:val="22"/>
          <w:color w:val="auto"/>
        </w:rPr>
      </w:pPr>
      <w:r>
        <w:rPr>
          <w:rFonts w:ascii="Calibri" w:cs="Calibri" w:eastAsia="Calibri" w:hAnsi="Calibri"/>
          <w:sz w:val="22"/>
          <w:szCs w:val="22"/>
          <w:b w:val="1"/>
          <w:bCs w:val="1"/>
          <w:color w:val="auto"/>
        </w:rPr>
        <w:t>COMPANY NOT PARTY TO THE PLAN</w:t>
      </w:r>
      <w:r>
        <w:rPr>
          <w:rFonts w:ascii="Arial" w:cs="Arial" w:eastAsia="Arial" w:hAnsi="Arial"/>
          <w:sz w:val="22"/>
          <w:szCs w:val="22"/>
          <w:color w:val="auto"/>
        </w:rPr>
        <w:t>. The 10b5-1 trading plan may not have the Company as</w:t>
      </w:r>
      <w:r>
        <w:rPr>
          <w:rFonts w:ascii="Calibri" w:cs="Calibri" w:eastAsia="Calibri" w:hAnsi="Calibri"/>
          <w:sz w:val="22"/>
          <w:szCs w:val="22"/>
          <w:b w:val="1"/>
          <w:bCs w:val="1"/>
          <w:color w:val="auto"/>
        </w:rPr>
        <w:t xml:space="preserve"> </w:t>
      </w:r>
      <w:r>
        <w:rPr>
          <w:rFonts w:ascii="Arial" w:cs="Arial" w:eastAsia="Arial" w:hAnsi="Arial"/>
          <w:sz w:val="22"/>
          <w:szCs w:val="22"/>
          <w:color w:val="auto"/>
        </w:rPr>
        <w:t>party to the plan, although it can have a representaton by the partcipant to the efect that the Company has reviewed the plan.</w:t>
      </w:r>
    </w:p>
    <w:p>
      <w:pPr>
        <w:spacing w:after="0" w:line="212" w:lineRule="exact"/>
        <w:rPr>
          <w:rFonts w:ascii="Arial" w:cs="Arial" w:eastAsia="Arial" w:hAnsi="Arial"/>
          <w:sz w:val="22"/>
          <w:szCs w:val="22"/>
          <w:color w:val="auto"/>
        </w:rPr>
      </w:pPr>
    </w:p>
    <w:p>
      <w:pPr>
        <w:ind w:left="20" w:right="80" w:hanging="1"/>
        <w:spacing w:after="0" w:line="325" w:lineRule="auto"/>
        <w:tabs>
          <w:tab w:leader="none" w:pos="668" w:val="left"/>
        </w:tabs>
        <w:numPr>
          <w:ilvl w:val="0"/>
          <w:numId w:val="123"/>
        </w:numPr>
        <w:rPr>
          <w:rFonts w:ascii="Arial" w:cs="Arial" w:eastAsia="Arial" w:hAnsi="Arial"/>
          <w:sz w:val="19"/>
          <w:szCs w:val="19"/>
          <w:color w:val="auto"/>
        </w:rPr>
      </w:pPr>
      <w:r>
        <w:rPr>
          <w:rFonts w:ascii="Calibri" w:cs="Calibri" w:eastAsia="Calibri" w:hAnsi="Calibri"/>
          <w:sz w:val="19"/>
          <w:szCs w:val="19"/>
          <w:b w:val="1"/>
          <w:bCs w:val="1"/>
          <w:color w:val="auto"/>
        </w:rPr>
        <w:t>EXCEPTIONS; WAIVERS</w:t>
      </w:r>
      <w:r>
        <w:rPr>
          <w:rFonts w:ascii="Arial" w:cs="Arial" w:eastAsia="Arial" w:hAnsi="Arial"/>
          <w:sz w:val="19"/>
          <w:szCs w:val="19"/>
          <w:color w:val="auto"/>
        </w:rPr>
        <w:t>. All requests for exceptons to or waivers of these guidelines must be</w:t>
      </w:r>
      <w:r>
        <w:rPr>
          <w:rFonts w:ascii="Calibri" w:cs="Calibri" w:eastAsia="Calibri" w:hAnsi="Calibri"/>
          <w:sz w:val="19"/>
          <w:szCs w:val="19"/>
          <w:b w:val="1"/>
          <w:bCs w:val="1"/>
          <w:color w:val="auto"/>
        </w:rPr>
        <w:t xml:space="preserve"> </w:t>
      </w:r>
      <w:r>
        <w:rPr>
          <w:rFonts w:ascii="Arial" w:cs="Arial" w:eastAsia="Arial" w:hAnsi="Arial"/>
          <w:sz w:val="19"/>
          <w:szCs w:val="19"/>
          <w:color w:val="auto"/>
        </w:rPr>
        <w:t>reviewed and approved by the Compliance Ofcer or an individual designated by the Compliance Ofcer.</w:t>
      </w:r>
    </w:p>
    <w:p>
      <w:pPr>
        <w:spacing w:after="0" w:line="146" w:lineRule="exact"/>
        <w:rPr>
          <w:rFonts w:ascii="Arial" w:cs="Arial" w:eastAsia="Arial" w:hAnsi="Arial"/>
          <w:sz w:val="19"/>
          <w:szCs w:val="19"/>
          <w:color w:val="auto"/>
        </w:rPr>
      </w:pPr>
    </w:p>
    <w:p>
      <w:pPr>
        <w:ind w:left="4220"/>
        <w:spacing w:after="0"/>
        <w:rPr>
          <w:rFonts w:ascii="Arial" w:cs="Arial" w:eastAsia="Arial" w:hAnsi="Arial"/>
          <w:sz w:val="19"/>
          <w:szCs w:val="19"/>
          <w:color w:val="auto"/>
        </w:rPr>
      </w:pPr>
      <w:r>
        <w:rPr>
          <w:rFonts w:ascii="Arial" w:cs="Arial" w:eastAsia="Arial" w:hAnsi="Arial"/>
          <w:sz w:val="22"/>
          <w:szCs w:val="22"/>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alibri" w:cs="Calibri" w:eastAsia="Calibri" w:hAnsi="Calibri"/>
          <w:sz w:val="22"/>
          <w:szCs w:val="22"/>
          <w:color w:val="auto"/>
        </w:rPr>
        <w:t>Approved: January 25, 2024, replacing version of March 21, 2023.</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4600" w:type="dxa"/>
            <w:vAlign w:val="bottom"/>
          </w:tcPr>
          <w:p>
            <w:pPr>
              <w:spacing w:after="0"/>
              <w:rPr>
                <w:sz w:val="20"/>
                <w:szCs w:val="20"/>
                <w:color w:val="auto"/>
              </w:rPr>
            </w:pPr>
            <w:r>
              <w:rPr>
                <w:rFonts w:ascii="Arial" w:cs="Arial" w:eastAsia="Arial" w:hAnsi="Arial"/>
                <w:sz w:val="22"/>
                <w:szCs w:val="22"/>
                <w:color w:val="auto"/>
              </w:rPr>
              <w:t>‌</w:t>
            </w:r>
          </w:p>
        </w:tc>
        <w:tc>
          <w:tcPr>
            <w:tcW w:w="4740" w:type="dxa"/>
            <w:vAlign w:val="bottom"/>
          </w:tcPr>
          <w:p>
            <w:pPr>
              <w:jc w:val="right"/>
              <w:spacing w:after="0"/>
              <w:rPr>
                <w:sz w:val="20"/>
                <w:szCs w:val="20"/>
                <w:color w:val="auto"/>
              </w:rPr>
            </w:pPr>
            <w:r>
              <w:rPr>
                <w:rFonts w:ascii="Calibri" w:cs="Calibri" w:eastAsia="Calibri" w:hAnsi="Calibri"/>
                <w:sz w:val="18"/>
                <w:szCs w:val="18"/>
                <w:color w:val="auto"/>
              </w:rPr>
              <w:t>13</w:t>
            </w:r>
          </w:p>
        </w:tc>
      </w:tr>
      <w:tr>
        <w:trPr>
          <w:trHeight w:val="817"/>
        </w:trPr>
        <w:tc>
          <w:tcPr>
            <w:tcW w:w="46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9360"/>
          </w:cols>
          <w:pgMar w:left="1300" w:top="908" w:right="1239" w:bottom="1440" w:gutter="0" w:footer="0" w:header="0"/>
        </w:sectPr>
      </w:pPr>
    </w:p>
    <w:bookmarkStart w:id="205" w:name="page206"/>
    <w:bookmarkEnd w:id="205"/>
    <w:p>
      <w:pPr>
        <w:spacing w:after="0" w:line="119" w:lineRule="exact"/>
        <w:rPr>
          <w:sz w:val="20"/>
          <w:szCs w:val="20"/>
          <w:color w:val="auto"/>
        </w:rPr>
      </w:pPr>
    </w:p>
    <w:p>
      <w:pPr>
        <w:ind w:left="200"/>
        <w:spacing w:after="0"/>
        <w:rPr>
          <w:sz w:val="20"/>
          <w:szCs w:val="20"/>
          <w:color w:val="auto"/>
        </w:rPr>
      </w:pPr>
      <w:r>
        <w:rPr>
          <w:rFonts w:ascii="Calibri" w:cs="Calibri" w:eastAsia="Calibri" w:hAnsi="Calibri"/>
          <w:sz w:val="22"/>
          <w:szCs w:val="22"/>
          <w:b w:val="1"/>
          <w:bCs w:val="1"/>
          <w:u w:val="single" w:color="auto"/>
          <w:color w:val="auto"/>
        </w:rPr>
        <w:t>Insider Trading Policy Compliance Statement</w:t>
      </w:r>
    </w:p>
    <w:p>
      <w:pPr>
        <w:spacing w:after="0" w:line="256" w:lineRule="exact"/>
        <w:rPr>
          <w:sz w:val="20"/>
          <w:szCs w:val="20"/>
          <w:color w:val="auto"/>
        </w:rPr>
      </w:pPr>
    </w:p>
    <w:p>
      <w:pPr>
        <w:ind w:left="200"/>
        <w:spacing w:after="0"/>
        <w:tabs>
          <w:tab w:leader="none" w:pos="820" w:val="left"/>
        </w:tabs>
        <w:rPr>
          <w:sz w:val="20"/>
          <w:szCs w:val="20"/>
          <w:color w:val="auto"/>
        </w:rPr>
      </w:pPr>
      <w:r>
        <w:rPr>
          <w:rFonts w:ascii="Calibri" w:cs="Calibri" w:eastAsia="Calibri" w:hAnsi="Calibri"/>
          <w:sz w:val="22"/>
          <w:szCs w:val="22"/>
          <w:b w:val="1"/>
          <w:bCs w:val="1"/>
          <w:u w:val="single" w:color="auto"/>
          <w:color w:val="auto"/>
        </w:rPr>
        <w:t>TO:</w:t>
      </w:r>
      <w:r>
        <w:rPr>
          <w:sz w:val="20"/>
          <w:szCs w:val="20"/>
          <w:color w:val="auto"/>
        </w:rPr>
        <w:tab/>
      </w:r>
      <w:r>
        <w:rPr>
          <w:rFonts w:ascii="Calibri" w:cs="Calibri" w:eastAsia="Calibri" w:hAnsi="Calibri"/>
          <w:sz w:val="22"/>
          <w:szCs w:val="22"/>
          <w:color w:val="auto"/>
        </w:rPr>
        <w:t>Y-mAbs Therapeutcs, Inc.</w:t>
      </w:r>
    </w:p>
    <w:p>
      <w:pPr>
        <w:spacing w:after="0" w:line="285" w:lineRule="exact"/>
        <w:rPr>
          <w:sz w:val="20"/>
          <w:szCs w:val="20"/>
          <w:color w:val="auto"/>
        </w:rPr>
      </w:pPr>
    </w:p>
    <w:p>
      <w:pPr>
        <w:ind w:left="200"/>
        <w:spacing w:after="0"/>
        <w:tabs>
          <w:tab w:leader="none" w:pos="840" w:val="left"/>
        </w:tabs>
        <w:rPr>
          <w:sz w:val="20"/>
          <w:szCs w:val="20"/>
          <w:color w:val="auto"/>
        </w:rPr>
      </w:pPr>
      <w:r>
        <w:rPr>
          <w:rFonts w:ascii="Calibri" w:cs="Calibri" w:eastAsia="Calibri" w:hAnsi="Calibri"/>
          <w:sz w:val="22"/>
          <w:szCs w:val="22"/>
          <w:b w:val="1"/>
          <w:bCs w:val="1"/>
          <w:u w:val="single" w:color="auto"/>
          <w:color w:val="auto"/>
        </w:rPr>
        <w:t>RE:</w:t>
      </w:r>
      <w:r>
        <w:rPr>
          <w:sz w:val="20"/>
          <w:szCs w:val="20"/>
          <w:color w:val="auto"/>
        </w:rPr>
        <w:tab/>
      </w:r>
      <w:r>
        <w:rPr>
          <w:rFonts w:ascii="Calibri" w:cs="Calibri" w:eastAsia="Calibri" w:hAnsi="Calibri"/>
          <w:sz w:val="22"/>
          <w:szCs w:val="22"/>
          <w:color w:val="auto"/>
        </w:rPr>
        <w:t>Insider Trading Compliance Policy of Y-mAbs Therapeutcs,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35560</wp:posOffset>
            </wp:positionV>
            <wp:extent cx="546925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8">
                      <a:extLst>
                        <a:ext uri="{28A0092B-C50C-407E-A947-70E740481C1C}"/>
                      </a:extLst>
                    </a:blip>
                    <a:srcRect/>
                    <a:stretch>
                      <a:fillRect/>
                    </a:stretch>
                  </pic:blipFill>
                  <pic:spPr bwMode="auto">
                    <a:xfrm>
                      <a:off x="0" y="0"/>
                      <a:ext cx="5469255" cy="17145"/>
                    </a:xfrm>
                    <a:prstGeom prst="rect">
                      <a:avLst/>
                    </a:prstGeom>
                    <a:noFill/>
                  </pic:spPr>
                </pic:pic>
              </a:graphicData>
            </a:graphic>
          </wp:anchor>
        </w:drawing>
      </w:r>
    </w:p>
    <w:p>
      <w:pPr>
        <w:spacing w:after="0" w:line="318" w:lineRule="exact"/>
        <w:rPr>
          <w:sz w:val="20"/>
          <w:szCs w:val="20"/>
          <w:color w:val="auto"/>
        </w:rPr>
      </w:pPr>
    </w:p>
    <w:p>
      <w:pPr>
        <w:jc w:val="both"/>
        <w:ind w:left="200" w:right="219" w:firstLine="648"/>
        <w:spacing w:after="0" w:line="250" w:lineRule="auto"/>
        <w:rPr>
          <w:sz w:val="20"/>
          <w:szCs w:val="20"/>
          <w:color w:val="auto"/>
        </w:rPr>
      </w:pPr>
      <w:r>
        <w:rPr>
          <w:rFonts w:ascii="Calibri" w:cs="Calibri" w:eastAsia="Calibri" w:hAnsi="Calibri"/>
          <w:sz w:val="21"/>
          <w:szCs w:val="21"/>
          <w:color w:val="auto"/>
        </w:rPr>
        <w:t>I have carefully reviewed the Insider Trading Compliance Policy (the “</w:t>
      </w:r>
      <w:r>
        <w:rPr>
          <w:rFonts w:ascii="Calibri" w:cs="Calibri" w:eastAsia="Calibri" w:hAnsi="Calibri"/>
          <w:sz w:val="21"/>
          <w:szCs w:val="21"/>
          <w:b w:val="1"/>
          <w:bCs w:val="1"/>
          <w:color w:val="auto"/>
        </w:rPr>
        <w:t>Policy</w:t>
      </w:r>
      <w:r>
        <w:rPr>
          <w:rFonts w:ascii="Calibri" w:cs="Calibri" w:eastAsia="Calibri" w:hAnsi="Calibri"/>
          <w:sz w:val="21"/>
          <w:szCs w:val="21"/>
          <w:color w:val="auto"/>
        </w:rPr>
        <w:t>”) of Y-mAbs Therapeutcs Inc. (“</w:t>
      </w:r>
      <w:r>
        <w:rPr>
          <w:rFonts w:ascii="Calibri" w:cs="Calibri" w:eastAsia="Calibri" w:hAnsi="Calibri"/>
          <w:sz w:val="21"/>
          <w:szCs w:val="21"/>
          <w:b w:val="1"/>
          <w:bCs w:val="1"/>
          <w:color w:val="auto"/>
        </w:rPr>
        <w:t>Y-mAbs</w:t>
      </w:r>
      <w:r>
        <w:rPr>
          <w:rFonts w:ascii="Calibri" w:cs="Calibri" w:eastAsia="Calibri" w:hAnsi="Calibri"/>
          <w:sz w:val="21"/>
          <w:szCs w:val="21"/>
          <w:color w:val="auto"/>
        </w:rPr>
        <w:t>”), and understand its provisions. I certfy that, to the best of my knowledge, I have complied with the Policy and its procedures since such date that I reviewed the Policy (or since the commencement of my employment with, or other service to, Y-mAbs, if afer such date) and that I will contnue to adhere to the Policy and these procedures in the future.</w:t>
      </w:r>
    </w:p>
    <w:p>
      <w:pPr>
        <w:spacing w:after="0" w:line="204" w:lineRule="exact"/>
        <w:rPr>
          <w:sz w:val="20"/>
          <w:szCs w:val="20"/>
          <w:color w:val="auto"/>
        </w:rPr>
      </w:pPr>
    </w:p>
    <w:p>
      <w:pPr>
        <w:jc w:val="both"/>
        <w:ind w:left="200" w:right="219" w:firstLine="648"/>
        <w:spacing w:after="0" w:line="239" w:lineRule="auto"/>
        <w:rPr>
          <w:sz w:val="20"/>
          <w:szCs w:val="20"/>
          <w:color w:val="auto"/>
        </w:rPr>
      </w:pPr>
      <w:r>
        <w:rPr>
          <w:rFonts w:ascii="Calibri" w:cs="Calibri" w:eastAsia="Calibri" w:hAnsi="Calibri"/>
          <w:sz w:val="22"/>
          <w:szCs w:val="22"/>
          <w:color w:val="auto"/>
        </w:rPr>
        <w:t>Without limitng the preceding paragraph, (a) if I am subject to pre-clearance requirements under the Policy, I understand that the Compliance Ofcer will exercise his or her judgment in determining whether to approve partcular transactons by me in Y-mAbs securites or my establishment of any Rule 10b5-1 Plan for trading in Y-mAbs securites and (b) to subject me to any “blackout periods.” I acknowledge and afrm that the Compliance Ofcer’s determinaton with regard to any partcular transacton, plan, or blackout period will be made in its discreton and solely on behalf of, and for the beneft of, Y-mAbs and will not consttute legal advice to me, and I further acknowledge and afrm the Compliance Ofcer’s right to make that determinaton in his or her sole discreton. I hereby agree to be bound by, and to accept without objecton, any determinaton of the Compliance Ofcer not to permit any such transacton or plan, or to subject me to any such blackout period.</w:t>
      </w:r>
    </w:p>
    <w:p>
      <w:pPr>
        <w:spacing w:after="0" w:line="217" w:lineRule="exact"/>
        <w:rPr>
          <w:sz w:val="20"/>
          <w:szCs w:val="20"/>
          <w:color w:val="auto"/>
        </w:rPr>
      </w:pPr>
    </w:p>
    <w:p>
      <w:pPr>
        <w:jc w:val="both"/>
        <w:ind w:left="200" w:right="219" w:firstLine="648"/>
        <w:spacing w:after="0" w:line="235" w:lineRule="auto"/>
        <w:rPr>
          <w:sz w:val="20"/>
          <w:szCs w:val="20"/>
          <w:color w:val="auto"/>
        </w:rPr>
      </w:pPr>
      <w:r>
        <w:rPr>
          <w:rFonts w:ascii="Calibri" w:cs="Calibri" w:eastAsia="Calibri" w:hAnsi="Calibri"/>
          <w:sz w:val="22"/>
          <w:szCs w:val="22"/>
          <w:color w:val="auto"/>
        </w:rPr>
        <w:t>I realize that failure to observe and comply with all of the provisions contained in the Policy may subject me to disciplinary acton by the Company, including discharge.</w:t>
      </w:r>
    </w:p>
    <w:p>
      <w:pPr>
        <w:spacing w:after="0" w:line="206" w:lineRule="exact"/>
        <w:rPr>
          <w:sz w:val="20"/>
          <w:szCs w:val="20"/>
          <w:color w:val="auto"/>
        </w:rPr>
      </w:pPr>
    </w:p>
    <w:p>
      <w:pPr>
        <w:ind w:left="200"/>
        <w:spacing w:after="0"/>
        <w:rPr>
          <w:sz w:val="20"/>
          <w:szCs w:val="20"/>
          <w:color w:val="auto"/>
        </w:rPr>
      </w:pPr>
      <w:r>
        <w:rPr>
          <w:rFonts w:ascii="Calibri" w:cs="Calibri" w:eastAsia="Calibri" w:hAnsi="Calibri"/>
          <w:sz w:val="22"/>
          <w:szCs w:val="22"/>
          <w:color w:val="auto"/>
        </w:rPr>
        <w:t>Acknowledged by:</w:t>
      </w:r>
    </w:p>
    <w:p>
      <w:pPr>
        <w:spacing w:after="0" w:line="271" w:lineRule="exact"/>
        <w:rPr>
          <w:sz w:val="20"/>
          <w:szCs w:val="20"/>
          <w:color w:val="auto"/>
        </w:rPr>
      </w:pPr>
    </w:p>
    <w:p>
      <w:pPr>
        <w:ind w:left="200"/>
        <w:spacing w:after="0"/>
        <w:tabs>
          <w:tab w:leader="none" w:pos="5280" w:val="left"/>
        </w:tabs>
        <w:rPr>
          <w:sz w:val="20"/>
          <w:szCs w:val="20"/>
          <w:color w:val="auto"/>
        </w:rPr>
      </w:pPr>
      <w:r>
        <w:rPr>
          <w:rFonts w:ascii="Calibri" w:cs="Calibri" w:eastAsia="Calibri" w:hAnsi="Calibri"/>
          <w:sz w:val="22"/>
          <w:szCs w:val="22"/>
          <w:color w:val="auto"/>
        </w:rPr>
        <w:t>Signature: ​</w:t>
      </w:r>
      <w:r>
        <w:rPr>
          <w:sz w:val="20"/>
          <w:szCs w:val="20"/>
          <w:color w:val="auto"/>
        </w:rPr>
        <w:tab/>
      </w:r>
      <w:r>
        <w:rPr>
          <w:rFonts w:ascii="Calibri" w:cs="Calibri" w:eastAsia="Calibri" w:hAnsi="Calibri"/>
          <w:sz w:val="22"/>
          <w:szCs w:val="22"/>
          <w:color w:val="auto"/>
        </w:rPr>
        <w:t>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-25400</wp:posOffset>
            </wp:positionV>
            <wp:extent cx="426466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9">
                      <a:extLst>
                        <a:ext uri="{28A0092B-C50C-407E-A947-70E740481C1C}"/>
                      </a:extLst>
                    </a:blip>
                    <a:srcRect/>
                    <a:stretch>
                      <a:fillRect/>
                    </a:stretch>
                  </pic:blipFill>
                  <pic:spPr bwMode="auto">
                    <a:xfrm>
                      <a:off x="0" y="0"/>
                      <a:ext cx="4264660" cy="8890"/>
                    </a:xfrm>
                    <a:prstGeom prst="rect">
                      <a:avLst/>
                    </a:prstGeom>
                    <a:noFill/>
                  </pic:spPr>
                </pic:pic>
              </a:graphicData>
            </a:graphic>
          </wp:anchor>
        </w:drawing>
      </w:r>
    </w:p>
    <w:p>
      <w:pPr>
        <w:spacing w:after="0" w:line="249" w:lineRule="exact"/>
        <w:rPr>
          <w:sz w:val="20"/>
          <w:szCs w:val="20"/>
          <w:color w:val="auto"/>
        </w:rPr>
      </w:pPr>
    </w:p>
    <w:p>
      <w:pPr>
        <w:ind w:left="200"/>
        <w:spacing w:after="0"/>
        <w:rPr>
          <w:sz w:val="20"/>
          <w:szCs w:val="20"/>
          <w:color w:val="auto"/>
        </w:rPr>
      </w:pPr>
      <w:r>
        <w:rPr>
          <w:rFonts w:ascii="Calibri" w:cs="Calibri" w:eastAsia="Calibri" w:hAnsi="Calibri"/>
          <w:sz w:val="22"/>
          <w:szCs w:val="22"/>
          <w:color w:val="auto"/>
        </w:rPr>
        <w:t>Print 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821690</wp:posOffset>
            </wp:positionH>
            <wp:positionV relativeFrom="paragraph">
              <wp:posOffset>-24130</wp:posOffset>
            </wp:positionV>
            <wp:extent cx="213995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0">
                      <a:extLst>
                        <a:ext uri="{28A0092B-C50C-407E-A947-70E740481C1C}"/>
                      </a:extLst>
                    </a:blip>
                    <a:srcRect/>
                    <a:stretch>
                      <a:fillRect/>
                    </a:stretch>
                  </pic:blipFill>
                  <pic:spPr bwMode="auto">
                    <a:xfrm>
                      <a:off x="0" y="0"/>
                      <a:ext cx="2139950" cy="8890"/>
                    </a:xfrm>
                    <a:prstGeom prst="rect">
                      <a:avLst/>
                    </a:prstGeom>
                    <a:noFill/>
                  </pic:spPr>
                </pic:pic>
              </a:graphicData>
            </a:graphic>
          </wp:anchor>
        </w:drawing>
      </w:r>
    </w:p>
    <w:p>
      <w:pPr>
        <w:spacing w:after="0" w:line="267" w:lineRule="exact"/>
        <w:rPr>
          <w:sz w:val="20"/>
          <w:szCs w:val="20"/>
          <w:color w:val="auto"/>
        </w:rPr>
      </w:pPr>
    </w:p>
    <w:p>
      <w:pPr>
        <w:ind w:left="200"/>
        <w:spacing w:after="0"/>
        <w:rPr>
          <w:sz w:val="20"/>
          <w:szCs w:val="20"/>
          <w:color w:val="auto"/>
        </w:rPr>
      </w:pPr>
      <w:r>
        <w:rPr>
          <w:rFonts w:ascii="Calibri" w:cs="Calibri" w:eastAsia="Calibri" w:hAnsi="Calibri"/>
          <w:sz w:val="22"/>
          <w:szCs w:val="22"/>
          <w:color w:val="auto"/>
        </w:rPr>
        <w:t>Title: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2417445</wp:posOffset>
            </wp:positionV>
            <wp:extent cx="545211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1">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435610</wp:posOffset>
            </wp:positionH>
            <wp:positionV relativeFrom="paragraph">
              <wp:posOffset>-24765</wp:posOffset>
            </wp:positionV>
            <wp:extent cx="252539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2">
                      <a:extLst>
                        <a:ext uri="{28A0092B-C50C-407E-A947-70E740481C1C}"/>
                      </a:extLst>
                    </a:blip>
                    <a:srcRect/>
                    <a:stretch>
                      <a:fillRect/>
                    </a:stretch>
                  </pic:blipFill>
                  <pic:spPr bwMode="auto">
                    <a:xfrm>
                      <a:off x="0" y="0"/>
                      <a:ext cx="2525395"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6" w:name="page207"/>
    <w:bookmarkEnd w:id="206"/>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Subsidiary of the Registrant</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Y-mAbs Therapeutics A/S (Denmark)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07" w:name="page208"/>
    <w:bookmarkEnd w:id="207"/>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60" w:lineRule="exact"/>
        <w:rPr>
          <w:sz w:val="20"/>
          <w:szCs w:val="20"/>
          <w:color w:val="auto"/>
        </w:rPr>
      </w:pPr>
    </w:p>
    <w:p>
      <w:pPr>
        <w:jc w:val="both"/>
        <w:ind w:left="200" w:right="299"/>
        <w:spacing w:after="0" w:line="244"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(Nos.333-277541, 333-271007 and 333-230455) and Form S-3 (No.333-271006) of Y-mAbs Therapeutics, Inc. of our report dated March 4, 2025 relating to the financial statements, which appears in this Form 10-K.</w:t>
      </w: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Georgia" w:cs="Georgia" w:eastAsia="Georgia" w:hAnsi="Georgia"/>
          <w:sz w:val="18"/>
          <w:szCs w:val="18"/>
          <w:color w:val="auto"/>
        </w:rPr>
        <w:t>/s/ PricewaterhouseCoopers LLP</w:t>
      </w:r>
    </w:p>
    <w:p>
      <w:pPr>
        <w:spacing w:after="0" w:line="11" w:lineRule="exact"/>
        <w:rPr>
          <w:sz w:val="20"/>
          <w:szCs w:val="20"/>
          <w:color w:val="auto"/>
        </w:rPr>
      </w:pPr>
    </w:p>
    <w:p>
      <w:pPr>
        <w:ind w:left="200"/>
        <w:spacing w:after="0"/>
        <w:rPr>
          <w:sz w:val="20"/>
          <w:szCs w:val="20"/>
          <w:color w:val="auto"/>
        </w:rPr>
      </w:pPr>
      <w:r>
        <w:rPr>
          <w:rFonts w:ascii="Georgia" w:cs="Georgia" w:eastAsia="Georgia" w:hAnsi="Georgia"/>
          <w:sz w:val="18"/>
          <w:szCs w:val="18"/>
          <w:color w:val="auto"/>
        </w:rPr>
        <w:t>Florham Park, New Jersey</w:t>
      </w:r>
    </w:p>
    <w:p>
      <w:pPr>
        <w:spacing w:after="0" w:line="11" w:lineRule="exact"/>
        <w:rPr>
          <w:sz w:val="20"/>
          <w:szCs w:val="20"/>
          <w:color w:val="auto"/>
        </w:rPr>
      </w:pPr>
    </w:p>
    <w:p>
      <w:pPr>
        <w:ind w:left="200"/>
        <w:spacing w:after="0"/>
        <w:rPr>
          <w:sz w:val="20"/>
          <w:szCs w:val="20"/>
          <w:color w:val="auto"/>
        </w:rPr>
      </w:pPr>
      <w:r>
        <w:rPr>
          <w:rFonts w:ascii="Georgia" w:cs="Georgia" w:eastAsia="Georgia" w:hAnsi="Georgia"/>
          <w:sz w:val="18"/>
          <w:szCs w:val="18"/>
          <w:color w:val="auto"/>
        </w:rPr>
        <w:t>March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353060</wp:posOffset>
            </wp:positionV>
            <wp:extent cx="545211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08" w:name="page209"/>
    <w:bookmarkEnd w:id="20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Michael Rossi certify that:</w:t>
      </w:r>
    </w:p>
    <w:p>
      <w:pPr>
        <w:spacing w:after="0" w:line="185" w:lineRule="exact"/>
        <w:rPr>
          <w:sz w:val="20"/>
          <w:szCs w:val="20"/>
          <w:color w:val="auto"/>
        </w:rPr>
      </w:pPr>
    </w:p>
    <w:p>
      <w:pPr>
        <w:ind w:left="700" w:hanging="326"/>
        <w:spacing w:after="0"/>
        <w:tabs>
          <w:tab w:leader="none" w:pos="7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Y-mAbs Therapeutics, Inc.;</w:t>
      </w:r>
    </w:p>
    <w:p>
      <w:pPr>
        <w:spacing w:after="0" w:line="184" w:lineRule="exact"/>
        <w:rPr>
          <w:rFonts w:ascii="Times New Roman" w:cs="Times New Roman" w:eastAsia="Times New Roman" w:hAnsi="Times New Roman"/>
          <w:sz w:val="18"/>
          <w:szCs w:val="18"/>
          <w:color w:val="auto"/>
        </w:rPr>
      </w:pPr>
    </w:p>
    <w:p>
      <w:pPr>
        <w:ind w:left="700" w:right="299" w:hanging="326"/>
        <w:spacing w:after="0" w:line="266" w:lineRule="auto"/>
        <w:tabs>
          <w:tab w:leader="none" w:pos="7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700" w:right="179" w:hanging="326"/>
        <w:spacing w:after="0" w:line="266" w:lineRule="auto"/>
        <w:tabs>
          <w:tab w:leader="none" w:pos="7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ind w:left="700" w:right="379" w:hanging="326"/>
        <w:spacing w:after="0" w:line="289" w:lineRule="auto"/>
        <w:tabs>
          <w:tab w:leader="none" w:pos="70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7"/>
          <w:szCs w:val="17"/>
          <w:color w:val="auto"/>
        </w:rPr>
      </w:pPr>
    </w:p>
    <w:p>
      <w:pPr>
        <w:ind w:left="1440" w:right="119" w:hanging="377"/>
        <w:spacing w:after="0" w:line="261" w:lineRule="auto"/>
        <w:tabs>
          <w:tab w:leader="none" w:pos="144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Times New Roman" w:cs="Times New Roman" w:eastAsia="Times New Roman" w:hAnsi="Times New Roman"/>
          <w:sz w:val="18"/>
          <w:szCs w:val="18"/>
          <w:color w:val="auto"/>
        </w:rPr>
      </w:pPr>
    </w:p>
    <w:p>
      <w:pPr>
        <w:ind w:left="1440" w:right="99" w:hanging="377"/>
        <w:spacing w:after="0" w:line="261" w:lineRule="auto"/>
        <w:tabs>
          <w:tab w:leader="none" w:pos="144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ind w:left="1440" w:right="79" w:hanging="377"/>
        <w:spacing w:after="0" w:line="266" w:lineRule="auto"/>
        <w:tabs>
          <w:tab w:leader="none" w:pos="144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440" w:right="359" w:hanging="377"/>
        <w:spacing w:after="0" w:line="261" w:lineRule="auto"/>
        <w:tabs>
          <w:tab w:leader="none" w:pos="144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Times New Roman" w:cs="Times New Roman" w:eastAsia="Times New Roman" w:hAnsi="Times New Roman"/>
          <w:sz w:val="18"/>
          <w:szCs w:val="18"/>
          <w:color w:val="auto"/>
        </w:rPr>
      </w:pPr>
    </w:p>
    <w:p>
      <w:pPr>
        <w:jc w:val="both"/>
        <w:ind w:left="700" w:right="339" w:hanging="326"/>
        <w:spacing w:after="0" w:line="266" w:lineRule="auto"/>
        <w:tabs>
          <w:tab w:leader="none" w:pos="7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1560" w:right="99" w:hanging="497"/>
        <w:spacing w:after="0" w:line="258" w:lineRule="auto"/>
        <w:tabs>
          <w:tab w:leader="none" w:pos="15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Times New Roman" w:cs="Times New Roman" w:eastAsia="Times New Roman" w:hAnsi="Times New Roman"/>
          <w:sz w:val="18"/>
          <w:szCs w:val="18"/>
          <w:color w:val="auto"/>
        </w:rPr>
      </w:pPr>
    </w:p>
    <w:p>
      <w:pPr>
        <w:ind w:left="1560" w:right="679" w:hanging="497"/>
        <w:spacing w:after="0" w:line="282" w:lineRule="auto"/>
        <w:tabs>
          <w:tab w:leader="none" w:pos="15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March 4, 2025</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Michael Rossi</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Michael Rossi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-127635</wp:posOffset>
            </wp:positionV>
            <wp:extent cx="28200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President, Chief Executive Officer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09" w:name="page210"/>
    <w:bookmarkEnd w:id="20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Peter Pfreundschuh, certify that:</w:t>
      </w:r>
    </w:p>
    <w:p>
      <w:pPr>
        <w:spacing w:after="0" w:line="185" w:lineRule="exact"/>
        <w:rPr>
          <w:sz w:val="20"/>
          <w:szCs w:val="20"/>
          <w:color w:val="auto"/>
        </w:rPr>
      </w:pPr>
    </w:p>
    <w:p>
      <w:pPr>
        <w:ind w:left="700" w:hanging="326"/>
        <w:spacing w:after="0"/>
        <w:tabs>
          <w:tab w:leader="none" w:pos="7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Y-mAbs Therapeutics, Inc.;</w:t>
      </w:r>
    </w:p>
    <w:p>
      <w:pPr>
        <w:spacing w:after="0" w:line="184" w:lineRule="exact"/>
        <w:rPr>
          <w:rFonts w:ascii="Times New Roman" w:cs="Times New Roman" w:eastAsia="Times New Roman" w:hAnsi="Times New Roman"/>
          <w:sz w:val="18"/>
          <w:szCs w:val="18"/>
          <w:color w:val="auto"/>
        </w:rPr>
      </w:pPr>
    </w:p>
    <w:p>
      <w:pPr>
        <w:ind w:left="700" w:right="299" w:hanging="326"/>
        <w:spacing w:after="0" w:line="266" w:lineRule="auto"/>
        <w:tabs>
          <w:tab w:leader="none" w:pos="7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700" w:right="179" w:hanging="326"/>
        <w:spacing w:after="0" w:line="266" w:lineRule="auto"/>
        <w:tabs>
          <w:tab w:leader="none" w:pos="7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ind w:left="700" w:right="379" w:hanging="326"/>
        <w:spacing w:after="0" w:line="289" w:lineRule="auto"/>
        <w:tabs>
          <w:tab w:leader="none" w:pos="70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7"/>
          <w:szCs w:val="17"/>
          <w:color w:val="auto"/>
        </w:rPr>
      </w:pPr>
    </w:p>
    <w:p>
      <w:pPr>
        <w:ind w:left="1460" w:right="99" w:hanging="330"/>
        <w:spacing w:after="0" w:line="261" w:lineRule="auto"/>
        <w:tabs>
          <w:tab w:leader="none" w:pos="14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Times New Roman" w:cs="Times New Roman" w:eastAsia="Times New Roman" w:hAnsi="Times New Roman"/>
          <w:sz w:val="18"/>
          <w:szCs w:val="18"/>
          <w:color w:val="auto"/>
        </w:rPr>
      </w:pPr>
    </w:p>
    <w:p>
      <w:pPr>
        <w:ind w:left="1460" w:right="79" w:hanging="330"/>
        <w:spacing w:after="0" w:line="261" w:lineRule="auto"/>
        <w:tabs>
          <w:tab w:leader="none" w:pos="14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1460" w:right="219" w:hanging="330"/>
        <w:spacing w:after="0" w:line="266" w:lineRule="auto"/>
        <w:tabs>
          <w:tab w:leader="none" w:pos="14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460" w:right="359" w:hanging="330"/>
        <w:spacing w:after="0" w:line="261" w:lineRule="auto"/>
        <w:tabs>
          <w:tab w:leader="none" w:pos="14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Times New Roman" w:cs="Times New Roman" w:eastAsia="Times New Roman" w:hAnsi="Times New Roman"/>
          <w:sz w:val="18"/>
          <w:szCs w:val="18"/>
          <w:color w:val="auto"/>
        </w:rPr>
      </w:pPr>
    </w:p>
    <w:p>
      <w:pPr>
        <w:jc w:val="both"/>
        <w:ind w:left="700" w:right="339" w:hanging="326"/>
        <w:spacing w:after="0" w:line="266" w:lineRule="auto"/>
        <w:tabs>
          <w:tab w:leader="none" w:pos="7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1460" w:right="219" w:hanging="330"/>
        <w:spacing w:after="0" w:line="258" w:lineRule="auto"/>
        <w:tabs>
          <w:tab w:leader="none" w:pos="14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Times New Roman" w:cs="Times New Roman" w:eastAsia="Times New Roman" w:hAnsi="Times New Roman"/>
          <w:sz w:val="18"/>
          <w:szCs w:val="18"/>
          <w:color w:val="auto"/>
        </w:rPr>
      </w:pPr>
    </w:p>
    <w:p>
      <w:pPr>
        <w:ind w:left="1460" w:right="799" w:hanging="330"/>
        <w:spacing w:after="0" w:line="282" w:lineRule="auto"/>
        <w:tabs>
          <w:tab w:leader="none" w:pos="14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March 4, 2025</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Peter Pfreundschuh</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Peter Pfreundschuh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-127635</wp:posOffset>
            </wp:positionV>
            <wp:extent cx="28200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Chief Financial Officer and Treasurer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10" w:name="page211"/>
    <w:bookmarkEnd w:id="210"/>
    <w:p>
      <w:pPr>
        <w:ind w:left="784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Y-mAbs Therapeutics, Inc. (the “Company”) hereby certifies, to his knowledge, that:</w:t>
      </w:r>
    </w:p>
    <w:p>
      <w:pPr>
        <w:spacing w:after="0" w:line="176" w:lineRule="exact"/>
        <w:rPr>
          <w:sz w:val="20"/>
          <w:szCs w:val="20"/>
          <w:color w:val="auto"/>
        </w:rPr>
      </w:pPr>
    </w:p>
    <w:p>
      <w:pPr>
        <w:ind w:left="1440" w:right="299" w:hanging="377"/>
        <w:spacing w:after="0" w:line="266" w:lineRule="auto"/>
        <w:tabs>
          <w:tab w:leader="none" w:pos="14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Annual Report on Form 10-K of the Company for the fiscal year ended December 31, 2024 (the “Report”) fully complies with the requirements of Section 13(a) or Section 15(d), as applicable,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1440" w:right="239" w:hanging="377"/>
        <w:spacing w:after="0" w:line="282" w:lineRule="auto"/>
        <w:tabs>
          <w:tab w:leader="none" w:pos="14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March 4, 2025</w:t>
            </w:r>
          </w:p>
        </w:tc>
        <w:tc>
          <w:tcPr>
            <w:tcW w:w="1460" w:type="dxa"/>
            <w:vAlign w:val="bottom"/>
          </w:tcPr>
          <w:p>
            <w:pPr>
              <w:spacing w:after="0"/>
              <w:rPr>
                <w:sz w:val="20"/>
                <w:szCs w:val="20"/>
                <w:color w:val="auto"/>
              </w:rPr>
            </w:pP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Rossi</w:t>
            </w:r>
          </w:p>
        </w:tc>
      </w:tr>
      <w:tr>
        <w:trPr>
          <w:trHeight w:val="191"/>
        </w:trPr>
        <w:tc>
          <w:tcPr>
            <w:tcW w:w="30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Michael Rossi</w:t>
            </w:r>
          </w:p>
        </w:tc>
      </w:tr>
      <w:tr>
        <w:trPr>
          <w:trHeight w:val="216"/>
        </w:trPr>
        <w:tc>
          <w:tcPr>
            <w:tcW w:w="3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Chief Executive Officer</w:t>
            </w:r>
          </w:p>
        </w:tc>
      </w:tr>
      <w:tr>
        <w:trPr>
          <w:trHeight w:val="234"/>
        </w:trPr>
        <w:tc>
          <w:tcPr>
            <w:tcW w:w="30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64"/>
        </w:trPr>
        <w:tc>
          <w:tcPr>
            <w:tcW w:w="3020" w:type="dxa"/>
            <w:vAlign w:val="bottom"/>
          </w:tcPr>
          <w:p>
            <w:pPr>
              <w:spacing w:after="0"/>
              <w:rPr>
                <w:sz w:val="24"/>
                <w:szCs w:val="24"/>
                <w:color w:val="auto"/>
              </w:rPr>
            </w:pPr>
          </w:p>
        </w:tc>
        <w:tc>
          <w:tcPr>
            <w:tcW w:w="5900" w:type="dxa"/>
            <w:vAlign w:val="bottom"/>
            <w:gridSpan w:val="2"/>
          </w:tcPr>
          <w:p>
            <w:pPr>
              <w:jc w:val="right"/>
              <w:ind w:right="4330"/>
              <w:spacing w:after="0"/>
              <w:rPr>
                <w:sz w:val="20"/>
                <w:szCs w:val="20"/>
                <w:color w:val="auto"/>
              </w:rPr>
            </w:pPr>
            <w:r>
              <w:rPr>
                <w:rFonts w:ascii="Times New Roman" w:cs="Times New Roman" w:eastAsia="Times New Roman" w:hAnsi="Times New Roman"/>
                <w:sz w:val="18"/>
                <w:szCs w:val="18"/>
                <w:color w:val="auto"/>
              </w:rPr>
              <w:t>1</w:t>
            </w:r>
          </w:p>
        </w:tc>
      </w:tr>
      <w:tr>
        <w:trPr>
          <w:trHeight w:val="561"/>
        </w:trPr>
        <w:tc>
          <w:tcPr>
            <w:tcW w:w="30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11" w:name="page212"/>
    <w:bookmarkEnd w:id="211"/>
    <w:p>
      <w:pPr>
        <w:ind w:left="782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Y-mAbs Therapeutics, Inc. (the “Company”) hereby certifies, to his knowledge, that:</w:t>
      </w:r>
    </w:p>
    <w:p>
      <w:pPr>
        <w:spacing w:after="0" w:line="148" w:lineRule="exact"/>
        <w:rPr>
          <w:sz w:val="20"/>
          <w:szCs w:val="20"/>
          <w:color w:val="auto"/>
        </w:rPr>
      </w:pPr>
    </w:p>
    <w:p>
      <w:pPr>
        <w:ind w:left="1440" w:right="299" w:hanging="377"/>
        <w:spacing w:after="0" w:line="266" w:lineRule="auto"/>
        <w:tabs>
          <w:tab w:leader="none" w:pos="14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Annual Report on Form 10-K of the Company for the fiscal year ended December 31, 2023 (the “Report”) fully complies with the requirements of Section 13(a) or Section 15(d), as applicable,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1440" w:right="239" w:hanging="377"/>
        <w:spacing w:after="0" w:line="282" w:lineRule="auto"/>
        <w:tabs>
          <w:tab w:leader="none" w:pos="14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March 4, 2025</w:t>
            </w:r>
          </w:p>
        </w:tc>
        <w:tc>
          <w:tcPr>
            <w:tcW w:w="1460" w:type="dxa"/>
            <w:vAlign w:val="bottom"/>
          </w:tcPr>
          <w:p>
            <w:pPr>
              <w:spacing w:after="0"/>
              <w:rPr>
                <w:sz w:val="20"/>
                <w:szCs w:val="20"/>
                <w:color w:val="auto"/>
              </w:rPr>
            </w:pP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Pfreundschuh</w:t>
            </w:r>
          </w:p>
        </w:tc>
      </w:tr>
      <w:tr>
        <w:trPr>
          <w:trHeight w:val="191"/>
        </w:trPr>
        <w:tc>
          <w:tcPr>
            <w:tcW w:w="30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Peter Pfreundschuh</w:t>
            </w:r>
          </w:p>
        </w:tc>
      </w:tr>
      <w:tr>
        <w:trPr>
          <w:trHeight w:val="216"/>
        </w:trPr>
        <w:tc>
          <w:tcPr>
            <w:tcW w:w="3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and Treasurer</w:t>
            </w:r>
          </w:p>
        </w:tc>
      </w:tr>
      <w:tr>
        <w:trPr>
          <w:trHeight w:val="234"/>
        </w:trPr>
        <w:tc>
          <w:tcPr>
            <w:tcW w:w="30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864"/>
        </w:trPr>
        <w:tc>
          <w:tcPr>
            <w:tcW w:w="3020" w:type="dxa"/>
            <w:vAlign w:val="bottom"/>
          </w:tcPr>
          <w:p>
            <w:pPr>
              <w:spacing w:after="0"/>
              <w:rPr>
                <w:sz w:val="24"/>
                <w:szCs w:val="24"/>
                <w:color w:val="auto"/>
              </w:rPr>
            </w:pPr>
          </w:p>
        </w:tc>
        <w:tc>
          <w:tcPr>
            <w:tcW w:w="5900" w:type="dxa"/>
            <w:vAlign w:val="bottom"/>
            <w:gridSpan w:val="2"/>
          </w:tcPr>
          <w:p>
            <w:pPr>
              <w:jc w:val="right"/>
              <w:ind w:right="4330"/>
              <w:spacing w:after="0"/>
              <w:rPr>
                <w:sz w:val="20"/>
                <w:szCs w:val="20"/>
                <w:color w:val="auto"/>
              </w:rPr>
            </w:pPr>
            <w:r>
              <w:rPr>
                <w:rFonts w:ascii="Times New Roman" w:cs="Times New Roman" w:eastAsia="Times New Roman" w:hAnsi="Times New Roman"/>
                <w:sz w:val="18"/>
                <w:szCs w:val="18"/>
                <w:color w:val="auto"/>
              </w:rPr>
              <w:t>1</w:t>
            </w:r>
          </w:p>
        </w:tc>
      </w:tr>
      <w:tr>
        <w:trPr>
          <w:trHeight w:val="560"/>
        </w:trPr>
        <w:tc>
          <w:tcPr>
            <w:tcW w:w="30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310C50B3"/>
    <w:multiLevelType w:val="hybridMultilevel"/>
    <w:lvl w:ilvl="0">
      <w:lvlJc w:val="left"/>
      <w:lvlText w:val="☒"/>
      <w:numFmt w:val="bullet"/>
      <w:start w:val="1"/>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
      <w:numFmt w:val="bullet"/>
      <w:start w:val="1"/>
    </w:lvl>
  </w:abstractNum>
  <w:abstractNum w:abstractNumId="3">
    <w:nsid w:val="25A70BF7"/>
    <w:multiLevelType w:val="hybridMultilevel"/>
    <w:lvl w:ilvl="0">
      <w:lvlJc w:val="left"/>
      <w:lvlText w:val="●"/>
      <w:numFmt w:val="bullet"/>
      <w:start w:val="1"/>
    </w:lvl>
  </w:abstractNum>
  <w:abstractNum w:abstractNumId="4">
    <w:nsid w:val="1DBABF00"/>
    <w:multiLevelType w:val="hybridMultilevel"/>
    <w:lvl w:ilvl="0">
      <w:lvlJc w:val="left"/>
      <w:lvlText w:val="●"/>
      <w:numFmt w:val="bullet"/>
      <w:start w:val="1"/>
    </w:lvl>
  </w:abstractNum>
  <w:abstractNum w:abstractNumId="5">
    <w:nsid w:val="4AD084E9"/>
    <w:multiLevelType w:val="hybridMultilevel"/>
    <w:lvl w:ilvl="0">
      <w:lvlJc w:val="left"/>
      <w:lvlText w:val="●"/>
      <w:numFmt w:val="bullet"/>
      <w:start w:val="1"/>
    </w:lvl>
  </w:abstractNum>
  <w:abstractNum w:abstractNumId="6">
    <w:nsid w:val="1F48EAA1"/>
    <w:multiLevelType w:val="hybridMultilevel"/>
    <w:lvl w:ilvl="0">
      <w:lvlJc w:val="left"/>
      <w:lvlText w:val="(%1)"/>
      <w:numFmt w:val="decimal"/>
      <w:start w:val="1"/>
    </w:lvl>
  </w:abstractNum>
  <w:abstractNum w:abstractNumId="7">
    <w:nsid w:val="1381823A"/>
    <w:multiLevelType w:val="hybridMultilevel"/>
    <w:lvl w:ilvl="0">
      <w:lvlJc w:val="left"/>
      <w:lvlText w:val="●"/>
      <w:numFmt w:val="bullet"/>
      <w:start w:val="1"/>
    </w:lvl>
  </w:abstractNum>
  <w:abstractNum w:abstractNumId="8">
    <w:nsid w:val="5DB70AE5"/>
    <w:multiLevelType w:val="hybridMultilevel"/>
    <w:lvl w:ilvl="0">
      <w:lvlJc w:val="left"/>
      <w:lvlText w:val="(%1)"/>
      <w:numFmt w:val="lowerRoman"/>
      <w:start w:val="2"/>
    </w:lvl>
  </w:abstractNum>
  <w:abstractNum w:abstractNumId="9">
    <w:nsid w:val="100F8FCA"/>
    <w:multiLevelType w:val="hybridMultilevel"/>
    <w:lvl w:ilvl="0">
      <w:lvlJc w:val="left"/>
      <w:lvlText w:val="●"/>
      <w:numFmt w:val="bullet"/>
      <w:start w:val="1"/>
    </w:lvl>
  </w:abstractNum>
  <w:abstractNum w:abstractNumId="10">
    <w:nsid w:val="6590700B"/>
    <w:multiLevelType w:val="hybridMultilevel"/>
    <w:lvl w:ilvl="0">
      <w:lvlJc w:val="left"/>
      <w:lvlText w:val="●"/>
      <w:numFmt w:val="bullet"/>
      <w:start w:val="1"/>
    </w:lvl>
  </w:abstractNum>
  <w:abstractNum w:abstractNumId="11">
    <w:nsid w:val="15014ACB"/>
    <w:multiLevelType w:val="hybridMultilevel"/>
    <w:lvl w:ilvl="0">
      <w:lvlJc w:val="left"/>
      <w:lvlText w:val="●"/>
      <w:numFmt w:val="bullet"/>
      <w:start w:val="1"/>
    </w:lvl>
    <w:lvl w:ilvl="1">
      <w:lvlJc w:val="left"/>
      <w:lvlText w:val="o"/>
      <w:numFmt w:val="bullet"/>
      <w:start w:val="1"/>
    </w:lvl>
  </w:abstractNum>
  <w:abstractNum w:abstractNumId="12">
    <w:nsid w:val="5F5E7FD0"/>
    <w:multiLevelType w:val="hybridMultilevel"/>
    <w:lvl w:ilvl="0">
      <w:lvlJc w:val="left"/>
      <w:lvlText w:val="●"/>
      <w:numFmt w:val="bullet"/>
      <w:start w:val="1"/>
    </w:lvl>
  </w:abstractNum>
  <w:abstractNum w:abstractNumId="13">
    <w:nsid w:val="98A3148"/>
    <w:multiLevelType w:val="hybridMultilevel"/>
    <w:lvl w:ilvl="0">
      <w:lvlJc w:val="left"/>
      <w:lvlText w:val="●"/>
      <w:numFmt w:val="bullet"/>
      <w:start w:val="1"/>
    </w:lvl>
  </w:abstractNum>
  <w:abstractNum w:abstractNumId="14">
    <w:nsid w:val="799D0247"/>
    <w:multiLevelType w:val="hybridMultilevel"/>
    <w:lvl w:ilvl="0">
      <w:lvlJc w:val="left"/>
      <w:lvlText w:val="●"/>
      <w:numFmt w:val="bullet"/>
      <w:start w:val="1"/>
    </w:lvl>
  </w:abstractNum>
  <w:abstractNum w:abstractNumId="15">
    <w:nsid w:val="6B94764"/>
    <w:multiLevelType w:val="hybridMultilevel"/>
    <w:lvl w:ilvl="0">
      <w:lvlJc w:val="left"/>
      <w:lvlText w:val="●"/>
      <w:numFmt w:val="bullet"/>
      <w:start w:val="1"/>
    </w:lvl>
  </w:abstractNum>
  <w:abstractNum w:abstractNumId="16">
    <w:nsid w:val="42C296BD"/>
    <w:multiLevelType w:val="hybridMultilevel"/>
    <w:lvl w:ilvl="0">
      <w:lvlJc w:val="left"/>
      <w:lvlText w:val="●"/>
      <w:numFmt w:val="bullet"/>
      <w:start w:val="1"/>
    </w:lvl>
  </w:abstractNum>
  <w:abstractNum w:abstractNumId="17">
    <w:nsid w:val="168E121F"/>
    <w:multiLevelType w:val="hybridMultilevel"/>
    <w:lvl w:ilvl="0">
      <w:lvlJc w:val="left"/>
      <w:lvlText w:val="●"/>
      <w:numFmt w:val="bullet"/>
      <w:start w:val="1"/>
    </w:lvl>
  </w:abstractNum>
  <w:abstractNum w:abstractNumId="18">
    <w:nsid w:val="1EBA5D23"/>
    <w:multiLevelType w:val="hybridMultilevel"/>
    <w:lvl w:ilvl="0">
      <w:lvlJc w:val="left"/>
      <w:lvlText w:val="●"/>
      <w:numFmt w:val="bullet"/>
      <w:start w:val="1"/>
    </w:lvl>
  </w:abstractNum>
  <w:abstractNum w:abstractNumId="19">
    <w:nsid w:val="661E3F1E"/>
    <w:multiLevelType w:val="hybridMultilevel"/>
    <w:lvl w:ilvl="0">
      <w:lvlJc w:val="left"/>
      <w:lvlText w:val="●"/>
      <w:numFmt w:val="bullet"/>
      <w:start w:val="1"/>
    </w:lvl>
  </w:abstractNum>
  <w:abstractNum w:abstractNumId="20">
    <w:nsid w:val="5DC79EA8"/>
    <w:multiLevelType w:val="hybridMultilevel"/>
    <w:lvl w:ilvl="0">
      <w:lvlJc w:val="left"/>
      <w:lvlText w:val="●"/>
      <w:numFmt w:val="bullet"/>
      <w:start w:val="1"/>
    </w:lvl>
  </w:abstractNum>
  <w:abstractNum w:abstractNumId="21">
    <w:nsid w:val="540A471C"/>
    <w:multiLevelType w:val="hybridMultilevel"/>
    <w:lvl w:ilvl="0">
      <w:lvlJc w:val="left"/>
      <w:lvlText w:val="●"/>
      <w:numFmt w:val="bullet"/>
      <w:start w:val="1"/>
    </w:lvl>
  </w:abstractNum>
  <w:abstractNum w:abstractNumId="22">
    <w:nsid w:val="7BD3EE7B"/>
    <w:multiLevelType w:val="hybridMultilevel"/>
    <w:lvl w:ilvl="0">
      <w:lvlJc w:val="left"/>
      <w:lvlText w:val="●"/>
      <w:numFmt w:val="bullet"/>
      <w:start w:val="1"/>
    </w:lvl>
  </w:abstractNum>
  <w:abstractNum w:abstractNumId="23">
    <w:nsid w:val="51D9C564"/>
    <w:multiLevelType w:val="hybridMultilevel"/>
    <w:lvl w:ilvl="0">
      <w:lvlJc w:val="left"/>
      <w:lvlText w:val="●"/>
      <w:numFmt w:val="bullet"/>
      <w:start w:val="1"/>
    </w:lvl>
  </w:abstractNum>
  <w:abstractNum w:abstractNumId="24">
    <w:nsid w:val="613EFDC5"/>
    <w:multiLevelType w:val="hybridMultilevel"/>
    <w:lvl w:ilvl="0">
      <w:lvlJc w:val="left"/>
      <w:lvlText w:val="●"/>
      <w:numFmt w:val="bullet"/>
      <w:start w:val="1"/>
    </w:lvl>
  </w:abstractNum>
  <w:abstractNum w:abstractNumId="25">
    <w:nsid w:val="BF72B14"/>
    <w:multiLevelType w:val="hybridMultilevel"/>
    <w:lvl w:ilvl="0">
      <w:lvlJc w:val="left"/>
      <w:lvlText w:val="●"/>
      <w:numFmt w:val="bullet"/>
      <w:start w:val="1"/>
    </w:lvl>
  </w:abstractNum>
  <w:abstractNum w:abstractNumId="26">
    <w:nsid w:val="11447B73"/>
    <w:multiLevelType w:val="hybridMultilevel"/>
    <w:lvl w:ilvl="0">
      <w:lvlJc w:val="left"/>
      <w:lvlText w:val="●"/>
      <w:numFmt w:val="bullet"/>
      <w:start w:val="1"/>
    </w:lvl>
  </w:abstractNum>
  <w:abstractNum w:abstractNumId="27">
    <w:nsid w:val="42963E5A"/>
    <w:multiLevelType w:val="hybridMultilevel"/>
    <w:lvl w:ilvl="0">
      <w:lvlJc w:val="left"/>
      <w:lvlText w:val="●"/>
      <w:numFmt w:val="bullet"/>
      <w:start w:val="1"/>
    </w:lvl>
  </w:abstractNum>
  <w:abstractNum w:abstractNumId="28">
    <w:nsid w:val="A0382C5"/>
    <w:multiLevelType w:val="hybridMultilevel"/>
    <w:lvl w:ilvl="0">
      <w:lvlJc w:val="left"/>
      <w:lvlText w:val="●"/>
      <w:numFmt w:val="bullet"/>
      <w:start w:val="1"/>
    </w:lvl>
  </w:abstractNum>
  <w:abstractNum w:abstractNumId="29">
    <w:nsid w:val="8F2B15E"/>
    <w:multiLevelType w:val="hybridMultilevel"/>
    <w:lvl w:ilvl="0">
      <w:lvlJc w:val="left"/>
      <w:lvlText w:val="●"/>
      <w:numFmt w:val="bullet"/>
      <w:start w:val="1"/>
    </w:lvl>
  </w:abstractNum>
  <w:abstractNum w:abstractNumId="30">
    <w:nsid w:val="1A32234B"/>
    <w:multiLevelType w:val="hybridMultilevel"/>
    <w:lvl w:ilvl="0">
      <w:lvlJc w:val="left"/>
      <w:lvlText w:val="●"/>
      <w:numFmt w:val="bullet"/>
      <w:start w:val="1"/>
    </w:lvl>
  </w:abstractNum>
  <w:abstractNum w:abstractNumId="31">
    <w:nsid w:val="3B0FD379"/>
    <w:multiLevelType w:val="hybridMultilevel"/>
    <w:lvl w:ilvl="0">
      <w:lvlJc w:val="left"/>
      <w:lvlText w:val="●"/>
      <w:numFmt w:val="bullet"/>
      <w:start w:val="1"/>
    </w:lvl>
  </w:abstractNum>
  <w:abstractNum w:abstractNumId="32">
    <w:nsid w:val="68EB2F63"/>
    <w:multiLevelType w:val="hybridMultilevel"/>
    <w:lvl w:ilvl="0">
      <w:lvlJc w:val="left"/>
      <w:lvlText w:val="●"/>
      <w:numFmt w:val="bullet"/>
      <w:start w:val="1"/>
    </w:lvl>
  </w:abstractNum>
  <w:abstractNum w:abstractNumId="33">
    <w:nsid w:val="4962813B"/>
    <w:multiLevelType w:val="hybridMultilevel"/>
    <w:lvl w:ilvl="0">
      <w:lvlJc w:val="left"/>
      <w:lvlText w:val="●"/>
      <w:numFmt w:val="bullet"/>
      <w:start w:val="1"/>
    </w:lvl>
  </w:abstractNum>
  <w:abstractNum w:abstractNumId="34">
    <w:nsid w:val="60B6DF70"/>
    <w:multiLevelType w:val="hybridMultilevel"/>
    <w:lvl w:ilvl="0">
      <w:lvlJc w:val="left"/>
      <w:lvlText w:val="●"/>
      <w:numFmt w:val="bullet"/>
      <w:start w:val="1"/>
    </w:lvl>
  </w:abstractNum>
  <w:abstractNum w:abstractNumId="35">
    <w:nsid w:val="6A5EE64"/>
    <w:multiLevelType w:val="hybridMultilevel"/>
    <w:lvl w:ilvl="0">
      <w:lvlJc w:val="left"/>
      <w:lvlText w:val="●"/>
      <w:numFmt w:val="bullet"/>
      <w:start w:val="1"/>
    </w:lvl>
  </w:abstractNum>
  <w:abstractNum w:abstractNumId="36">
    <w:nsid w:val="14330624"/>
    <w:multiLevelType w:val="hybridMultilevel"/>
    <w:lvl w:ilvl="0">
      <w:lvlJc w:val="left"/>
      <w:lvlText w:val="●"/>
      <w:numFmt w:val="bullet"/>
      <w:start w:val="1"/>
    </w:lvl>
  </w:abstractNum>
  <w:abstractNum w:abstractNumId="37">
    <w:nsid w:val="7FFFCA11"/>
    <w:multiLevelType w:val="hybridMultilevel"/>
    <w:lvl w:ilvl="0">
      <w:lvlJc w:val="left"/>
      <w:lvlText w:val="●"/>
      <w:numFmt w:val="bullet"/>
      <w:start w:val="1"/>
    </w:lvl>
  </w:abstractNum>
  <w:abstractNum w:abstractNumId="38">
    <w:nsid w:val="1A27709E"/>
    <w:multiLevelType w:val="hybridMultilevel"/>
    <w:lvl w:ilvl="0">
      <w:lvlJc w:val="left"/>
      <w:lvlText w:val="●"/>
      <w:numFmt w:val="bullet"/>
      <w:start w:val="1"/>
    </w:lvl>
  </w:abstractNum>
  <w:abstractNum w:abstractNumId="39">
    <w:nsid w:val="71EA1109"/>
    <w:multiLevelType w:val="hybridMultilevel"/>
    <w:lvl w:ilvl="0">
      <w:lvlJc w:val="left"/>
      <w:lvlText w:val="●"/>
      <w:numFmt w:val="bullet"/>
      <w:start w:val="1"/>
    </w:lvl>
  </w:abstractNum>
  <w:abstractNum w:abstractNumId="40">
    <w:nsid w:val="100F59DC"/>
    <w:multiLevelType w:val="hybridMultilevel"/>
    <w:lvl w:ilvl="0">
      <w:lvlJc w:val="left"/>
      <w:lvlText w:val="●"/>
      <w:numFmt w:val="bullet"/>
      <w:start w:val="1"/>
    </w:lvl>
  </w:abstractNum>
  <w:abstractNum w:abstractNumId="41">
    <w:nsid w:val="7FB7E0AA"/>
    <w:multiLevelType w:val="hybridMultilevel"/>
    <w:lvl w:ilvl="0">
      <w:lvlJc w:val="left"/>
      <w:lvlText w:val="●"/>
      <w:numFmt w:val="bullet"/>
      <w:start w:val="1"/>
    </w:lvl>
  </w:abstractNum>
  <w:abstractNum w:abstractNumId="42">
    <w:nsid w:val="6EB5BD4"/>
    <w:multiLevelType w:val="hybridMultilevel"/>
    <w:lvl w:ilvl="0">
      <w:lvlJc w:val="left"/>
      <w:lvlText w:val="●"/>
      <w:numFmt w:val="bullet"/>
      <w:start w:val="1"/>
    </w:lvl>
  </w:abstractNum>
  <w:abstractNum w:abstractNumId="43">
    <w:nsid w:val="6F6DD9AC"/>
    <w:multiLevelType w:val="hybridMultilevel"/>
    <w:lvl w:ilvl="0">
      <w:lvlJc w:val="left"/>
      <w:lvlText w:val="●"/>
      <w:numFmt w:val="bullet"/>
      <w:start w:val="1"/>
    </w:lvl>
  </w:abstractNum>
  <w:abstractNum w:abstractNumId="44">
    <w:nsid w:val="94211F2"/>
    <w:multiLevelType w:val="hybridMultilevel"/>
    <w:lvl w:ilvl="0">
      <w:lvlJc w:val="left"/>
      <w:lvlText w:val="●"/>
      <w:numFmt w:val="bullet"/>
      <w:start w:val="1"/>
    </w:lvl>
  </w:abstractNum>
  <w:abstractNum w:abstractNumId="45">
    <w:nsid w:val="885E1B"/>
    <w:multiLevelType w:val="hybridMultilevel"/>
    <w:lvl w:ilvl="0">
      <w:lvlJc w:val="left"/>
      <w:lvlText w:val="●"/>
      <w:numFmt w:val="bullet"/>
      <w:start w:val="1"/>
    </w:lvl>
  </w:abstractNum>
  <w:abstractNum w:abstractNumId="46">
    <w:nsid w:val="76272110"/>
    <w:multiLevelType w:val="hybridMultilevel"/>
    <w:lvl w:ilvl="0">
      <w:lvlJc w:val="left"/>
      <w:lvlText w:val="●"/>
      <w:numFmt w:val="bullet"/>
      <w:start w:val="1"/>
    </w:lvl>
  </w:abstractNum>
  <w:abstractNum w:abstractNumId="47">
    <w:nsid w:val="4C04A8AF"/>
    <w:multiLevelType w:val="hybridMultilevel"/>
    <w:lvl w:ilvl="0">
      <w:lvlJc w:val="left"/>
      <w:lvlText w:val="●"/>
      <w:numFmt w:val="bullet"/>
      <w:start w:val="1"/>
    </w:lvl>
  </w:abstractNum>
  <w:abstractNum w:abstractNumId="48">
    <w:nsid w:val="1716703B"/>
    <w:multiLevelType w:val="hybridMultilevel"/>
    <w:lvl w:ilvl="0">
      <w:lvlJc w:val="left"/>
      <w:lvlText w:val="●"/>
      <w:numFmt w:val="bullet"/>
      <w:start w:val="1"/>
    </w:lvl>
  </w:abstractNum>
  <w:abstractNum w:abstractNumId="49">
    <w:nsid w:val="14E17E33"/>
    <w:multiLevelType w:val="hybridMultilevel"/>
    <w:lvl w:ilvl="0">
      <w:lvlJc w:val="left"/>
      <w:lvlText w:val="●"/>
      <w:numFmt w:val="bullet"/>
      <w:start w:val="1"/>
    </w:lvl>
  </w:abstractNum>
  <w:abstractNum w:abstractNumId="50">
    <w:nsid w:val="3222E7CD"/>
    <w:multiLevelType w:val="hybridMultilevel"/>
    <w:lvl w:ilvl="0">
      <w:lvlJc w:val="left"/>
      <w:lvlText w:val="●"/>
      <w:numFmt w:val="bullet"/>
      <w:start w:val="1"/>
    </w:lvl>
  </w:abstractNum>
  <w:abstractNum w:abstractNumId="51">
    <w:nsid w:val="74DE0EE3"/>
    <w:multiLevelType w:val="hybridMultilevel"/>
    <w:lvl w:ilvl="0">
      <w:lvlJc w:val="left"/>
      <w:lvlText w:val="●"/>
      <w:numFmt w:val="bullet"/>
      <w:start w:val="1"/>
    </w:lvl>
  </w:abstractNum>
  <w:abstractNum w:abstractNumId="52">
    <w:nsid w:val="68EBC550"/>
    <w:multiLevelType w:val="hybridMultilevel"/>
    <w:lvl w:ilvl="0">
      <w:lvlJc w:val="left"/>
      <w:lvlText w:val="●"/>
      <w:numFmt w:val="bullet"/>
      <w:start w:val="1"/>
    </w:lvl>
  </w:abstractNum>
  <w:abstractNum w:abstractNumId="53">
    <w:nsid w:val="2DF6D648"/>
    <w:multiLevelType w:val="hybridMultilevel"/>
    <w:lvl w:ilvl="0">
      <w:lvlJc w:val="left"/>
      <w:lvlText w:val="●"/>
      <w:numFmt w:val="bullet"/>
      <w:start w:val="1"/>
    </w:lvl>
  </w:abstractNum>
  <w:abstractNum w:abstractNumId="54">
    <w:nsid w:val="46B7D447"/>
    <w:multiLevelType w:val="hybridMultilevel"/>
    <w:lvl w:ilvl="0">
      <w:lvlJc w:val="left"/>
      <w:lvlText w:val="●"/>
      <w:numFmt w:val="bullet"/>
      <w:start w:val="1"/>
    </w:lvl>
  </w:abstractNum>
  <w:abstractNum w:abstractNumId="55">
    <w:nsid w:val="4A2AC315"/>
    <w:multiLevelType w:val="hybridMultilevel"/>
    <w:lvl w:ilvl="0">
      <w:lvlJc w:val="left"/>
      <w:lvlText w:val="●"/>
      <w:numFmt w:val="bullet"/>
      <w:start w:val="1"/>
    </w:lvl>
  </w:abstractNum>
  <w:abstractNum w:abstractNumId="56">
    <w:nsid w:val="39EE015C"/>
    <w:multiLevelType w:val="hybridMultilevel"/>
    <w:lvl w:ilvl="0">
      <w:lvlJc w:val="left"/>
      <w:lvlText w:val="●"/>
      <w:numFmt w:val="bullet"/>
      <w:start w:val="1"/>
    </w:lvl>
  </w:abstractNum>
  <w:abstractNum w:abstractNumId="57">
    <w:nsid w:val="57FC4FBB"/>
    <w:multiLevelType w:val="hybridMultilevel"/>
    <w:lvl w:ilvl="0">
      <w:lvlJc w:val="left"/>
      <w:lvlText w:val="●"/>
      <w:numFmt w:val="bullet"/>
      <w:start w:val="1"/>
    </w:lvl>
  </w:abstractNum>
  <w:abstractNum w:abstractNumId="58">
    <w:nsid w:val="CC1016F"/>
    <w:multiLevelType w:val="hybridMultilevel"/>
    <w:lvl w:ilvl="0">
      <w:lvlJc w:val="left"/>
      <w:lvlText w:val="●"/>
      <w:numFmt w:val="bullet"/>
      <w:start w:val="1"/>
    </w:lvl>
  </w:abstractNum>
  <w:abstractNum w:abstractNumId="59">
    <w:nsid w:val="43F18422"/>
    <w:multiLevelType w:val="hybridMultilevel"/>
    <w:lvl w:ilvl="0">
      <w:lvlJc w:val="left"/>
      <w:lvlText w:val="●"/>
      <w:numFmt w:val="bullet"/>
      <w:start w:val="1"/>
    </w:lvl>
  </w:abstractNum>
  <w:abstractNum w:abstractNumId="60">
    <w:nsid w:val="60EF0119"/>
    <w:multiLevelType w:val="hybridMultilevel"/>
    <w:lvl w:ilvl="0">
      <w:lvlJc w:val="left"/>
      <w:lvlText w:val="●"/>
      <w:numFmt w:val="bullet"/>
      <w:start w:val="1"/>
    </w:lvl>
  </w:abstractNum>
  <w:abstractNum w:abstractNumId="61">
    <w:nsid w:val="26F324BA"/>
    <w:multiLevelType w:val="hybridMultilevel"/>
    <w:lvl w:ilvl="0">
      <w:lvlJc w:val="left"/>
      <w:lvlText w:val="●"/>
      <w:numFmt w:val="bullet"/>
      <w:start w:val="1"/>
    </w:lvl>
  </w:abstractNum>
  <w:abstractNum w:abstractNumId="62">
    <w:nsid w:val="7F01579B"/>
    <w:multiLevelType w:val="hybridMultilevel"/>
    <w:lvl w:ilvl="0">
      <w:lvlJc w:val="left"/>
      <w:lvlText w:val="●"/>
      <w:numFmt w:val="bullet"/>
      <w:start w:val="1"/>
    </w:lvl>
  </w:abstractNum>
  <w:abstractNum w:abstractNumId="63">
    <w:nsid w:val="49DA307D"/>
    <w:multiLevelType w:val="hybridMultilevel"/>
    <w:lvl w:ilvl="0">
      <w:lvlJc w:val="left"/>
      <w:lvlText w:val="●"/>
      <w:numFmt w:val="bullet"/>
      <w:start w:val="1"/>
    </w:lvl>
  </w:abstractNum>
  <w:abstractNum w:abstractNumId="64">
    <w:nsid w:val="7055A5F5"/>
    <w:multiLevelType w:val="hybridMultilevel"/>
    <w:lvl w:ilvl="0">
      <w:lvlJc w:val="left"/>
      <w:lvlText w:val="●"/>
      <w:numFmt w:val="bullet"/>
      <w:start w:val="1"/>
    </w:lvl>
  </w:abstractNum>
  <w:abstractNum w:abstractNumId="65">
    <w:nsid w:val="5FB8370B"/>
    <w:multiLevelType w:val="hybridMultilevel"/>
    <w:lvl w:ilvl="0">
      <w:lvlJc w:val="left"/>
      <w:lvlText w:val="●"/>
      <w:numFmt w:val="bullet"/>
      <w:start w:val="1"/>
    </w:lvl>
  </w:abstractNum>
  <w:abstractNum w:abstractNumId="66">
    <w:nsid w:val="50801EE1"/>
    <w:multiLevelType w:val="hybridMultilevel"/>
    <w:lvl w:ilvl="0">
      <w:lvlJc w:val="left"/>
      <w:lvlText w:val="●"/>
      <w:numFmt w:val="bullet"/>
      <w:start w:val="1"/>
    </w:lvl>
  </w:abstractNum>
  <w:abstractNum w:abstractNumId="67">
    <w:nsid w:val="488AC1A"/>
    <w:multiLevelType w:val="hybridMultilevel"/>
    <w:lvl w:ilvl="0">
      <w:lvlJc w:val="left"/>
      <w:lvlText w:val="●"/>
      <w:numFmt w:val="bullet"/>
      <w:start w:val="1"/>
    </w:lvl>
  </w:abstractNum>
  <w:abstractNum w:abstractNumId="68">
    <w:nsid w:val="5FB8011C"/>
    <w:multiLevelType w:val="hybridMultilevel"/>
    <w:lvl w:ilvl="0">
      <w:lvlJc w:val="left"/>
      <w:lvlText w:val="●"/>
      <w:numFmt w:val="bullet"/>
      <w:start w:val="1"/>
    </w:lvl>
  </w:abstractNum>
  <w:abstractNum w:abstractNumId="69">
    <w:nsid w:val="6AA78F7F"/>
    <w:multiLevelType w:val="hybridMultilevel"/>
    <w:lvl w:ilvl="0">
      <w:lvlJc w:val="left"/>
      <w:lvlText w:val="●"/>
      <w:numFmt w:val="bullet"/>
      <w:start w:val="1"/>
    </w:lvl>
  </w:abstractNum>
  <w:abstractNum w:abstractNumId="70">
    <w:nsid w:val="7672BD23"/>
    <w:multiLevelType w:val="hybridMultilevel"/>
    <w:lvl w:ilvl="0">
      <w:lvlJc w:val="left"/>
      <w:lvlText w:val="●"/>
      <w:numFmt w:val="bullet"/>
      <w:start w:val="1"/>
    </w:lvl>
  </w:abstractNum>
  <w:abstractNum w:abstractNumId="71">
    <w:nsid w:val="6FC75AF8"/>
    <w:multiLevelType w:val="hybridMultilevel"/>
    <w:lvl w:ilvl="0">
      <w:lvlJc w:val="left"/>
      <w:lvlText w:val="●"/>
      <w:numFmt w:val="bullet"/>
      <w:start w:val="1"/>
    </w:lvl>
  </w:abstractNum>
  <w:abstractNum w:abstractNumId="72">
    <w:nsid w:val="6A5F7029"/>
    <w:multiLevelType w:val="hybridMultilevel"/>
    <w:lvl w:ilvl="0">
      <w:lvlJc w:val="left"/>
      <w:lvlText w:val="•"/>
      <w:numFmt w:val="bullet"/>
      <w:start w:val="1"/>
    </w:lvl>
  </w:abstractNum>
  <w:abstractNum w:abstractNumId="73">
    <w:nsid w:val="7D5E18F8"/>
    <w:multiLevelType w:val="hybridMultilevel"/>
    <w:lvl w:ilvl="0">
      <w:lvlJc w:val="left"/>
      <w:lvlText w:val="●"/>
      <w:numFmt w:val="bullet"/>
      <w:start w:val="1"/>
    </w:lvl>
  </w:abstractNum>
  <w:abstractNum w:abstractNumId="74">
    <w:nsid w:val="5F3534A4"/>
    <w:multiLevelType w:val="hybridMultilevel"/>
    <w:lvl w:ilvl="0">
      <w:lvlJc w:val="left"/>
      <w:lvlText w:val="●"/>
      <w:numFmt w:val="bullet"/>
      <w:start w:val="1"/>
    </w:lvl>
  </w:abstractNum>
  <w:abstractNum w:abstractNumId="75">
    <w:nsid w:val="73A1821B"/>
    <w:multiLevelType w:val="hybridMultilevel"/>
    <w:lvl w:ilvl="0">
      <w:lvlJc w:val="left"/>
      <w:lvlText w:val="●"/>
      <w:numFmt w:val="bullet"/>
      <w:start w:val="1"/>
    </w:lvl>
  </w:abstractNum>
  <w:abstractNum w:abstractNumId="76">
    <w:nsid w:val="7DE67713"/>
    <w:multiLevelType w:val="hybridMultilevel"/>
    <w:lvl w:ilvl="0">
      <w:lvlJc w:val="left"/>
      <w:lvlText w:val="●"/>
      <w:numFmt w:val="bullet"/>
      <w:start w:val="1"/>
    </w:lvl>
  </w:abstractNum>
  <w:abstractNum w:abstractNumId="77">
    <w:nsid w:val="555C55B5"/>
    <w:multiLevelType w:val="hybridMultilevel"/>
    <w:lvl w:ilvl="0">
      <w:lvlJc w:val="left"/>
      <w:lvlText w:val="●"/>
      <w:numFmt w:val="bullet"/>
      <w:start w:val="1"/>
    </w:lvl>
  </w:abstractNum>
  <w:abstractNum w:abstractNumId="78">
    <w:nsid w:val="3FA62ACA"/>
    <w:multiLevelType w:val="hybridMultilevel"/>
    <w:lvl w:ilvl="0">
      <w:lvlJc w:val="left"/>
      <w:lvlText w:val="●"/>
      <w:numFmt w:val="bullet"/>
      <w:start w:val="1"/>
    </w:lvl>
  </w:abstractNum>
  <w:abstractNum w:abstractNumId="79">
    <w:nsid w:val="14FCE74E"/>
    <w:multiLevelType w:val="hybridMultilevel"/>
    <w:lvl w:ilvl="0">
      <w:lvlJc w:val="left"/>
      <w:lvlText w:val="●"/>
      <w:numFmt w:val="bullet"/>
      <w:start w:val="1"/>
    </w:lvl>
  </w:abstractNum>
  <w:abstractNum w:abstractNumId="80">
    <w:nsid w:val="6A3DD3E8"/>
    <w:multiLevelType w:val="hybridMultilevel"/>
    <w:lvl w:ilvl="0">
      <w:lvlJc w:val="left"/>
      <w:lvlText w:val="●"/>
      <w:numFmt w:val="bullet"/>
      <w:start w:val="1"/>
    </w:lvl>
  </w:abstractNum>
  <w:abstractNum w:abstractNumId="81">
    <w:nsid w:val="71C91298"/>
    <w:multiLevelType w:val="hybridMultilevel"/>
    <w:lvl w:ilvl="0">
      <w:lvlJc w:val="left"/>
      <w:lvlText w:val="●"/>
      <w:numFmt w:val="bullet"/>
      <w:start w:val="1"/>
    </w:lvl>
  </w:abstractNum>
  <w:abstractNum w:abstractNumId="82">
    <w:nsid w:val="9DAF632"/>
    <w:multiLevelType w:val="hybridMultilevel"/>
    <w:lvl w:ilvl="0">
      <w:lvlJc w:val="left"/>
      <w:lvlText w:val="%1."/>
      <w:numFmt w:val="decimal"/>
      <w:start w:val="10"/>
    </w:lvl>
  </w:abstractNum>
  <w:abstractNum w:abstractNumId="83">
    <w:nsid w:val="53299938"/>
    <w:multiLevelType w:val="hybridMultilevel"/>
    <w:lvl w:ilvl="0">
      <w:lvlJc w:val="left"/>
      <w:lvlText w:val="*"/>
      <w:numFmt w:val="bullet"/>
      <w:start w:val="1"/>
    </w:lvl>
  </w:abstractNum>
  <w:abstractNum w:abstractNumId="84">
    <w:nsid w:val="1FBFE8E0"/>
    <w:multiLevelType w:val="hybridMultilevel"/>
    <w:lvl w:ilvl="0">
      <w:lvlJc w:val="left"/>
      <w:lvlText w:val="#"/>
      <w:numFmt w:val="bullet"/>
      <w:start w:val="1"/>
    </w:lvl>
  </w:abstractNum>
  <w:abstractNum w:abstractNumId="85">
    <w:nsid w:val="5092CA79"/>
    <w:multiLevelType w:val="hybridMultilevel"/>
    <w:lvl w:ilvl="0">
      <w:lvlJc w:val="left"/>
      <w:lvlText w:val="†"/>
      <w:numFmt w:val="bullet"/>
      <w:start w:val="1"/>
    </w:lvl>
  </w:abstractNum>
  <w:abstractNum w:abstractNumId="86">
    <w:nsid w:val="1D545C4D"/>
    <w:multiLevelType w:val="hybridMultilevel"/>
    <w:lvl w:ilvl="0">
      <w:lvlJc w:val="left"/>
      <w:lvlText w:val="+"/>
      <w:numFmt w:val="bullet"/>
      <w:start w:val="1"/>
    </w:lvl>
  </w:abstractNum>
  <w:abstractNum w:abstractNumId="87">
    <w:nsid w:val="59ADEA3D"/>
    <w:multiLevelType w:val="hybridMultilevel"/>
    <w:lvl w:ilvl="0">
      <w:lvlJc w:val="left"/>
      <w:lvlText w:val="++"/>
      <w:numFmt w:val="bullet"/>
      <w:start w:val="1"/>
    </w:lvl>
  </w:abstractNum>
  <w:abstractNum w:abstractNumId="88">
    <w:nsid w:val="288F1A34"/>
    <w:multiLevelType w:val="hybridMultilevel"/>
    <w:lvl w:ilvl="0">
      <w:lvlJc w:val="left"/>
      <w:lvlText w:val="(%1)"/>
      <w:numFmt w:val="lowerLetter"/>
      <w:start w:val="1"/>
    </w:lvl>
  </w:abstractNum>
  <w:abstractNum w:abstractNumId="89">
    <w:nsid w:val="2A155DBC"/>
    <w:multiLevelType w:val="hybridMultilevel"/>
    <w:lvl w:ilvl="0">
      <w:lvlJc w:val="left"/>
      <w:lvlText w:val="[***]"/>
      <w:numFmt w:val="bullet"/>
      <w:start w:val="1"/>
    </w:lvl>
  </w:abstractNum>
  <w:abstractNum w:abstractNumId="90">
    <w:nsid w:val="1D9F6E5F"/>
    <w:multiLevelType w:val="hybridMultilevel"/>
    <w:lvl w:ilvl="0">
      <w:lvlJc w:val="left"/>
      <w:lvlText w:val="[***]"/>
      <w:numFmt w:val="bullet"/>
      <w:start w:val="1"/>
    </w:lvl>
  </w:abstractNum>
  <w:abstractNum w:abstractNumId="91">
    <w:nsid w:val="97E1B4E"/>
    <w:multiLevelType w:val="hybridMultilevel"/>
    <w:lvl w:ilvl="0">
      <w:lvlJc w:val="left"/>
      <w:lvlText w:val="(%1)"/>
      <w:numFmt w:val="decimal"/>
      <w:start w:val="30"/>
    </w:lvl>
  </w:abstractNum>
  <w:abstractNum w:abstractNumId="92">
    <w:nsid w:val="51088277"/>
    <w:multiLevelType w:val="hybridMultilevel"/>
    <w:lvl w:ilvl="0">
      <w:lvlJc w:val="left"/>
      <w:lvlText w:val="(%1)"/>
      <w:numFmt w:val="lowerLetter"/>
      <w:start w:val="1"/>
    </w:lvl>
  </w:abstractNum>
  <w:abstractNum w:abstractNumId="93">
    <w:nsid w:val="1CA0C5FA"/>
    <w:multiLevelType w:val="hybridMultilevel"/>
    <w:lvl w:ilvl="0">
      <w:lvlJc w:val="left"/>
      <w:lvlText w:val="%1"/>
      <w:numFmt w:val="lowerLetter"/>
      <w:start w:val="1"/>
    </w:lvl>
    <w:lvl w:ilvl="1">
      <w:lvlJc w:val="left"/>
      <w:lvlText w:val="(%2)"/>
      <w:numFmt w:val="lowerLetter"/>
      <w:start w:val="35"/>
    </w:lvl>
  </w:abstractNum>
  <w:abstractNum w:abstractNumId="94">
    <w:nsid w:val="53584BCB"/>
    <w:multiLevelType w:val="hybridMultilevel"/>
    <w:lvl w:ilvl="0">
      <w:lvlJc w:val="left"/>
      <w:lvlText w:val="(%1)"/>
      <w:numFmt w:val="lowerLetter"/>
      <w:start w:val="2"/>
    </w:lvl>
    <w:lvl w:ilvl="1">
      <w:lvlJc w:val="left"/>
      <w:lvlText w:val="%2"/>
      <w:numFmt w:val="lowerLetter"/>
      <w:start w:val="1"/>
    </w:lvl>
  </w:abstractNum>
  <w:abstractNum w:abstractNumId="95">
    <w:nsid w:val="415E286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96">
    <w:nsid w:val="7C58FD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35"/>
    </w:lvl>
  </w:abstractNum>
  <w:abstractNum w:abstractNumId="97">
    <w:nsid w:val="23D86AA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98">
    <w:nsid w:val="45E6D486"/>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99">
    <w:nsid w:val="5C10FE21"/>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100">
    <w:nsid w:val="E7FFA2B"/>
    <w:multiLevelType w:val="hybridMultilevel"/>
    <w:lvl w:ilvl="0">
      <w:lvlJc w:val="left"/>
      <w:lvlText w:val="%1."/>
      <w:numFmt w:val="decimal"/>
      <w:start w:val="5"/>
    </w:lvl>
    <w:lvl w:ilvl="1">
      <w:lvlJc w:val="left"/>
      <w:lvlText w:val="%2."/>
      <w:numFmt w:val="lowerLetter"/>
      <w:start w:val="1"/>
    </w:lvl>
  </w:abstractNum>
  <w:abstractNum w:abstractNumId="101">
    <w:nsid w:val="3C5991AA"/>
    <w:multiLevelType w:val="hybridMultilevel"/>
    <w:lvl w:ilvl="0">
      <w:lvlJc w:val="left"/>
      <w:lvlText w:val="%1."/>
      <w:numFmt w:val="upperLetter"/>
      <w:start w:val="9"/>
    </w:lvl>
  </w:abstractNum>
  <w:abstractNum w:abstractNumId="102">
    <w:nsid w:val="4BD8591A"/>
    <w:multiLevelType w:val="hybridMultilevel"/>
    <w:lvl w:ilvl="0">
      <w:lvlJc w:val="left"/>
      <w:lvlText w:val="%1"/>
      <w:numFmt w:val="upperLetter"/>
      <w:start w:val="1"/>
    </w:lvl>
    <w:lvl w:ilvl="1">
      <w:lvlJc w:val="left"/>
      <w:lvlText w:val="%2."/>
      <w:numFmt w:val="upperLetter"/>
      <w:start w:val="35"/>
    </w:lvl>
  </w:abstractNum>
  <w:abstractNum w:abstractNumId="103">
    <w:nsid w:val="78DF6A55"/>
    <w:multiLevelType w:val="hybridMultilevel"/>
    <w:lvl w:ilvl="0">
      <w:lvlJc w:val="left"/>
      <w:lvlText w:val="%1."/>
      <w:numFmt w:val="upperLetter"/>
      <w:start w:val="1"/>
    </w:lvl>
    <w:lvl w:ilvl="1">
      <w:lvlJc w:val="left"/>
      <w:lvlText w:val="%2"/>
      <w:numFmt w:val="upperLetter"/>
      <w:start w:val="1"/>
    </w:lvl>
  </w:abstractNum>
  <w:abstractNum w:abstractNumId="104">
    <w:nsid w:val="39B7AAA2"/>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61"/>
    </w:lvl>
  </w:abstractNum>
  <w:abstractNum w:abstractNumId="105">
    <w:nsid w:val="2B0D8DBE"/>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abstractNum>
  <w:abstractNum w:abstractNumId="106">
    <w:nsid w:val="6C80EC70"/>
    <w:multiLevelType w:val="hybridMultilevel"/>
    <w:lvl w:ilvl="0">
      <w:lvlJc w:val="left"/>
      <w:lvlText w:val="%1."/>
      <w:numFmt w:val="upperLetter"/>
      <w:start w:val="4"/>
    </w:lvl>
  </w:abstractNum>
  <w:abstractNum w:abstractNumId="107">
    <w:nsid w:val="379E21B5"/>
    <w:multiLevelType w:val="hybridMultilevel"/>
    <w:lvl w:ilvl="0">
      <w:lvlJc w:val="left"/>
      <w:lvlText w:val="%1."/>
      <w:numFmt w:val="upperLetter"/>
      <w:start w:val="1"/>
    </w:lvl>
  </w:abstractNum>
  <w:abstractNum w:abstractNumId="108">
    <w:nsid w:val="69E373"/>
    <w:multiLevelType w:val="hybridMultilevel"/>
    <w:lvl w:ilvl="0">
      <w:lvlJc w:val="left"/>
      <w:lvlText w:val="%1."/>
      <w:numFmt w:val="upperLetter"/>
      <w:start w:val="22"/>
    </w:lvl>
  </w:abstractNum>
  <w:abstractNum w:abstractNumId="109">
    <w:nsid w:val="2C27173B"/>
    <w:multiLevelType w:val="hybridMultilevel"/>
    <w:lvl w:ilvl="0">
      <w:lvlJc w:val="left"/>
      <w:lvlText w:val="%1."/>
      <w:numFmt w:val="upperLetter"/>
      <w:start w:val="1"/>
    </w:lvl>
  </w:abstractNum>
  <w:abstractNum w:abstractNumId="110">
    <w:nsid w:val="4C9B0904"/>
    <w:multiLevelType w:val="hybridMultilevel"/>
    <w:lvl w:ilvl="0">
      <w:lvlJc w:val="left"/>
      <w:lvlText w:val="%1."/>
      <w:numFmt w:val="upperLetter"/>
      <w:start w:val="3"/>
    </w:lvl>
  </w:abstractNum>
  <w:abstractNum w:abstractNumId="111">
    <w:nsid w:val="6AA7B75C"/>
    <w:multiLevelType w:val="hybridMultilevel"/>
    <w:lvl w:ilvl="0">
      <w:lvlJc w:val="left"/>
      <w:lvlText w:val="%1."/>
      <w:numFmt w:val="upperLetter"/>
      <w:start w:val="1"/>
    </w:lvl>
  </w:abstractNum>
  <w:abstractNum w:abstractNumId="112">
    <w:nsid w:val="1DF029D3"/>
    <w:multiLevelType w:val="hybridMultilevel"/>
    <w:lvl w:ilvl="0">
      <w:lvlJc w:val="left"/>
      <w:lvlText w:val="%1."/>
      <w:numFmt w:val="upperLetter"/>
      <w:start w:val="1"/>
    </w:lvl>
  </w:abstractNum>
  <w:abstractNum w:abstractNumId="113">
    <w:nsid w:val="5675FF36"/>
    <w:multiLevelType w:val="hybridMultilevel"/>
    <w:lvl w:ilvl="0">
      <w:lvlJc w:val="left"/>
      <w:lvlText w:val="•"/>
      <w:numFmt w:val="bullet"/>
      <w:start w:val="1"/>
    </w:lvl>
  </w:abstractNum>
  <w:abstractNum w:abstractNumId="114">
    <w:nsid w:val="3DD15094"/>
    <w:multiLevelType w:val="hybridMultilevel"/>
    <w:lvl w:ilvl="0">
      <w:lvlJc w:val="left"/>
      <w:lvlText w:val="•"/>
      <w:numFmt w:val="bullet"/>
      <w:start w:val="1"/>
    </w:lvl>
  </w:abstractNum>
  <w:abstractNum w:abstractNumId="115">
    <w:nsid w:val="3DB012B3"/>
    <w:multiLevelType w:val="hybridMultilevel"/>
    <w:lvl w:ilvl="0">
      <w:lvlJc w:val="left"/>
      <w:lvlText w:val="%1."/>
      <w:numFmt w:val="upperLetter"/>
      <w:start w:val="1"/>
    </w:lvl>
  </w:abstractNum>
  <w:abstractNum w:abstractNumId="116">
    <w:nsid w:val="2708C9AF"/>
    <w:multiLevelType w:val="hybridMultilevel"/>
    <w:lvl w:ilvl="0">
      <w:lvlJc w:val="left"/>
      <w:lvlText w:val="%1."/>
      <w:numFmt w:val="upperLetter"/>
      <w:start w:val="2"/>
    </w:lvl>
  </w:abstractNum>
  <w:abstractNum w:abstractNumId="117">
    <w:nsid w:val="5B25ACE2"/>
    <w:multiLevelType w:val="hybridMultilevel"/>
    <w:lvl w:ilvl="0">
      <w:lvlJc w:val="left"/>
      <w:lvlText w:val="%1."/>
      <w:numFmt w:val="upperLetter"/>
      <w:start w:val="24"/>
    </w:lvl>
  </w:abstractNum>
  <w:abstractNum w:abstractNumId="118">
    <w:nsid w:val="175DFCF0"/>
    <w:multiLevelType w:val="hybridMultilevel"/>
    <w:lvl w:ilvl="0">
      <w:lvlJc w:val="left"/>
      <w:lvlText w:val="%1."/>
      <w:numFmt w:val="upperLetter"/>
      <w:start w:val="1"/>
    </w:lvl>
    <w:lvl w:ilvl="1">
      <w:lvlJc w:val="left"/>
      <w:lvlText w:val="%2."/>
      <w:numFmt w:val="decimal"/>
      <w:start w:val="1"/>
    </w:lvl>
  </w:abstractNum>
  <w:abstractNum w:abstractNumId="119">
    <w:nsid w:val="4F97E3E4"/>
    <w:multiLevelType w:val="hybridMultilevel"/>
    <w:lvl w:ilvl="0">
      <w:lvlJc w:val="left"/>
      <w:lvlText w:val="•"/>
      <w:numFmt w:val="bullet"/>
      <w:start w:val="1"/>
    </w:lvl>
  </w:abstractNum>
  <w:abstractNum w:abstractNumId="120">
    <w:nsid w:val="53B0A9E"/>
    <w:multiLevelType w:val="hybridMultilevel"/>
    <w:lvl w:ilvl="0">
      <w:lvlJc w:val="left"/>
      <w:lvlText w:val="•"/>
      <w:numFmt w:val="bullet"/>
      <w:start w:val="1"/>
    </w:lvl>
  </w:abstractNum>
  <w:abstractNum w:abstractNumId="121">
    <w:nsid w:val="34FD6B4F"/>
    <w:multiLevelType w:val="hybridMultilevel"/>
    <w:lvl w:ilvl="0">
      <w:lvlJc w:val="left"/>
      <w:lvlText w:val="•"/>
      <w:numFmt w:val="bullet"/>
      <w:start w:val="1"/>
    </w:lvl>
  </w:abstractNum>
  <w:abstractNum w:abstractNumId="122">
    <w:nsid w:val="5915FF32"/>
    <w:multiLevelType w:val="hybridMultilevel"/>
    <w:lvl w:ilvl="0">
      <w:lvlJc w:val="left"/>
      <w:lvlText w:val="•"/>
      <w:numFmt w:val="bullet"/>
      <w:start w:val="1"/>
    </w:lvl>
    <w:lvl w:ilvl="1">
      <w:lvlJc w:val="left"/>
      <w:lvlText w:val="*"/>
      <w:numFmt w:val="bullet"/>
      <w:start w:val="1"/>
    </w:lvl>
  </w:abstractNum>
  <w:abstractNum w:abstractNumId="123">
    <w:nsid w:val="56438D15"/>
    <w:multiLevelType w:val="hybridMultilevel"/>
    <w:lvl w:ilvl="0">
      <w:lvlJc w:val="left"/>
      <w:lvlText w:val="%1."/>
      <w:numFmt w:val="decimal"/>
      <w:start w:val="1"/>
    </w:lvl>
    <w:lvl w:ilvl="1">
      <w:lvlJc w:val="left"/>
      <w:lvlText w:val="%2."/>
      <w:numFmt w:val="lowerLetter"/>
      <w:start w:val="1"/>
    </w:lvl>
  </w:abstractNum>
  <w:abstractNum w:abstractNumId="124">
    <w:nsid w:val="519E3149"/>
    <w:multiLevelType w:val="hybridMultilevel"/>
    <w:lvl w:ilvl="0">
      <w:lvlJc w:val="left"/>
      <w:lvlText w:val="%1."/>
      <w:numFmt w:val="decimal"/>
      <w:start w:val="1"/>
    </w:lvl>
    <w:lvl w:ilvl="1">
      <w:lvlJc w:val="left"/>
      <w:lvlText w:val="%2."/>
      <w:numFmt w:val="lowerLetter"/>
      <w:start w:val="1"/>
    </w:lvl>
  </w:abstractNum>
  <w:abstractNum w:abstractNumId="125">
    <w:nsid w:val="2C6E4AFD"/>
    <w:multiLevelType w:val="hybridMultilevel"/>
    <w:lvl w:ilvl="0">
      <w:lvlJc w:val="left"/>
      <w:lvlText w:val="(%1)"/>
      <w:numFmt w:val="lowerRoman"/>
      <w:start w:val="1"/>
    </w:lvl>
  </w:abstractNum>
  <w:abstractNum w:abstractNumId="126">
    <w:nsid w:val="17A1B58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97" Type="http://schemas.openxmlformats.org/officeDocument/2006/relationships/image" Target="media/image176.png"/><Relationship Id="rId213" Type="http://schemas.openxmlformats.org/officeDocument/2006/relationships/image" Target="media/image177.png"/><Relationship Id="rId229" Type="http://schemas.openxmlformats.org/officeDocument/2006/relationships/image" Target="media/image178.png"/><Relationship Id="rId231" Type="http://schemas.openxmlformats.org/officeDocument/2006/relationships/image" Target="media/image179.png"/><Relationship Id="rId232" Type="http://schemas.openxmlformats.org/officeDocument/2006/relationships/image" Target="media/image180.png"/><Relationship Id="rId233" Type="http://schemas.openxmlformats.org/officeDocument/2006/relationships/image" Target="media/image181.png"/><Relationship Id="rId234" Type="http://schemas.openxmlformats.org/officeDocument/2006/relationships/image" Target="media/image182.png"/><Relationship Id="rId235" Type="http://schemas.openxmlformats.org/officeDocument/2006/relationships/image" Target="media/image183.png"/><Relationship Id="rId236" Type="http://schemas.openxmlformats.org/officeDocument/2006/relationships/image" Target="media/image184.png"/><Relationship Id="rId237" Type="http://schemas.openxmlformats.org/officeDocument/2006/relationships/image" Target="media/image185.png"/><Relationship Id="rId238" Type="http://schemas.openxmlformats.org/officeDocument/2006/relationships/image" Target="media/image186.png"/><Relationship Id="rId239" Type="http://schemas.openxmlformats.org/officeDocument/2006/relationships/image" Target="media/image187.png"/><Relationship Id="rId240" Type="http://schemas.openxmlformats.org/officeDocument/2006/relationships/image" Target="media/image188.png"/><Relationship Id="rId241" Type="http://schemas.openxmlformats.org/officeDocument/2006/relationships/image" Target="media/image189.png"/><Relationship Id="rId242" Type="http://schemas.openxmlformats.org/officeDocument/2006/relationships/image" Target="media/image190.png"/><Relationship Id="rId243" Type="http://schemas.openxmlformats.org/officeDocument/2006/relationships/image" Target="media/image191.png"/><Relationship Id="rId244" Type="http://schemas.openxmlformats.org/officeDocument/2006/relationships/image" Target="media/image192.png"/><Relationship Id="rId245" Type="http://schemas.openxmlformats.org/officeDocument/2006/relationships/image" Target="media/image193.png"/><Relationship Id="rId246" Type="http://schemas.openxmlformats.org/officeDocument/2006/relationships/image" Target="media/image194.png"/><Relationship Id="rId247" Type="http://schemas.openxmlformats.org/officeDocument/2006/relationships/image" Target="media/image195.png"/><Relationship Id="rId248" Type="http://schemas.openxmlformats.org/officeDocument/2006/relationships/image" Target="media/image196.png"/><Relationship Id="rId249" Type="http://schemas.openxmlformats.org/officeDocument/2006/relationships/image" Target="media/image197.png"/><Relationship Id="rId250" Type="http://schemas.openxmlformats.org/officeDocument/2006/relationships/image" Target="media/image198.png"/><Relationship Id="rId251" Type="http://schemas.openxmlformats.org/officeDocument/2006/relationships/image" Target="media/image199.png"/><Relationship Id="rId252" Type="http://schemas.openxmlformats.org/officeDocument/2006/relationships/image" Target="media/image200.png"/><Relationship Id="rId253" Type="http://schemas.openxmlformats.org/officeDocument/2006/relationships/image" Target="media/image201.png"/><Relationship Id="rId254" Type="http://schemas.openxmlformats.org/officeDocument/2006/relationships/image" Target="media/image202.png"/><Relationship Id="rId255" Type="http://schemas.openxmlformats.org/officeDocument/2006/relationships/image" Target="media/image203.png"/><Relationship Id="rId256" Type="http://schemas.openxmlformats.org/officeDocument/2006/relationships/image" Target="media/image204.jpeg"/><Relationship Id="rId257" Type="http://schemas.openxmlformats.org/officeDocument/2006/relationships/image" Target="media/image205.png"/><Relationship Id="rId258" Type="http://schemas.openxmlformats.org/officeDocument/2006/relationships/image" Target="media/image206.png"/><Relationship Id="rId259" Type="http://schemas.openxmlformats.org/officeDocument/2006/relationships/image" Target="media/image207.png"/><Relationship Id="rId260" Type="http://schemas.openxmlformats.org/officeDocument/2006/relationships/image" Target="media/image208.png"/><Relationship Id="rId261" Type="http://schemas.openxmlformats.org/officeDocument/2006/relationships/image" Target="media/image209.png"/><Relationship Id="rId262" Type="http://schemas.openxmlformats.org/officeDocument/2006/relationships/image" Target="media/image210.png"/><Relationship Id="rId263" Type="http://schemas.openxmlformats.org/officeDocument/2006/relationships/image" Target="media/image211.png"/><Relationship Id="rId264" Type="http://schemas.openxmlformats.org/officeDocument/2006/relationships/image" Target="media/image212.png"/><Relationship Id="rId265" Type="http://schemas.openxmlformats.org/officeDocument/2006/relationships/image" Target="media/image213.png"/><Relationship Id="rId266" Type="http://schemas.openxmlformats.org/officeDocument/2006/relationships/image" Target="media/image214.png"/><Relationship Id="rId267" Type="http://schemas.openxmlformats.org/officeDocument/2006/relationships/image" Target="media/image215.png"/><Relationship Id="rId268" Type="http://schemas.openxmlformats.org/officeDocument/2006/relationships/image" Target="media/image216.png"/><Relationship Id="rId183" Type="http://schemas.openxmlformats.org/officeDocument/2006/relationships/hyperlink" Target="https://www.sec.gov/Archives/edgar/data/1722964/000110465918058483/a18-5676_14ex3d1.htm" TargetMode="External"/><Relationship Id="rId184" Type="http://schemas.openxmlformats.org/officeDocument/2006/relationships/hyperlink" Target="https://www.sec.gov/Archives/edgar/data/1722964/000110465918058483/a18-5676_14ex3d2.htm" TargetMode="External"/><Relationship Id="rId185" Type="http://schemas.openxmlformats.org/officeDocument/2006/relationships/hyperlink" Target="http://www.sec.gov/Archives/edgar/data/1722964/000104746918006039/a2236615zex-4_1.htm" TargetMode="External"/><Relationship Id="rId186" Type="http://schemas.openxmlformats.org/officeDocument/2006/relationships/hyperlink" Target="http://www.sec.gov/Archives/edgar/data/1722964/000104746918005786/a2236551zex-10_1.htm" TargetMode="External"/><Relationship Id="rId187" Type="http://schemas.openxmlformats.org/officeDocument/2006/relationships/hyperlink" Target="http://www.sec.gov/Archives/edgar/data/1722964/000104746918005786/a2236551zex-10_4.htm" TargetMode="External"/><Relationship Id="rId188" Type="http://schemas.openxmlformats.org/officeDocument/2006/relationships/hyperlink" Target="http://www.sec.gov/Archives/edgar/data/1722964/000104746918005786/a2236551zex-10_5.htm" TargetMode="External"/><Relationship Id="rId189" Type="http://schemas.openxmlformats.org/officeDocument/2006/relationships/hyperlink" Target="http://www.sec.gov/Archives/edgar/data/1722964/000104746918005786/a2236551zex-10_6.htm" TargetMode="External"/><Relationship Id="rId190" Type="http://schemas.openxmlformats.org/officeDocument/2006/relationships/hyperlink" Target="http://www.sec.gov/Archives/edgar/data/1722964/000104746918005786/a2236551zex-10_7.htm" TargetMode="External"/><Relationship Id="rId191" Type="http://schemas.openxmlformats.org/officeDocument/2006/relationships/hyperlink" Target="http://www.sec.gov/Archives/edgar/data/1722964/000104746918005786/a2236551zex-10_8.htm" TargetMode="External"/><Relationship Id="rId192" Type="http://schemas.openxmlformats.org/officeDocument/2006/relationships/hyperlink" Target="http://www.sec.gov/Archives/edgar/data/1722964/000104746918005786/a2236551zex-10_9.htm" TargetMode="External"/><Relationship Id="rId193" Type="http://schemas.openxmlformats.org/officeDocument/2006/relationships/hyperlink" Target="http://www.sec.gov/Archives/edgar/data/1722964/000104746918005786/a2236551zex-10_10.htm" TargetMode="External"/><Relationship Id="rId194" Type="http://schemas.openxmlformats.org/officeDocument/2006/relationships/hyperlink" Target="http://www.sec.gov/Archives/edgar/data/1722964/000104746918005786/a2236551zex-10_11.htm" TargetMode="External"/><Relationship Id="rId195" Type="http://schemas.openxmlformats.org/officeDocument/2006/relationships/hyperlink" Target="http://www.sec.gov/Archives/edgar/data/1722964/000104746918005786/a2236551zex-10_12.htm" TargetMode="External"/><Relationship Id="rId196" Type="http://schemas.openxmlformats.org/officeDocument/2006/relationships/hyperlink" Target="http://www.sec.gov/Archives/edgar/data/1722964/000104746918005786/a2236551zex-10_14.htm" TargetMode="External"/><Relationship Id="rId198" Type="http://schemas.openxmlformats.org/officeDocument/2006/relationships/hyperlink" Target="http://www.sec.gov/Archives/edgar/data/1722964/000104746918005786/a2236551zex-10_15.htm" TargetMode="External"/><Relationship Id="rId199" Type="http://schemas.openxmlformats.org/officeDocument/2006/relationships/hyperlink" Target="http://www.sec.gov/Archives/edgar/data/1722964/000104746918005786/a2236551zex-10_16.htm" TargetMode="External"/><Relationship Id="rId200" Type="http://schemas.openxmlformats.org/officeDocument/2006/relationships/hyperlink" Target="http://www.sec.gov/Archives/edgar/data/1722964/000104746918005786/a2236551zex-10_17.htm" TargetMode="External"/><Relationship Id="rId201" Type="http://schemas.openxmlformats.org/officeDocument/2006/relationships/hyperlink" Target="https://www.sec.gov/Archives/edgar/data/1722964/000155837023005073/ymab-20221231xex10d41.htm" TargetMode="External"/><Relationship Id="rId202" Type="http://schemas.openxmlformats.org/officeDocument/2006/relationships/hyperlink" Target="http://www.sec.gov/Archives/edgar/data/1722964/000104746918005786/a2236551zex-10_19.htm" TargetMode="External"/><Relationship Id="rId203" Type="http://schemas.openxmlformats.org/officeDocument/2006/relationships/hyperlink" Target="http://www.sec.gov/Archives/edgar/data/1722964/000110465919050729/a19-18811_1ex10d1.htm" TargetMode="External"/><Relationship Id="rId204" Type="http://schemas.openxmlformats.org/officeDocument/2006/relationships/hyperlink" Target="https://www.sec.gov/Archives/edgar/data/1722964/000110465920049239/tm2016479d1_ex10-1.htm" TargetMode="External"/><Relationship Id="rId205" Type="http://schemas.openxmlformats.org/officeDocument/2006/relationships/hyperlink" Target="https://www.sec.gov/Archives/edgar/data/1722964/000110465920113442/tm2032563d3_ex10-1.htm" TargetMode="External"/><Relationship Id="rId206" Type="http://schemas.openxmlformats.org/officeDocument/2006/relationships/hyperlink" Target="https://www.sec.gov/Archives/edgar/data/1722964/000155837020012905/ymab-20200930xex10d8.htm" TargetMode="External"/><Relationship Id="rId207" Type="http://schemas.openxmlformats.org/officeDocument/2006/relationships/hyperlink" Target="https://www.sec.gov/Archives/edgar/data/1722964/000155837020012905/ymab-20200930xex10d9.htm" TargetMode="External"/><Relationship Id="rId208" Type="http://schemas.openxmlformats.org/officeDocument/2006/relationships/hyperlink" Target="https://www.sec.gov/Archives/edgar/data/1722964/000110465920138646/tm2039168d1_ex10-1.htm" TargetMode="External"/><Relationship Id="rId209" Type="http://schemas.openxmlformats.org/officeDocument/2006/relationships/hyperlink" Target="https://www.sec.gov/Archives/edgar/data/1722964/000155837021006293/ymab-20210331xex10d7.htm" TargetMode="External"/><Relationship Id="rId210" Type="http://schemas.openxmlformats.org/officeDocument/2006/relationships/hyperlink" Target="https://www.sec.gov/Archives/edgar/data/1722964/000155837022007851/ymab-20220331xex10d7.htm" TargetMode="External"/><Relationship Id="rId211" Type="http://schemas.openxmlformats.org/officeDocument/2006/relationships/hyperlink" Target="https://www.sec.gov/Archives/edgar/data/1722964/000155837022007851/ymab-20220331xex10d8.htm" TargetMode="External"/><Relationship Id="rId212" Type="http://schemas.openxmlformats.org/officeDocument/2006/relationships/hyperlink" Target="https://www.sec.gov/Archives/edgar/data/1722964/000155837022007851/ymab-20220331xex10d9.htm" TargetMode="External"/><Relationship Id="rId214" Type="http://schemas.openxmlformats.org/officeDocument/2006/relationships/hyperlink" Target="https://www.sec.gov/Archives/edgar/data/1722964/000155837022012656/ymab-20220630xex10d1.htm" TargetMode="External"/><Relationship Id="rId215" Type="http://schemas.openxmlformats.org/officeDocument/2006/relationships/hyperlink" Target="https://www.sec.gov/Archives/edgar/data/1722964/000155837022016659/ymab-20220930xex10d1.htm" TargetMode="External"/><Relationship Id="rId216" Type="http://schemas.openxmlformats.org/officeDocument/2006/relationships/hyperlink" Target="https://www.sec.gov/Archives/edgar/data/1722964/000155837022016659/ymab-20220930xex10d2.htm" TargetMode="External"/><Relationship Id="rId217" Type="http://schemas.openxmlformats.org/officeDocument/2006/relationships/hyperlink" Target="https://www.sec.gov/Archives/edgar/data/1722964/000110465923109860/tm2328636d1_ex10-1.htm" TargetMode="External"/><Relationship Id="rId218" Type="http://schemas.openxmlformats.org/officeDocument/2006/relationships/hyperlink" Target="https://www.sec.gov/Archives/edgar/data/1722964/000110465923109860/tm2328636d1_ex10-2.htm" TargetMode="External"/><Relationship Id="rId219" Type="http://schemas.openxmlformats.org/officeDocument/2006/relationships/hyperlink" Target="https://www.sec.gov/Archives/edgar/data/1722964/000155837023018827/ymab-20230930xex10d1.htm" TargetMode="External"/><Relationship Id="rId220" Type="http://schemas.openxmlformats.org/officeDocument/2006/relationships/hyperlink" Target="https://www.sec.gov/Archives/edgar/data/1722964/000155837024002188/ymab-20231231xex10d46.htm" TargetMode="External"/><Relationship Id="rId221" Type="http://schemas.openxmlformats.org/officeDocument/2006/relationships/hyperlink" Target="https://www.sec.gov/Archives/edgar/data/1722964/000155837024007056/ymab-20240331xex10d3.htm" TargetMode="External"/><Relationship Id="rId222" Type="http://schemas.openxmlformats.org/officeDocument/2006/relationships/hyperlink" Target="https://www.sec.gov/Archives/edgar/data/1722964/000155837024007056/ymab-20240331xex10d4.htm" TargetMode="External"/><Relationship Id="rId223" Type="http://schemas.openxmlformats.org/officeDocument/2006/relationships/hyperlink" Target="https://www.sec.gov/Archives/edgar/data/1722964/000155837024009643/ymab-20240627xex10d1.htm" TargetMode="External"/><Relationship Id="rId224" Type="http://schemas.openxmlformats.org/officeDocument/2006/relationships/hyperlink" Target="https://www.sec.gov/Archives/edgar/data/1722964/000155837024009915/ymab-20240716xex10d1.htm" TargetMode="External"/><Relationship Id="rId225" Type="http://schemas.openxmlformats.org/officeDocument/2006/relationships/hyperlink" Target="https://www.sec.gov/Archives/edgar/data/1722964/000155837024009915/ymab-20240716xex10d2.htm" TargetMode="External"/><Relationship Id="rId226" Type="http://schemas.openxmlformats.org/officeDocument/2006/relationships/hyperlink" Target="https://www.sec.gov/Archives/edgar/data/1722964/000155837024014950/ymab-20240930xex10d3.htm" TargetMode="External"/><Relationship Id="rId227" Type="http://schemas.openxmlformats.org/officeDocument/2006/relationships/hyperlink" Target="https://www.sec.gov/Archives/edgar/data/1722964/000155837024014950/ymab-20240930xex10d4.htm" TargetMode="External"/><Relationship Id="rId228" Type="http://schemas.openxmlformats.org/officeDocument/2006/relationships/hyperlink" Target="https://www.sec.gov/Archives/edgar/data/1722964/000110465924113689/tm2427197d1_ex10-1.htm" TargetMode="External"/><Relationship Id="rId230" Type="http://schemas.openxmlformats.org/officeDocument/2006/relationships/hyperlink" Target="https://www.sec.gov/Archives/edgar/data/1722964/000155837024002188/ymab-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2025-03-04T06:44:50Z</dcterms:created>
  <dcterms:modified xsi:type="dcterms:W3CDTF">2025-03-04T06:44:50Z</dcterms:modified>
</cp:coreProperties>
</file>