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-605155</wp:posOffset>
            </wp:positionV>
            <wp:extent cx="8255" cy="6057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3993515</wp:posOffset>
            </wp:positionH>
            <wp:positionV relativeFrom="paragraph">
              <wp:posOffset>-613410</wp:posOffset>
            </wp:positionV>
            <wp:extent cx="8255" cy="6140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4018280</wp:posOffset>
            </wp:positionH>
            <wp:positionV relativeFrom="paragraph">
              <wp:posOffset>-588645</wp:posOffset>
            </wp:positionV>
            <wp:extent cx="1269365" cy="5651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-1623060</wp:posOffset>
            </wp:positionH>
            <wp:positionV relativeFrom="paragraph">
              <wp:posOffset>28575</wp:posOffset>
            </wp:positionV>
            <wp:extent cx="6968490" cy="17443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74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Herman Philip Karl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Y-MABS THERAPEUTICS, INC.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230 PARK AVENUE SUITE 3350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ind w:right="100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4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Y-mAbs Therapeutics, Inc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.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FF"/>
        </w:rPr>
        <w:t>YMAB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06/23/2020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620"/>
        <w:spacing w:after="0" w:line="238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SVP &amp; CCO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0" w:space="720"/>
            <w:col w:w="3340"/>
          </w:cols>
          <w:pgMar w:left="460" w:top="221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80" w:type="dxa"/>
            <w:vAlign w:val="bottom"/>
            <w:gridSpan w:val="8"/>
          </w:tcPr>
          <w:p>
            <w:pPr>
              <w:jc w:val="center"/>
              <w:ind w:right="41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4. If Amendment, Date of Original Filed (Month/Day/Year)</w:t>
            </w:r>
          </w:p>
        </w:tc>
        <w:tc>
          <w:tcPr>
            <w:tcW w:w="3640" w:type="dxa"/>
            <w:vAlign w:val="bottom"/>
            <w:gridSpan w:val="11"/>
          </w:tcPr>
          <w:p>
            <w:pPr>
              <w:ind w:left="30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11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NEW YORK</w:t>
            </w: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10169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jc w:val="center"/>
              <w:ind w:left="4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20,000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48.67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2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06/23/2020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20,000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06/23/2030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20,000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-2919095</wp:posOffset>
            </wp:positionV>
            <wp:extent cx="7033895" cy="30791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307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  <w:r>
        <w:rPr>
          <w:rFonts w:ascii="Arial" w:cs="Arial" w:eastAsia="Arial" w:hAnsi="Arial"/>
          <w:sz w:val="21"/>
          <w:szCs w:val="21"/>
          <w:color w:val="008000"/>
          <w:vertAlign w:val="superscript"/>
        </w:rPr>
        <w:t>(1)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Stock options granted to the Reporting Person pursuant to the 2018 Equity Incentive Plan of Y-mAbs Therapeutics, Inc.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480" w:firstLine="2"/>
        <w:spacing w:after="0" w:line="249" w:lineRule="auto"/>
        <w:tabs>
          <w:tab w:leader="none" w:pos="169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stock option shall vest and become exercisable as to 25% of the shares subject to the option on June 23, 2021, and thereafter vests and become exercisable as to 1/48th of the shares in equal monthly installments, until such time as the option is 100% vested, subject to the continuing employment of the Reporting Person on each vesting date.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/s/ Philip Karl Herman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06/24/2020</w:t>
            </w: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799303" TargetMode="External"/><Relationship Id="rId14" Type="http://schemas.openxmlformats.org/officeDocument/2006/relationships/hyperlink" Target="http://www.sec.gov/cgi-bin/browse-edgar?action=getcompany&amp;CIK=000172296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2020-06-24T15:50:54Z</dcterms:created>
  <dcterms:modified xsi:type="dcterms:W3CDTF">2020-06-24T15:50:54Z</dcterms:modified>
</cp:coreProperties>
</file>