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13, 2022 (June 9,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00" w:type="dxa"/>
            <w:vAlign w:val="bottom"/>
          </w:tcPr>
          <w:p>
            <w:pPr>
              <w:spacing w:after="0"/>
              <w:rPr>
                <w:sz w:val="18"/>
                <w:szCs w:val="18"/>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00" w:type="dxa"/>
            <w:vAlign w:val="bottom"/>
          </w:tcPr>
          <w:p>
            <w:pPr>
              <w:spacing w:after="0"/>
              <w:rPr>
                <w:sz w:val="20"/>
                <w:szCs w:val="20"/>
                <w:color w:val="auto"/>
              </w:rPr>
            </w:pP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00" w:type="dxa"/>
            <w:vAlign w:val="bottom"/>
          </w:tcPr>
          <w:p>
            <w:pPr>
              <w:spacing w:after="0"/>
              <w:rPr>
                <w:sz w:val="24"/>
                <w:szCs w:val="24"/>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9, 2022, Y-mAbs Therapeutics, Inc., (the “Company”) held its annual meeting of stockholders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proposals were submitted to the stockholders at the Annual Meeting:</w:t>
      </w:r>
    </w:p>
    <w:p>
      <w:pPr>
        <w:spacing w:after="0" w:line="225" w:lineRule="exact"/>
        <w:rPr>
          <w:sz w:val="20"/>
          <w:szCs w:val="20"/>
          <w:color w:val="auto"/>
        </w:rPr>
      </w:pPr>
    </w:p>
    <w:p>
      <w:pPr>
        <w:jc w:val="both"/>
        <w:ind w:left="660" w:hanging="652"/>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(2) Class I directors, Dr. Gérard Ber and David N. Gill, nominated by the Company’s Board of Directors, each to serve for a three-year term to expire at the 2025 annual meeting of stockholders, each such nominee to hold office until his successor has been duly elected and qualified or until his earlier death, resignation or removal;</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the Company’s independent registered public accounting firm for the Company’s fiscal year ending December 31, 2022; and</w:t>
      </w:r>
    </w:p>
    <w:p>
      <w:pPr>
        <w:ind w:left="660" w:right="20" w:hanging="652"/>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non-binding advisory vote on the compensation of the Company’s named executive officers as disclosed in the Company’s proxy statement filed with the Securities and Exchange Commission on April 29, 2022 (the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proposals are described in detail in the Company’s Proxy Statement. No other proposals were submitted to the stockholders at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entitled to vote at the Annual Meeting was 43,714,891.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matters submitted to a vote of the Company’s stockholders at the Annual Meeting were approved and all director nominees were elected. The number of votes cast for and against and the number of abstentions and broker non-votes with respect to each matter voted upon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Election of two Class I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Dr. Gérard Ber and David N. Gill, each to serve for a three-year term to expire at the 2025 annual meeting of stockholders, each such nominee to hold office until his successor has been duly elected and qualified or until his earlier death, resignation or removal. The final votes were: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Gérard Ber</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20,540,635</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6,956,065</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3,229,664</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N. Gill</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17,717,110</w:t>
            </w:r>
          </w:p>
        </w:tc>
        <w:tc>
          <w:tcPr>
            <w:tcW w:w="100" w:type="dxa"/>
            <w:vAlign w:val="bottom"/>
          </w:tcPr>
          <w:p>
            <w:pPr>
              <w:spacing w:after="0"/>
              <w:rPr>
                <w:sz w:val="20"/>
                <w:szCs w:val="20"/>
                <w:color w:val="auto"/>
              </w:rPr>
            </w:pPr>
          </w:p>
        </w:tc>
        <w:tc>
          <w:tcPr>
            <w:tcW w:w="26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9,779,590</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3,229,664</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Ratification of appointment of independent registered public accounting firm.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PricewaterhouseCoopers LLP as the Company’s independent registered public accounting firm for the fiscal year ending December 31, 2022. The final votes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30,638,865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47,132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40,367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 non-binding advisory vote on the compensation of the Company’s named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executive compensation program for the Company’s named executive officers as disclosed pursuant to the rules of the SEC, including the Compensation Discussion and Analysis, compensation tables and other narrative executive compensation disclosures included in the Proxy Statement for the Annual Meeting. The final votes were: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15,782,697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11,179,894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534,109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3,229,664</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13, 2022</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Thomas Gad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Founder, President, interim Chief Executive Officer and Head of</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&amp; Strategy</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2022-06-13T15:18:31Z</dcterms:created>
  <dcterms:modified xsi:type="dcterms:W3CDTF">2022-06-13T15:18:31Z</dcterms:modified>
</cp:coreProperties>
</file>