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 Prospectus Supplement</w:t>
        </w:r>
      </w:hyperlink>
    </w:p>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333-234034</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1, 2019)</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4,465,000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160020</wp:posOffset>
            </wp:positionV>
            <wp:extent cx="2649855"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4985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We are offering 4,465,000 shares of our common stock.</w:t>
      </w:r>
    </w:p>
    <w:p>
      <w:pPr>
        <w:spacing w:after="0" w:line="225" w:lineRule="exact"/>
        <w:rPr>
          <w:sz w:val="24"/>
          <w:szCs w:val="24"/>
          <w:color w:val="auto"/>
        </w:rPr>
      </w:pPr>
    </w:p>
    <w:p>
      <w:pPr>
        <w:ind w:right="54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"YMAB." On October 29, 2019, the last reported sale price for our common stock on the Nasdaq Global Select Market, was $31.98 per share.</w:t>
      </w:r>
    </w:p>
    <w:p>
      <w:pPr>
        <w:spacing w:after="0" w:line="186" w:lineRule="exact"/>
        <w:rPr>
          <w:sz w:val="24"/>
          <w:szCs w:val="24"/>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an "emerging growth company" and a "smaller reporting company" under applicable federal securities laws and as such have elected to comply with certain reduced public company reporting requirements. See "Prospectus Supplement Summary—Implications of Being an Emerging Growth Company and Smaller Reporting Company."</w:t>
      </w:r>
    </w:p>
    <w:p>
      <w:pPr>
        <w:spacing w:after="0" w:line="188" w:lineRule="exact"/>
        <w:rPr>
          <w:sz w:val="24"/>
          <w:szCs w:val="24"/>
          <w:color w:val="auto"/>
        </w:rPr>
      </w:pPr>
    </w:p>
    <w:p>
      <w:pPr>
        <w:ind w:right="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92" w:lineRule="exact"/>
        <w:rPr>
          <w:sz w:val="24"/>
          <w:szCs w:val="24"/>
          <w:color w:val="auto"/>
        </w:rPr>
      </w:pPr>
    </w:p>
    <w:p>
      <w:pPr>
        <w:ind w:right="820" w:firstLine="351"/>
        <w:spacing w:after="0" w:line="256" w:lineRule="auto"/>
        <w:rPr>
          <w:sz w:val="20"/>
          <w:szCs w:val="20"/>
          <w:color w:val="auto"/>
        </w:rPr>
      </w:pPr>
      <w:r>
        <w:rPr>
          <w:rFonts w:ascii="Arial" w:cs="Arial" w:eastAsia="Arial" w:hAnsi="Arial"/>
          <w:sz w:val="22"/>
          <w:szCs w:val="22"/>
          <w:b w:val="1"/>
          <w:bCs w:val="1"/>
          <w:color w:val="auto"/>
        </w:rPr>
        <w:t>Investing in our common stock involves a high degree of risk. See "</w:t>
      </w:r>
      <w:r>
        <w:rPr>
          <w:rFonts w:ascii="Arial" w:cs="Arial" w:eastAsia="Arial" w:hAnsi="Arial"/>
          <w:sz w:val="22"/>
          <w:szCs w:val="22"/>
          <w:b w:val="1"/>
          <w:bCs w:val="1"/>
          <w:i w:val="1"/>
          <w:iCs w:val="1"/>
          <w:color w:val="auto"/>
        </w:rPr>
        <w:t>Risk Factors</w:t>
      </w:r>
      <w:r>
        <w:rPr>
          <w:rFonts w:ascii="Arial" w:cs="Arial" w:eastAsia="Arial" w:hAnsi="Arial"/>
          <w:sz w:val="22"/>
          <w:szCs w:val="22"/>
          <w:b w:val="1"/>
          <w:bCs w:val="1"/>
          <w:color w:val="auto"/>
        </w:rPr>
        <w:t>" beginning on page S-10 of this prospectus supplement.</w:t>
      </w:r>
    </w:p>
    <w:p>
      <w:pPr>
        <w:spacing w:after="0" w:line="200" w:lineRule="exact"/>
        <w:rPr>
          <w:sz w:val="24"/>
          <w:szCs w:val="24"/>
          <w:color w:val="auto"/>
        </w:rPr>
      </w:pPr>
    </w:p>
    <w:p>
      <w:pPr>
        <w:spacing w:after="0" w:line="213" w:lineRule="exact"/>
        <w:rPr>
          <w:sz w:val="24"/>
          <w:szCs w:val="24"/>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30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3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1160"/>
              <w:spacing w:after="0" w:line="155" w:lineRule="exact"/>
              <w:rPr>
                <w:sz w:val="20"/>
                <w:szCs w:val="20"/>
                <w:color w:val="auto"/>
              </w:rPr>
            </w:pPr>
            <w:r>
              <w:rPr>
                <w:rFonts w:ascii="Arial" w:cs="Arial" w:eastAsia="Arial" w:hAnsi="Arial"/>
                <w:sz w:val="14"/>
                <w:szCs w:val="14"/>
                <w:b w:val="1"/>
                <w:bCs w:val="1"/>
                <w:color w:val="auto"/>
              </w:rPr>
              <w:t>Per share</w:t>
            </w:r>
          </w:p>
        </w:tc>
        <w:tc>
          <w:tcPr>
            <w:tcW w:w="1500" w:type="dxa"/>
            <w:vAlign w:val="bottom"/>
            <w:tcBorders>
              <w:bottom w:val="single" w:sz="8" w:color="auto"/>
            </w:tcBorders>
          </w:tcPr>
          <w:p>
            <w:pPr>
              <w:ind w:left="700"/>
              <w:spacing w:after="0" w:line="155" w:lineRule="exact"/>
              <w:rPr>
                <w:sz w:val="20"/>
                <w:szCs w:val="20"/>
                <w:color w:val="auto"/>
              </w:rPr>
            </w:pPr>
            <w:r>
              <w:rPr>
                <w:rFonts w:ascii="Arial" w:cs="Arial" w:eastAsia="Arial" w:hAnsi="Arial"/>
                <w:sz w:val="14"/>
                <w:szCs w:val="14"/>
                <w:b w:val="1"/>
                <w:bCs w:val="1"/>
                <w:color w:val="auto"/>
              </w:rPr>
              <w:t>Total</w:t>
            </w:r>
          </w:p>
        </w:tc>
      </w:tr>
      <w:tr>
        <w:trPr>
          <w:trHeight w:val="217"/>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Public Offering Price</w:t>
            </w:r>
          </w:p>
        </w:tc>
        <w:tc>
          <w:tcPr>
            <w:tcW w:w="2060" w:type="dxa"/>
            <w:vAlign w:val="bottom"/>
          </w:tcPr>
          <w:p>
            <w:pPr>
              <w:jc w:val="center"/>
              <w:ind w:left="737"/>
              <w:spacing w:after="0"/>
              <w:rPr>
                <w:sz w:val="20"/>
                <w:szCs w:val="20"/>
                <w:color w:val="auto"/>
              </w:rPr>
            </w:pPr>
            <w:r>
              <w:rPr>
                <w:rFonts w:ascii="Arial" w:cs="Arial" w:eastAsia="Arial" w:hAnsi="Arial"/>
                <w:sz w:val="18"/>
                <w:szCs w:val="18"/>
                <w:color w:val="auto"/>
                <w:w w:val="87"/>
              </w:rPr>
              <w:t>$28.00</w:t>
            </w:r>
          </w:p>
        </w:tc>
        <w:tc>
          <w:tcPr>
            <w:tcW w:w="1500" w:type="dxa"/>
            <w:vAlign w:val="bottom"/>
          </w:tcPr>
          <w:p>
            <w:pPr>
              <w:jc w:val="center"/>
              <w:ind w:left="97"/>
              <w:spacing w:after="0"/>
              <w:rPr>
                <w:sz w:val="20"/>
                <w:szCs w:val="20"/>
                <w:color w:val="auto"/>
              </w:rPr>
            </w:pPr>
            <w:r>
              <w:rPr>
                <w:rFonts w:ascii="Arial" w:cs="Arial" w:eastAsia="Arial" w:hAnsi="Arial"/>
                <w:sz w:val="18"/>
                <w:szCs w:val="18"/>
                <w:color w:val="auto"/>
                <w:w w:val="87"/>
              </w:rPr>
              <w:t>$125,020,000</w:t>
            </w:r>
          </w:p>
        </w:tc>
      </w:tr>
      <w:tr>
        <w:trPr>
          <w:trHeight w:val="21"/>
        </w:trPr>
        <w:tc>
          <w:tcPr>
            <w:tcW w:w="4320" w:type="dxa"/>
            <w:vAlign w:val="bottom"/>
            <w:tcBorders>
              <w:bottom w:val="single" w:sz="8" w:color="auto"/>
            </w:tcBorders>
            <w:gridSpan w:val="2"/>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77"/>
        </w:trPr>
        <w:tc>
          <w:tcPr>
            <w:tcW w:w="4320" w:type="dxa"/>
            <w:vAlign w:val="bottom"/>
            <w:tcBorders>
              <w:bottom w:val="single" w:sz="8" w:color="auto"/>
            </w:tcBorders>
            <w:gridSpan w:val="2"/>
          </w:tcPr>
          <w:p>
            <w:pPr>
              <w:spacing w:after="0" w:line="277"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060" w:type="dxa"/>
            <w:vAlign w:val="bottom"/>
            <w:tcBorders>
              <w:bottom w:val="single" w:sz="8" w:color="auto"/>
            </w:tcBorders>
          </w:tcPr>
          <w:p>
            <w:pPr>
              <w:jc w:val="center"/>
              <w:ind w:left="737"/>
              <w:spacing w:after="0"/>
              <w:rPr>
                <w:sz w:val="20"/>
                <w:szCs w:val="20"/>
                <w:color w:val="auto"/>
              </w:rPr>
            </w:pPr>
            <w:r>
              <w:rPr>
                <w:rFonts w:ascii="Arial" w:cs="Arial" w:eastAsia="Arial" w:hAnsi="Arial"/>
                <w:sz w:val="18"/>
                <w:szCs w:val="18"/>
                <w:color w:val="auto"/>
                <w:w w:val="88"/>
              </w:rPr>
              <w:t>$1.68</w:t>
            </w:r>
          </w:p>
        </w:tc>
        <w:tc>
          <w:tcPr>
            <w:tcW w:w="1500" w:type="dxa"/>
            <w:vAlign w:val="bottom"/>
            <w:tcBorders>
              <w:bottom w:val="single" w:sz="8" w:color="auto"/>
            </w:tcBorders>
          </w:tcPr>
          <w:p>
            <w:pPr>
              <w:jc w:val="center"/>
              <w:ind w:left="97"/>
              <w:spacing w:after="0"/>
              <w:rPr>
                <w:sz w:val="20"/>
                <w:szCs w:val="20"/>
                <w:color w:val="auto"/>
              </w:rPr>
            </w:pPr>
            <w:r>
              <w:rPr>
                <w:rFonts w:ascii="Arial" w:cs="Arial" w:eastAsia="Arial" w:hAnsi="Arial"/>
                <w:sz w:val="18"/>
                <w:szCs w:val="18"/>
                <w:color w:val="auto"/>
                <w:w w:val="88"/>
              </w:rPr>
              <w:t>$7,501,200</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Proceeds to us (before expenses)</w:t>
            </w:r>
          </w:p>
        </w:tc>
        <w:tc>
          <w:tcPr>
            <w:tcW w:w="2060" w:type="dxa"/>
            <w:vAlign w:val="bottom"/>
          </w:tcPr>
          <w:p>
            <w:pPr>
              <w:jc w:val="center"/>
              <w:ind w:left="737"/>
              <w:spacing w:after="0"/>
              <w:rPr>
                <w:sz w:val="20"/>
                <w:szCs w:val="20"/>
                <w:color w:val="auto"/>
              </w:rPr>
            </w:pPr>
            <w:r>
              <w:rPr>
                <w:rFonts w:ascii="Arial" w:cs="Arial" w:eastAsia="Arial" w:hAnsi="Arial"/>
                <w:sz w:val="18"/>
                <w:szCs w:val="18"/>
                <w:color w:val="auto"/>
                <w:w w:val="87"/>
              </w:rPr>
              <w:t>$26.32</w:t>
            </w:r>
          </w:p>
        </w:tc>
        <w:tc>
          <w:tcPr>
            <w:tcW w:w="1500" w:type="dxa"/>
            <w:vAlign w:val="bottom"/>
          </w:tcPr>
          <w:p>
            <w:pPr>
              <w:jc w:val="center"/>
              <w:ind w:left="97"/>
              <w:spacing w:after="0"/>
              <w:rPr>
                <w:sz w:val="20"/>
                <w:szCs w:val="20"/>
                <w:color w:val="auto"/>
              </w:rPr>
            </w:pPr>
            <w:r>
              <w:rPr>
                <w:rFonts w:ascii="Arial" w:cs="Arial" w:eastAsia="Arial" w:hAnsi="Arial"/>
                <w:sz w:val="18"/>
                <w:szCs w:val="18"/>
                <w:color w:val="auto"/>
                <w:w w:val="87"/>
              </w:rPr>
              <w:t>$117,518,800</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2" w:lineRule="exact"/>
        <w:rPr>
          <w:sz w:val="24"/>
          <w:szCs w:val="24"/>
          <w:color w:val="auto"/>
        </w:rPr>
      </w:pPr>
    </w:p>
    <w:p>
      <w:pPr>
        <w:ind w:left="540" w:right="70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also agreed to reimburse the underwriters for certain of their expenses. See "Underwriters" beginning on page S-22 of this prospectus supplement for more information about these arrangements.</w:t>
      </w:r>
    </w:p>
    <w:p>
      <w:pPr>
        <w:spacing w:after="0" w:line="195" w:lineRule="exact"/>
        <w:rPr>
          <w:sz w:val="24"/>
          <w:szCs w:val="24"/>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have granted the underwriters an option to purchase up to 669,750 additional shares of our common stock from us at the public offering price, less underwriting discounts and commissions. The underwriters may exercise this right at any time, in whole or in part, within 30 days following the date of this prospectus supplement.</w:t>
      </w:r>
    </w:p>
    <w:p>
      <w:pPr>
        <w:spacing w:after="0" w:line="194" w:lineRule="exact"/>
        <w:rPr>
          <w:sz w:val="24"/>
          <w:szCs w:val="24"/>
          <w:color w:val="auto"/>
        </w:rPr>
      </w:pPr>
    </w:p>
    <w:p>
      <w:pPr>
        <w:ind w:right="40" w:firstLine="348"/>
        <w:spacing w:after="0" w:line="268" w:lineRule="auto"/>
        <w:rPr>
          <w:sz w:val="20"/>
          <w:szCs w:val="20"/>
          <w:color w:val="auto"/>
        </w:rPr>
      </w:pPr>
      <w:r>
        <w:rPr>
          <w:rFonts w:ascii="Arial" w:cs="Arial" w:eastAsia="Arial" w:hAnsi="Arial"/>
          <w:sz w:val="18"/>
          <w:szCs w:val="18"/>
          <w:color w:val="auto"/>
        </w:rPr>
        <w:t>The underwriters expect to deliver the shares of common stock to investors in book-entry form through the facilities of The Depository Trust Company on or about November 1, 2019.</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4"/>
          <w:szCs w:val="24"/>
          <w:color w:val="auto"/>
        </w:rPr>
      </w:pPr>
    </w:p>
    <w:p>
      <w:pPr>
        <w:ind w:left="1140"/>
        <w:spacing w:after="0"/>
        <w:tabs>
          <w:tab w:leader="none" w:pos="4860" w:val="left"/>
          <w:tab w:leader="none" w:pos="8080" w:val="left"/>
        </w:tabs>
        <w:rPr>
          <w:sz w:val="20"/>
          <w:szCs w:val="20"/>
          <w:color w:val="auto"/>
        </w:rPr>
      </w:pPr>
      <w:r>
        <w:rPr>
          <w:rFonts w:ascii="Arial" w:cs="Arial" w:eastAsia="Arial" w:hAnsi="Arial"/>
          <w:sz w:val="32"/>
          <w:szCs w:val="32"/>
          <w:b w:val="1"/>
          <w:bCs w:val="1"/>
          <w:color w:val="auto"/>
        </w:rPr>
        <w:t>Morgan Stanley</w:t>
      </w:r>
      <w:r>
        <w:rPr>
          <w:sz w:val="20"/>
          <w:szCs w:val="20"/>
          <w:color w:val="auto"/>
        </w:rPr>
        <w:tab/>
      </w: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29"/>
          <w:szCs w:val="29"/>
          <w:b w:val="1"/>
          <w:bCs w:val="1"/>
          <w:color w:val="auto"/>
        </w:rPr>
        <w:t>BofA Securities</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205" w:lineRule="exact"/>
        <w:rPr>
          <w:sz w:val="24"/>
          <w:szCs w:val="24"/>
          <w:color w:val="auto"/>
        </w:rPr>
      </w:pPr>
    </w:p>
    <w:p>
      <w:pPr>
        <w:ind w:left="2340"/>
        <w:spacing w:after="0"/>
        <w:tabs>
          <w:tab w:leader="none" w:pos="6840" w:val="left"/>
        </w:tabs>
        <w:rPr>
          <w:sz w:val="20"/>
          <w:szCs w:val="20"/>
          <w:color w:val="auto"/>
        </w:rPr>
      </w:pPr>
      <w:r>
        <w:rPr>
          <w:rFonts w:ascii="Arial" w:cs="Arial" w:eastAsia="Arial" w:hAnsi="Arial"/>
          <w:sz w:val="24"/>
          <w:szCs w:val="24"/>
          <w:b w:val="1"/>
          <w:bCs w:val="1"/>
          <w:color w:val="auto"/>
        </w:rPr>
        <w:t>Wedbush PacGrow</w:t>
      </w:r>
      <w:r>
        <w:rPr>
          <w:sz w:val="20"/>
          <w:szCs w:val="20"/>
          <w:color w:val="auto"/>
        </w:rPr>
        <w:tab/>
      </w:r>
      <w:r>
        <w:rPr>
          <w:rFonts w:ascii="Arial" w:cs="Arial" w:eastAsia="Arial" w:hAnsi="Arial"/>
          <w:sz w:val="23"/>
          <w:szCs w:val="23"/>
          <w:b w:val="1"/>
          <w:bCs w:val="1"/>
          <w:color w:val="auto"/>
        </w:rPr>
        <w:t>H.C. Wainwright &amp; Co.</w:t>
      </w:r>
    </w:p>
    <w:p>
      <w:pPr>
        <w:sectPr>
          <w:pgSz w:w="11900" w:h="16838" w:orient="portrait"/>
          <w:cols w:equalWidth="0" w:num="1">
            <w:col w:w="11420"/>
          </w:cols>
          <w:pgMar w:left="240" w:top="685" w:right="239" w:bottom="985" w:gutter="0" w:footer="0" w:header="0"/>
        </w:sect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October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985"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400" w:type="dxa"/>
            <w:vAlign w:val="bottom"/>
            <w:gridSpan w:val="16"/>
            <w:vMerge w:val="restart"/>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6120" w:type="dxa"/>
            <w:vAlign w:val="bottom"/>
            <w:gridSpan w:val="7"/>
            <w:vMerge w:val="restart"/>
          </w:tcPr>
          <w:p>
            <w:pPr>
              <w:spacing w:after="0"/>
              <w:rPr>
                <w:sz w:val="14"/>
                <w:szCs w:val="14"/>
                <w:color w:val="auto"/>
              </w:rPr>
            </w:pPr>
          </w:p>
        </w:tc>
        <w:tc>
          <w:tcPr>
            <w:tcW w:w="1760" w:type="dxa"/>
            <w:vAlign w:val="bottom"/>
            <w:gridSpan w:val="7"/>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0" w:type="dxa"/>
            <w:vAlign w:val="bottom"/>
            <w:tcBorders>
              <w:bottom w:val="single" w:sz="8" w:color="0000EE"/>
            </w:tcBorders>
            <w:gridSpan w:val="16"/>
            <w:vMerge w:val="continue"/>
          </w:tcPr>
          <w:p>
            <w:pPr>
              <w:spacing w:after="0"/>
              <w:rPr>
                <w:sz w:val="14"/>
                <w:szCs w:val="14"/>
                <w:color w:val="auto"/>
              </w:rPr>
            </w:pPr>
          </w:p>
        </w:tc>
        <w:tc>
          <w:tcPr>
            <w:tcW w:w="6120" w:type="dxa"/>
            <w:vAlign w:val="bottom"/>
            <w:gridSpan w:val="7"/>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0000EE"/>
            </w:tcBorders>
            <w:gridSpan w:val="3"/>
          </w:tcPr>
          <w:p>
            <w:pPr>
              <w:jc w:val="right"/>
              <w:spacing w:after="0" w:line="170"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S-ii</w:t>
              </w:r>
            </w:hyperlink>
          </w:p>
        </w:tc>
        <w:tc>
          <w:tcPr>
            <w:tcW w:w="20" w:type="dxa"/>
            <w:vAlign w:val="bottom"/>
            <w:tcBorders>
              <w:top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38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Cautionary note regarding forward-looking statements</w:t>
              </w:r>
            </w:hyperlink>
          </w:p>
        </w:tc>
        <w:tc>
          <w:tcPr>
            <w:tcW w:w="46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5">
              <w:r>
                <w:rPr>
                  <w:rFonts w:ascii="Arial" w:cs="Arial" w:eastAsia="Arial" w:hAnsi="Arial"/>
                  <w:sz w:val="14"/>
                  <w:szCs w:val="14"/>
                  <w:color w:val="0000EE"/>
                  <w:w w:val="73"/>
                </w:rPr>
                <w:t>S-1</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4"/>
          </w:tcPr>
          <w:p>
            <w:pPr>
              <w:jc w:val="right"/>
              <w:ind w:right="1300"/>
              <w:spacing w:after="0"/>
              <w:rPr>
                <w:rFonts w:ascii="Arial" w:cs="Arial" w:eastAsia="Arial" w:hAnsi="Arial"/>
                <w:sz w:val="14"/>
                <w:szCs w:val="14"/>
                <w:color w:val="0000EE"/>
                <w:w w:val="73"/>
              </w:rPr>
            </w:pPr>
            <w:hyperlink w:anchor="page7">
              <w:r>
                <w:rPr>
                  <w:rFonts w:ascii="Arial" w:cs="Arial" w:eastAsia="Arial" w:hAnsi="Arial"/>
                  <w:sz w:val="14"/>
                  <w:szCs w:val="14"/>
                  <w:color w:val="0000EE"/>
                  <w:w w:val="73"/>
                </w:rPr>
                <w:t>S-3</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320" w:type="dxa"/>
            <w:vAlign w:val="bottom"/>
            <w:tcBorders>
              <w:top w:val="single" w:sz="8" w:color="0000EE"/>
            </w:tcBorders>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The Offering</w:t>
              </w:r>
            </w:hyperlink>
          </w:p>
        </w:tc>
        <w:tc>
          <w:tcPr>
            <w:tcW w:w="620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4"/>
                <w:szCs w:val="14"/>
                <w:color w:val="0000EE"/>
                <w:w w:val="73"/>
              </w:rPr>
            </w:pPr>
            <w:hyperlink w:anchor="page12">
              <w:r>
                <w:rPr>
                  <w:rFonts w:ascii="Arial" w:cs="Arial" w:eastAsia="Arial" w:hAnsi="Arial"/>
                  <w:sz w:val="14"/>
                  <w:szCs w:val="14"/>
                  <w:color w:val="0000EE"/>
                  <w:w w:val="73"/>
                </w:rPr>
                <w:t>S-8</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4">
              <w:r>
                <w:rPr>
                  <w:rFonts w:ascii="Arial" w:cs="Arial" w:eastAsia="Arial" w:hAnsi="Arial"/>
                  <w:sz w:val="18"/>
                  <w:szCs w:val="18"/>
                  <w:color w:val="0000EE"/>
                  <w:w w:val="93"/>
                </w:rPr>
                <w:t>Risk factors</w:t>
              </w:r>
            </w:hyperlink>
          </w:p>
        </w:tc>
        <w:tc>
          <w:tcPr>
            <w:tcW w:w="7600" w:type="dxa"/>
            <w:vAlign w:val="bottom"/>
            <w:gridSpan w:val="20"/>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14">
              <w:r>
                <w:rPr>
                  <w:rFonts w:ascii="Arial" w:cs="Arial" w:eastAsia="Arial" w:hAnsi="Arial"/>
                  <w:sz w:val="18"/>
                  <w:szCs w:val="18"/>
                  <w:color w:val="0000EE"/>
                  <w:w w:val="84"/>
                </w:rPr>
                <w:t>S-10</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120" w:type="dxa"/>
            <w:vAlign w:val="bottom"/>
          </w:tcPr>
          <w:p>
            <w:pPr>
              <w:spacing w:after="0"/>
              <w:rPr>
                <w:sz w:val="24"/>
                <w:szCs w:val="24"/>
                <w:color w:val="auto"/>
              </w:rPr>
            </w:pPr>
          </w:p>
        </w:tc>
        <w:tc>
          <w:tcPr>
            <w:tcW w:w="1640" w:type="dxa"/>
            <w:vAlign w:val="bottom"/>
            <w:gridSpan w:val="6"/>
          </w:tcPr>
          <w:p>
            <w:pPr>
              <w:jc w:val="right"/>
              <w:ind w:right="1300"/>
              <w:spacing w:after="0"/>
              <w:rPr>
                <w:rFonts w:ascii="Arial" w:cs="Arial" w:eastAsia="Arial" w:hAnsi="Arial"/>
                <w:sz w:val="18"/>
                <w:szCs w:val="18"/>
                <w:color w:val="0000EE"/>
                <w:w w:val="84"/>
              </w:rPr>
            </w:pPr>
            <w:hyperlink w:anchor="page19">
              <w:r>
                <w:rPr>
                  <w:rFonts w:ascii="Arial" w:cs="Arial" w:eastAsia="Arial" w:hAnsi="Arial"/>
                  <w:sz w:val="18"/>
                  <w:szCs w:val="18"/>
                  <w:color w:val="0000EE"/>
                  <w:w w:val="84"/>
                </w:rPr>
                <w:t>S-15</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Dilution</w:t>
              </w:r>
            </w:hyperlink>
          </w:p>
        </w:tc>
        <w:tc>
          <w:tcPr>
            <w:tcW w:w="540" w:type="dxa"/>
            <w:vAlign w:val="bottom"/>
            <w:tcBorders>
              <w:top w:val="single" w:sz="8" w:color="0000EE"/>
            </w:tcBorders>
            <w:gridSpan w:val="5"/>
          </w:tcPr>
          <w:p>
            <w:pPr>
              <w:spacing w:after="0"/>
              <w:rPr>
                <w:sz w:val="24"/>
                <w:szCs w:val="24"/>
                <w:color w:val="auto"/>
              </w:rPr>
            </w:pPr>
          </w:p>
        </w:tc>
        <w:tc>
          <w:tcPr>
            <w:tcW w:w="7380" w:type="dxa"/>
            <w:vAlign w:val="bottom"/>
            <w:gridSpan w:val="16"/>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4"/>
              </w:rPr>
            </w:pPr>
            <w:hyperlink w:anchor="page20">
              <w:r>
                <w:rPr>
                  <w:rFonts w:ascii="Arial" w:cs="Arial" w:eastAsia="Arial" w:hAnsi="Arial"/>
                  <w:sz w:val="18"/>
                  <w:szCs w:val="18"/>
                  <w:color w:val="0000EE"/>
                  <w:w w:val="84"/>
                </w:rPr>
                <w:t>S-16</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1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Dividend policy</w:t>
              </w:r>
            </w:hyperlink>
          </w:p>
        </w:tc>
        <w:tc>
          <w:tcPr>
            <w:tcW w:w="736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21">
              <w:r>
                <w:rPr>
                  <w:rFonts w:ascii="Arial" w:cs="Arial" w:eastAsia="Arial" w:hAnsi="Arial"/>
                  <w:sz w:val="18"/>
                  <w:szCs w:val="18"/>
                  <w:color w:val="0000EE"/>
                  <w:w w:val="84"/>
                </w:rPr>
                <w:t>S-17</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3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Material U.S. federal tax considerations for non-U.S. holders</w:t>
              </w:r>
            </w:hyperlink>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21">
              <w:r>
                <w:rPr>
                  <w:rFonts w:ascii="Arial" w:cs="Arial" w:eastAsia="Arial" w:hAnsi="Arial"/>
                  <w:sz w:val="18"/>
                  <w:szCs w:val="18"/>
                  <w:color w:val="0000EE"/>
                  <w:w w:val="84"/>
                </w:rPr>
                <w:t>S-17</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Underwriters</w:t>
              </w:r>
            </w:hyperlink>
          </w:p>
        </w:tc>
        <w:tc>
          <w:tcPr>
            <w:tcW w:w="7580" w:type="dxa"/>
            <w:vAlign w:val="bottom"/>
            <w:gridSpan w:val="19"/>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26">
              <w:r>
                <w:rPr>
                  <w:rFonts w:ascii="Arial" w:cs="Arial" w:eastAsia="Arial" w:hAnsi="Arial"/>
                  <w:sz w:val="18"/>
                  <w:szCs w:val="18"/>
                  <w:color w:val="0000EE"/>
                  <w:w w:val="84"/>
                </w:rPr>
                <w:t>S-22</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120" w:type="dxa"/>
            <w:vAlign w:val="bottom"/>
          </w:tcPr>
          <w:p>
            <w:pPr>
              <w:spacing w:after="0"/>
              <w:rPr>
                <w:sz w:val="24"/>
                <w:szCs w:val="24"/>
                <w:color w:val="auto"/>
              </w:rPr>
            </w:pPr>
          </w:p>
        </w:tc>
        <w:tc>
          <w:tcPr>
            <w:tcW w:w="1640" w:type="dxa"/>
            <w:vAlign w:val="bottom"/>
            <w:gridSpan w:val="6"/>
          </w:tcPr>
          <w:p>
            <w:pPr>
              <w:jc w:val="right"/>
              <w:ind w:right="1300"/>
              <w:spacing w:after="0"/>
              <w:rPr>
                <w:rFonts w:ascii="Arial" w:cs="Arial" w:eastAsia="Arial" w:hAnsi="Arial"/>
                <w:sz w:val="18"/>
                <w:szCs w:val="18"/>
                <w:color w:val="0000EE"/>
                <w:w w:val="84"/>
              </w:rPr>
            </w:pPr>
            <w:hyperlink w:anchor="page33">
              <w:r>
                <w:rPr>
                  <w:rFonts w:ascii="Arial" w:cs="Arial" w:eastAsia="Arial" w:hAnsi="Arial"/>
                  <w:sz w:val="18"/>
                  <w:szCs w:val="18"/>
                  <w:color w:val="0000EE"/>
                  <w:w w:val="84"/>
                </w:rPr>
                <w:t>S-29</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tcBorders>
              <w:top w:val="single" w:sz="8" w:color="0000EE"/>
            </w:tcBorders>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7560" w:type="dxa"/>
            <w:vAlign w:val="bottom"/>
            <w:gridSpan w:val="18"/>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0000EE"/>
            </w:tcBorders>
            <w:gridSpan w:val="4"/>
          </w:tcPr>
          <w:p>
            <w:pPr>
              <w:jc w:val="right"/>
              <w:spacing w:after="0"/>
              <w:rPr>
                <w:rFonts w:ascii="Arial" w:cs="Arial" w:eastAsia="Arial" w:hAnsi="Arial"/>
                <w:sz w:val="18"/>
                <w:szCs w:val="18"/>
                <w:color w:val="0000EE"/>
                <w:w w:val="84"/>
              </w:rPr>
            </w:pPr>
            <w:hyperlink w:anchor="page33">
              <w:r>
                <w:rPr>
                  <w:rFonts w:ascii="Arial" w:cs="Arial" w:eastAsia="Arial" w:hAnsi="Arial"/>
                  <w:sz w:val="18"/>
                  <w:szCs w:val="18"/>
                  <w:color w:val="0000EE"/>
                  <w:w w:val="84"/>
                </w:rPr>
                <w:t>S-29</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7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Where you can find more information</w:t>
              </w:r>
            </w:hyperlink>
          </w:p>
        </w:tc>
        <w:tc>
          <w:tcPr>
            <w:tcW w:w="58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0000EE"/>
            </w:tcBorders>
            <w:gridSpan w:val="4"/>
          </w:tcPr>
          <w:p>
            <w:pPr>
              <w:jc w:val="right"/>
              <w:spacing w:after="0"/>
              <w:rPr>
                <w:rFonts w:ascii="Arial" w:cs="Arial" w:eastAsia="Arial" w:hAnsi="Arial"/>
                <w:sz w:val="18"/>
                <w:szCs w:val="18"/>
                <w:color w:val="0000EE"/>
                <w:w w:val="84"/>
              </w:rPr>
            </w:pPr>
            <w:hyperlink w:anchor="page33">
              <w:r>
                <w:rPr>
                  <w:rFonts w:ascii="Arial" w:cs="Arial" w:eastAsia="Arial" w:hAnsi="Arial"/>
                  <w:sz w:val="18"/>
                  <w:szCs w:val="18"/>
                  <w:color w:val="0000EE"/>
                  <w:w w:val="84"/>
                </w:rPr>
                <w:t>S-29</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Incorporation of certain information by reference</w:t>
              </w:r>
            </w:hyperlink>
          </w:p>
        </w:tc>
        <w:tc>
          <w:tcPr>
            <w:tcW w:w="120" w:type="dxa"/>
            <w:vAlign w:val="bottom"/>
          </w:tcPr>
          <w:p>
            <w:pPr>
              <w:spacing w:after="0"/>
              <w:rPr>
                <w:sz w:val="24"/>
                <w:szCs w:val="24"/>
                <w:color w:val="auto"/>
              </w:rPr>
            </w:pPr>
          </w:p>
        </w:tc>
        <w:tc>
          <w:tcPr>
            <w:tcW w:w="1640" w:type="dxa"/>
            <w:vAlign w:val="bottom"/>
            <w:gridSpan w:val="6"/>
          </w:tcPr>
          <w:p>
            <w:pPr>
              <w:jc w:val="right"/>
              <w:ind w:right="1300"/>
              <w:spacing w:after="0"/>
              <w:rPr>
                <w:rFonts w:ascii="Arial" w:cs="Arial" w:eastAsia="Arial" w:hAnsi="Arial"/>
                <w:sz w:val="18"/>
                <w:szCs w:val="18"/>
                <w:color w:val="0000EE"/>
                <w:w w:val="84"/>
              </w:rPr>
            </w:pPr>
            <w:hyperlink w:anchor="page33">
              <w:r>
                <w:rPr>
                  <w:rFonts w:ascii="Arial" w:cs="Arial" w:eastAsia="Arial" w:hAnsi="Arial"/>
                  <w:sz w:val="18"/>
                  <w:szCs w:val="18"/>
                  <w:color w:val="0000EE"/>
                  <w:w w:val="84"/>
                </w:rPr>
                <w:t>S-29</w:t>
              </w:r>
            </w:hyperlink>
          </w:p>
        </w:tc>
        <w:tc>
          <w:tcPr>
            <w:tcW w:w="0" w:type="dxa"/>
            <w:vAlign w:val="bottom"/>
          </w:tcPr>
          <w:p>
            <w:pPr>
              <w:spacing w:after="0"/>
              <w:rPr>
                <w:sz w:val="1"/>
                <w:szCs w:val="1"/>
                <w:color w:val="auto"/>
              </w:rPr>
            </w:pPr>
          </w:p>
        </w:tc>
      </w:tr>
      <w:tr>
        <w:trPr>
          <w:trHeight w:val="667"/>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gridSpan w:val="3"/>
          </w:tcPr>
          <w:p>
            <w:pPr>
              <w:ind w:left="300"/>
              <w:spacing w:after="0"/>
              <w:rPr>
                <w:sz w:val="20"/>
                <w:szCs w:val="20"/>
                <w:color w:val="auto"/>
              </w:rPr>
            </w:pPr>
            <w:r>
              <w:rPr>
                <w:rFonts w:ascii="Arial" w:cs="Arial" w:eastAsia="Arial" w:hAnsi="Arial"/>
                <w:sz w:val="18"/>
                <w:szCs w:val="18"/>
                <w:b w:val="1"/>
                <w:bCs w:val="1"/>
                <w:color w:val="auto"/>
              </w:rPr>
              <w:t>Prospectus</w:t>
            </w: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Risk factors</w:t>
              </w:r>
            </w:hyperlink>
          </w:p>
        </w:tc>
        <w:tc>
          <w:tcPr>
            <w:tcW w:w="620" w:type="dxa"/>
            <w:vAlign w:val="bottom"/>
            <w:tcBorders>
              <w:top w:val="single" w:sz="8" w:color="0000EE"/>
            </w:tcBorders>
            <w:gridSpan w:val="7"/>
          </w:tcPr>
          <w:p>
            <w:pPr>
              <w:spacing w:after="0"/>
              <w:rPr>
                <w:sz w:val="24"/>
                <w:szCs w:val="24"/>
                <w:color w:val="auto"/>
              </w:rPr>
            </w:pPr>
          </w:p>
        </w:tc>
        <w:tc>
          <w:tcPr>
            <w:tcW w:w="6980" w:type="dxa"/>
            <w:vAlign w:val="bottom"/>
            <w:gridSpan w:val="13"/>
          </w:tcPr>
          <w:p>
            <w:pPr>
              <w:spacing w:after="0"/>
              <w:rPr>
                <w:sz w:val="24"/>
                <w:szCs w:val="24"/>
                <w:color w:val="auto"/>
              </w:rPr>
            </w:pPr>
          </w:p>
        </w:tc>
        <w:tc>
          <w:tcPr>
            <w:tcW w:w="360" w:type="dxa"/>
            <w:vAlign w:val="bottom"/>
            <w:gridSpan w:val="4"/>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2</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Cautionary statement regarding forward-looking statements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200" w:type="dxa"/>
            <w:vAlign w:val="bottom"/>
            <w:tcBorders>
              <w:top w:val="single" w:sz="8" w:color="0000EE"/>
            </w:tcBorders>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The Company</w:t>
              </w:r>
            </w:hyperlink>
          </w:p>
        </w:tc>
        <w:tc>
          <w:tcPr>
            <w:tcW w:w="4320" w:type="dxa"/>
            <w:vAlign w:val="bottom"/>
            <w:gridSpan w:val="2"/>
          </w:tcPr>
          <w:p>
            <w:pPr>
              <w:spacing w:after="0"/>
              <w:rPr>
                <w:sz w:val="24"/>
                <w:szCs w:val="24"/>
                <w:color w:val="auto"/>
              </w:rPr>
            </w:pPr>
          </w:p>
        </w:tc>
        <w:tc>
          <w:tcPr>
            <w:tcW w:w="360" w:type="dxa"/>
            <w:vAlign w:val="bottom"/>
            <w:gridSpan w:val="4"/>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6</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6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Securities we may offer</w:t>
              </w:r>
            </w:hyperlink>
          </w:p>
        </w:tc>
        <w:tc>
          <w:tcPr>
            <w:tcW w:w="6840" w:type="dxa"/>
            <w:vAlign w:val="bottom"/>
            <w:gridSpan w:val="11"/>
          </w:tcPr>
          <w:p>
            <w:pPr>
              <w:spacing w:after="0"/>
              <w:rPr>
                <w:sz w:val="24"/>
                <w:szCs w:val="24"/>
                <w:color w:val="auto"/>
              </w:rPr>
            </w:pPr>
          </w:p>
        </w:tc>
        <w:tc>
          <w:tcPr>
            <w:tcW w:w="36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tcBorders>
              <w:right w:val="single" w:sz="8" w:color="0000EE"/>
            </w:tcBorders>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0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Description of debt securities</w:t>
              </w:r>
            </w:hyperlink>
          </w:p>
        </w:tc>
        <w:tc>
          <w:tcPr>
            <w:tcW w:w="6440" w:type="dxa"/>
            <w:vAlign w:val="bottom"/>
            <w:gridSpan w:val="9"/>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13</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Description of warrants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21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660" w:type="dxa"/>
            <w:vAlign w:val="bottom"/>
            <w:tcBorders>
              <w:top w:val="single" w:sz="8" w:color="0000EE"/>
            </w:tcBorders>
            <w:gridSpan w:val="1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Description of units</w:t>
              </w:r>
            </w:hyperlink>
          </w:p>
        </w:tc>
        <w:tc>
          <w:tcPr>
            <w:tcW w:w="6860" w:type="dxa"/>
            <w:vAlign w:val="bottom"/>
            <w:gridSpan w:val="12"/>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23</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tcBorders>
              <w:right w:val="single" w:sz="8" w:color="0000EE"/>
            </w:tcBorders>
            <w:gridSpan w:val="9"/>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Legal ownership of securities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24</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080" w:type="dxa"/>
            <w:vAlign w:val="bottom"/>
            <w:tcBorders>
              <w:top w:val="single" w:sz="8" w:color="0000EE"/>
            </w:tcBorders>
            <w:gridSpan w:val="1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Plan of distribution</w:t>
              </w:r>
            </w:hyperlink>
          </w:p>
        </w:tc>
        <w:tc>
          <w:tcPr>
            <w:tcW w:w="6440" w:type="dxa"/>
            <w:vAlign w:val="bottom"/>
            <w:gridSpan w:val="9"/>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28</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400" w:type="dxa"/>
            <w:vAlign w:val="bottom"/>
            <w:tcBorders>
              <w:top w:val="single" w:sz="8" w:color="0000EE"/>
            </w:tcBorders>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Legal matters</w:t>
              </w:r>
            </w:hyperlink>
          </w:p>
        </w:tc>
        <w:tc>
          <w:tcPr>
            <w:tcW w:w="7120" w:type="dxa"/>
            <w:vAlign w:val="bottom"/>
            <w:gridSpan w:val="14"/>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tcBorders>
              <w:top w:val="single" w:sz="8" w:color="0000EE"/>
            </w:tcBorders>
            <w:gridSpan w:val="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Experts</w:t>
              </w:r>
            </w:hyperlink>
          </w:p>
        </w:tc>
        <w:tc>
          <w:tcPr>
            <w:tcW w:w="7560" w:type="dxa"/>
            <w:vAlign w:val="bottom"/>
            <w:gridSpan w:val="18"/>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84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6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Where you can find more information</w:t>
              </w:r>
            </w:hyperlink>
          </w:p>
        </w:tc>
        <w:tc>
          <w:tcPr>
            <w:tcW w:w="5840" w:type="dxa"/>
            <w:vAlign w:val="bottom"/>
            <w:gridSpan w:val="6"/>
          </w:tcPr>
          <w:p>
            <w:pPr>
              <w:spacing w:after="0"/>
              <w:rPr>
                <w:sz w:val="24"/>
                <w:szCs w:val="24"/>
                <w:color w:val="auto"/>
              </w:rPr>
            </w:pPr>
          </w:p>
        </w:tc>
        <w:tc>
          <w:tcPr>
            <w:tcW w:w="28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52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Incorporation by reference</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32</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S-i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33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On October 1, 2019, we filed with the Securities and Exchange Commission, or the SEC, a registration statement on Form S-3 (File No. 333-234034) utilizing a shelf registration process relating to the securities described in this prospectus supplement which registration statement was declared effective on October 15, 2019. Under this shelf registration process, we may, from time to time, sell up to $300 million in the aggregate of common stock, preferred stock, debt securities, warrants and/or units in any combination.</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herein and therein.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72"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Neither we nor the underwriters have authorized anyone to provide any information other than that contained or incorporated by reference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the distribution of this prospectus supplement and the accompanying prospectus outside the United States.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industry and market data contained or incorporated by reference into this prospectus supplement and the accompanying prospectus are based on independent industry publications, reports by market research firms or other published independent sources. Although we believe these sources are reliable, we have not independently verified the information and cannot guarantee its accuracy and completeness, as industry and market data are subject to change and cannot always be verified with complete certainty due to limits on the availability and reliability of raw data, the voluntary nature of the data gathering process and other limitations and uncertainties inherent in any statistical survey of market shares. Although we are not aware of any misstatements regarding the market and industry data presented or incorporated by reference into this prospectus supplement, these estimates involve risks and uncertainties and are subject to change based on various factors including those discussed in the section titled "Risk Factors." Accordingly, investors should not place undue reliance on this information.</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supplement and the accompanying prospectus to "Y-mAbs," the "Company," "we," "us" and "our" and similar words refer to Y-mAbs Therapeutics, Inc. and our wholly owned Danish subsidiary, Y-mAbs Therapeutics A/S.</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"Y-mAbs®" is our registered trademark. Any other trademarks or service marks of our company appearing in this prospectus supplement are the property of Y-mAbs Therapeutics, Inc. This prospectus supplement and the accompanying prospectus also contain references to trademarks belonging to other entities. Third-party product and company names mentioned herein may be the trademarks of their respective owners. Solely for convenience, the trademarks and trade names in this prospectus supplement and the accompanying prospectus may be referred to without the ® and ™ symbols, but such references should not be construed as any indicator that their respective owners will not assert, to the fullest extent under applicable law, their rights thereto.</w:t>
      </w:r>
    </w:p>
    <w:p>
      <w:pPr>
        <w:spacing w:after="0" w:line="164"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herein and therein include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prospectus supplement and the accompanying prospectus, including the documents that we incorporate by reference herein and therein,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8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supplement and the accompanying prospectus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forward-looking statements include, among other things, statements about:</w:t>
      </w:r>
    </w:p>
    <w:p>
      <w:pPr>
        <w:spacing w:after="0" w:line="210" w:lineRule="exact"/>
        <w:rPr>
          <w:sz w:val="20"/>
          <w:szCs w:val="20"/>
          <w:color w:val="auto"/>
        </w:rPr>
      </w:pPr>
    </w:p>
    <w:p>
      <w:pPr>
        <w:ind w:left="1080" w:right="5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develop and commercialize our two lead product candidates and other product candidates, including the potential clinical efficacy and other benefits thereof;</w:t>
      </w:r>
    </w:p>
    <w:p>
      <w:pPr>
        <w:spacing w:after="0" w:line="21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ongoing and future clinical trials for our two lead product candidates and other product candidates, whether conducted by us or by any of our collaborators, including the timing of initiation of these trials, the pace of enrollment, the completion of enrollment, the availability of data from these trials, the expected dates of Biologics License Application, or BLA, submission and approval by the U.S. Food and Drug Administration, or FDA, and equivalent foreign regulatory authorities and of the anticipated results;</w:t>
      </w:r>
    </w:p>
    <w:p>
      <w:pPr>
        <w:spacing w:after="0" w:line="180" w:lineRule="exact"/>
        <w:rPr>
          <w:rFonts w:ascii="Arial" w:cs="Arial" w:eastAsia="Arial" w:hAnsi="Arial"/>
          <w:sz w:val="16"/>
          <w:szCs w:val="16"/>
          <w:color w:val="auto"/>
        </w:rPr>
      </w:pPr>
    </w:p>
    <w:p>
      <w:pPr>
        <w:jc w:val="both"/>
        <w:ind w:left="1080" w:right="6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timing of and our ability to obtain and maintain regulatory, marketing and reimbursement approvals for our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levels of our product candidates, if approved;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for remediation of material weaknesses in our internal control over financial reporting;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and cash equivalents, how long that cash is expected to last;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for, timing and amount of any future financing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 or the JOBS Act;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our prior initial public offering, or IPO, and this offering; and</w:t>
      </w:r>
    </w:p>
    <w:p>
      <w:pPr>
        <w:spacing w:after="0" w:line="238"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prospectus supplement.</w:t>
      </w:r>
    </w:p>
    <w:p>
      <w:pPr>
        <w:spacing w:after="0" w:line="186" w:lineRule="exact"/>
        <w:rPr>
          <w:sz w:val="20"/>
          <w:szCs w:val="20"/>
          <w:color w:val="auto"/>
        </w:rPr>
      </w:pPr>
    </w:p>
    <w:p>
      <w:pPr>
        <w:ind w:firstLine="348"/>
        <w:spacing w:after="0" w:line="288" w:lineRule="auto"/>
        <w:rPr>
          <w:rFonts w:ascii="Arial" w:cs="Arial" w:eastAsia="Arial" w:hAnsi="Arial"/>
          <w:sz w:val="16"/>
          <w:szCs w:val="16"/>
          <w:color w:val="0000EE"/>
        </w:rPr>
      </w:pPr>
      <w:r>
        <w:rPr>
          <w:rFonts w:ascii="Arial" w:cs="Arial" w:eastAsia="Arial" w:hAnsi="Arial"/>
          <w:sz w:val="16"/>
          <w:szCs w:val="16"/>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w:t>
      </w:r>
      <w:hyperlink r:id="rId15">
        <w:r>
          <w:rPr>
            <w:rFonts w:ascii="Arial" w:cs="Arial" w:eastAsia="Arial" w:hAnsi="Arial"/>
            <w:sz w:val="16"/>
            <w:szCs w:val="16"/>
            <w:color w:val="auto"/>
          </w:rPr>
          <w:t xml:space="preserve">the information incorporated by reference herein and therein, particularly in the "Risk Factors" section of this prospectus supplement and of our </w:t>
        </w:r>
        <w:r>
          <w:rPr>
            <w:rFonts w:ascii="Arial" w:cs="Arial" w:eastAsia="Arial" w:hAnsi="Arial"/>
            <w:sz w:val="16"/>
            <w:szCs w:val="16"/>
            <w:u w:val="single" w:color="auto"/>
            <w:color w:val="0000EE"/>
          </w:rPr>
          <w:t>Annual Report on</w:t>
        </w:r>
      </w:hyperlink>
      <w:r>
        <w:rPr>
          <w:rFonts w:ascii="Arial" w:cs="Arial" w:eastAsia="Arial" w:hAnsi="Arial"/>
          <w:sz w:val="16"/>
          <w:szCs w:val="16"/>
          <w:color w:val="auto"/>
        </w:rPr>
        <w:t xml:space="preserve"> </w:t>
      </w:r>
      <w:hyperlink r:id="rId15">
        <w:r>
          <w:rPr>
            <w:rFonts w:ascii="Arial" w:cs="Arial" w:eastAsia="Arial" w:hAnsi="Arial"/>
            <w:sz w:val="16"/>
            <w:szCs w:val="16"/>
            <w:u w:val="single" w:color="auto"/>
            <w:color w:val="0000EE"/>
          </w:rPr>
          <w:t>Form 10-K for the year ended December 31, 2018</w:t>
        </w:r>
        <w:r>
          <w:rPr>
            <w:rFonts w:ascii="Arial" w:cs="Arial" w:eastAsia="Arial" w:hAnsi="Arial"/>
            <w:sz w:val="16"/>
            <w:szCs w:val="16"/>
            <w:color w:val="0000EE"/>
          </w:rPr>
          <w:t xml:space="preserve"> </w:t>
        </w:r>
        <w:r>
          <w:rPr>
            <w:rFonts w:ascii="Arial" w:cs="Arial" w:eastAsia="Arial" w:hAnsi="Arial"/>
            <w:sz w:val="16"/>
            <w:szCs w:val="16"/>
            <w:color w:val="000000"/>
          </w:rPr>
          <w:t>and our</w:t>
        </w:r>
        <w:r>
          <w:rPr>
            <w:rFonts w:ascii="Arial" w:cs="Arial" w:eastAsia="Arial" w:hAnsi="Arial"/>
            <w:sz w:val="16"/>
            <w:szCs w:val="16"/>
            <w:color w:val="0000EE"/>
          </w:rPr>
          <w:t xml:space="preserve"> </w:t>
        </w:r>
      </w:hyperlink>
      <w:hyperlink r:id="rId16">
        <w:r>
          <w:rPr>
            <w:rFonts w:ascii="Arial" w:cs="Arial" w:eastAsia="Arial" w:hAnsi="Arial"/>
            <w:sz w:val="16"/>
            <w:szCs w:val="16"/>
            <w:u w:val="single" w:color="auto"/>
            <w:color w:val="0000EE"/>
          </w:rPr>
          <w:t>Quarterly Report on Form 10-Q for the quarterly period ended June 30, 2019</w:t>
        </w:r>
      </w:hyperlink>
      <w:hyperlink r:id="rId15">
        <w:r>
          <w:rPr>
            <w:rFonts w:ascii="Arial" w:cs="Arial" w:eastAsia="Arial" w:hAnsi="Arial"/>
            <w:sz w:val="16"/>
            <w:szCs w:val="16"/>
            <w:color w:val="000000"/>
          </w:rPr>
          <w:t>, each of which is</w:t>
        </w:r>
      </w:hyperlink>
      <w:r>
        <w:rPr>
          <w:rFonts w:ascii="Arial" w:cs="Arial" w:eastAsia="Arial" w:hAnsi="Arial"/>
          <w:sz w:val="16"/>
          <w:szCs w:val="16"/>
          <w:color w:val="0000EE"/>
        </w:rPr>
        <w:t xml:space="preserve"> </w:t>
      </w:r>
      <w:r>
        <w:rPr>
          <w:rFonts w:ascii="Arial" w:cs="Arial" w:eastAsia="Arial" w:hAnsi="Arial"/>
          <w:sz w:val="16"/>
          <w:szCs w:val="16"/>
          <w:color w:val="000000"/>
        </w:rPr>
        <w:t>incorporated by reference herein, as revised or supplemented by our subsequent quarterly reports on Form 10-Q or our current reports on Form 8-K, as well as any amendments thereto, as filed with the SEC and which are incorporated herein by reference,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spacing w:after="0" w:line="174" w:lineRule="exact"/>
        <w:rPr>
          <w:rFonts w:ascii="Arial" w:cs="Arial" w:eastAsia="Arial" w:hAnsi="Arial"/>
          <w:sz w:val="16"/>
          <w:szCs w:val="16"/>
          <w:color w:val="0000EE"/>
        </w:rPr>
      </w:pPr>
    </w:p>
    <w:p>
      <w:pPr>
        <w:jc w:val="both"/>
        <w:ind w:right="80" w:firstLine="345"/>
        <w:spacing w:after="0" w:line="256" w:lineRule="auto"/>
        <w:rPr>
          <w:sz w:val="20"/>
          <w:szCs w:val="20"/>
          <w:color w:val="auto"/>
        </w:rPr>
      </w:pPr>
      <w:r>
        <w:rPr>
          <w:rFonts w:ascii="Arial" w:cs="Arial" w:eastAsia="Arial" w:hAnsi="Arial"/>
          <w:sz w:val="18"/>
          <w:szCs w:val="18"/>
          <w:color w:val="auto"/>
        </w:rPr>
        <w:t>You should read this prospectus supplement, the accompanying prospectus and the information incorporated by reference herein and therein completely and with the understanding that our actual future results may be materially different from what we expect. Any forward-looking statement speaks only as of the date of this prospectus supplement. We do not assume any obligation to update any forward-looking statements, whether as a result of new information, future events or otherwise, except as required by law.</w:t>
      </w:r>
    </w:p>
    <w:p>
      <w:pPr>
        <w:spacing w:after="0" w:line="197"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investing in our common stock. You should read this entire prospectus supplement and the accompanying prospectus, including the documents incorporated by reference herein and therein, carefully, especially the risks of investing in our common stock discussed under "Risk Factors" beginning on page S-10 of this prospectus supplement and under similar sections of the accompanying prospectus and other periodic reports incorporated herein and therein by reference, along with our consolidated financial statements and notes to those consolidated financial statements, before making an investment decision.</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240" w:right="140" w:firstLine="348"/>
        <w:spacing w:after="0" w:line="286" w:lineRule="auto"/>
        <w:rPr>
          <w:sz w:val="20"/>
          <w:szCs w:val="20"/>
          <w:color w:val="auto"/>
        </w:rPr>
      </w:pPr>
      <w:r>
        <w:rPr>
          <w:rFonts w:ascii="Arial" w:cs="Arial" w:eastAsia="Arial" w:hAnsi="Arial"/>
          <w:sz w:val="16"/>
          <w:szCs w:val="16"/>
          <w:color w:val="auto"/>
        </w:rPr>
        <w:t>We are a late stage clinical biopharmaceutical company focused on the development and commercialization of novel, antibody based therapeutic products for the treatment of cancer. We have a broad and advanced product pipeline, including two pivotal 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 We expect to initiate submission of a rolling Biologics License Application, or BLA, for each of our two lead product candidates in 2019, with a goal of receiving approval by the U.S. Food and Drug Administration, or FDA, in 2020. We plan to commercialize both of our lead product candidates in the United States as soon as possible after obtaining FDA approval, if such approval occurs. Additionally, we have an omburtamab follow-on product candidate in pre-clinical development, omburtamab-DTPA (diethylenetriamine pentaacetate), which is targeting both pediatric oncology and larger indications within adult patient populations.</w:t>
      </w:r>
    </w:p>
    <w:p>
      <w:pPr>
        <w:spacing w:after="0" w:line="181" w:lineRule="exact"/>
        <w:rPr>
          <w:sz w:val="20"/>
          <w:szCs w:val="20"/>
          <w:color w:val="auto"/>
        </w:rPr>
      </w:pPr>
    </w:p>
    <w:p>
      <w:pPr>
        <w:ind w:left="240" w:right="20" w:firstLine="348"/>
        <w:spacing w:after="0" w:line="259" w:lineRule="auto"/>
        <w:rPr>
          <w:sz w:val="20"/>
          <w:szCs w:val="20"/>
          <w:color w:val="auto"/>
        </w:rPr>
      </w:pPr>
      <w:r>
        <w:rPr>
          <w:rFonts w:ascii="Arial" w:cs="Arial" w:eastAsia="Arial" w:hAnsi="Arial"/>
          <w:sz w:val="18"/>
          <w:szCs w:val="18"/>
          <w:color w:val="auto"/>
        </w:rPr>
        <w:t>We have received breakthrough therapy designation, or BTD, from the FDA for naxitamab in combination with GM-CSF for the treatment of R/R high-risk NB. We have also received orphan drug designation, or ODD, and a rare pediatric disease designation, or RPDD, from the FDA for naxitamab, in each case for the treatment of relapsed/refractory high-risk NB.</w:t>
      </w:r>
    </w:p>
    <w:p>
      <w:pPr>
        <w:spacing w:after="0" w:line="194" w:lineRule="exact"/>
        <w:rPr>
          <w:sz w:val="20"/>
          <w:szCs w:val="20"/>
          <w:color w:val="auto"/>
        </w:rPr>
      </w:pPr>
    </w:p>
    <w:p>
      <w:pPr>
        <w:ind w:left="240" w:right="260" w:firstLine="348"/>
        <w:spacing w:after="0" w:line="268" w:lineRule="auto"/>
        <w:rPr>
          <w:sz w:val="20"/>
          <w:szCs w:val="20"/>
          <w:color w:val="auto"/>
        </w:rPr>
      </w:pPr>
      <w:r>
        <w:rPr>
          <w:rFonts w:ascii="Arial" w:cs="Arial" w:eastAsia="Arial" w:hAnsi="Arial"/>
          <w:sz w:val="18"/>
          <w:szCs w:val="18"/>
          <w:color w:val="auto"/>
        </w:rPr>
        <w:t>We have also received BTD from the FDA for omburtamab for the treatment of pediatric CNS/LM from NB. We have similarly received ODD and RPDD for omburtamab from the FDA, in each case for the treatment of CNS/LM from NB.</w:t>
      </w:r>
    </w:p>
    <w:p>
      <w:pPr>
        <w:spacing w:after="0" w:line="186" w:lineRule="exact"/>
        <w:rPr>
          <w:sz w:val="20"/>
          <w:szCs w:val="20"/>
          <w:color w:val="auto"/>
        </w:rPr>
      </w:pPr>
    </w:p>
    <w:p>
      <w:pPr>
        <w:ind w:left="240" w:right="20" w:firstLine="348"/>
        <w:spacing w:after="0" w:line="290" w:lineRule="auto"/>
        <w:rPr>
          <w:sz w:val="20"/>
          <w:szCs w:val="20"/>
          <w:color w:val="auto"/>
        </w:rPr>
      </w:pPr>
      <w:r>
        <w:rPr>
          <w:rFonts w:ascii="Arial" w:cs="Arial" w:eastAsia="Arial" w:hAnsi="Arial"/>
          <w:sz w:val="16"/>
          <w:szCs w:val="16"/>
          <w:color w:val="auto"/>
        </w:rPr>
        <w:t>We have initiated a Phase 1 trial with our huGD2 bispecific antibody, or BsAb, for the treatment of refractory GD2 positive adult and pediatric solid tumors, thereby addressing large non-orphan patient populations. We are also advancing a pipeline of novel BsAbs through late pre-clinical development, including our huCD33-BsAb product candidate for the treatment of hematological cancers expressing CD33, a transmembrane receptor expressed on cells of myeloid lineage. We believe our BsAbs have the potential to result in improved tumor binding, longer serum half-life and significantly greater T-cell mediated killing of tumor cells without the need for continuous infusion. In addition, we have an ongoing Phase 2 trial at Memorial Sloan Kettering Cancer Center, or MSK, with our GD2-GD3 Vaccine for the treatment of Stage 4 high-risk NB. We believe the GD2-GD3 Vaccine can potentially serve as an add-on treatment to naxitamab.</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41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right="80" w:firstLine="351"/>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Naxitamab</w:t>
      </w:r>
    </w:p>
    <w:p>
      <w:pPr>
        <w:spacing w:after="0" w:line="225" w:lineRule="exact"/>
        <w:rPr>
          <w:sz w:val="20"/>
          <w:szCs w:val="20"/>
          <w:color w:val="auto"/>
        </w:rPr>
      </w:pPr>
    </w:p>
    <w:p>
      <w:pPr>
        <w:ind w:left="240" w:right="120" w:firstLine="351"/>
        <w:spacing w:after="0" w:line="268" w:lineRule="auto"/>
        <w:rPr>
          <w:sz w:val="20"/>
          <w:szCs w:val="20"/>
          <w:color w:val="auto"/>
        </w:rPr>
      </w:pPr>
      <w:r>
        <w:rPr>
          <w:rFonts w:ascii="Arial" w:cs="Arial" w:eastAsia="Arial" w:hAnsi="Arial"/>
          <w:sz w:val="18"/>
          <w:szCs w:val="18"/>
          <w:color w:val="auto"/>
        </w:rPr>
        <w:t>On July 1, 2019, we announced the status of patient recruitment for our pivotal Phase 2 trial for naxitamab for the treatment of R/R high-risk NB. As of the end of June 2019, more than 30 patients of a planned total of 37 patients in our Study 201 had been enrolled.</w:t>
      </w:r>
    </w:p>
    <w:p>
      <w:pPr>
        <w:spacing w:after="0" w:line="186"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On July 8, 2019, we announced that in a pre-BLA meeting we reached alignment with the FDA on an accelerated approval pathway for naxitamab and our intention to begin submission of a rolling BLA in November 2019. We expect to submit the non-Clinical portion and the Clinical/Safety portion of the BLA starting in November 2019. For the Chemistry, Manufacturing and Controls, or CMC, portion, we believe that we will have sufficient data from the process performance qualification, or PPQ, batches to complete the CMC portion in early 2020. Based on the previously announced efficacy data from Study 12 230 in R/R high-risk NB patients at MSK, the FDA determined that efficacy data from all 37 patients of our multicenter Study 201 would not be required for the BLA submission. We have been advised by the FDA that the available data for the first group of patients treated outside MSK in Study 201 would be sufficient for the BLA submission. The first group consists of 24 patients, of which 11 patients were evaluable prior to the pre-BLA meeting and showed an overall response rate, or ORR, of 73%, including 55% complete responses, or CR, as assessed by the investigators.</w:t>
      </w:r>
    </w:p>
    <w:p>
      <w:pPr>
        <w:spacing w:after="0" w:line="172" w:lineRule="exact"/>
        <w:rPr>
          <w:sz w:val="20"/>
          <w:szCs w:val="20"/>
          <w:color w:val="auto"/>
        </w:rPr>
      </w:pPr>
    </w:p>
    <w:p>
      <w:pPr>
        <w:ind w:left="240" w:right="100" w:firstLine="351"/>
        <w:spacing w:after="0" w:line="268" w:lineRule="auto"/>
        <w:rPr>
          <w:sz w:val="20"/>
          <w:szCs w:val="20"/>
          <w:color w:val="auto"/>
        </w:rPr>
      </w:pPr>
      <w:r>
        <w:rPr>
          <w:rFonts w:ascii="Arial" w:cs="Arial" w:eastAsia="Arial" w:hAnsi="Arial"/>
          <w:sz w:val="18"/>
          <w:szCs w:val="18"/>
          <w:color w:val="auto"/>
        </w:rPr>
        <w:t>On October 25, 2019, we announced that a clinical update for naxitamab was made at the International Society of Pediatric Oncology (SIOP) Annual Congress held in Lyon, France, in presentations made by clinical investigators from MSK.</w:t>
      </w:r>
    </w:p>
    <w:p>
      <w:pPr>
        <w:spacing w:after="0" w:line="186" w:lineRule="exact"/>
        <w:rPr>
          <w:sz w:val="20"/>
          <w:szCs w:val="20"/>
          <w:color w:val="auto"/>
        </w:rPr>
      </w:pPr>
    </w:p>
    <w:p>
      <w:pPr>
        <w:ind w:left="240" w:right="60" w:firstLine="351"/>
        <w:spacing w:after="0" w:line="255" w:lineRule="auto"/>
        <w:rPr>
          <w:sz w:val="20"/>
          <w:szCs w:val="20"/>
          <w:color w:val="auto"/>
        </w:rPr>
      </w:pPr>
      <w:r>
        <w:rPr>
          <w:rFonts w:ascii="Arial" w:cs="Arial" w:eastAsia="Arial" w:hAnsi="Arial"/>
          <w:sz w:val="18"/>
          <w:szCs w:val="18"/>
          <w:color w:val="auto"/>
        </w:rPr>
        <w:t>Data from 23 evaluable patients with primary R/R high-risk NB in Study 12-230 was presented. This comprised patients refractory to intensive induction therapy, and more than half of such patients also refractory to second line chemotherapy. Essentially, this data related to a subset of patients from Study 12-230 that demonstrated better than expected outcomes, including a 78% overall response rate. The patients received at least five cycles of therapy post major response and a subset subsequently went on to receive our GD2-GD3 Vaccine at MSK. Overall, in this population a 50% two-year progression free survival was observed.</w:t>
      </w:r>
    </w:p>
    <w:p>
      <w:pPr>
        <w:spacing w:after="0" w:line="197" w:lineRule="exact"/>
        <w:rPr>
          <w:sz w:val="20"/>
          <w:szCs w:val="20"/>
          <w:color w:val="auto"/>
        </w:rPr>
      </w:pPr>
    </w:p>
    <w:p>
      <w:pPr>
        <w:ind w:left="240" w:firstLine="342"/>
        <w:spacing w:after="0" w:line="306" w:lineRule="auto"/>
        <w:rPr>
          <w:sz w:val="20"/>
          <w:szCs w:val="20"/>
          <w:color w:val="auto"/>
        </w:rPr>
      </w:pPr>
      <w:r>
        <w:rPr>
          <w:rFonts w:ascii="Arial" w:cs="Arial" w:eastAsia="Arial" w:hAnsi="Arial"/>
          <w:sz w:val="16"/>
          <w:szCs w:val="16"/>
          <w:color w:val="auto"/>
        </w:rPr>
        <w:t>Another subset consisted of 35 patients with R/R NB resistant to salvage therapy, of which 30 patients were evaluable for response in Study 12-230. One-third of the patients had two or more relapses prior to enrollment and 89% of patients had previously received anti-GD2 therapy. Patients in this subset had a 36% rate of two-year progression-free survival and an ORR of 37%, which indicated clinical benefit in this difficult to treat population.</w:t>
      </w:r>
    </w:p>
    <w:p>
      <w:pPr>
        <w:spacing w:after="0" w:line="161" w:lineRule="exact"/>
        <w:rPr>
          <w:sz w:val="20"/>
          <w:szCs w:val="20"/>
          <w:color w:val="auto"/>
        </w:rPr>
      </w:pPr>
    </w:p>
    <w:p>
      <w:pPr>
        <w:ind w:left="240" w:right="140" w:firstLine="351"/>
        <w:spacing w:after="0" w:line="254" w:lineRule="auto"/>
        <w:rPr>
          <w:sz w:val="20"/>
          <w:szCs w:val="20"/>
          <w:color w:val="auto"/>
        </w:rPr>
      </w:pPr>
      <w:r>
        <w:rPr>
          <w:rFonts w:ascii="Arial" w:cs="Arial" w:eastAsia="Arial" w:hAnsi="Arial"/>
          <w:sz w:val="18"/>
          <w:szCs w:val="18"/>
          <w:color w:val="auto"/>
        </w:rPr>
        <w:t>Data was also presented for patients with high-risk NB in second or later complete remission. 44 patients with no evidence of disease were treated with naxitamab and GM-CSF at MSK as maintenance therapy. In this population, where 88% had previously received an anti-GD2 therapy and 30% had previously received two or more lines of anti-GD2 therapy, a two-year progression-free survival of 52% was observed. Some of these patients went on to receive our GD2-GD3 Vaccine at MSK. Due to the absence of macroscopic evaluable disease, these patients were not evaluable for a formal tumor response grading. Therefore, these patients will not form a part of our efficacy data set for our rolling BLA submission currently planned to be initiated in November 2019.</w:t>
      </w:r>
    </w:p>
    <w:p>
      <w:pPr>
        <w:spacing w:after="0" w:line="198" w:lineRule="exact"/>
        <w:rPr>
          <w:sz w:val="20"/>
          <w:szCs w:val="20"/>
          <w:color w:val="auto"/>
        </w:rPr>
      </w:pPr>
    </w:p>
    <w:p>
      <w:pPr>
        <w:ind w:left="240" w:right="580" w:firstLine="351"/>
        <w:spacing w:after="0" w:line="268" w:lineRule="auto"/>
        <w:rPr>
          <w:sz w:val="20"/>
          <w:szCs w:val="20"/>
          <w:color w:val="auto"/>
        </w:rPr>
      </w:pPr>
      <w:r>
        <w:rPr>
          <w:rFonts w:ascii="Arial" w:cs="Arial" w:eastAsia="Arial" w:hAnsi="Arial"/>
          <w:sz w:val="18"/>
          <w:szCs w:val="18"/>
          <w:color w:val="auto"/>
        </w:rPr>
        <w:t>Finally, safety data from the Phase 2 osteosarcoma clinical trial, Study 15-096, for the 25 patients enrolled in the study at MSK was presented. Patients who had recurrent disease and two or more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color w:val="auto"/>
        </w:rPr>
        <w:t>complete remissions were treated with naxitamab and GM-CSF, administered to the patients in an outpatient setting. Grade 3/4 toxicities were observed in 80% of patients but were all clinically manageable. We plan to initiate a Phase 2 multi-center trial in 2020.</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Omburtamab</w:t>
      </w:r>
    </w:p>
    <w:p>
      <w:pPr>
        <w:spacing w:after="0" w:line="225" w:lineRule="exact"/>
        <w:rPr>
          <w:sz w:val="20"/>
          <w:szCs w:val="20"/>
          <w:color w:val="auto"/>
        </w:rPr>
      </w:pPr>
    </w:p>
    <w:p>
      <w:pPr>
        <w:ind w:left="240" w:right="140" w:firstLine="351"/>
        <w:spacing w:after="0" w:line="259" w:lineRule="auto"/>
        <w:rPr>
          <w:sz w:val="20"/>
          <w:szCs w:val="20"/>
          <w:color w:val="auto"/>
        </w:rPr>
      </w:pPr>
      <w:r>
        <w:rPr>
          <w:rFonts w:ascii="Arial" w:cs="Arial" w:eastAsia="Arial" w:hAnsi="Arial"/>
          <w:sz w:val="18"/>
          <w:szCs w:val="18"/>
          <w:color w:val="auto"/>
        </w:rPr>
        <w:t>On July 1, 2019, we announced the status of patient recruitment for our pivotal Phase 2 trial for omburtamab for the treatment of CNS/LM from NB. As of the end of June 2019, all of the 18 planned patients had been enrolled. We expect the study to remain open and continue enrolling patients until issuance of a Marketing Authorization for omburtamab.</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not yet had a pre-BLA meeting with the FDA for omburtamab. That meeting is currently scheduled to take place in November 2019.</w:t>
      </w:r>
    </w:p>
    <w:p>
      <w:pPr>
        <w:spacing w:after="0" w:line="248" w:lineRule="exact"/>
        <w:rPr>
          <w:sz w:val="20"/>
          <w:szCs w:val="20"/>
          <w:color w:val="auto"/>
        </w:rPr>
      </w:pPr>
    </w:p>
    <w:p>
      <w:pPr>
        <w:ind w:left="240" w:right="440" w:firstLine="351"/>
        <w:spacing w:after="0" w:line="268" w:lineRule="auto"/>
        <w:rPr>
          <w:sz w:val="20"/>
          <w:szCs w:val="20"/>
          <w:color w:val="auto"/>
        </w:rPr>
      </w:pPr>
      <w:r>
        <w:rPr>
          <w:rFonts w:ascii="Arial" w:cs="Arial" w:eastAsia="Arial" w:hAnsi="Arial"/>
          <w:sz w:val="18"/>
          <w:szCs w:val="18"/>
          <w:color w:val="auto"/>
        </w:rPr>
        <w:t>On October 28, 2019, we announced a clinical update on omburtamab for the treatment of CNS/LM from NB and a number of additional cancer indications at SIOP. Data was presented on October 26, 2019, by a clinical investigator from MSK.</w:t>
      </w:r>
    </w:p>
    <w:p>
      <w:pPr>
        <w:spacing w:after="0" w:line="186" w:lineRule="exact"/>
        <w:rPr>
          <w:sz w:val="20"/>
          <w:szCs w:val="20"/>
          <w:color w:val="auto"/>
        </w:rPr>
      </w:pPr>
    </w:p>
    <w:p>
      <w:pPr>
        <w:jc w:val="both"/>
        <w:ind w:left="240" w:firstLine="342"/>
        <w:spacing w:after="0" w:line="256" w:lineRule="auto"/>
        <w:rPr>
          <w:sz w:val="20"/>
          <w:szCs w:val="20"/>
          <w:color w:val="auto"/>
        </w:rPr>
      </w:pPr>
      <w:r>
        <w:rPr>
          <w:rFonts w:ascii="Arial" w:cs="Arial" w:eastAsia="Arial" w:hAnsi="Arial"/>
          <w:sz w:val="18"/>
          <w:szCs w:val="18"/>
          <w:color w:val="auto"/>
        </w:rPr>
        <w:t>An updated data readout as of June 30, 2019 from a single-center study at MSK, Study 03-133, where patients with CNS/LM from NB received up to two doses of radiolabeled omburtamab, showed that for the 107 evaluable patients, the median survival had increased to 50.8 months, with the final median not yet being reached. We believe that this compared well to a median survival of 47.1 months at the prior data readout based on the first 93 patients in the study.</w:t>
      </w:r>
    </w:p>
    <w:p>
      <w:pPr>
        <w:spacing w:after="0" w:line="197" w:lineRule="exact"/>
        <w:rPr>
          <w:sz w:val="20"/>
          <w:szCs w:val="20"/>
          <w:color w:val="auto"/>
        </w:rPr>
      </w:pPr>
    </w:p>
    <w:p>
      <w:pPr>
        <w:ind w:left="240" w:right="200" w:firstLine="351"/>
        <w:spacing w:after="0" w:line="290" w:lineRule="auto"/>
        <w:rPr>
          <w:sz w:val="20"/>
          <w:szCs w:val="20"/>
          <w:color w:val="auto"/>
        </w:rPr>
      </w:pPr>
      <w:r>
        <w:rPr>
          <w:rFonts w:ascii="Arial" w:cs="Arial" w:eastAsia="Arial" w:hAnsi="Arial"/>
          <w:sz w:val="16"/>
          <w:szCs w:val="16"/>
          <w:color w:val="auto"/>
        </w:rPr>
        <w:t>In addition, 68 patients diagnosed with other CNS cancers, including metastatic tumors had received a total of 201 injections of omburtamab. Injections were routinely administered in an outpatient setting. Rare self-limited adverse events included grade 1 or 2 fever, headache, vomiting; three injections were associated with grade 3 toxicities requiring discontinuation of therapy including chemical meningitis and increasing communicating hydrocephalus. Although not a dose limiting toxicity, myelosuppression occurred in patients who had received craniospinal radiation and at dose levels exceeding 60mCi. The primary CNS diagnoses included medulloblastoma (n=27), ependymoma (n=9), and embryonal tumors with multilayered rosettes (n=4), while metastatic tumors included sarcoma (n=9), melanoma (n=5), and other tumors (n=14). As of today, 26 of the 68 patients with these highly lethal diagnoses remain alive.</w:t>
      </w:r>
    </w:p>
    <w:p>
      <w:pPr>
        <w:spacing w:after="0" w:line="172" w:lineRule="exact"/>
        <w:rPr>
          <w:sz w:val="20"/>
          <w:szCs w:val="20"/>
          <w:color w:val="auto"/>
        </w:rPr>
      </w:pPr>
    </w:p>
    <w:p>
      <w:pPr>
        <w:ind w:left="240" w:right="600" w:firstLine="351"/>
        <w:spacing w:after="0" w:line="268" w:lineRule="auto"/>
        <w:rPr>
          <w:sz w:val="20"/>
          <w:szCs w:val="20"/>
          <w:color w:val="auto"/>
        </w:rPr>
      </w:pPr>
      <w:r>
        <w:rPr>
          <w:rFonts w:ascii="Arial" w:cs="Arial" w:eastAsia="Arial" w:hAnsi="Arial"/>
          <w:sz w:val="18"/>
          <w:szCs w:val="18"/>
          <w:color w:val="auto"/>
        </w:rPr>
        <w:t>Researchers at MSK developed the therapeutic products referenced above, which are exclusively licensed by us from MSK. As a result of this licensing arrangement, MSK has institutional financial interests in the products and in our company.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Update</w:t>
      </w:r>
    </w:p>
    <w:p>
      <w:pPr>
        <w:spacing w:after="0" w:line="225" w:lineRule="exact"/>
        <w:rPr>
          <w:sz w:val="20"/>
          <w:szCs w:val="20"/>
          <w:color w:val="auto"/>
        </w:rPr>
      </w:pPr>
    </w:p>
    <w:p>
      <w:pPr>
        <w:ind w:left="240" w:right="40" w:firstLine="351"/>
        <w:spacing w:after="0" w:line="288" w:lineRule="auto"/>
        <w:rPr>
          <w:sz w:val="20"/>
          <w:szCs w:val="20"/>
          <w:color w:val="auto"/>
        </w:rPr>
      </w:pPr>
      <w:r>
        <w:rPr>
          <w:rFonts w:ascii="Arial" w:cs="Arial" w:eastAsia="Arial" w:hAnsi="Arial"/>
          <w:sz w:val="16"/>
          <w:szCs w:val="16"/>
          <w:color w:val="auto"/>
        </w:rPr>
        <w:t>Our financial statements for the quarter and nine months ended September 30, 2019 will not be available until after this offering is completed and consequently will not be available to you prior to investing in this offering. Based upon preliminary estimates and information available to us as of the date of this prospectus supplement, we expect to report that we had approximately $98.2 million of cash, cash equivalents and short-term investments as of September 30, 2019. We have not yet completed our quarter-end financial close process for the quarter ended September 30, 2019. This estimate of our cash, cash equivalents and short-term investments as of September 30, 2019 is preliminary and is subject to change upon completion of our financial statement closing procedures. There can be no assurance that our final cash position as of September 30, 2019 will not differ from these estimates, including as a result of review adjustments and any such changes could be material. The preliminary financial data included in this prospectus supplement has been prepared by, and is the responsibility of, Y-mAbs Therapeutics, Inc.'s management. PricewaterhouseCoopers LLP has not audited, reviewed, compiled, or applied agreed-upon procedures with respect to the preliminary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38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50430" cy="623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0"/>
        <w:spacing w:after="0" w:line="259" w:lineRule="auto"/>
        <w:rPr>
          <w:sz w:val="20"/>
          <w:szCs w:val="20"/>
          <w:color w:val="auto"/>
        </w:rPr>
      </w:pPr>
      <w:r>
        <w:rPr>
          <w:rFonts w:ascii="Arial" w:cs="Arial" w:eastAsia="Arial" w:hAnsi="Arial"/>
          <w:sz w:val="18"/>
          <w:szCs w:val="18"/>
          <w:color w:val="auto"/>
        </w:rPr>
        <w:t>financial data. Accordingly, PricewaterhouseCoopers LLP does not express an opinion or any other form of assurance with respect thereto. These results could change as a result of further review. Complete quarterly results will be included in our Quarterly Report on Form 10-Q for the quarter ended September 30, 2019.</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Company information</w:t>
      </w:r>
    </w:p>
    <w:p>
      <w:pPr>
        <w:spacing w:after="0" w:line="225" w:lineRule="exact"/>
        <w:rPr>
          <w:sz w:val="20"/>
          <w:szCs w:val="20"/>
          <w:color w:val="auto"/>
        </w:rPr>
      </w:pPr>
    </w:p>
    <w:p>
      <w:pPr>
        <w:ind w:left="240" w:right="380" w:firstLine="348"/>
        <w:spacing w:after="0" w:line="268" w:lineRule="auto"/>
        <w:rPr>
          <w:sz w:val="20"/>
          <w:szCs w:val="20"/>
          <w:color w:val="auto"/>
        </w:rPr>
      </w:pPr>
      <w:r>
        <w:rPr>
          <w:rFonts w:ascii="Arial" w:cs="Arial" w:eastAsia="Arial" w:hAnsi="Arial"/>
          <w:sz w:val="18"/>
          <w:szCs w:val="18"/>
          <w:color w:val="auto"/>
        </w:rPr>
        <w:t>We were incorporated under the laws of the State of Delaware on April 30, 2015. On September 25, 2018, we completed the IPO of our common stock.</w:t>
      </w:r>
    </w:p>
    <w:p>
      <w:pPr>
        <w:spacing w:after="0" w:line="186"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230 Park Avenue, Suite 3350, New York, New York 10169 and our telephone number is (646) 885-8505. Our corporate website address is </w:t>
      </w:r>
      <w:r>
        <w:rPr>
          <w:rFonts w:ascii="Arial" w:cs="Arial" w:eastAsia="Arial" w:hAnsi="Arial"/>
          <w:sz w:val="16"/>
          <w:szCs w:val="16"/>
          <w:i w:val="1"/>
          <w:iCs w:val="1"/>
          <w:color w:val="auto"/>
        </w:rPr>
        <w:t>www.ymabs.com</w:t>
      </w:r>
      <w:r>
        <w:rPr>
          <w:rFonts w:ascii="Arial" w:cs="Arial" w:eastAsia="Arial" w:hAnsi="Arial"/>
          <w:sz w:val="16"/>
          <w:szCs w:val="16"/>
          <w:color w:val="auto"/>
        </w:rPr>
        <w:t>. Our website and the information contained on, or that can be accessed through, the website will not be deemed to be incorporated by reference in, and are not considered part of, this prospectus. The inclusion of our website address in this prospectus supplement is an inactive textual reference only. You should not rely on any such information in making your decision whether to purchase our securities.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Implications of being an Emerging Growth Company and Smaller Reporting Company</w:t>
      </w:r>
    </w:p>
    <w:p>
      <w:pPr>
        <w:spacing w:after="0" w:line="225" w:lineRule="exact"/>
        <w:rPr>
          <w:sz w:val="20"/>
          <w:szCs w:val="20"/>
          <w:color w:val="auto"/>
        </w:rPr>
      </w:pPr>
    </w:p>
    <w:p>
      <w:pPr>
        <w:ind w:left="240" w:right="240" w:firstLine="348"/>
        <w:spacing w:after="0" w:line="268" w:lineRule="auto"/>
        <w:rPr>
          <w:sz w:val="20"/>
          <w:szCs w:val="20"/>
          <w:color w:val="auto"/>
        </w:rPr>
      </w:pPr>
      <w:r>
        <w:rPr>
          <w:rFonts w:ascii="Arial" w:cs="Arial" w:eastAsia="Arial" w:hAnsi="Arial"/>
          <w:sz w:val="18"/>
          <w:szCs w:val="18"/>
          <w:color w:val="auto"/>
        </w:rPr>
        <w:t>We are an "emerging growth company" as defined in the JOBS Act. As an emerging growth company, we may take advantage of specified reduced disclosure and other requirements that are otherwise applicable generally to public companies, including</w:t>
      </w:r>
    </w:p>
    <w:p>
      <w:pPr>
        <w:spacing w:after="0" w:line="213"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exemption from the requirements to hold non-binding advisory votes on executive compensation and golden parachute payments; and</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left="240" w:right="80" w:firstLine="348"/>
        <w:spacing w:after="0" w:line="312" w:lineRule="auto"/>
        <w:rPr>
          <w:sz w:val="20"/>
          <w:szCs w:val="20"/>
          <w:color w:val="auto"/>
        </w:rPr>
      </w:pPr>
      <w:r>
        <w:rPr>
          <w:rFonts w:ascii="Arial" w:cs="Arial" w:eastAsia="Arial" w:hAnsi="Arial"/>
          <w:sz w:val="15"/>
          <w:szCs w:val="15"/>
          <w:color w:val="auto"/>
        </w:rPr>
        <w:t>We may take advantage of these exemptions until the last day of the fiscal year following the fifth anniversary of our IPO or such earlier time that we are no longer an emerging growth company. We would cease to be an emerging growth company earlier if we have (a) at least $1.07 billion in total annual gross revenue, or (b) we are deemed to be a large accelerated filer, as defined in Rule 12b-2 under the Exchange Act, which would occur if (i) we have more than $700 million in market value of our stock held by non-affiliates (and we have been a public company for at least 12 months and have filed one annual report on Form 10-K with the SEC) or (ii) we issue more than $1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59" w:lineRule="exact"/>
        <w:rPr>
          <w:sz w:val="20"/>
          <w:szCs w:val="20"/>
          <w:color w:val="auto"/>
        </w:rPr>
      </w:pPr>
    </w:p>
    <w:p>
      <w:pPr>
        <w:jc w:val="both"/>
        <w:ind w:left="240" w:right="60" w:firstLine="351"/>
        <w:spacing w:after="0" w:line="323"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are subject to the same new or revised accounting standards as other public companies that are not emerging growth companies.</w:t>
      </w:r>
    </w:p>
    <w:p>
      <w:pPr>
        <w:spacing w:after="0" w:line="152" w:lineRule="exact"/>
        <w:rPr>
          <w:sz w:val="20"/>
          <w:szCs w:val="20"/>
          <w:color w:val="auto"/>
        </w:rPr>
      </w:pPr>
    </w:p>
    <w:p>
      <w:pPr>
        <w:ind w:left="240" w:right="60" w:firstLine="348"/>
        <w:spacing w:after="0" w:line="259" w:lineRule="auto"/>
        <w:rPr>
          <w:sz w:val="20"/>
          <w:szCs w:val="20"/>
          <w:color w:val="auto"/>
        </w:rPr>
      </w:pPr>
      <w:r>
        <w:rPr>
          <w:rFonts w:ascii="Arial" w:cs="Arial" w:eastAsia="Arial" w:hAnsi="Arial"/>
          <w:sz w:val="18"/>
          <w:szCs w:val="18"/>
          <w:color w:val="auto"/>
        </w:rPr>
        <w:t>We are also a "smaller reporting company," as such term is defined in Rule 12b-2 under the Exchange Act.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539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50430" cy="153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held by non-affiliates is less than $700 million measured as of the end of the second fiscal quarter. If we are a smaller reporting company at the time we cease to be an emerging growth company, we may continue to rely on exemptions from certain disclosure requirements that are available to smaller reporting companies.</w:t>
      </w:r>
    </w:p>
    <w:p>
      <w:pPr>
        <w:spacing w:after="0" w:line="194" w:lineRule="exact"/>
        <w:rPr>
          <w:sz w:val="20"/>
          <w:szCs w:val="20"/>
          <w:color w:val="auto"/>
        </w:rPr>
      </w:pPr>
    </w:p>
    <w:p>
      <w:pPr>
        <w:jc w:val="both"/>
        <w:ind w:left="240" w:right="60" w:firstLine="351"/>
        <w:spacing w:after="0" w:line="259" w:lineRule="auto"/>
        <w:rPr>
          <w:sz w:val="20"/>
          <w:szCs w:val="20"/>
          <w:color w:val="auto"/>
        </w:rPr>
      </w:pPr>
      <w:r>
        <w:rPr>
          <w:rFonts w:ascii="Arial" w:cs="Arial" w:eastAsia="Arial" w:hAnsi="Arial"/>
          <w:sz w:val="18"/>
          <w:szCs w:val="18"/>
          <w:color w:val="auto"/>
        </w:rPr>
        <w:t>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41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1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Common stock offered by us</w:t>
            </w: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4,465,000 shares of our common stock.</w:t>
            </w:r>
          </w:p>
        </w:tc>
      </w:tr>
      <w:tr>
        <w:trPr>
          <w:trHeight w:val="420"/>
        </w:trPr>
        <w:tc>
          <w:tcPr>
            <w:tcW w:w="41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w w:val="97"/>
              </w:rPr>
              <w:t>Common stock to be outstanding</w:t>
            </w: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38,658,666 shares of our common stock (or 39,328,416 shares if the</w:t>
            </w:r>
          </w:p>
        </w:tc>
      </w:tr>
      <w:tr>
        <w:trPr>
          <w:trHeight w:val="228"/>
        </w:trPr>
        <w:tc>
          <w:tcPr>
            <w:tcW w:w="4160" w:type="dxa"/>
            <w:vAlign w:val="bottom"/>
            <w:tcBorders>
              <w:left w:val="single" w:sz="8" w:color="auto"/>
            </w:tcBorders>
          </w:tcPr>
          <w:p>
            <w:pPr>
              <w:ind w:left="1520"/>
              <w:spacing w:after="0"/>
              <w:rPr>
                <w:sz w:val="20"/>
                <w:szCs w:val="20"/>
                <w:color w:val="auto"/>
              </w:rPr>
            </w:pPr>
            <w:r>
              <w:rPr>
                <w:rFonts w:ascii="Arial" w:cs="Arial" w:eastAsia="Arial" w:hAnsi="Arial"/>
                <w:sz w:val="18"/>
                <w:szCs w:val="18"/>
                <w:b w:val="1"/>
                <w:bCs w:val="1"/>
                <w:color w:val="auto"/>
              </w:rPr>
              <w:t>after this offering</w:t>
            </w: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underwriters exercise their option to purchase additional shares in full).</w:t>
            </w:r>
          </w:p>
        </w:tc>
      </w:tr>
      <w:tr>
        <w:trPr>
          <w:trHeight w:val="420"/>
        </w:trPr>
        <w:tc>
          <w:tcPr>
            <w:tcW w:w="41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Option to purchase additional</w:t>
            </w: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We have granted the underwriters an option for a period of 30 days after the</w:t>
            </w:r>
          </w:p>
        </w:tc>
      </w:tr>
      <w:tr>
        <w:trPr>
          <w:trHeight w:val="222"/>
        </w:trPr>
        <w:tc>
          <w:tcPr>
            <w:tcW w:w="4160" w:type="dxa"/>
            <w:vAlign w:val="bottom"/>
            <w:tcBorders>
              <w:left w:val="single" w:sz="8" w:color="auto"/>
            </w:tcBorders>
          </w:tcPr>
          <w:p>
            <w:pPr>
              <w:ind w:left="1520"/>
              <w:spacing w:after="0"/>
              <w:rPr>
                <w:sz w:val="20"/>
                <w:szCs w:val="20"/>
                <w:color w:val="auto"/>
              </w:rPr>
            </w:pPr>
            <w:r>
              <w:rPr>
                <w:rFonts w:ascii="Arial" w:cs="Arial" w:eastAsia="Arial" w:hAnsi="Arial"/>
                <w:sz w:val="18"/>
                <w:szCs w:val="18"/>
                <w:b w:val="1"/>
                <w:bCs w:val="1"/>
                <w:color w:val="auto"/>
              </w:rPr>
              <w:t>common stock offered by us</w:t>
            </w: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date of this prospectus supplement to purchase up to 669,750 additional shares</w:t>
            </w:r>
          </w:p>
        </w:tc>
      </w:tr>
      <w:tr>
        <w:trPr>
          <w:trHeight w:val="222"/>
        </w:trPr>
        <w:tc>
          <w:tcPr>
            <w:tcW w:w="416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of our common stock from us.</w:t>
            </w:r>
          </w:p>
        </w:tc>
      </w:tr>
      <w:tr>
        <w:trPr>
          <w:trHeight w:val="426"/>
        </w:trPr>
        <w:tc>
          <w:tcPr>
            <w:tcW w:w="41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Use of Proceeds</w:t>
            </w: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We estimate that the net proceeds from the sale of shares of common stock to</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the underwriters in this offering will be approximately $117.1 million</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(approximately $134.7 million if the underwriters' option to purchase</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additional shares is exercised in full), after deducting underwriters' discounts</w:t>
            </w:r>
          </w:p>
        </w:tc>
      </w:tr>
      <w:tr>
        <w:trPr>
          <w:trHeight w:val="222"/>
        </w:trPr>
        <w:tc>
          <w:tcPr>
            <w:tcW w:w="416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and commissions and estimated offering expenses payable by us.</w:t>
            </w:r>
          </w:p>
        </w:tc>
      </w:tr>
      <w:tr>
        <w:trPr>
          <w:trHeight w:val="426"/>
        </w:trPr>
        <w:tc>
          <w:tcPr>
            <w:tcW w:w="416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We currently anticipate that we will use the net proceeds from this offering,</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together with our existing cash and cash equivalents, to (i) fund our ongoing</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pivotal stage development through regulatory submission, and clinical</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development in additional pediatric and adult indications for naxitamab;</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(ii) fund our ongoing pivotal stage development through regulatory</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submission, and clinical development in additional pediatric indications and</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expansion into adult B7-H3 positive cancers for omburtamab; (iii) fund</w:t>
            </w:r>
          </w:p>
        </w:tc>
      </w:tr>
      <w:tr>
        <w:trPr>
          <w:trHeight w:val="217"/>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commercial infrastructure build-out preparing for launch of both naxitamab</w:t>
            </w:r>
          </w:p>
        </w:tc>
      </w:tr>
      <w:tr>
        <w:trPr>
          <w:trHeight w:val="255"/>
        </w:trPr>
        <w:tc>
          <w:tcPr>
            <w:tcW w:w="4160" w:type="dxa"/>
            <w:vAlign w:val="bottom"/>
            <w:tcBorders>
              <w:left w:val="single" w:sz="8" w:color="auto"/>
            </w:tcBorders>
          </w:tcPr>
          <w:p>
            <w:pPr>
              <w:spacing w:after="0"/>
              <w:rPr>
                <w:sz w:val="22"/>
                <w:szCs w:val="22"/>
                <w:color w:val="auto"/>
              </w:rPr>
            </w:pPr>
          </w:p>
        </w:tc>
        <w:tc>
          <w:tcPr>
            <w:tcW w:w="7260" w:type="dxa"/>
            <w:vAlign w:val="bottom"/>
            <w:tcBorders>
              <w:right w:val="single" w:sz="8" w:color="auto"/>
            </w:tcBorders>
          </w:tcPr>
          <w:p>
            <w:pPr>
              <w:ind w:left="340"/>
              <w:spacing w:after="0" w:line="255" w:lineRule="exact"/>
              <w:rPr>
                <w:sz w:val="20"/>
                <w:szCs w:val="20"/>
                <w:color w:val="auto"/>
              </w:rPr>
            </w:pPr>
            <w:r>
              <w:rPr>
                <w:rFonts w:ascii="Arial" w:cs="Arial" w:eastAsia="Arial" w:hAnsi="Arial"/>
                <w:sz w:val="18"/>
                <w:szCs w:val="18"/>
                <w:color w:val="auto"/>
              </w:rPr>
              <w:t>and omburtamab; (iv) fund our lutetium-labeled B7-H3 antibody,</w:t>
            </w:r>
            <w:r>
              <w:rPr>
                <w:rFonts w:ascii="Arial" w:cs="Arial" w:eastAsia="Arial" w:hAnsi="Arial"/>
                <w:sz w:val="29"/>
                <w:szCs w:val="29"/>
                <w:color w:val="auto"/>
                <w:vertAlign w:val="superscript"/>
              </w:rPr>
              <w:t>177</w:t>
            </w:r>
            <w:r>
              <w:rPr>
                <w:rFonts w:ascii="Arial" w:cs="Arial" w:eastAsia="Arial" w:hAnsi="Arial"/>
                <w:sz w:val="18"/>
                <w:szCs w:val="18"/>
                <w:color w:val="auto"/>
              </w:rPr>
              <w:t>Lu-</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omburtamab-DTPA, into clinical testing in a range of pediatric and adult</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indications, including medulloblastoma and other B7-H3 positive cancers;</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 fund clinical development of the bi-specific huGD2-BsAb, currently in</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Phase 1, through Phase 2 for pediatric and adult GD2 positive solid tumors and</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INDs from our portfolio of BsAb product candidates, including huCD33-BsAb</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for pediatric acute myeloid leukemia (AML); (vi) fund ongoing and expanding</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clinical development through regulatory submission of our GD2-GD3 Vaccine</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program; (vii) fund translational science, pre-clinical research and clinical</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development activities related to our other product candidates, programs and</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in-licensing of new technologies; and (viii) the remainder for working capital</w:t>
            </w:r>
          </w:p>
        </w:tc>
      </w:tr>
      <w:tr>
        <w:trPr>
          <w:trHeight w:val="222"/>
        </w:trPr>
        <w:tc>
          <w:tcPr>
            <w:tcW w:w="416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and other general corporate purposes.</w:t>
            </w:r>
          </w:p>
        </w:tc>
      </w:tr>
      <w:tr>
        <w:trPr>
          <w:trHeight w:val="432"/>
        </w:trPr>
        <w:tc>
          <w:tcPr>
            <w:tcW w:w="416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See "Use of Proceeds" for more information.</w:t>
            </w:r>
          </w:p>
        </w:tc>
      </w:tr>
      <w:tr>
        <w:trPr>
          <w:trHeight w:val="426"/>
        </w:trPr>
        <w:tc>
          <w:tcPr>
            <w:tcW w:w="41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Risk Factors</w:t>
            </w: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Investing in our common stock involves a high degree of risk. You should read</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the "Risk Factors" section of this prospectus supplement beginning on page S-</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10, as well as those risk factors that are incorporated by reference in this</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prospectus supplement and the accompanying prospectus, for a discussion of</w:t>
            </w:r>
          </w:p>
        </w:tc>
      </w:tr>
      <w:tr>
        <w:trPr>
          <w:trHeight w:val="216"/>
        </w:trPr>
        <w:tc>
          <w:tcPr>
            <w:tcW w:w="41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factors to consider carefully before deciding to purchase shares of our common</w:t>
            </w:r>
          </w:p>
        </w:tc>
      </w:tr>
      <w:tr>
        <w:trPr>
          <w:trHeight w:val="222"/>
        </w:trPr>
        <w:tc>
          <w:tcPr>
            <w:tcW w:w="416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stock.</w:t>
            </w:r>
          </w:p>
        </w:tc>
      </w:tr>
      <w:tr>
        <w:trPr>
          <w:trHeight w:val="444"/>
        </w:trPr>
        <w:tc>
          <w:tcPr>
            <w:tcW w:w="4160" w:type="dxa"/>
            <w:vAlign w:val="bottom"/>
            <w:tcBorders>
              <w:left w:val="single" w:sz="8" w:color="auto"/>
              <w:bottom w:val="single" w:sz="8" w:color="auto"/>
            </w:tcBorders>
          </w:tcPr>
          <w:p>
            <w:pPr>
              <w:spacing w:after="0"/>
              <w:rPr>
                <w:sz w:val="24"/>
                <w:szCs w:val="24"/>
                <w:color w:val="auto"/>
              </w:rPr>
            </w:pPr>
          </w:p>
        </w:tc>
        <w:tc>
          <w:tcPr>
            <w:tcW w:w="7260" w:type="dxa"/>
            <w:vAlign w:val="bottom"/>
            <w:tcBorders>
              <w:bottom w:val="single" w:sz="8" w:color="auto"/>
              <w:right w:val="single" w:sz="8" w:color="auto"/>
            </w:tcBorders>
          </w:tcPr>
          <w:p>
            <w:pPr>
              <w:spacing w:after="0"/>
              <w:rPr>
                <w:sz w:val="24"/>
                <w:szCs w:val="24"/>
                <w:color w:val="auto"/>
              </w:rPr>
            </w:pPr>
          </w:p>
        </w:tc>
      </w:tr>
      <w:tr>
        <w:trPr>
          <w:trHeight w:val="427"/>
        </w:trPr>
        <w:tc>
          <w:tcPr>
            <w:tcW w:w="4160" w:type="dxa"/>
            <w:vAlign w:val="bottom"/>
          </w:tcPr>
          <w:p>
            <w:pPr>
              <w:spacing w:after="0"/>
              <w:rPr>
                <w:sz w:val="24"/>
                <w:szCs w:val="24"/>
                <w:color w:val="auto"/>
              </w:rPr>
            </w:pPr>
          </w:p>
        </w:tc>
        <w:tc>
          <w:tcPr>
            <w:tcW w:w="7260" w:type="dxa"/>
            <w:vAlign w:val="bottom"/>
          </w:tcPr>
          <w:p>
            <w:pPr>
              <w:ind w:left="1440"/>
              <w:spacing w:after="0"/>
              <w:rPr>
                <w:sz w:val="20"/>
                <w:szCs w:val="20"/>
                <w:color w:val="auto"/>
              </w:rPr>
            </w:pPr>
            <w:r>
              <w:rPr>
                <w:rFonts w:ascii="Arial" w:cs="Arial" w:eastAsia="Arial" w:hAnsi="Arial"/>
                <w:sz w:val="18"/>
                <w:szCs w:val="18"/>
                <w:color w:val="auto"/>
              </w:rPr>
              <w:t>S-8</w:t>
            </w:r>
          </w:p>
        </w:tc>
      </w:tr>
      <w:tr>
        <w:trPr>
          <w:trHeight w:val="228"/>
        </w:trPr>
        <w:tc>
          <w:tcPr>
            <w:tcW w:w="4160" w:type="dxa"/>
            <w:vAlign w:val="bottom"/>
            <w:tcBorders>
              <w:bottom w:val="single" w:sz="8" w:color="808080"/>
            </w:tcBorders>
          </w:tcPr>
          <w:p>
            <w:pPr>
              <w:spacing w:after="0"/>
              <w:rPr>
                <w:sz w:val="19"/>
                <w:szCs w:val="19"/>
                <w:color w:val="auto"/>
              </w:rPr>
            </w:pPr>
          </w:p>
        </w:tc>
        <w:tc>
          <w:tcPr>
            <w:tcW w:w="7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811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50430" cy="381190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340"/>
        <w:spacing w:after="0"/>
        <w:tabs>
          <w:tab w:leader="none" w:pos="4480" w:val="left"/>
        </w:tabs>
        <w:rPr>
          <w:sz w:val="20"/>
          <w:szCs w:val="20"/>
          <w:color w:val="auto"/>
        </w:rPr>
      </w:pPr>
      <w:r>
        <w:rPr>
          <w:rFonts w:ascii="Arial" w:cs="Arial" w:eastAsia="Arial" w:hAnsi="Arial"/>
          <w:sz w:val="18"/>
          <w:szCs w:val="18"/>
          <w:b w:val="1"/>
          <w:bCs w:val="1"/>
          <w:color w:val="auto"/>
        </w:rPr>
        <w:t>Nasdaq Global Select Market symbol</w:t>
      </w:r>
      <w:r>
        <w:rPr>
          <w:sz w:val="20"/>
          <w:szCs w:val="20"/>
          <w:color w:val="auto"/>
        </w:rPr>
        <w:tab/>
      </w:r>
      <w:r>
        <w:rPr>
          <w:rFonts w:ascii="Arial" w:cs="Arial" w:eastAsia="Arial" w:hAnsi="Arial"/>
          <w:sz w:val="18"/>
          <w:szCs w:val="18"/>
          <w:color w:val="auto"/>
        </w:rPr>
        <w:t>"YMAB"</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number of shares outstanding immediately after this offering is based on 34,193,666 shares of our common stock issued and outstanding as of</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June 30, 2019, and excludes the following:</w:t>
      </w:r>
    </w:p>
    <w:p>
      <w:pPr>
        <w:spacing w:after="0" w:line="246" w:lineRule="exact"/>
        <w:rPr>
          <w:sz w:val="20"/>
          <w:szCs w:val="20"/>
          <w:color w:val="auto"/>
        </w:rPr>
      </w:pPr>
    </w:p>
    <w:p>
      <w:pPr>
        <w:ind w:left="1320" w:right="10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3,713,873 shares of our common stock issuable upon the exercise of stock options outstanding as of June 30, 2019 under our 2015 Equity Incentive Plan, or the 2015 Plan, and our 2018 Equity Incentive Plan, or the 2018 Plan, in the aggregate, at a weighted average exercise price of $9.06 per share;</w:t>
      </w:r>
    </w:p>
    <w:p>
      <w:pPr>
        <w:spacing w:after="0" w:line="207" w:lineRule="exact"/>
        <w:rPr>
          <w:rFonts w:ascii="Arial" w:cs="Arial" w:eastAsia="Arial" w:hAnsi="Arial"/>
          <w:sz w:val="18"/>
          <w:szCs w:val="18"/>
          <w:color w:val="auto"/>
        </w:rPr>
      </w:pPr>
    </w:p>
    <w:p>
      <w:pPr>
        <w:ind w:left="1320" w:right="18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10,296 shares of our common stock issuable upon the settlement of unvested restricted stock units outstanding as of June 30, 2019 under our 2018 Plan;</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3,143,577 shares of our common stock available for future issuance under our 2018 Plan (no shares remain available for issuance under the 2015 Plan);</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700,000 shares of our common stock reserved for issuance under our 2018 Employee Stock Purchase Plan;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400,000 shares of our common stock issued on August 20, 2019 pursuant to an existing stock grant agreement.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this prospectus supplement reflects and assumes the following:</w:t>
      </w:r>
    </w:p>
    <w:p>
      <w:pPr>
        <w:spacing w:after="0" w:line="239"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outstanding stock options described above;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51"/>
        <w:spacing w:after="0" w:line="288"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Your investment in our common stock involves a high degree of risk. Before deciding whether to invest in our common stock, you should carefully consider the risks discussed under the section captioned "Risk Factors" contained in our </w:t>
      </w:r>
      <w:hyperlink r:id="rId15">
        <w:r>
          <w:rPr>
            <w:rFonts w:ascii="Arial" w:cs="Arial" w:eastAsia="Arial" w:hAnsi="Arial"/>
            <w:sz w:val="16"/>
            <w:szCs w:val="16"/>
            <w:i w:val="1"/>
            <w:iCs w:val="1"/>
            <w:u w:val="single" w:color="auto"/>
            <w:color w:val="0000EE"/>
          </w:rPr>
          <w:t>Annual Report on Form 10-K for the year ended December 31, 2018</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 xml:space="preserve">and our </w:t>
      </w:r>
      <w:hyperlink r:id="rId16">
        <w:r>
          <w:rPr>
            <w:rFonts w:ascii="Arial" w:cs="Arial" w:eastAsia="Arial" w:hAnsi="Arial"/>
            <w:sz w:val="16"/>
            <w:szCs w:val="16"/>
            <w:i w:val="1"/>
            <w:iCs w:val="1"/>
            <w:u w:val="single" w:color="auto"/>
            <w:color w:val="0000EE"/>
          </w:rPr>
          <w:t>Quarterly Reports on Form 10-Q for quarters ended March 31, 2019 and June 30, 2019</w:t>
        </w:r>
      </w:hyperlink>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which were filed with the SEC and are incorporated by reference in this</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prospectus supplement and the accompanying prospectus in their entirety and which may be amended, supplemented or superseded by other reports we subsequently file with the SEC,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entitled "Cautionary Statement Regarding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3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b w:val="1"/>
          <w:bCs w:val="1"/>
          <w:i w:val="1"/>
          <w:iCs w:val="1"/>
          <w:color w:val="auto"/>
        </w:rPr>
        <w:t>The FDA may refuse to accept an accelerated approval pathway for naxitamab and omburtamab and may refuse rolling review of our BLAs which could have a material adverse impact on our development and approval process for these product candidates and our other product candidates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previously submitted a BLA to the FDA or comparable foreign authorities for any of our product candidates.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July 2019, we announced that in a pre-BLA meeting we reached alignment with the FDA on an accelerated approval pathway for naxitamab and our intention to begin submission of a rolling BLA in November 2019. The FDA agreed that we could submit, and the FDA would review, individual portions of our naxitamab BLA submission on a rolling basis, rather than waiting for all portions of the BLA to be completed before submission. We believe that this rolling BLA submission process will provide us with the opportunity for ongoing communications with and feedback from the FDA. During this rolling submission process, however, the FDA may raise issues and pose questions to us that may delay the completion of the BLA submission and thereby potentially also delay the approval process and delay the acceptance of the complete BLA for filing and the ultimate issuance of any Marketing Authorization. We may not be able to provide a satisfactory or a timely response to FDA questions or we may not be able to timely gather the required data to prepare the BLA submissions as we planned. If we are unable to address all questions or concerns the FDA may raise or if we do not have timely access to the data required for the preparations of the BLA, we may not be able to timely file the BLA and ultimately receive a Marketing Authorization for naxitamab. In addition, irrespective of the alignment we reached with the FDA in our pre-BLA meeting, the FDA retains discretion to decide not to review the portions of our BLA for naxitamab we have already submitted until the submission is deemed to be complete and no assurance can be given that we would be able to satisfactorily or timely answer or resolve all the questions and issues the FDA may pose.</w:t>
      </w:r>
    </w:p>
    <w:p>
      <w:pPr>
        <w:spacing w:after="0" w:line="17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not yet had a pre-BLA meeting with the FDA for omburtamab. That meeting is currently scheduled to take place in November 2019, but the FDA may decide to postpone the pre-BLA meeting or downgrade the meeting to a standard type B meeting when reviewing the pre-BLA meeting package if the FDA does not find the content sufficient to move on towards a BLA submission. While we plan to submit the first portion of a rolling BLA submission for omburtamab in December 2019, we have not yet reached alignment with the FDA on an accelerated approval pathway for omburtamab or a rolling BLA process. The FDA may not support an accelerated approval pathway or accept a rolling BLA submission for omburtamab. If we do not reach alignment with the FDA at our scheduled pre-BLA meeting or if the meeting is postponed or downgraded to a standard type B meeting, or if we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do not succeed in compiling the substantial information required for the initial submission of a rolling BLA in a timely manner, we may not be able to meet our goal of completing the initial submission of a rolling BLA for omburtamab by December 2019, which would delay the BLA submissions and the ultimate receipt of Marketing Authorization.</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Should the FDA refuse to accept an accelerated approval pathway for naxitamab or omburtamab or refuse rolling review of our BLAs for either product candidate, this may result in a delay in obtaining required Marketing Authorizations, which could materially adversely affect our ability to generate revenue from commercialization of the particular product candidate, which would likely result in significant harm to our financial position and adversely impact our stock price. This could also adversely affect the development and approval process for our other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b w:val="1"/>
          <w:bCs w:val="1"/>
          <w:i w:val="1"/>
          <w:iCs w:val="1"/>
          <w:color w:val="auto"/>
        </w:rPr>
        <w:t>We have a sublicense agreement with MabVax Therapeutics Holding, Inc., or MabVax, covering our GD2-GD3 Vaccine. MabVax has filed a voluntary petition in bankruptcy. Bankruptcy proceedings are inherently unpredictable. If the MabVax sublicense or our rights thereunder covering our GD2-GD3 Vaccine are adversely affected by the MabVax bankruptcy proceedings, we may not be able to continue developing our GD2-GD3 Vaccine program.</w:t>
      </w:r>
    </w:p>
    <w:p>
      <w:pPr>
        <w:spacing w:after="0" w:line="14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entered into a sublicense agreement, or the MabVax Sublicense, with MabVax pursuant to which MabVax granted us a sublicense to all of the exclusive license rights granted to MabVax under its license agreement with MSK relating to our GD2-GD3 Vaccine. On March 21, 2019, MabVax filed a voluntary petition for relief under Chapter 11 of Title 11 of the United States Bankruptcy Code, or the Bankruptcy Code. MabVax has communicated that it continues to manage and operate its business as a debtor in possession pursuant to the Bankruptcy Code. Bankruptcy proceedings are inherently unpredictable and we cannot be certain that our MabVax Sublicense and our rights thereunder relating to our GD2-GD3 Vaccine will not be adversely affected by the MabVax bankruptcy proceedings. For example, MSK has objected to the continuation of its license to MabVax, which may, in turn, impact our rights under the MabVax Sublicense. Alternately, MabVax may seek to reject its sublicense agreement with us, subject to any protections available under the Bankruptcy Code for rights in licensed intellectual property; and we may not be able to immediately enforce our rights with respect to any breaches by MabVax of its sublicense agreement with us due to the automatic stay in MabVax's bankruptcy. If the MabVax Sublicense or any of the rights granted to us thereunder are adversely affected by the MabVax bankruptcy proceedings, we may not be able to continue developing our GD2-GD3 Vaccine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shares of common stock in this offering, you will suffer immediate and substantial dilution in the book value of your investment.</w:t>
      </w:r>
    </w:p>
    <w:p>
      <w:pPr>
        <w:spacing w:after="0" w:line="248"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price per share of our common stock in this offering is substantially higher than the net tangible book value per share of our common stock outstanding prior to this offering. Therefore, if you purchase shares of our common stock in this offering, you will incur immediate and substantial dilution in the net tangible book value per share of common stock from the public offering price per share of $22.17. To the extent shares are issued under outstanding options at exercise prices lower than the price of our common stock in this offering, you will incur further dilution. See the section entitled "Dilution" for a more detailed illustration of the dilution you would incur if you participate in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short-term investments, including the net proceeds we receive in this offering, and may not use them effectively.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management has broad discretion to use our cash, cash equivalents and short-term investments, including the net proceeds we receive in this offering,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drug candidates. Pending their use to fund our operations, we may invest our cash, cash equivalents and short-term investments, including the net proceeds from this offering, in a manner that does not produce income or that loses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for our common stock, in future transactions may be higher or lower than the price per share paid by investors in this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be volatile in the future and fluctuate substantially.</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stock price has been and is likely to be volatile and may fluctuate substantially. 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w:t>
      </w:r>
    </w:p>
    <w:p>
      <w:pPr>
        <w:spacing w:after="0" w:line="208"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revenues and expenses related to any of our product candidates or development programs;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Sales of a significant number of shares of our common stock in the public markets, or the perception that such sales could occur, could cause the market price of our common stock to drop significantly, even if our business is doing well.</w:t>
      </w:r>
    </w:p>
    <w:p>
      <w:pPr>
        <w:spacing w:after="0" w:line="186"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38,658,666 shares of common stock based on (i) 34,193,666 shares outstanding as of June 30, 2019 and (ii) 4,465,000 shares of our common stock that we are selling in this offering, but not including any additional share issuable upon exercise of outstanding options or any exercise by the underwriters of their option to purchase additional shares from us. The shares that we are selling in this offering may be resold in the public market immediately without restriction, unless purchased by our affiliates.</w:t>
      </w:r>
    </w:p>
    <w:p>
      <w:pPr>
        <w:spacing w:after="0" w:line="19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our executive officers and directors and certain of our shareholders have agreed that, subject to certain exceptions, during the period ending 90 days after the date of this prospectus supplement, in the case of us and our executive officers and directors, and 60 days after the date of this prospectus supplement, in the case of certain other of our shareholders, we and they will not offer, sell, contract to sell, pledge or otherwise dispose of, directly or indirectly, any of our common stock or securities convertible into or exchangeable or exercisable for any of our common stock, enter into a transaction that would have the same effect, or enter into any swap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the representatives of the underwriters, who may release any of the securities subject to these lock-up agreements at any time without notice. Exceptions to the lock-up restrictions are described in more detail in this prospectus supplement under the caption "Underwriters."</w:t>
      </w:r>
    </w:p>
    <w:p>
      <w:pPr>
        <w:spacing w:after="0" w:line="17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These shares are eligible for sale in the public market under Rule 144 of the Securities Act, subject in certain cases to the volume limitations and other conditions of Rule 144 applicable to affiliates, after the earlier of the expiration of, or release from, the lock-up period. The holders of these shares may at any time decide to sell their shares in the public market.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Moreover, holders of an aggregate of approximately 2,950,000 shares of our common stock as of September 30, 2019, have rights, subject to some conditions, to require us to file registration statements covering their shares or to include their shares in registration statements that we may file for ourselves or other stockholders. We have also registered all shares of common stock that we may issue under our equity compensation plans. As a result, these shares can be freely sold in the public market upon issuance, subject to volume limitations applicable to affiliates and the lock-up agreements described above, to the extent applicable.</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680" w:firstLine="348"/>
        <w:spacing w:after="0" w:line="259" w:lineRule="auto"/>
        <w:rPr>
          <w:sz w:val="20"/>
          <w:szCs w:val="20"/>
          <w:color w:val="auto"/>
        </w:rPr>
      </w:pPr>
      <w:r>
        <w:rPr>
          <w:rFonts w:ascii="Arial" w:cs="Arial" w:eastAsia="Arial" w:hAnsi="Arial"/>
          <w:sz w:val="18"/>
          <w:szCs w:val="18"/>
          <w:color w:val="auto"/>
        </w:rPr>
        <w:t>We estimate that the net proceeds from the sale of shares of common stock to the underwriters in this offering will be approximately $117.1 million (approximately $134.7 million if the underwriters' option to purchase additional shares is exercised in full), after deducting underwriters' discounts and commissions and estimated offering expenses payable by us.</w:t>
      </w:r>
    </w:p>
    <w:p>
      <w:pPr>
        <w:spacing w:after="0" w:line="194" w:lineRule="exact"/>
        <w:rPr>
          <w:sz w:val="20"/>
          <w:szCs w:val="20"/>
          <w:color w:val="auto"/>
        </w:rPr>
      </w:pPr>
    </w:p>
    <w:p>
      <w:pPr>
        <w:ind w:right="100" w:firstLine="348"/>
        <w:spacing w:after="0" w:line="283" w:lineRule="auto"/>
        <w:rPr>
          <w:sz w:val="20"/>
          <w:szCs w:val="20"/>
          <w:color w:val="auto"/>
        </w:rPr>
      </w:pPr>
      <w:r>
        <w:rPr>
          <w:rFonts w:ascii="Arial" w:cs="Arial" w:eastAsia="Arial" w:hAnsi="Arial"/>
          <w:sz w:val="16"/>
          <w:szCs w:val="16"/>
          <w:color w:val="auto"/>
        </w:rPr>
        <w:t>We currently anticipate that we will use the net proceeds from this offering, together with our existing cash and cash equivalents, to (i) fund our ongoing pivotal stage development through regulatory submission, and clinical development in additional pediatric and adult indications for naxitamab; (ii) fund our ongoing pivotal stage development through regulatory submission, and clinical development in additional pediatric indications and expansion into adult B7-H3 positive cancers for omburtamab; (iii) fund commercial infrastructure build-out preparing for launch of both naxitamab and omburtamab; (iv) fund our lutetium-</w:t>
      </w:r>
    </w:p>
    <w:p>
      <w:pPr>
        <w:spacing w:after="0" w:line="3"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labeled B7-H3 antibody,</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into clinical testing in a range of pediatric and adult indications, including medulloblastoma and other B7-H3 positive cancers; (v) fund clinical development of the bi-specific huGD2-BsAb, currently in Phase 1, through Phase 2 for pediatric and adult GD2 positive solid tumors and INDs from our portfolio of BsAb product candidates, including huCD33-BsAb for pediatric acute myeloid leukemia (AML); (vi) fund ongoing and expanding clinical development through regulatory submission of our GD2-GD3 Vaccine program; (vii) fund translational science, pre-clinical research and clinical development activities related to our other product candidates, programs and in-licensing of new technologies; and (viii) the remainder for working capital and other general corporate purposes.</w:t>
      </w:r>
    </w:p>
    <w:p>
      <w:pPr>
        <w:spacing w:after="0" w:line="213"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and commercialization efforts, the status of and results from clinical trials, any collaboration that we may enter into with third parties for our product candidates and any unforeseen cash needs. Moreover, our estimates of the costs to fund our clinical trials are based on the current designs of the trials. If we were to modify the design of any of these clinical trials, for instance, to increase the number of patients in the clinical trials, our costs to fund the clinical trials could increase.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our management will retain broad discretion over the allocation of the net proceeds from this offering.</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Based on our current plans, we believe that our existing cash and cash equivalents, together with the net proceeds from this offering, will be sufficient to enable us to fund our operating expenses and capital expenditure requirements through the fourth quarter of 2022. We have based this estimate on current assumptions that may change depending on numerous factors, and we could use our available capital resources sooner than we currently expect. We expect that the net proceeds from this offering and our existing cash and cash equivalents will be sufficient to enable us to complete each of our ongoing pivotal stage clinical trials for our lead product candidates, naxitamab and omburtamab. However, we do not expect that the net proceeds from this offering and our existing cash and cash equivalents will be sufficient to enable us to conduct through completion any additional clinical trials of our lead product candidates for other indications or to otherwise conduct and complete the development of our other product candidates. Accordingly, we will need to raise substantial additional funds for these purposes. We do not currently have any committed external sources of funds.</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If you invest in this offering, your ownership interest will be diluted immediately to the extent of the difference between the public offering price per share and the as-adjusted net tangible book value per share of our common stock after giving effect to this offering. We calculate net tangible book value per share by dividing the net tangible book value, which is tangible assets less total liabilities, by the number of outstanding shares of our common stock. Dilution represents the difference between the portion of the amount per share paid by purchasers of shares in this offering and the as adjusted net tangible book value per share of our common stock immediately after giving effect to this offering.</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historical net tangible book value as of June 30, 2019 was approximately $108.4 million, or $3.17 per share. After giving effect to the sale of 4,465,000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pursuant to this prospectus supplement and accompanying prospectus at an offering price of $28.00 per share and after deducting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commissions and estimated aggregate offering expenses payable by us, our net tangible book value as of June 30, 2019 would have been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$225.5 million, or $5.83 per share of common stock. This represents an immediate increase in the net tangible book value of $2.66 per share to our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an immediate dilution in net tangible book value of $22.17 per share to new investors. The following table illustrates this per share dilution:</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28.00</w:t>
            </w:r>
          </w:p>
        </w:tc>
      </w:tr>
      <w:tr>
        <w:trPr>
          <w:trHeight w:val="216"/>
        </w:trPr>
        <w:tc>
          <w:tcPr>
            <w:tcW w:w="652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June 30, 2019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01"/>
        </w:trPr>
        <w:tc>
          <w:tcPr>
            <w:tcW w:w="6520" w:type="dxa"/>
            <w:vAlign w:val="bottom"/>
          </w:tcPr>
          <w:p>
            <w:pPr>
              <w:spacing w:after="0" w:line="201" w:lineRule="exact"/>
              <w:rPr>
                <w:sz w:val="20"/>
                <w:szCs w:val="20"/>
                <w:color w:val="auto"/>
              </w:rPr>
            </w:pPr>
            <w:r>
              <w:rPr>
                <w:rFonts w:ascii="Arial" w:cs="Arial" w:eastAsia="Arial" w:hAnsi="Arial"/>
                <w:sz w:val="18"/>
                <w:szCs w:val="18"/>
                <w:color w:val="auto"/>
                <w:w w:val="94"/>
              </w:rPr>
              <w:t>As adjusted net tangible book value per share as of June 30, 2019 after giving effect to</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23"/>
        </w:trPr>
        <w:tc>
          <w:tcPr>
            <w:tcW w:w="6520" w:type="dxa"/>
            <w:vAlign w:val="bottom"/>
          </w:tcPr>
          <w:p>
            <w:pPr>
              <w:ind w:left="180"/>
              <w:spacing w:after="0"/>
              <w:rPr>
                <w:sz w:val="20"/>
                <w:szCs w:val="20"/>
                <w:color w:val="auto"/>
              </w:rPr>
            </w:pPr>
            <w:r>
              <w:rPr>
                <w:rFonts w:ascii="Arial" w:cs="Arial" w:eastAsia="Arial" w:hAnsi="Arial"/>
                <w:sz w:val="18"/>
                <w:szCs w:val="18"/>
                <w:color w:val="auto"/>
              </w:rPr>
              <w:t>this offering</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r>
      <w:tr>
        <w:trPr>
          <w:trHeight w:val="211"/>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22.17</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If the underwriters exercise in full their option to purchase 669,750 additional shares of our common stock, our adjusted net tangible book value as of June 30, 2019 would have been $243.1 million, or $6.18 per share of common stock. This represents an immediate increase in net tangible book value per share of $3.01 per share to existing shareholders, and an immediate dilution of $21.82 per share to investors participating in this offering.</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above discussion and table are based on 34,193,666 shares of our common stock issued and outstanding as of June 30, 2019, and excludes the following:</w:t>
      </w:r>
    </w:p>
    <w:p>
      <w:pPr>
        <w:spacing w:after="0" w:line="273" w:lineRule="exact"/>
        <w:rPr>
          <w:sz w:val="20"/>
          <w:szCs w:val="20"/>
          <w:color w:val="auto"/>
        </w:rPr>
      </w:pPr>
    </w:p>
    <w:p>
      <w:pPr>
        <w:ind w:left="1080" w:right="2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3,713,873 shares of our common stock issuable upon the exercise of stock options outstanding as of June 30, 2019 under our 2015 Plan, and our 2018 Plan in the aggregate, at a weighted average exercise price of $9.06 per share;</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10,296 shares of our common stock issuable upon the settlement of unvested restricted stock units outstanding as of June 30, 2019 under our 2018 Plan;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3,143,577 shares of our common stock available for future issuance under our 2018 Plan (no shares remain available for future issuance under the 2015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700,000 shares of our common stock reserved for issuance under our 2018 Employee Stock Purchase Plan;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400,000 shares of our common stock issued on August 20, 2019 pursuant to an existing stock grant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To the extent that any options are exercised, new equity awards are granted under our equity incentive plans, or we otherwise issue additional shares of common stock in the future, there will be further dilution to new investors.</w:t>
      </w:r>
    </w:p>
    <w:p>
      <w:pPr>
        <w:spacing w:after="0" w:line="186"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have not declared or paid any cash dividends on our capital stock since our inception. We currently intend to retain future earnings, if any, to finance the operation and expansion of our business and do not anticipate paying any cash dividends on our common stock in the foreseeable future. Any future determination related to our dividend policy will be made at the discretion of our board of directors and will depend on our financial condition, results of operations, capital requirements, restrictions contained in current or future financing instruments, provisions of applicable law and other factors the board deems relevant.</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non-U.S. holders (as defined below) with respect to their ownership and disposition of shares of our common stock issued pursuant to this offering. For purposes of this discussion, a "non-U.S. holder" means a beneficial owner (other than a partnership or other pass-through entity or arrangement) of our common stock that is not for U.S. federal income tax purposes</w:t>
      </w:r>
    </w:p>
    <w:p>
      <w:pPr>
        <w:spacing w:after="0" w:line="17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3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This discussion does not address the tax treatment of partnerships or other entities or arrangements that are pass-through entities for U.S. federal income tax purposes or persons that hold their common stock through partnerships or other pass-through entities.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(generally property held for investment).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a particular non-U.S. holder in light of that non-U.S. holder's individual circumstances nor does it address any aspects of U.S. state, local or non-U.S. taxes, the alternative minimum tax, the Medicare tax on net investment income, the gift and estate tax (except to the extent discussed below in "U.S. Federal Estate Tax") or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210"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brokers or dealers or traders in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or other pass-through or disregarded entities for U.S. federal income tax purposes (and partners and investors therein);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for whom our stock constitutes "qualified small business stock" within the meaning of Section 1202 of the Code;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THIS DISCUSSION IS FOR INFORMATION PURPOSES ONLY AND IS NOT INTENDED AS LEGAL OR TAX ADVICE. INVESTORS SHOULD CONSULT THEIR OWN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231"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holder's common stock and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correspondingly reduce (but not below zero) the non-U.S. holder's basis in such stock. Any remaining excess of distribution once the non-U.S. holder's adjusted tax basis is reduced to zero will be treated as capital gain, subject to the tax treatment described below in "Gain on sale or other taxable disposition of our common stock." Any such distributions will also be subject to the discussion below under the section titled "Withholding and information reporting requirements —FATCA."</w:t>
      </w:r>
    </w:p>
    <w:p>
      <w:pPr>
        <w:spacing w:after="0" w:line="197"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 to the extent such non-U.S. holder qualifies for the benefits of any such income tax treaty.</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classified as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2"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other applicable form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 We are not responsible for any such non-U.S. holder's failure to provide a properly executed applicable IRS Form W-8 (or other applicable or successor form).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Subject to the discussion below under "Withholding and information reporting requirements—FATCA," a non-U.S. holder generally will not be subject to any U.S. federal income tax on any gain realized upon such holder's sale or other taxable disposition of shares of our common stock unless:</w:t>
      </w:r>
    </w:p>
    <w:p>
      <w:pPr>
        <w:spacing w:after="0" w:line="153" w:lineRule="exact"/>
        <w:rPr>
          <w:sz w:val="20"/>
          <w:szCs w:val="20"/>
          <w:color w:val="auto"/>
        </w:rPr>
      </w:pPr>
    </w:p>
    <w:p>
      <w:pPr>
        <w:ind w:left="1080" w:right="80" w:hanging="532"/>
        <w:spacing w:after="0" w:line="29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gain is U.S. effectively connected income and, if an applicable income tax treaty so provides, is attributable to a permanent establishment or a fixed-base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193" w:lineRule="exact"/>
        <w:rPr>
          <w:rFonts w:ascii="Arial" w:cs="Arial" w:eastAsia="Arial" w:hAnsi="Arial"/>
          <w:sz w:val="16"/>
          <w:szCs w:val="16"/>
          <w:color w:val="auto"/>
        </w:rPr>
      </w:pPr>
    </w:p>
    <w:p>
      <w:pPr>
        <w:ind w:left="1080" w:right="40" w:hanging="532"/>
        <w:spacing w:after="0" w:line="294"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8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sale of other taxable disposition (or the non-U.S. holder's holding period, if shorter) a "U.S. real property holding corporation," or USRPHC, unless our common stock is regularly traded on an established securities market, within the meaning of the relevant provisions of the Code, and the non-U.S. holder holds no more than 5% of our outstanding common stock, directly or indirectly, actually or constructively, during the shorter of the 5-year period ending on the date of the disposition or the period that the non-U.S. holder held our common stock. If we are determined to be a USRPHC and the foregoing exception does not apply, then the non-U.S. holder generally will be taxed on its net gain derived from the disposition at the graduated U.S. federal income tax rates applicable to United States persons (as defined in the Code), except that the branch profits tax generally will not apply. If we are a USRPHC and our common stock is not regularly traded on an established securities market, a non-U.S. holder's proceeds received on the disposition of shares will also generally be subject to withholding at a rate of 15%. Generally, a corporation is a USRPHC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USRPHC, or that we are likely to become one in the future. No assurance can be provided that our common stock will be regularly traded on an established securities market for purposes of the rules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Shares of our common stock that are owned or treated as owned at the time of death by an individual who is not a citizen or resident of the United States, as specifically defined for U.S. federal estate tax purposes, are considered U.S. situs assets and will be included in the individual's gross estate for U.S. federal estate tax purposes. Such shares, therefore, may be subject to U.S. federal estate tax, unless an applicable estate tax or other treaty between the United States and such individual's country of residence provides otherwise.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 Notwithstanding the foregoing, backup withholding may apply if we have actual knowledge, or reason to know, that the non-U.S. holder is a U.S. person (as defined in the Code) that is not an exempt recipient.</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Foreign Account Tax Compliance Act, or FATCA, generally imposes a U.S. federal withholding tax at a rate of 30% on payments of dividends on, or gross proceeds from the sale or other disposition of, our common stock paid to a foreign entity unless (i) if the foreign entity is a "foreign financial institution," (as defined in the Code)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75" w:lineRule="exact"/>
        <w:rPr>
          <w:sz w:val="20"/>
          <w:szCs w:val="20"/>
          <w:color w:val="auto"/>
        </w:rPr>
      </w:pPr>
    </w:p>
    <w:p>
      <w:pPr>
        <w:jc w:val="both"/>
        <w:ind w:right="500" w:firstLine="351"/>
        <w:spacing w:after="0" w:line="310" w:lineRule="auto"/>
        <w:rPr>
          <w:sz w:val="20"/>
          <w:szCs w:val="20"/>
          <w:color w:val="auto"/>
        </w:rPr>
      </w:pPr>
      <w:r>
        <w:rPr>
          <w:rFonts w:ascii="Arial" w:cs="Arial" w:eastAsia="Arial" w:hAnsi="Arial"/>
          <w:sz w:val="16"/>
          <w:szCs w:val="16"/>
          <w:b w:val="1"/>
          <w:bCs w:val="1"/>
          <w:color w:val="auto"/>
        </w:rPr>
        <w:t>The preceding discussion of material U.S. federal tax considerations is for general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supplement, the underwriters named below, for whom Morgan Stanley &amp; Co. LLC, J.P. Morgan Securities LLC and BofA Securities, Inc., are acting as representatives (the "representatives"), have severally agreed to purchase, and we have agreed to sell to them, severally, the number of shares indicated below:</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6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20" w:type="dxa"/>
            <w:vAlign w:val="bottom"/>
          </w:tcPr>
          <w:p>
            <w:pPr>
              <w:jc w:val="right"/>
              <w:spacing w:after="0"/>
              <w:rPr>
                <w:sz w:val="20"/>
                <w:szCs w:val="20"/>
                <w:color w:val="auto"/>
              </w:rPr>
            </w:pPr>
            <w:r>
              <w:rPr>
                <w:rFonts w:ascii="Arial" w:cs="Arial" w:eastAsia="Arial" w:hAnsi="Arial"/>
                <w:sz w:val="18"/>
                <w:szCs w:val="18"/>
                <w:color w:val="auto"/>
              </w:rPr>
              <w:t>1,428,800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020" w:type="dxa"/>
            <w:vAlign w:val="bottom"/>
          </w:tcPr>
          <w:p>
            <w:pPr>
              <w:jc w:val="right"/>
              <w:spacing w:after="0"/>
              <w:rPr>
                <w:sz w:val="20"/>
                <w:szCs w:val="20"/>
                <w:color w:val="auto"/>
              </w:rPr>
            </w:pPr>
            <w:r>
              <w:rPr>
                <w:rFonts w:ascii="Arial" w:cs="Arial" w:eastAsia="Arial" w:hAnsi="Arial"/>
                <w:sz w:val="18"/>
                <w:szCs w:val="18"/>
                <w:color w:val="auto"/>
              </w:rPr>
              <w:t>178,600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H.C. Wainwright &amp; Co., LLC</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covered by the underwriters' option to purchase additional shares described below.</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supplement and part to certain dealers at a price that represents a concession not in excess of $1.008 per share under the public offering price. After the initial offering of the shares of common stock, the offering price and other selling terms may from time to time be varied by the representatives.</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669,750 additional shares of common stock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0"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669,750 additional shares of common stock from 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382"/>
              <w:spacing w:after="0" w:line="129" w:lineRule="exact"/>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w w:val="88"/>
              </w:rPr>
              <w:t>Full</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22"/>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125,020,000</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143,773,000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1"/>
              </w:rPr>
              <w:t>Underwriting discounts and commissions to be paid by us: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7,501,200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8,626,380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117,518,800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135,146,620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40" w:type="dxa"/>
            <w:vAlign w:val="bottom"/>
            <w:gridSpan w:val="2"/>
          </w:tcPr>
          <w:p>
            <w:pPr>
              <w:jc w:val="right"/>
              <w:ind w:right="1072"/>
              <w:spacing w:after="0"/>
              <w:rPr>
                <w:sz w:val="20"/>
                <w:szCs w:val="20"/>
                <w:color w:val="auto"/>
              </w:rPr>
            </w:pPr>
            <w:r>
              <w:rPr>
                <w:rFonts w:ascii="Arial" w:cs="Arial" w:eastAsia="Arial" w:hAnsi="Arial"/>
                <w:sz w:val="18"/>
                <w:szCs w:val="18"/>
                <w:color w:val="auto"/>
              </w:rPr>
              <w:t>S-22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$450,000. We have agreed to reimburse the underwriters for expenses relating to clearance of this offering with the Financial Industry Regulatory Authority up to $35,000.</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trading symbol "YMAB."</w:t>
      </w:r>
    </w:p>
    <w:p>
      <w:pPr>
        <w:spacing w:after="0" w:line="225"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We and all directors, executive officers and certain stockholders have agreed that, without the prior written consent of Morgan Stanley &amp; Co. LLC, J.P. Morgan Securities LLC and BofA Securities, Inc. on behalf of the underwriters, we and they will not, and will not publicly disclose an intention to, during the period ending 90 days after the date of this prospectus supplement, in the case of us and our executive officers and directors, and 60 days after the date of this prospectus supplement in the case of certain other shareholders, (the "restricted period"):</w:t>
      </w:r>
    </w:p>
    <w:p>
      <w:pPr>
        <w:spacing w:after="0" w:line="180" w:lineRule="exact"/>
        <w:rPr>
          <w:sz w:val="20"/>
          <w:szCs w:val="20"/>
          <w:color w:val="auto"/>
        </w:rPr>
      </w:pPr>
    </w:p>
    <w:p>
      <w:pPr>
        <w:ind w:left="1080" w:right="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J.P. Morgan Securities LLC and BofA Securities,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supplement of which the underwriters have been advised in writing;</w:t>
      </w:r>
    </w:p>
    <w:p>
      <w:pPr>
        <w:spacing w:after="0" w:line="199" w:lineRule="exact"/>
        <w:rPr>
          <w:rFonts w:ascii="Arial" w:cs="Arial" w:eastAsia="Arial" w:hAnsi="Arial"/>
          <w:sz w:val="18"/>
          <w:szCs w:val="18"/>
          <w:color w:val="auto"/>
        </w:rPr>
      </w:pPr>
    </w:p>
    <w:p>
      <w:pPr>
        <w:ind w:left="1080" w:right="46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auto"/>
        </w:rPr>
      </w:pPr>
    </w:p>
    <w:p>
      <w:pPr>
        <w:ind w:left="1080" w:right="180"/>
        <w:spacing w:after="0" w:line="302" w:lineRule="auto"/>
        <w:rPr>
          <w:rFonts w:ascii="Arial" w:cs="Arial" w:eastAsia="Arial" w:hAnsi="Arial"/>
          <w:sz w:val="16"/>
          <w:szCs w:val="16"/>
          <w:color w:val="auto"/>
        </w:rPr>
      </w:pPr>
      <w:r>
        <w:rPr>
          <w:rFonts w:ascii="Arial" w:cs="Arial" w:eastAsia="Arial" w:hAnsi="Arial"/>
          <w:sz w:val="16"/>
          <w:szCs w:val="16"/>
          <w:color w:val="auto"/>
        </w:rPr>
        <w:t>(i)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190"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sale, transfer or other disposition pursuant to any trading plan pursuant to Rule 10b5-1 existing on the date hereof, provided that to the extent a filing under the Exchange Act, if any, is required in connection with such sale, transfer or other disposition, such filing shall include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statement to the effect that the sale, transfer or other disposition was made pursuant to such existing 10b5-1 trading plan; or</w:t>
      </w:r>
    </w:p>
    <w:p>
      <w:pPr>
        <w:spacing w:after="0" w:line="239" w:lineRule="exact"/>
        <w:rPr>
          <w:sz w:val="20"/>
          <w:szCs w:val="20"/>
          <w:color w:val="auto"/>
        </w:rPr>
      </w:pPr>
    </w:p>
    <w:p>
      <w:pPr>
        <w:ind w:left="1080" w:right="440" w:hanging="532"/>
        <w:spacing w:after="0" w:line="370"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transactions pursuant to the pledge by Thomas Gad, our Founder, Chairman, President and Head of Business Development, of up to 450,000 shares of Common Stock as collateral or security pursuant to a personal line of credit, and any transfer upon foreclosure upon such shares.</w:t>
      </w:r>
    </w:p>
    <w:p>
      <w:pPr>
        <w:spacing w:after="0" w:line="11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Morgan Stanley &amp; Co. LLC, J.P. Morgan Securities LLC and BofA Securities, Inc.,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instruments and may at any time hold, or recommend to clients that they acquire, long or short positions in such securities and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relation to each Member State of the European Economic Area (each, a "Member State"), no offer of shares may be made to the public in that Member State other than:</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199"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5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0"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8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ind w:right="640" w:firstLine="348"/>
        <w:spacing w:after="0" w:line="370" w:lineRule="auto"/>
        <w:rPr>
          <w:sz w:val="20"/>
          <w:szCs w:val="20"/>
          <w:color w:val="auto"/>
        </w:rPr>
      </w:pPr>
      <w:r>
        <w:rPr>
          <w:rFonts w:ascii="Arial" w:cs="Arial" w:eastAsia="Arial" w:hAnsi="Arial"/>
          <w:sz w:val="15"/>
          <w:szCs w:val="15"/>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0"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Dubai International Financial Centre</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8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8" w:lineRule="exact"/>
        <w:rPr>
          <w:sz w:val="20"/>
          <w:szCs w:val="20"/>
          <w:color w:val="auto"/>
        </w:rPr>
      </w:pPr>
    </w:p>
    <w:p>
      <w:pPr>
        <w:ind w:left="1080" w:right="1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9"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Qualified Institutional Investors ("QII")</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Non-QII Investors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validity of the shares of common stock offered hereby will be passed upon for us by Satterlee Stephens LLP, New York, New York. Certain legal matters with respect to this offering will be passed upon for the underwriters by Shearman &amp; Sterling LLP.</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financial statements incorporated in this prospectus supplement by reference to the </w:t>
      </w:r>
      <w:hyperlink r:id="rId15">
        <w:r>
          <w:rPr>
            <w:rFonts w:ascii="Arial" w:cs="Arial" w:eastAsia="Arial" w:hAnsi="Arial"/>
            <w:sz w:val="18"/>
            <w:szCs w:val="18"/>
            <w:u w:val="single" w:color="auto"/>
            <w:color w:val="0000EE"/>
          </w:rPr>
          <w:t>Annual Report on Form 10-K for the year ended December 31, 2018</w:t>
        </w:r>
      </w:hyperlink>
      <w:r>
        <w:rPr>
          <w:rFonts w:ascii="Arial" w:cs="Arial" w:eastAsia="Arial" w:hAnsi="Arial"/>
          <w:sz w:val="18"/>
          <w:szCs w:val="18"/>
          <w:color w:val="auto"/>
        </w:rPr>
        <w:t xml:space="preserve">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file annual, quarterly and current reports, proxy statements and other information with the SEC pursuant to the reporting and information requirements of the Exchange Act. Our SEC filings are available to the public over the Internet at the SEC's website at http://www.sec.gov. Copies of certain information filed by us with the SEC are also available on our website at www.ymabs.com. Information contained on our website is not incorporated by reference into this prospectus and, therefore, is not part of this prospectus or any prospectus supplement. In addition,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Y-mAbs Therapeutics, Inc., 230 Park Avenue, Suite 3350, New York, NY 10169, or by telephone request to (646) 885-8505.</w:t>
      </w:r>
    </w:p>
    <w:p>
      <w:pPr>
        <w:spacing w:after="0" w:line="172"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SEC's website.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SEC allows us to incorporate by reference the information and reports we file with it into this prospectus supplement and the accompanying prospectus, which means that we can disclose important information to you by referring you to these documents. The information incorporated by reference is an important part of this prospectus supplement and the accompanying prospectus, and information that we file later with the SEC will automatically update and supersede the information already incorporated by reference. We are incorporating by reference the documents listed below, which we have already filed with the SEC (other than those documents or the portions of those documents not deemed to be filed), and any future filings (other than current reports furnished under Item 2.02 or Item 7.01 of Form 8-K and exhibits filed in such forms that are related to such items unless such Form 8-K expressly provides to the contrary)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furnished and not deemed filed under such provisions, until we sell all of the securities:</w:t>
      </w:r>
    </w:p>
    <w:p>
      <w:pPr>
        <w:spacing w:after="0" w:line="187"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0000EE"/>
        </w:rPr>
      </w:pPr>
      <w:hyperlink r:id="rId15">
        <w:r>
          <w:rPr>
            <w:rFonts w:ascii="Arial" w:cs="Arial" w:eastAsia="Arial" w:hAnsi="Arial"/>
            <w:sz w:val="18"/>
            <w:szCs w:val="18"/>
            <w:u w:val="single" w:color="auto"/>
            <w:color w:val="0000EE"/>
          </w:rPr>
          <w:t>our Annual Report on Form 10-K for the year ended December 31, 2018, filed with the SEC on March 22, 2019</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420" w:hanging="532"/>
        <w:spacing w:after="0" w:line="268" w:lineRule="auto"/>
        <w:tabs>
          <w:tab w:leader="none" w:pos="1080" w:val="left"/>
        </w:tabs>
        <w:numPr>
          <w:ilvl w:val="0"/>
          <w:numId w:val="21"/>
        </w:numPr>
        <w:rPr>
          <w:rFonts w:ascii="Arial" w:cs="Arial" w:eastAsia="Arial" w:hAnsi="Arial"/>
          <w:sz w:val="18"/>
          <w:szCs w:val="18"/>
          <w:color w:val="0000EE"/>
        </w:rPr>
      </w:pPr>
      <w:r>
        <w:rPr>
          <w:rFonts w:ascii="Arial" w:cs="Arial" w:eastAsia="Arial" w:hAnsi="Arial"/>
          <w:sz w:val="18"/>
          <w:szCs w:val="18"/>
          <w:color w:val="auto"/>
        </w:rPr>
        <w:t xml:space="preserve">the information specifically incorporated by reference into our </w:t>
      </w:r>
      <w:hyperlink r:id="rId15">
        <w:r>
          <w:rPr>
            <w:rFonts w:ascii="Arial" w:cs="Arial" w:eastAsia="Arial" w:hAnsi="Arial"/>
            <w:sz w:val="18"/>
            <w:szCs w:val="18"/>
            <w:u w:val="single" w:color="auto"/>
            <w:color w:val="0000EE"/>
          </w:rPr>
          <w:t>Annual Report on Form 10-K for the year ended December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w:t>
      </w:r>
      <w:hyperlink r:id="rId52">
        <w:r>
          <w:rPr>
            <w:rFonts w:ascii="Arial" w:cs="Arial" w:eastAsia="Arial" w:hAnsi="Arial"/>
            <w:sz w:val="18"/>
            <w:szCs w:val="18"/>
            <w:u w:val="single" w:color="auto"/>
            <w:color w:val="0000EE"/>
          </w:rPr>
          <w:t>Definitive Proxy Statement on Schedule 14A, filed with the SEC on April 30, 2019</w:t>
        </w:r>
      </w:hyperlink>
      <w:r>
        <w:rPr>
          <w:rFonts w:ascii="Arial" w:cs="Arial" w:eastAsia="Arial" w:hAnsi="Arial"/>
          <w:sz w:val="18"/>
          <w:szCs w:val="18"/>
          <w:color w:val="000000"/>
        </w:rPr>
        <w:t>;</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40" w:hanging="532"/>
        <w:spacing w:after="0" w:line="268" w:lineRule="auto"/>
        <w:tabs>
          <w:tab w:leader="none" w:pos="1080" w:val="left"/>
        </w:tabs>
        <w:numPr>
          <w:ilvl w:val="0"/>
          <w:numId w:val="22"/>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2019 and June 30, 2019, filed with the SEC on </w:t>
      </w:r>
      <w:hyperlink r:id="rId54">
        <w:r>
          <w:rPr>
            <w:rFonts w:ascii="Arial" w:cs="Arial" w:eastAsia="Arial" w:hAnsi="Arial"/>
            <w:sz w:val="18"/>
            <w:szCs w:val="18"/>
            <w:u w:val="single" w:color="auto"/>
            <w:color w:val="0000EE"/>
          </w:rPr>
          <w:t>May 10,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
        <w:r>
          <w:rPr>
            <w:rFonts w:ascii="Arial" w:cs="Arial" w:eastAsia="Arial" w:hAnsi="Arial"/>
            <w:sz w:val="18"/>
            <w:szCs w:val="18"/>
            <w:u w:val="single" w:color="auto"/>
            <w:color w:val="0000EE"/>
          </w:rPr>
          <w:t>August 14,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212" w:lineRule="exact"/>
        <w:rPr>
          <w:rFonts w:ascii="Arial" w:cs="Arial" w:eastAsia="Arial" w:hAnsi="Arial"/>
          <w:sz w:val="18"/>
          <w:szCs w:val="18"/>
          <w:color w:val="0000EE"/>
        </w:rPr>
      </w:pPr>
    </w:p>
    <w:p>
      <w:pPr>
        <w:ind w:left="1080" w:right="8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5">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June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7">
        <w:r>
          <w:rPr>
            <w:rFonts w:ascii="Arial" w:cs="Arial" w:eastAsia="Arial" w:hAnsi="Arial"/>
            <w:sz w:val="18"/>
            <w:szCs w:val="18"/>
            <w:u w:val="single" w:color="auto"/>
            <w:color w:val="0000EE"/>
          </w:rPr>
          <w:t>September 19,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each case, except for information contained therein which is furnished rather than filed);</w:t>
      </w:r>
    </w:p>
    <w:p>
      <w:pPr>
        <w:spacing w:after="0" w:line="199"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22"/>
        </w:numPr>
        <w:rPr>
          <w:rFonts w:ascii="Arial" w:cs="Arial" w:eastAsia="Arial" w:hAnsi="Arial"/>
          <w:sz w:val="18"/>
          <w:szCs w:val="18"/>
          <w:color w:val="0000EE"/>
        </w:rPr>
      </w:pPr>
      <w:hyperlink r:id="rId58">
        <w:r>
          <w:rPr>
            <w:rFonts w:ascii="Arial" w:cs="Arial" w:eastAsia="Arial" w:hAnsi="Arial"/>
            <w:sz w:val="18"/>
            <w:szCs w:val="18"/>
            <w:u w:val="single" w:color="auto"/>
            <w:color w:val="0000EE"/>
          </w:rPr>
          <w:t>the description of our common stock contained in our registration statement on Form 8-A (Registration No. 001-38650) filed with the SEC on</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September 11, 2018 under Section 12(b) of the Exchange Act, including any amendments or reports filed for the purpose of updating such</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description</w:t>
        </w:r>
        <w:r>
          <w:rPr>
            <w:rFonts w:ascii="Arial" w:cs="Arial" w:eastAsia="Arial" w:hAnsi="Arial"/>
            <w:sz w:val="18"/>
            <w:szCs w:val="18"/>
            <w:color w:val="000000"/>
          </w:rPr>
          <w:t>; and</w:t>
        </w:r>
      </w:hyperlink>
    </w:p>
    <w:p>
      <w:pPr>
        <w:spacing w:after="0" w:line="207" w:lineRule="exact"/>
        <w:rPr>
          <w:rFonts w:ascii="Arial" w:cs="Arial" w:eastAsia="Arial" w:hAnsi="Arial"/>
          <w:sz w:val="18"/>
          <w:szCs w:val="18"/>
          <w:color w:val="0000EE"/>
        </w:rPr>
      </w:pPr>
    </w:p>
    <w:p>
      <w:pPr>
        <w:ind w:left="1080" w:right="20" w:hanging="532"/>
        <w:spacing w:after="0" w:line="335"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all reports and other documents subsequently filed by us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w:t>
      </w:r>
    </w:p>
    <w:p>
      <w:pPr>
        <w:spacing w:after="0" w:line="14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The SEC file number for each of the documents listed above is 001-38650.</w:t>
      </w:r>
    </w:p>
    <w:p>
      <w:pPr>
        <w:spacing w:after="0" w:line="225" w:lineRule="exact"/>
        <w:rPr>
          <w:rFonts w:ascii="Arial" w:cs="Arial" w:eastAsia="Arial" w:hAnsi="Arial"/>
          <w:sz w:val="18"/>
          <w:szCs w:val="18"/>
          <w:u w:val="single" w:color="auto"/>
          <w:color w:val="0000EE"/>
        </w:rPr>
      </w:pPr>
    </w:p>
    <w:p>
      <w:pPr>
        <w:ind w:right="200" w:firstLine="341"/>
        <w:spacing w:after="0" w:line="291" w:lineRule="auto"/>
        <w:rPr>
          <w:sz w:val="20"/>
          <w:szCs w:val="20"/>
          <w:color w:val="auto"/>
        </w:rPr>
      </w:pPr>
      <w:r>
        <w:rPr>
          <w:rFonts w:ascii="Arial" w:cs="Arial" w:eastAsia="Arial" w:hAnsi="Arial"/>
          <w:sz w:val="16"/>
          <w:szCs w:val="16"/>
          <w:color w:val="auto"/>
        </w:rPr>
        <w:t>Any statement contained in this prospectus supplement, the accompanying prospectus or in a document incorporated or deemed to be incorporated by reference into this prospectus supplement or the accompanying prospectus will be deemed to be modified or superseded for purposes of this prospectus supplement and the accompanying prospectus to the extent that a statement contained in this prospectus supplement, the accompanying prospectus or any other subsequently filed document that is deemed to be incorporated by reference into this prospectus supplement or the accompanying prospectus modifies or supersedes the statement. Any statement so modified or superseded will not be deemed, except as so modified or superseded, to constitute a part of this prospectus supplement and the accompanying prospectus.</w:t>
      </w:r>
    </w:p>
    <w:p>
      <w:pPr>
        <w:spacing w:after="0" w:line="174" w:lineRule="exact"/>
        <w:rPr>
          <w:rFonts w:ascii="Arial" w:cs="Arial" w:eastAsia="Arial" w:hAnsi="Arial"/>
          <w:sz w:val="18"/>
          <w:szCs w:val="18"/>
          <w:u w:val="single" w:color="auto"/>
          <w:color w:val="0000EE"/>
        </w:rPr>
      </w:pPr>
    </w:p>
    <w:p>
      <w:pPr>
        <w:ind w:right="40" w:firstLine="351"/>
        <w:spacing w:after="0" w:line="294" w:lineRule="auto"/>
        <w:rPr>
          <w:sz w:val="20"/>
          <w:szCs w:val="20"/>
          <w:color w:val="auto"/>
        </w:rPr>
      </w:pPr>
      <w:r>
        <w:rPr>
          <w:rFonts w:ascii="Arial" w:cs="Arial" w:eastAsia="Arial" w:hAnsi="Arial"/>
          <w:sz w:val="16"/>
          <w:szCs w:val="16"/>
          <w:color w:val="auto"/>
        </w:rPr>
        <w:t>Upon request, we will provide, without charge, to each person, including any beneficial owner, to whom a copy of this prospectus supplement is delivered, a copy of the documents incorporated by reference into this prospectus supplement and the accompanying prospectus but not delivered with the prospectus supplement or the accompanying prospectus. You may request a copy of these filings, and any exhibits we have specifically incorporated by reference as an exhibit in this prospectus supplement and the accompanying prospectus, at no cost by writing or telephoning us at the following address: Y-mAbs Therapeutics, Inc., 230 Park Avenue, Suite 3350, New York, NY 10169, Attention: Secretary or by telephone request to (646) 885-8505.</w:t>
      </w:r>
    </w:p>
    <w:p>
      <w:pPr>
        <w:spacing w:after="0" w:line="170" w:lineRule="exact"/>
        <w:rPr>
          <w:rFonts w:ascii="Arial" w:cs="Arial" w:eastAsia="Arial" w:hAnsi="Arial"/>
          <w:sz w:val="18"/>
          <w:szCs w:val="18"/>
          <w:u w:val="single" w:color="auto"/>
          <w:color w:val="0000EE"/>
        </w:rPr>
      </w:pPr>
    </w:p>
    <w:p>
      <w:pPr>
        <w:ind w:right="180" w:firstLine="348"/>
        <w:spacing w:after="0" w:line="268" w:lineRule="auto"/>
        <w:rPr>
          <w:sz w:val="20"/>
          <w:szCs w:val="20"/>
          <w:color w:val="auto"/>
        </w:rPr>
      </w:pPr>
      <w:r>
        <w:rPr>
          <w:rFonts w:ascii="Arial" w:cs="Arial" w:eastAsia="Arial" w:hAnsi="Arial"/>
          <w:sz w:val="18"/>
          <w:szCs w:val="18"/>
          <w:color w:val="auto"/>
        </w:rPr>
        <w:t>This prospectus supplement and the accompanying prospectus is part of a registration statement we filed with the SEC. We have incorporated exhibits into this registration statement. You should read the exhibits carefully for provisions that may be important to you.</w:t>
      </w:r>
    </w:p>
    <w:p>
      <w:pPr>
        <w:spacing w:after="0" w:line="186" w:lineRule="exact"/>
        <w:rPr>
          <w:rFonts w:ascii="Arial" w:cs="Arial" w:eastAsia="Arial" w:hAnsi="Arial"/>
          <w:sz w:val="18"/>
          <w:szCs w:val="18"/>
          <w:u w:val="single" w:color="auto"/>
          <w:color w:val="0000EE"/>
        </w:rPr>
      </w:pPr>
    </w:p>
    <w:p>
      <w:pPr>
        <w:ind w:firstLine="345"/>
        <w:spacing w:after="0" w:line="255"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accompanying prospectus. We have not, and the underwriters have not, authorized anyone to provide you with different information. We and the underwriters are not making an offer of these securities in any jurisdiction where the offer is not permitted. You should not assume that the information in this prospectus supplement or the accompanying prospectus or in the documents incorporated by reference is accurate as of any date other than the date on the front of this prospectus supplement, the accompanying prospectus or those documents.</w:t>
      </w:r>
    </w:p>
    <w:p>
      <w:pPr>
        <w:spacing w:after="0" w:line="197" w:lineRule="exact"/>
        <w:rPr>
          <w:rFonts w:ascii="Arial" w:cs="Arial" w:eastAsia="Arial" w:hAnsi="Arial"/>
          <w:sz w:val="18"/>
          <w:szCs w:val="18"/>
          <w:u w:val="single" w:color="auto"/>
          <w:color w:val="0000EE"/>
        </w:rPr>
      </w:pPr>
    </w:p>
    <w:p>
      <w:pPr>
        <w:jc w:val="center"/>
        <w:ind w:right="-39"/>
        <w:spacing w:after="0"/>
        <w:rPr>
          <w:sz w:val="20"/>
          <w:szCs w:val="20"/>
          <w:color w:val="auto"/>
        </w:rPr>
      </w:pPr>
      <w:r>
        <w:rPr>
          <w:rFonts w:ascii="Arial" w:cs="Arial" w:eastAsia="Arial" w:hAnsi="Arial"/>
          <w:sz w:val="18"/>
          <w:szCs w:val="18"/>
          <w:color w:val="auto"/>
        </w:rPr>
        <w:t>S-30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152400</wp:posOffset>
            </wp:positionV>
            <wp:extent cx="2649855" cy="934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64985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$300,000,000</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jc w:val="both"/>
        <w:ind w:right="80" w:firstLine="348"/>
        <w:spacing w:after="0" w:line="303" w:lineRule="auto"/>
        <w:rPr>
          <w:sz w:val="20"/>
          <w:szCs w:val="20"/>
          <w:color w:val="auto"/>
        </w:rPr>
      </w:pPr>
      <w:r>
        <w:rPr>
          <w:rFonts w:ascii="Arial" w:cs="Arial" w:eastAsia="Arial" w:hAnsi="Arial"/>
          <w:sz w:val="15"/>
          <w:szCs w:val="15"/>
          <w:color w:val="auto"/>
        </w:rPr>
        <w:t>We may from time to time issue, in one or more series, classes or combination, up to $300,000,000 in aggregate principal amount of the securities described in this prospectus in one or more offerings. We may offer these securities separately or together in units. We will specify in the applicable prospectus supplement the terms of the securities being offered. We may also authorize one or more free writing prospectuses to be provided to you in connection with these offerings.</w:t>
      </w:r>
    </w:p>
    <w:p>
      <w:pPr>
        <w:spacing w:after="0" w:line="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prospectus supplement and any related free writing prospectus may also add, update or change information contained in this prospectus. See "Plan of Distribution" below for additional information on how we may conduct sales of our common stock.</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securities offered by us in this prospectus may be sold directly to investors, to or through underwriters and also to other purchasers or through agents.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will set forth the names of any underwriters or agents, and any fees, conversions or discount arrangements, in the applicable prospectus supplement.</w:t>
      </w:r>
    </w:p>
    <w:p>
      <w:pPr>
        <w:spacing w:after="0" w:line="242" w:lineRule="exact"/>
        <w:rPr>
          <w:sz w:val="20"/>
          <w:szCs w:val="20"/>
          <w:color w:val="auto"/>
        </w:rPr>
      </w:pPr>
    </w:p>
    <w:p>
      <w:pPr>
        <w:ind w:right="440" w:firstLine="345"/>
        <w:spacing w:after="0" w:line="268" w:lineRule="auto"/>
        <w:rPr>
          <w:sz w:val="20"/>
          <w:szCs w:val="20"/>
          <w:color w:val="auto"/>
        </w:rPr>
      </w:pPr>
      <w:r>
        <w:rPr>
          <w:rFonts w:ascii="Arial" w:cs="Arial" w:eastAsia="Arial" w:hAnsi="Arial"/>
          <w:sz w:val="18"/>
          <w:szCs w:val="18"/>
          <w:color w:val="auto"/>
        </w:rPr>
        <w:t>You should carefully read this prospectus, any prospectus supplement or amendment and any related free writing prospectus, as well as any documents incorporated by reference, before you invest in our securities.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under the symbol "YMAB." On September 26, 2019, the closing price for our common stock, as reported on the Nasdaq Global Select Market, was $26.98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51"/>
        <w:spacing w:after="0" w:line="239" w:lineRule="auto"/>
        <w:rPr>
          <w:sz w:val="20"/>
          <w:szCs w:val="20"/>
          <w:color w:val="auto"/>
        </w:rPr>
      </w:pPr>
      <w:r>
        <w:rPr>
          <w:rFonts w:ascii="Arial" w:cs="Arial" w:eastAsia="Arial" w:hAnsi="Arial"/>
          <w:sz w:val="22"/>
          <w:szCs w:val="22"/>
          <w:b w:val="1"/>
          <w:bCs w:val="1"/>
          <w:color w:val="auto"/>
        </w:rPr>
        <w:t>Investing in our securities involves a high degree of risk. You should review carefully the risks and uncertainties described under the heading "Risk Factors" contained in this prospectus beginning on page 2 of this prospectus and similar section contained in any applicable prospectus supplement, and under similar headings in the other documents that are incorporated by reference into this prospectus.</w:t>
      </w:r>
    </w:p>
    <w:p>
      <w:pPr>
        <w:spacing w:after="0" w:line="194" w:lineRule="exact"/>
        <w:rPr>
          <w:sz w:val="20"/>
          <w:szCs w:val="20"/>
          <w:color w:val="auto"/>
        </w:rPr>
      </w:pPr>
    </w:p>
    <w:p>
      <w:pPr>
        <w:ind w:right="86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16"/>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16"/>
            <w:vMerge w:val="continue"/>
          </w:tcPr>
          <w:p>
            <w:pPr>
              <w:spacing w:after="0"/>
              <w:rPr>
                <w:sz w:val="14"/>
                <w:szCs w:val="14"/>
                <w:color w:val="auto"/>
              </w:rPr>
            </w:pPr>
          </w:p>
        </w:tc>
        <w:tc>
          <w:tcPr>
            <w:tcW w:w="420" w:type="dxa"/>
            <w:vAlign w:val="bottom"/>
            <w:gridSpan w:val="3"/>
          </w:tcPr>
          <w:p>
            <w:pPr>
              <w:jc w:val="right"/>
              <w:spacing w:after="0" w:line="170" w:lineRule="exact"/>
              <w:rPr>
                <w:rFonts w:ascii="Arial" w:cs="Arial" w:eastAsia="Arial" w:hAnsi="Arial"/>
                <w:sz w:val="18"/>
                <w:szCs w:val="18"/>
                <w:color w:val="0000EE"/>
              </w:rPr>
            </w:pPr>
            <w:hyperlink w:anchor="page3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380" w:type="dxa"/>
            <w:vAlign w:val="bottom"/>
            <w:gridSpan w:val="8"/>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CAUTIONARY STATEMENT REGARDING FORWARD-LOOKING STATEMENTS</w:t>
              </w:r>
            </w:hyperlink>
          </w:p>
        </w:tc>
        <w:tc>
          <w:tcPr>
            <w:tcW w:w="23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THE COMPANY</w:t>
              </w:r>
            </w:hyperlink>
          </w:p>
        </w:tc>
        <w:tc>
          <w:tcPr>
            <w:tcW w:w="7300" w:type="dxa"/>
            <w:vAlign w:val="bottom"/>
            <w:gridSpan w:val="13"/>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USE OF PROCEEDS</w:t>
              </w:r>
            </w:hyperlink>
          </w:p>
        </w:tc>
        <w:tc>
          <w:tcPr>
            <w:tcW w:w="7000" w:type="dxa"/>
            <w:vAlign w:val="bottom"/>
            <w:gridSpan w:val="11"/>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SECURITIES WE MAY OFFER</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DESCRIPTION OF DEBT SECURITIES</w:t>
              </w:r>
            </w:hyperlink>
          </w:p>
        </w:tc>
        <w:tc>
          <w:tcPr>
            <w:tcW w:w="55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WARRANTS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DESCRIPTION OF UNITS</w:t>
              </w:r>
            </w:hyperlink>
          </w:p>
        </w:tc>
        <w:tc>
          <w:tcPr>
            <w:tcW w:w="440" w:type="dxa"/>
            <w:vAlign w:val="bottom"/>
            <w:tcBorders>
              <w:top w:val="single" w:sz="8" w:color="0000EE"/>
            </w:tcBorders>
            <w:gridSpan w:val="4"/>
          </w:tcPr>
          <w:p>
            <w:pPr>
              <w:spacing w:after="0"/>
              <w:rPr>
                <w:sz w:val="17"/>
                <w:szCs w:val="17"/>
                <w:color w:val="auto"/>
              </w:rPr>
            </w:pPr>
          </w:p>
        </w:tc>
        <w:tc>
          <w:tcPr>
            <w:tcW w:w="614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LEGAL OWNERSHIP OF SECURITIES</w:t>
              </w:r>
            </w:hyperlink>
          </w:p>
        </w:tc>
        <w:tc>
          <w:tcPr>
            <w:tcW w:w="56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196"/>
        </w:trPr>
        <w:tc>
          <w:tcPr>
            <w:tcW w:w="8560" w:type="dxa"/>
            <w:vAlign w:val="bottom"/>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PLAN OF DISTRIBUTION</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LEGAL MATTERS</w:t>
              </w:r>
            </w:hyperlink>
          </w:p>
        </w:tc>
        <w:tc>
          <w:tcPr>
            <w:tcW w:w="656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7140" w:type="dxa"/>
            <w:vAlign w:val="bottom"/>
            <w:gridSpan w:val="1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WHERE YOU CAN FIND MORE INFORMATION</w:t>
              </w:r>
            </w:hyperlink>
          </w:p>
        </w:tc>
        <w:tc>
          <w:tcPr>
            <w:tcW w:w="48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28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INCORPORATION BY REFERENCE</w:t>
              </w:r>
            </w:hyperlink>
          </w:p>
        </w:tc>
        <w:tc>
          <w:tcPr>
            <w:tcW w:w="57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ind w:right="520" w:firstLine="348"/>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under this prospectus, we will provide one or more prospectus supplements that will contain specific information about the terms of the offering. The prospectus supplement and any related free writing prospectus that we may authorize to be provided to you may also add, update or change information contained in this prospectus. You should read this prospectus, any applicable prospectus supplement and any related free writing prospectus, together with the additional information described under the heading "Where You Can Find More Information" beginning on page 31 of this prospectus and "Incorporation by Reference" beginning on page 32 of this prospectus, before investing in any of the securities offered.</w:t>
      </w:r>
    </w:p>
    <w:p>
      <w:pPr>
        <w:spacing w:after="0" w:line="198" w:lineRule="exact"/>
        <w:rPr>
          <w:sz w:val="20"/>
          <w:szCs w:val="20"/>
          <w:color w:val="auto"/>
        </w:rPr>
      </w:pPr>
    </w:p>
    <w:p>
      <w:pPr>
        <w:ind w:right="40"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the applicable prospectus supplement or in any related free writing prospectus filed by or on behalf of us with the SEC. We have not authorized anyone to provide you with different information. This prospectus, any applicable prospectus supplement or any related free writing prospectus do not constitute an offer to sell or the solicitation of an offer to buy any securities other than the registered securities to which they relate as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Except as otherwise indicated herein or as the context otherwise requires, references in this prospectus to "Y-mAbs," the "company," "we," "us" and "our" and similar words refer to Y-mAbs Therapeutics, Inc. and our wholly owned Danish subsidiary, Y-mAbs Therapeutics A/S.</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"Y-mAbs®" is our registered trademark. Any other trademarks or service marks of our company appearing in this prospectus are the property of Y-mAbs Therapeutics, Inc. All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our use or display of other entities' trade names, trademarks or service marks to imply a relationship with, or endorsement or sponsorship of us by, any other entity.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Investing in our securities involves a high degree of risk. You should carefully consider the risks described below and in the documents incorporated by reference in this prospectus, any prospectus supplement and any related free writing prospectus, as well as other information we include or incorporate by reference into this prospectus, any applicable prospectus supplement and any related free writing prospectus,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in our most recent </w:t>
      </w:r>
      <w:hyperlink r:id="rId15">
        <w:r>
          <w:rPr>
            <w:rFonts w:ascii="Arial" w:cs="Arial" w:eastAsia="Arial" w:hAnsi="Arial"/>
            <w:sz w:val="16"/>
            <w:szCs w:val="16"/>
            <w:u w:val="single" w:color="auto"/>
            <w:color w:val="0000EE"/>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16">
        <w:r>
          <w:rPr>
            <w:rFonts w:ascii="Arial" w:cs="Arial" w:eastAsia="Arial" w:hAnsi="Arial"/>
            <w:sz w:val="16"/>
            <w:szCs w:val="16"/>
            <w:u w:val="single" w:color="auto"/>
            <w:color w:val="0000EE"/>
          </w:rPr>
          <w:t>Quarterly Report on 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in any subsequent Quarterly Reports on Form 10-Q or Current Reports on Form 8-K that we file with the SEC after the date of this prospectus, all of which are incorporated by reference into this prospectus. Please also read carefully the section below entitled "Cautionary Statement Regarding Forward-Looking Statements." The occurrence of any of these risks might cause you to lose all or part of your investment in the offered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prospectus and any prospectus supplement, any related free writing prospectus, including the documents that we incorporate by reference in this prospectus, any prospectus supplement and any related free writing prospectus, contains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facts, contained in this prospectus and each prospectus supplement, including the documents that we incorporate by reference in this prospectus and each prospectus supplement,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39" w:lineRule="exact"/>
        <w:rPr>
          <w:sz w:val="20"/>
          <w:szCs w:val="20"/>
          <w:color w:val="auto"/>
        </w:rPr>
      </w:pPr>
    </w:p>
    <w:p>
      <w:pPr>
        <w:ind w:left="1080" w:right="5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develop and commercialize our two lead product candidates and other product candidates, including the potential clinical efficacy and other benefits thereof;</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ongoing and future clinical trials for our two lead product candidates and other product candidates, whether conducted by us or by any of our collaborators, including the timing of initiation of these trials, the pace of enrollment, the completion of enrollment, the availability of data from these trials, the expected dates of BLA submission and approval by the FDA and equivalent foreign regulatory authorities and of the anticipated results;</w:t>
      </w:r>
    </w:p>
    <w:p>
      <w:pPr>
        <w:spacing w:after="0" w:line="21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pre-clinical studies and future clinical trials for our other product candidates and our research and development programs, whether conducted by us or by any of our collaborators, including the timing of initiation of these trials, the pace of enrollment, the expected date of completion and of the anticipated results;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of and our ability to obtain and maintain regulatory, marketing and reimbursement approvals for our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and reimbursement levels of our product candidates, if approved;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 including a direct sales force;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related to the use of our cash and cash equivalents, how long that cash is expected to last, and the need for, timing and amount of any future financing transaction;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capital expenditure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5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use of proceeds from our initial public offering and any follow-on public offering; and</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prospectus, any prospectus supplement and any free writing prospectus that we may file.</w:t>
      </w:r>
    </w:p>
    <w:p>
      <w:pPr>
        <w:spacing w:after="0" w:line="186"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Forward-looking statements in this prospectus, any prospectus supplement and any related free writing prospectus, including the documents that we incorporate by reference in this prospectus, any prospectus supplement and any related free writing prospectus,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referenced in the section "Risk Factors" and elsewhere in this prospectus and the documents that we incorporate by reference.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prospectus, any prospectus supplement and any related free writing prospectus, including the documents that we incorporate by reference in this prospectus, any prospectus supplement and any related free writing prospectus,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 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were incorporated under the laws of the State of Delaware on April 30, 2015. On September 25, 2018, we completed the initial public offering, or IPO of our common stock.</w:t>
      </w:r>
    </w:p>
    <w:p>
      <w:pPr>
        <w:spacing w:after="0" w:line="186"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 xml:space="preserve">Our principal executive offices are located at 230 Park Avenue, Suite 3350, New York, New York 10169 and our telephone number is (646) 885-8505. Our corporate website address is </w:t>
      </w:r>
      <w:r>
        <w:rPr>
          <w:rFonts w:ascii="Arial" w:cs="Arial" w:eastAsia="Arial" w:hAnsi="Arial"/>
          <w:sz w:val="18"/>
          <w:szCs w:val="18"/>
          <w:i w:val="1"/>
          <w:iCs w:val="1"/>
          <w:color w:val="auto"/>
        </w:rPr>
        <w:t>www.ymabs.com</w:t>
      </w:r>
      <w:r>
        <w:rPr>
          <w:rFonts w:ascii="Arial" w:cs="Arial" w:eastAsia="Arial" w:hAnsi="Arial"/>
          <w:sz w:val="18"/>
          <w:szCs w:val="18"/>
          <w:color w:val="auto"/>
        </w:rPr>
        <w:t>. Our website and the information contained on, or that can be accessed through, the website will not be deemed to be incorporated by reference in, and are not considered part of, this prospectus. You should not rely on any such information in making your decision whether to purchase our securities.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currently intend to use the net proceeds from the sale of any securities offered by us under this prospectus as indicated in the applicable prospectus supplement or any related free writing prospectus that we may authorize to be provided to you.</w:t>
      </w:r>
    </w:p>
    <w:p>
      <w:pPr>
        <w:spacing w:after="0" w:line="18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WE MAY OFFER</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contains summary descriptions of the securities we may offer from time to time. This prospectus provides you with a general description of the securities we may offer. These summary descriptions are not meant to be complete descriptions of each security. The particular terms of any security we may offer will be described in the applicable prospectus supplement.</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following description of the rights of our common stock and preferred stock, together with the additional information we include in any applicable prospectus supplements and any free writing prospectus, summarizes the material terms and provisions of our capital stock. The following description of our capital stock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Our authorized capital stock consists of 100,000,000 shares of common stock, par value $0.0001 per share, and 5,500,000 shares of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September 26, 2019, there were 34,593,666 shares of our common stock outstanding and no shares of preferred stock outstanding. As of September 26, 2019, we had 42 record holders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a party to certain registration rights agreements dated as of October 13, 2017 and November 17, 2017, collectively referred to herein as the Registration Rights Agreements, with certain holders of our common stock, including some of our directors and 5% stockholders and their affiliates and entities affiliated with our directors. The Registration Rights Agreements provide these holders of our common stock the right to require us to register these shares under the Securities Act under specified circumstances as described below. As of September 26, 2019, the shares subject to registration rights under the Registration Rights Agreements, or the registrable shares, represent approximately 60% of our outstanding common stock. After registration pursuant to these rights, these shares will become freely tradable without restriction under the Securities Act.</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198"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registration rights of any holder will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the fifth anniversary of our initial public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specified limitations set forth in the Registration Rights Agreements, the holder or holders of not less than a majority of our registrable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defined in the Registration Rights Agreements, acting together, may at any time demand in writing that we register the outstanding registrable securities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so long as the total amount of registrable shares requested to be registered has an anticipated aggregate offering price to the public of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We are not obligated to file a registration statement pursuant to this demand provision on more than two occasions, subject to specified exceptions.</w:t>
      </w:r>
    </w:p>
    <w:p>
      <w:pPr>
        <w:spacing w:after="0" w:line="242" w:lineRule="exact"/>
        <w:rPr>
          <w:sz w:val="20"/>
          <w:szCs w:val="20"/>
          <w:color w:val="auto"/>
        </w:rPr>
      </w:pPr>
    </w:p>
    <w:p>
      <w:pPr>
        <w:jc w:val="both"/>
        <w:ind w:right="360" w:firstLine="351"/>
        <w:spacing w:after="0" w:line="335" w:lineRule="auto"/>
        <w:rPr>
          <w:sz w:val="20"/>
          <w:szCs w:val="20"/>
          <w:color w:val="auto"/>
        </w:rPr>
      </w:pPr>
      <w:r>
        <w:rPr>
          <w:rFonts w:ascii="Arial" w:cs="Arial" w:eastAsia="Arial" w:hAnsi="Arial"/>
          <w:sz w:val="15"/>
          <w:szCs w:val="15"/>
          <w:color w:val="auto"/>
        </w:rPr>
        <w:t>In addition, at any time after we become eligible to file a registration statement on Form S-3 under the Securities Act, subject to specified limitations, a holder or holders of a majority of the registrable securities may demand in writing that we register on Form S-3 all or part of the registrable securities held by them so long as the total amount of registrable shares requested to be registered has an anticipated aggregate offering price to the public of least $10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If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Registration Rights Agreements, we are required to pay all registration expenses, including registration fees, printing expenses, fees and disbursements of our counsel and accountants and reasonable fees and disbursements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not to exceed $50,000 of one counsel representing the selling stockholders, other than any underwriting discounts and commissions, related to any demand or incidental registration.</w:t>
      </w:r>
    </w:p>
    <w:p>
      <w:pPr>
        <w:spacing w:after="0" w:line="186"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As of September 26, 2019, no shares of preferred stock were outstanding.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amended and restated certificate of incorporation and amended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ind w:right="80" w:firstLine="351"/>
        <w:spacing w:after="0" w:line="305" w:lineRule="auto"/>
        <w:rPr>
          <w:sz w:val="20"/>
          <w:szCs w:val="20"/>
          <w:color w:val="auto"/>
        </w:rPr>
      </w:pPr>
      <w:r>
        <w:rPr>
          <w:rFonts w:ascii="Arial" w:cs="Arial" w:eastAsia="Arial" w:hAnsi="Arial"/>
          <w:sz w:val="15"/>
          <w:szCs w:val="15"/>
          <w:color w:val="auto"/>
        </w:rPr>
        <w:t>Our amended and restated certificate of incorporation and amended and restated bylaws divide our board of directors into three classes with staggered three-year terms. In addition, our amended and restated certificate of incorporation and amended and restated bylaws provide that directors may be removed only for</w:t>
      </w:r>
    </w:p>
    <w:p>
      <w:pPr>
        <w:ind w:right="60"/>
        <w:spacing w:after="0" w:line="250" w:lineRule="auto"/>
        <w:rPr>
          <w:sz w:val="20"/>
          <w:szCs w:val="20"/>
          <w:color w:val="auto"/>
        </w:rPr>
      </w:pPr>
      <w:r>
        <w:rPr>
          <w:rFonts w:ascii="Arial" w:cs="Arial" w:eastAsia="Arial" w:hAnsi="Arial"/>
          <w:sz w:val="17"/>
          <w:szCs w:val="17"/>
          <w:color w:val="auto"/>
        </w:rPr>
        <w:t>cause and only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our shares of capital stock present in person or by proxy and entitled to vote. Under our amended and restated certificate of incorporation and bylaws,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any action required or permitted to be taken by our stockholders at an annual meeting or special meeting of stockholders may only be taken if it is properly brought before such meeting and may not be taken by written action in lieu of a meeting. Our amended and restated certificate of incorporation and amended and restated bylaws also provide that, except as otherwise required by law, special meetings of the stockholders can only be called by the chairman of our board of directors, our chief executive officer or our board of directors. In addition, our amended and restated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ind w:right="40" w:firstLine="348"/>
        <w:spacing w:after="0" w:line="277" w:lineRule="auto"/>
        <w:rPr>
          <w:sz w:val="20"/>
          <w:szCs w:val="20"/>
          <w:color w:val="auto"/>
        </w:rPr>
      </w:pPr>
      <w:r>
        <w:rPr>
          <w:rFonts w:ascii="Arial" w:cs="Arial" w:eastAsia="Arial" w:hAnsi="Arial"/>
          <w:sz w:val="15"/>
          <w:szCs w:val="15"/>
          <w:color w:val="auto"/>
        </w:rPr>
        <w:t>The General Corporation Law of the State of Delaware, or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votes that all our stockholders would be entitled to cast in any annual election of directors. In addition, the affirmative</w:t>
      </w:r>
    </w:p>
    <w:p>
      <w:pPr>
        <w:spacing w:after="0" w:line="2" w:lineRule="exact"/>
        <w:rPr>
          <w:sz w:val="20"/>
          <w:szCs w:val="20"/>
          <w:color w:val="auto"/>
        </w:rPr>
      </w:pPr>
    </w:p>
    <w:p>
      <w:pPr>
        <w:ind w:right="20"/>
        <w:spacing w:after="0" w:line="216" w:lineRule="auto"/>
        <w:rPr>
          <w:sz w:val="20"/>
          <w:szCs w:val="20"/>
          <w:color w:val="auto"/>
        </w:rPr>
      </w:pPr>
      <w:r>
        <w:rPr>
          <w:rFonts w:ascii="Arial" w:cs="Arial" w:eastAsia="Arial" w:hAnsi="Arial"/>
          <w:sz w:val="17"/>
          <w:szCs w:val="17"/>
          <w:color w:val="auto"/>
        </w:rPr>
        <w:t>vote of the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votes that all our stockholders would be entitled to cast in any election of directors is required to amend or repeal or to adopt any provisions inconsistent with any of the provisions of our amended and restated certificate of incorporation described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subject to the provisions of Section 203 of the Delaware General Corporation Law, or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8"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31" w:lineRule="exact"/>
        <w:rPr>
          <w:sz w:val="20"/>
          <w:szCs w:val="20"/>
          <w:color w:val="auto"/>
        </w:rPr>
      </w:pPr>
    </w:p>
    <w:p>
      <w:pPr>
        <w:ind w:right="280" w:firstLine="351"/>
        <w:spacing w:after="0" w:line="284"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stockholders to our company or our stockholders,</w:t>
      </w:r>
    </w:p>
    <w:p>
      <w:pPr>
        <w:spacing w:after="0" w:line="1" w:lineRule="exact"/>
        <w:rPr>
          <w:sz w:val="20"/>
          <w:szCs w:val="20"/>
          <w:color w:val="auto"/>
        </w:rPr>
      </w:pPr>
    </w:p>
    <w:p>
      <w:pPr>
        <w:ind w:right="140" w:firstLine="8"/>
        <w:spacing w:after="0" w:line="292" w:lineRule="auto"/>
        <w:tabs>
          <w:tab w:leader="none" w:pos="2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action asserting a claim arising pursuant to any provision of the DGCL or as to which the DGCL confers jurisdiction on the Court of Chancery of the State of Delaware, or (4) any action asserting a claim arising pursuant to any provision of our amended and restated certificate of incorporation or amended and restated bylaws (in each case, as they may be amended from time to time) or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amended and restated certificate of incorporation contains the choice of forum provision described above, it is possible that a court could rule that such a provision is inapplicable for a particular claim or action or that such provision is unenforceable.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NY 11219.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"YMAB."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70"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2.1) The particular terms of each series of debt securities will be described in a prospectus supplement relating to such series (including any pricing supplement or term sheet).</w:t>
      </w:r>
    </w:p>
    <w:p>
      <w:pPr>
        <w:spacing w:after="0" w:line="16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2.2)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4"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the principal on a particular series of debt securities is payable;</w:t>
      </w:r>
    </w:p>
    <w:p>
      <w:pPr>
        <w:spacing w:after="0" w:line="25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10"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275" w:lineRule="exact"/>
        <w:rPr>
          <w:rFonts w:ascii="Arial" w:cs="Arial" w:eastAsia="Arial" w:hAnsi="Arial"/>
          <w:sz w:val="16"/>
          <w:szCs w:val="16"/>
          <w:color w:val="auto"/>
        </w:rPr>
      </w:pPr>
    </w:p>
    <w:p>
      <w:pPr>
        <w:jc w:val="both"/>
        <w:ind w:left="1080" w:right="10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spacing w:after="0" w:line="174"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denominations in which the debt securities will be issued, if other than denominations of $1,000 and any integral multiple thereof;</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and premium and interest on, the debt securities will be made;</w:t>
      </w:r>
    </w:p>
    <w:p>
      <w:pPr>
        <w:spacing w:after="0" w:line="199" w:lineRule="exact"/>
        <w:rPr>
          <w:rFonts w:ascii="Arial" w:cs="Arial" w:eastAsia="Arial" w:hAnsi="Arial"/>
          <w:sz w:val="18"/>
          <w:szCs w:val="18"/>
          <w:color w:val="auto"/>
        </w:rPr>
      </w:pPr>
    </w:p>
    <w:p>
      <w:pPr>
        <w:jc w:val="both"/>
        <w:ind w:left="1080" w:right="140" w:hanging="532"/>
        <w:spacing w:after="0" w:line="370"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9" w:lineRule="exact"/>
        <w:rPr>
          <w:rFonts w:ascii="Arial" w:cs="Arial" w:eastAsia="Arial" w:hAnsi="Arial"/>
          <w:sz w:val="15"/>
          <w:szCs w:val="15"/>
          <w:color w:val="auto"/>
        </w:rPr>
      </w:pPr>
    </w:p>
    <w:p>
      <w:pPr>
        <w:jc w:val="both"/>
        <w:ind w:left="1080" w:right="1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38"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261"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66"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(DTC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1" w:lineRule="exact"/>
        <w:rPr>
          <w:sz w:val="20"/>
          <w:szCs w:val="20"/>
          <w:color w:val="auto"/>
        </w:rPr>
      </w:pPr>
    </w:p>
    <w:p>
      <w:pPr>
        <w:ind w:right="20" w:firstLine="345"/>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94" w:lineRule="exact"/>
        <w:rPr>
          <w:sz w:val="20"/>
          <w:szCs w:val="20"/>
          <w:color w:val="auto"/>
        </w:rPr>
      </w:pPr>
    </w:p>
    <w:p>
      <w:pPr>
        <w:jc w:val="both"/>
        <w:ind w:right="40" w:firstLine="351"/>
        <w:spacing w:after="0" w:line="370" w:lineRule="auto"/>
        <w:rPr>
          <w:sz w:val="20"/>
          <w:szCs w:val="20"/>
          <w:color w:val="auto"/>
        </w:rPr>
      </w:pPr>
      <w:r>
        <w:rPr>
          <w:rFonts w:ascii="Arial" w:cs="Arial" w:eastAsia="Arial" w:hAnsi="Arial"/>
          <w:sz w:val="15"/>
          <w:szCs w:val="15"/>
          <w:color w:val="auto"/>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99" w:lineRule="exact"/>
        <w:rPr>
          <w:sz w:val="20"/>
          <w:szCs w:val="20"/>
          <w:color w:val="auto"/>
        </w:rPr>
      </w:pPr>
    </w:p>
    <w:p>
      <w:pPr>
        <w:ind w:left="1080" w:right="4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the company) is a corporation organized and validly existing under the laws of any U.S. domestic jurisdiction and expressly assumes our obligations on the debt securities and under the indenture;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above, any of our subsidiaries may consolidate with, merge into or transfer all or part of its properties to us. (Section 5.1)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39" w:lineRule="exact"/>
        <w:rPr>
          <w:sz w:val="20"/>
          <w:szCs w:val="20"/>
          <w:color w:val="auto"/>
        </w:rPr>
      </w:pPr>
    </w:p>
    <w:p>
      <w:pPr>
        <w:ind w:left="1080" w:right="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payment of principal of any debt security of that series at its maturity;</w:t>
      </w:r>
    </w:p>
    <w:p>
      <w:pPr>
        <w:spacing w:after="0" w:line="238" w:lineRule="exact"/>
        <w:rPr>
          <w:rFonts w:ascii="Arial" w:cs="Arial" w:eastAsia="Arial" w:hAnsi="Arial"/>
          <w:sz w:val="18"/>
          <w:szCs w:val="18"/>
          <w:color w:val="auto"/>
        </w:rPr>
      </w:pPr>
    </w:p>
    <w:p>
      <w:pPr>
        <w:ind w:left="1080" w:right="120" w:hanging="532"/>
        <w:spacing w:after="0" w:line="298"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the company and the trustee receive written notice from the holders of not less than 25% in principal amount of the outstanding debt securities of that series as provided in the indenture;</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the company; or</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w:t>
      </w:r>
    </w:p>
    <w:p>
      <w:pPr>
        <w:jc w:val="both"/>
        <w:ind w:right="160"/>
        <w:spacing w:after="0" w:line="255" w:lineRule="auto"/>
        <w:rPr>
          <w:sz w:val="20"/>
          <w:szCs w:val="20"/>
          <w:color w:val="auto"/>
        </w:rPr>
      </w:pPr>
      <w:r>
        <w:rPr>
          <w:rFonts w:ascii="Arial" w:cs="Arial" w:eastAsia="Arial" w:hAnsi="Arial"/>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9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9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275"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(Section 6.8)</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and the trustee may modify, amend or supplement the indenture or the debt securities of any series without the consent of any holder of any debt security:</w:t>
      </w:r>
    </w:p>
    <w:p>
      <w:pPr>
        <w:spacing w:after="0" w:line="273"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38" w:lineRule="exact"/>
        <w:rPr>
          <w:rFonts w:ascii="Arial" w:cs="Arial" w:eastAsia="Arial" w:hAnsi="Arial"/>
          <w:sz w:val="18"/>
          <w:szCs w:val="18"/>
          <w:color w:val="auto"/>
        </w:rPr>
      </w:pPr>
    </w:p>
    <w:p>
      <w:pPr>
        <w:ind w:left="5620" w:right="1740" w:hanging="5072"/>
        <w:spacing w:after="0" w:line="519" w:lineRule="auto"/>
        <w:tabs>
          <w:tab w:leader="none" w:pos="10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99" w:lineRule="exact"/>
        <w:rPr>
          <w:rFonts w:ascii="Arial" w:cs="Arial" w:eastAsia="Arial" w:hAnsi="Arial"/>
          <w:sz w:val="18"/>
          <w:szCs w:val="18"/>
          <w:color w:val="auto"/>
        </w:rPr>
      </w:pPr>
    </w:p>
    <w:p>
      <w:pPr>
        <w:ind w:left="1080" w:right="9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86"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08"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52" w:lineRule="exact"/>
        <w:rPr>
          <w:rFonts w:ascii="Arial" w:cs="Arial" w:eastAsia="Arial" w:hAnsi="Arial"/>
          <w:sz w:val="18"/>
          <w:szCs w:val="18"/>
          <w:color w:val="auto"/>
        </w:rPr>
      </w:pPr>
    </w:p>
    <w:p>
      <w:pPr>
        <w:ind w:left="1080" w:right="36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52"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98"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199" w:lineRule="exact"/>
        <w:rPr>
          <w:sz w:val="20"/>
          <w:szCs w:val="20"/>
          <w:color w:val="auto"/>
        </w:rPr>
      </w:pPr>
    </w:p>
    <w:p>
      <w:pPr>
        <w:ind w:left="1080" w:right="2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166"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39" w:lineRule="exact"/>
        <w:rPr>
          <w:sz w:val="20"/>
          <w:szCs w:val="20"/>
          <w:color w:val="auto"/>
        </w:rPr>
      </w:pPr>
    </w:p>
    <w:p>
      <w:pPr>
        <w:ind w:left="1080" w:hanging="532"/>
        <w:spacing w:after="0" w:line="254"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211"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manner and at the same times as would have been the case if the deposit and related covenant defeasance had not occurred. (Section 8.4)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particular terms of any issue of warrants will be described in the prospectus supplement relating to the issue. Those terms may include:</w:t>
      </w:r>
    </w:p>
    <w:p>
      <w:pPr>
        <w:spacing w:after="0" w:line="262" w:lineRule="exact"/>
        <w:rPr>
          <w:sz w:val="20"/>
          <w:szCs w:val="20"/>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federal income tax consequences applicable to the warrants; and</w:t>
      </w:r>
    </w:p>
    <w:p>
      <w:pPr>
        <w:spacing w:after="0" w:line="252" w:lineRule="exact"/>
        <w:rPr>
          <w:rFonts w:ascii="Arial" w:cs="Arial" w:eastAsia="Arial" w:hAnsi="Arial"/>
          <w:sz w:val="18"/>
          <w:szCs w:val="18"/>
          <w:color w:val="auto"/>
        </w:rPr>
      </w:pPr>
    </w:p>
    <w:p>
      <w:pPr>
        <w:ind w:left="360" w:firstLine="188"/>
        <w:spacing w:after="0" w:line="501"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 Holders of equity warrants will not be entitled to:</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any rights as stockholders of the company.</w:t>
      </w:r>
    </w:p>
    <w:p>
      <w:pPr>
        <w:spacing w:after="0" w:line="225"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70"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9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OWNERSHIP OF SECURITIES</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97"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70"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6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275"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86" w:lineRule="exact"/>
        <w:rPr>
          <w:sz w:val="20"/>
          <w:szCs w:val="20"/>
          <w:color w:val="auto"/>
        </w:rPr>
      </w:pPr>
    </w:p>
    <w:p>
      <w:pPr>
        <w:ind w:right="500" w:firstLine="351"/>
        <w:spacing w:after="0" w:line="306" w:lineRule="auto"/>
        <w:rPr>
          <w:sz w:val="20"/>
          <w:szCs w:val="20"/>
          <w:color w:val="auto"/>
        </w:rPr>
      </w:pPr>
      <w:r>
        <w:rPr>
          <w:rFonts w:ascii="Arial" w:cs="Arial" w:eastAsia="Arial" w:hAnsi="Arial"/>
          <w:sz w:val="16"/>
          <w:szCs w:val="16"/>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6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74"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31"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239" w:lineRule="exact"/>
        <w:rPr>
          <w:sz w:val="20"/>
          <w:szCs w:val="20"/>
          <w:color w:val="auto"/>
        </w:rPr>
      </w:pPr>
    </w:p>
    <w:p>
      <w:pPr>
        <w:ind w:left="1080" w:right="2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global security will terminate when the following special situations occur:</w:t>
      </w:r>
    </w:p>
    <w:p>
      <w:pPr>
        <w:spacing w:after="0" w:line="239" w:lineRule="exact"/>
        <w:rPr>
          <w:sz w:val="20"/>
          <w:szCs w:val="20"/>
          <w:color w:val="auto"/>
        </w:rPr>
      </w:pPr>
    </w:p>
    <w:p>
      <w:pPr>
        <w:ind w:left="1080" w:right="4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neither we nor any applicable trustee, is responsible for deciding the names of the institutions that will be the initial direct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 and Clearstream</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70"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9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9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 combination of any of these methods or any other method permitted by law.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9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applicable prospectus supplement. If we grant any such option, the terms of such option will be set forth in the prospectus supplement for such securities.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67"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common stock will be listed on the Nasdaq Global Select Market, but any other securities may or may not be listed on a national securities exchange. In order to facilitate the offering of the securities, any underwriters may engage in transactions that stabilize, maintain or otherwise affect the price of the securities or any other securities the prices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Rule 15c6-1 of the Securities Exchange Act of 1934, as amended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9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Certain legal matters in connection with this offering will be passed upon for us by Satterlee Stephens LLP, New York, New York. Any underwriters will also be advised about the validity of the securities and other legal matters by their own counsel, which will be named in the prospectus supplement.</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financial statements incorporated in this prospectus by reference to the </w:t>
      </w:r>
      <w:hyperlink r:id="rId15">
        <w:r>
          <w:rPr>
            <w:rFonts w:ascii="Arial" w:cs="Arial" w:eastAsia="Arial" w:hAnsi="Arial"/>
            <w:sz w:val="18"/>
            <w:szCs w:val="18"/>
            <w:u w:val="single" w:color="auto"/>
            <w:color w:val="0000EE"/>
          </w:rPr>
          <w:t>Annual Report on Form 10-K for the year ended December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subject to the information requirements of the Exchange Act and, in accordance therewith, file annual, quarterly and special reports, proxy statements and other information with the SEC. You may read and copy any document we file, including the registration statement,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written or oral request and without charge. Written requests for such copies should be directed to Y-mAbs Therapeutics, Inc., 230 Park Avenue, Suite 3350, New York, NY 10169, Attention: Secretary. Our website is located at </w:t>
      </w:r>
      <w:r>
        <w:rPr>
          <w:rFonts w:ascii="Arial" w:cs="Arial" w:eastAsia="Arial" w:hAnsi="Arial"/>
          <w:sz w:val="16"/>
          <w:szCs w:val="16"/>
          <w:i w:val="1"/>
          <w:iCs w:val="1"/>
          <w:color w:val="auto"/>
        </w:rPr>
        <w:t>www.ymabs.com</w:t>
      </w:r>
      <w:r>
        <w:rPr>
          <w:rFonts w:ascii="Arial" w:cs="Arial" w:eastAsia="Arial" w:hAnsi="Arial"/>
          <w:sz w:val="16"/>
          <w:szCs w:val="16"/>
          <w:color w:val="auto"/>
        </w:rPr>
        <w:t>. Information contained on our website is not incorporated by reference into this prospectus and, therefore, is not part of this prospectus or any prospectus supplement.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200" w:firstLine="348"/>
        <w:spacing w:after="0" w:line="289" w:lineRule="auto"/>
        <w:rPr>
          <w:sz w:val="20"/>
          <w:szCs w:val="20"/>
          <w:color w:val="auto"/>
        </w:rPr>
      </w:pPr>
      <w:r>
        <w:rPr>
          <w:rFonts w:ascii="Arial" w:cs="Arial" w:eastAsia="Arial" w:hAnsi="Arial"/>
          <w:sz w:val="16"/>
          <w:szCs w:val="16"/>
          <w:color w:val="auto"/>
        </w:rPr>
        <w:t>The SEC allows us to incorporate by reference the information and reports we file with it into this prospectus,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(other than those documents or the portions of those documents not deemed to be filed), and any future filings (other than current reports furnished under Item 2.02 or Item 7.01 of Form 8-K and exhibits filed in such forms that are related to such items unless such Form 8-K expressly provides to the contrary)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furnished and not deemed filed under such provisions, until we sell all of the securities:</w:t>
      </w:r>
    </w:p>
    <w:p>
      <w:pPr>
        <w:spacing w:after="0" w:line="186"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0000EE"/>
        </w:rPr>
      </w:pPr>
      <w:hyperlink r:id="rId15">
        <w:r>
          <w:rPr>
            <w:rFonts w:ascii="Arial" w:cs="Arial" w:eastAsia="Arial" w:hAnsi="Arial"/>
            <w:sz w:val="18"/>
            <w:szCs w:val="18"/>
            <w:u w:val="single" w:color="auto"/>
            <w:color w:val="0000EE"/>
          </w:rPr>
          <w:t>our Annual Report on Form 10-K for the year ended December 31, 2018, filed with the SEC on March 22, 2019</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right="420" w:hanging="532"/>
        <w:spacing w:after="0" w:line="268" w:lineRule="auto"/>
        <w:tabs>
          <w:tab w:leader="none" w:pos="1080" w:val="left"/>
        </w:tabs>
        <w:numPr>
          <w:ilvl w:val="0"/>
          <w:numId w:val="47"/>
        </w:numPr>
        <w:rPr>
          <w:rFonts w:ascii="Arial" w:cs="Arial" w:eastAsia="Arial" w:hAnsi="Arial"/>
          <w:sz w:val="18"/>
          <w:szCs w:val="18"/>
          <w:color w:val="0000EE"/>
        </w:rPr>
      </w:pPr>
      <w:r>
        <w:rPr>
          <w:rFonts w:ascii="Arial" w:cs="Arial" w:eastAsia="Arial" w:hAnsi="Arial"/>
          <w:sz w:val="18"/>
          <w:szCs w:val="18"/>
          <w:color w:val="auto"/>
        </w:rPr>
        <w:t xml:space="preserve">the information specifically incorporated by reference into our </w:t>
      </w:r>
      <w:hyperlink r:id="rId15">
        <w:r>
          <w:rPr>
            <w:rFonts w:ascii="Arial" w:cs="Arial" w:eastAsia="Arial" w:hAnsi="Arial"/>
            <w:sz w:val="18"/>
            <w:szCs w:val="18"/>
            <w:u w:val="single" w:color="auto"/>
            <w:color w:val="0000EE"/>
          </w:rPr>
          <w:t>Annual Report on Form 10-K for the year ended December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w:t>
      </w:r>
      <w:hyperlink r:id="rId52">
        <w:r>
          <w:rPr>
            <w:rFonts w:ascii="Arial" w:cs="Arial" w:eastAsia="Arial" w:hAnsi="Arial"/>
            <w:sz w:val="18"/>
            <w:szCs w:val="18"/>
            <w:u w:val="single" w:color="auto"/>
            <w:color w:val="0000EE"/>
          </w:rPr>
          <w:t>Definitive Proxy Statement on Schedule 14A, filed with the SEC on April 30, 2019</w:t>
        </w:r>
      </w:hyperlink>
      <w:r>
        <w:rPr>
          <w:rFonts w:ascii="Arial" w:cs="Arial" w:eastAsia="Arial" w:hAnsi="Arial"/>
          <w:sz w:val="18"/>
          <w:szCs w:val="18"/>
          <w:color w:val="000000"/>
        </w:rPr>
        <w:t>;</w:t>
      </w:r>
    </w:p>
    <w:p>
      <w:pPr>
        <w:spacing w:after="0" w:line="199" w:lineRule="exact"/>
        <w:rPr>
          <w:rFonts w:ascii="Arial" w:cs="Arial" w:eastAsia="Arial" w:hAnsi="Arial"/>
          <w:sz w:val="18"/>
          <w:szCs w:val="18"/>
          <w:color w:val="0000EE"/>
        </w:rPr>
      </w:pPr>
    </w:p>
    <w:p>
      <w:pPr>
        <w:ind w:left="1080" w:right="760" w:hanging="532"/>
        <w:spacing w:after="0" w:line="268" w:lineRule="auto"/>
        <w:tabs>
          <w:tab w:leader="none" w:pos="1080" w:val="left"/>
        </w:tabs>
        <w:numPr>
          <w:ilvl w:val="0"/>
          <w:numId w:val="47"/>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2019 and June 30, 2019, filed with the SEC on </w:t>
      </w:r>
      <w:hyperlink r:id="rId54">
        <w:r>
          <w:rPr>
            <w:rFonts w:ascii="Arial" w:cs="Arial" w:eastAsia="Arial" w:hAnsi="Arial"/>
            <w:sz w:val="18"/>
            <w:szCs w:val="18"/>
            <w:u w:val="single" w:color="auto"/>
            <w:color w:val="0000EE"/>
          </w:rPr>
          <w:t>May 10,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
        <w:r>
          <w:rPr>
            <w:rFonts w:ascii="Arial" w:cs="Arial" w:eastAsia="Arial" w:hAnsi="Arial"/>
            <w:sz w:val="18"/>
            <w:szCs w:val="18"/>
            <w:u w:val="single" w:color="auto"/>
            <w:color w:val="0000EE"/>
          </w:rPr>
          <w:t>August 14,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199" w:lineRule="exact"/>
        <w:rPr>
          <w:rFonts w:ascii="Arial" w:cs="Arial" w:eastAsia="Arial" w:hAnsi="Arial"/>
          <w:sz w:val="18"/>
          <w:szCs w:val="18"/>
          <w:color w:val="0000EE"/>
        </w:rPr>
      </w:pPr>
    </w:p>
    <w:p>
      <w:pPr>
        <w:ind w:left="1080" w:right="8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55">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June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7">
        <w:r>
          <w:rPr>
            <w:rFonts w:ascii="Arial" w:cs="Arial" w:eastAsia="Arial" w:hAnsi="Arial"/>
            <w:sz w:val="18"/>
            <w:szCs w:val="18"/>
            <w:u w:val="single" w:color="auto"/>
            <w:color w:val="0000EE"/>
          </w:rPr>
          <w:t>September 19,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each case, except for information contained therein which is furnished rather than filed);</w:t>
      </w:r>
    </w:p>
    <w:p>
      <w:pPr>
        <w:spacing w:after="0" w:line="212"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47"/>
        </w:numPr>
        <w:rPr>
          <w:rFonts w:ascii="Arial" w:cs="Arial" w:eastAsia="Arial" w:hAnsi="Arial"/>
          <w:sz w:val="18"/>
          <w:szCs w:val="18"/>
          <w:color w:val="0000EE"/>
        </w:rPr>
      </w:pPr>
      <w:hyperlink r:id="rId58">
        <w:r>
          <w:rPr>
            <w:rFonts w:ascii="Arial" w:cs="Arial" w:eastAsia="Arial" w:hAnsi="Arial"/>
            <w:sz w:val="18"/>
            <w:szCs w:val="18"/>
            <w:u w:val="single" w:color="auto"/>
            <w:color w:val="0000EE"/>
          </w:rPr>
          <w:t>the description of our common stock contained in our registration statement on Form 8-A (Registration No. 001-38650) filed with the SEC on</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September 11, 2018 under Section 12(b) of the Exchange Act, including any amendments or reports filed for the purpose of updating such</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description</w:t>
        </w:r>
        <w:r>
          <w:rPr>
            <w:rFonts w:ascii="Arial" w:cs="Arial" w:eastAsia="Arial" w:hAnsi="Arial"/>
            <w:sz w:val="18"/>
            <w:szCs w:val="18"/>
            <w:color w:val="000000"/>
          </w:rPr>
          <w:t>; and</w:t>
        </w:r>
      </w:hyperlink>
    </w:p>
    <w:p>
      <w:pPr>
        <w:spacing w:after="0" w:line="207" w:lineRule="exact"/>
        <w:rPr>
          <w:rFonts w:ascii="Arial" w:cs="Arial" w:eastAsia="Arial" w:hAnsi="Arial"/>
          <w:sz w:val="18"/>
          <w:szCs w:val="18"/>
          <w:color w:val="0000EE"/>
        </w:rPr>
      </w:pPr>
    </w:p>
    <w:p>
      <w:pPr>
        <w:ind w:left="1080" w:right="120" w:hanging="532"/>
        <w:spacing w:after="0" w:line="30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1"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The SEC file number for each of the documents listed above is 001-38650.</w:t>
      </w:r>
    </w:p>
    <w:p>
      <w:pPr>
        <w:spacing w:after="0" w:line="225" w:lineRule="exact"/>
        <w:rPr>
          <w:rFonts w:ascii="Arial" w:cs="Arial" w:eastAsia="Arial" w:hAnsi="Arial"/>
          <w:sz w:val="18"/>
          <w:szCs w:val="18"/>
          <w:u w:val="single" w:color="auto"/>
          <w:color w:val="0000EE"/>
        </w:rPr>
      </w:pPr>
    </w:p>
    <w:p>
      <w:pPr>
        <w:ind w:firstLine="341"/>
        <w:spacing w:after="0" w:line="256"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97" w:lineRule="exact"/>
        <w:rPr>
          <w:rFonts w:ascii="Arial" w:cs="Arial" w:eastAsia="Arial" w:hAnsi="Arial"/>
          <w:sz w:val="18"/>
          <w:szCs w:val="18"/>
          <w:u w:val="single" w:color="auto"/>
          <w:color w:val="0000EE"/>
        </w:rPr>
      </w:pPr>
    </w:p>
    <w:p>
      <w:pPr>
        <w:jc w:val="both"/>
        <w:ind w:firstLine="351"/>
        <w:spacing w:after="0" w:line="298" w:lineRule="auto"/>
        <w:rPr>
          <w:sz w:val="20"/>
          <w:szCs w:val="20"/>
          <w:color w:val="auto"/>
        </w:rPr>
      </w:pPr>
      <w:r>
        <w:rPr>
          <w:rFonts w:ascii="Arial" w:cs="Arial" w:eastAsia="Arial" w:hAnsi="Arial"/>
          <w:sz w:val="16"/>
          <w:szCs w:val="16"/>
          <w:color w:val="auto"/>
        </w:rPr>
        <w:t>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Y-mAbs Therapeutics, Inc., 230 Park Avenue, Suite 3350, New York, NY 10169, Attention: Secretary or by telephone request to (646) 885-8505.</w:t>
      </w:r>
    </w:p>
    <w:p>
      <w:pPr>
        <w:spacing w:after="0" w:line="167" w:lineRule="exact"/>
        <w:rPr>
          <w:rFonts w:ascii="Arial" w:cs="Arial" w:eastAsia="Arial" w:hAnsi="Arial"/>
          <w:sz w:val="18"/>
          <w:szCs w:val="18"/>
          <w:u w:val="single" w:color="auto"/>
          <w:color w:val="0000EE"/>
        </w:rPr>
      </w:pPr>
    </w:p>
    <w:p>
      <w:pPr>
        <w:ind w:right="120" w:firstLine="348"/>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86"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5"/>
        <w:spacing w:after="0" w:line="256"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4,465,000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160020</wp:posOffset>
            </wp:positionV>
            <wp:extent cx="2649855" cy="9347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264985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4620" w:type="dxa"/>
            <w:vAlign w:val="bottom"/>
          </w:tcPr>
          <w:p>
            <w:pPr>
              <w:ind w:left="1140"/>
              <w:spacing w:after="0"/>
              <w:rPr>
                <w:sz w:val="20"/>
                <w:szCs w:val="20"/>
                <w:color w:val="auto"/>
              </w:rPr>
            </w:pPr>
            <w:r>
              <w:rPr>
                <w:rFonts w:ascii="Arial" w:cs="Arial" w:eastAsia="Arial" w:hAnsi="Arial"/>
                <w:sz w:val="32"/>
                <w:szCs w:val="32"/>
                <w:b w:val="1"/>
                <w:bCs w:val="1"/>
                <w:color w:val="auto"/>
              </w:rPr>
              <w:t>Morgan Stanley</w:t>
            </w:r>
          </w:p>
        </w:tc>
        <w:tc>
          <w:tcPr>
            <w:tcW w:w="2100" w:type="dxa"/>
            <w:vAlign w:val="bottom"/>
          </w:tcPr>
          <w:p>
            <w:pPr>
              <w:jc w:val="center"/>
              <w:spacing w:after="0"/>
              <w:rPr>
                <w:sz w:val="20"/>
                <w:szCs w:val="20"/>
                <w:color w:val="auto"/>
              </w:rPr>
            </w:pPr>
            <w:r>
              <w:rPr>
                <w:rFonts w:ascii="Arial" w:cs="Arial" w:eastAsia="Arial" w:hAnsi="Arial"/>
                <w:sz w:val="32"/>
                <w:szCs w:val="32"/>
                <w:b w:val="1"/>
                <w:bCs w:val="1"/>
                <w:color w:val="auto"/>
                <w:w w:val="93"/>
              </w:rPr>
              <w:t>J.P. Morgan</w:t>
            </w:r>
          </w:p>
        </w:tc>
        <w:tc>
          <w:tcPr>
            <w:tcW w:w="4700" w:type="dxa"/>
            <w:vAlign w:val="bottom"/>
          </w:tcPr>
          <w:p>
            <w:pPr>
              <w:ind w:left="1380"/>
              <w:spacing w:after="0"/>
              <w:rPr>
                <w:sz w:val="20"/>
                <w:szCs w:val="20"/>
                <w:color w:val="auto"/>
              </w:rPr>
            </w:pPr>
            <w:r>
              <w:rPr>
                <w:rFonts w:ascii="Arial" w:cs="Arial" w:eastAsia="Arial" w:hAnsi="Arial"/>
                <w:sz w:val="32"/>
                <w:szCs w:val="32"/>
                <w:b w:val="1"/>
                <w:bCs w:val="1"/>
                <w:color w:val="auto"/>
              </w:rPr>
              <w:t>BofA Securities</w:t>
            </w:r>
          </w:p>
        </w:tc>
      </w:tr>
      <w:tr>
        <w:trPr>
          <w:trHeight w:val="773"/>
        </w:trPr>
        <w:tc>
          <w:tcPr>
            <w:tcW w:w="4620" w:type="dxa"/>
            <w:vAlign w:val="bottom"/>
          </w:tcPr>
          <w:p>
            <w:pPr>
              <w:ind w:left="2340"/>
              <w:spacing w:after="0"/>
              <w:rPr>
                <w:sz w:val="20"/>
                <w:szCs w:val="20"/>
                <w:color w:val="auto"/>
              </w:rPr>
            </w:pPr>
            <w:r>
              <w:rPr>
                <w:rFonts w:ascii="Arial" w:cs="Arial" w:eastAsia="Arial" w:hAnsi="Arial"/>
                <w:sz w:val="24"/>
                <w:szCs w:val="24"/>
                <w:b w:val="1"/>
                <w:bCs w:val="1"/>
                <w:color w:val="auto"/>
              </w:rPr>
              <w:t>Wedbush PacGrow</w:t>
            </w:r>
          </w:p>
        </w:tc>
        <w:tc>
          <w:tcPr>
            <w:tcW w:w="2100" w:type="dxa"/>
            <w:vAlign w:val="bottom"/>
          </w:tcPr>
          <w:p>
            <w:pPr>
              <w:spacing w:after="0"/>
              <w:rPr>
                <w:sz w:val="24"/>
                <w:szCs w:val="24"/>
                <w:color w:val="auto"/>
              </w:rPr>
            </w:pPr>
          </w:p>
        </w:tc>
        <w:tc>
          <w:tcPr>
            <w:tcW w:w="4700" w:type="dxa"/>
            <w:vAlign w:val="bottom"/>
          </w:tcPr>
          <w:p>
            <w:pPr>
              <w:ind w:left="140"/>
              <w:spacing w:after="0"/>
              <w:rPr>
                <w:sz w:val="20"/>
                <w:szCs w:val="20"/>
                <w:color w:val="auto"/>
              </w:rPr>
            </w:pPr>
            <w:r>
              <w:rPr>
                <w:rFonts w:ascii="Arial" w:cs="Arial" w:eastAsia="Arial" w:hAnsi="Arial"/>
                <w:sz w:val="24"/>
                <w:szCs w:val="24"/>
                <w:b w:val="1"/>
                <w:bCs w:val="1"/>
                <w:color w:val="auto"/>
              </w:rPr>
              <w:t>H.C. Wainwright &amp; Co.</w:t>
            </w:r>
          </w:p>
        </w:tc>
      </w:tr>
      <w:tr>
        <w:trPr>
          <w:trHeight w:val="426"/>
        </w:trPr>
        <w:tc>
          <w:tcPr>
            <w:tcW w:w="46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7"/>
              </w:rPr>
              <w:t>October 29, 2019</w:t>
            </w:r>
          </w:p>
        </w:tc>
        <w:tc>
          <w:tcPr>
            <w:tcW w:w="4700" w:type="dxa"/>
            <w:vAlign w:val="bottom"/>
          </w:tcPr>
          <w:p>
            <w:pPr>
              <w:spacing w:after="0"/>
              <w:rPr>
                <w:sz w:val="24"/>
                <w:szCs w:val="24"/>
                <w:color w:val="auto"/>
              </w:rPr>
            </w:pPr>
          </w:p>
        </w:tc>
      </w:tr>
      <w:tr>
        <w:trPr>
          <w:trHeight w:val="218"/>
        </w:trPr>
        <w:tc>
          <w:tcPr>
            <w:tcW w:w="46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r>
      <w:tr>
        <w:trPr>
          <w:trHeight w:val="41"/>
        </w:trPr>
        <w:tc>
          <w:tcPr>
            <w:tcW w:w="46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r>
      <w:tr>
        <w:trPr>
          <w:trHeight w:val="226"/>
        </w:trPr>
        <w:tc>
          <w:tcPr>
            <w:tcW w:w="46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3"/>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3"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jpe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jpe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5" Type="http://schemas.openxmlformats.org/officeDocument/2006/relationships/hyperlink" Target="http://www.sec.gov/Archives/edgar/data/1722964/000155837019002375/ymab-20181231x10k.htm" TargetMode="External"/><Relationship Id="rId16" Type="http://schemas.openxmlformats.org/officeDocument/2006/relationships/hyperlink" Target="http://www.sec.gov/Archives/edgar/data/1722964/000155837019008167/ymab-20190630x10q.htm" TargetMode="External"/><Relationship Id="rId52" Type="http://schemas.openxmlformats.org/officeDocument/2006/relationships/hyperlink" Target="http://www.sec.gov/Archives/edgar/data/1722964/000104746919002749/a2238580zdef14a.htm" TargetMode="External"/><Relationship Id="rId54" Type="http://schemas.openxmlformats.org/officeDocument/2006/relationships/hyperlink" Target="http://www.sec.gov/Archives/edgar/data/1722964/000154478419000003/ymab-20190331x10q.htm" TargetMode="External"/><Relationship Id="rId55" Type="http://schemas.openxmlformats.org/officeDocument/2006/relationships/hyperlink" Target="http://www.sec.gov/Archives/edgar/data/1722964/000110465919025078/a19-9154_18k.htm" TargetMode="External"/><Relationship Id="rId56" Type="http://schemas.openxmlformats.org/officeDocument/2006/relationships/hyperlink" Target="http://www.sec.gov/Archives/edgar/data/1722964/000110465919034296/a19-11208_18k.htm" TargetMode="External"/><Relationship Id="rId57" Type="http://schemas.openxmlformats.org/officeDocument/2006/relationships/hyperlink" Target="http://www.sec.gov/Archives/edgar/data/1722964/000110465919050729/a19-18811_18k.htm" TargetMode="External"/><Relationship Id="rId58" Type="http://schemas.openxmlformats.org/officeDocument/2006/relationships/hyperlink" Target="http://www.sec.gov/Archives/edgar/data/1722964/000110465918056144/a18-5676_10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2019-12-04T22:48:46Z</dcterms:created>
  <dcterms:modified xsi:type="dcterms:W3CDTF">2019-12-04T22:48:46Z</dcterms:modified>
</cp:coreProperties>
</file>