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February 24, 2022</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5" w:lineRule="exact"/>
        <w:rPr>
          <w:sz w:val="24"/>
          <w:szCs w:val="24"/>
          <w:color w:val="auto"/>
        </w:rPr>
      </w:pPr>
    </w:p>
    <w:tbl>
      <w:tblPr>
        <w:tblLayout w:type="fixed"/>
        <w:tblInd w:w="800" w:type="dxa"/>
        <w:tblCellMar>
          <w:top w:w="0" w:type="dxa"/>
          <w:left w:w="0" w:type="dxa"/>
          <w:bottom w:w="0" w:type="dxa"/>
          <w:right w:w="0" w:type="dxa"/>
        </w:tblCellMar>
      </w:tblP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Delaware</w:t>
            </w: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001-38650</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(State or other jurisdiction of</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87"/>
              </w:rPr>
              <w:t>(Commission</w:t>
            </w:r>
          </w:p>
        </w:tc>
        <w:tc>
          <w:tcPr>
            <w:tcW w:w="1900" w:type="dxa"/>
            <w:vAlign w:val="bottom"/>
          </w:tcPr>
          <w:p>
            <w:pPr>
              <w:jc w:val="center"/>
              <w:ind w:left="39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incorporation or organization)</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94"/>
              </w:rPr>
              <w:t>File Number)</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2"/>
              </w:rPr>
              <w:t>Identification No.)</w:t>
            </w: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230 Park Avenue</w:t>
            </w:r>
          </w:p>
        </w:tc>
        <w:tc>
          <w:tcPr>
            <w:tcW w:w="1900" w:type="dxa"/>
            <w:vAlign w:val="bottom"/>
          </w:tcPr>
          <w:p>
            <w:pPr>
              <w:spacing w:after="0"/>
              <w:rPr>
                <w:sz w:val="24"/>
                <w:szCs w:val="24"/>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89"/>
              </w:rPr>
              <w:t>Suite 3350</w:t>
            </w:r>
          </w:p>
        </w:tc>
        <w:tc>
          <w:tcPr>
            <w:tcW w:w="1900" w:type="dxa"/>
            <w:vAlign w:val="bottom"/>
          </w:tcPr>
          <w:p>
            <w:pPr>
              <w:spacing w:after="0"/>
              <w:rPr>
                <w:sz w:val="18"/>
                <w:szCs w:val="18"/>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2"/>
              </w:rPr>
              <w:t>New York, New York 10169</w:t>
            </w:r>
          </w:p>
        </w:tc>
        <w:tc>
          <w:tcPr>
            <w:tcW w:w="1900" w:type="dxa"/>
            <w:vAlign w:val="bottom"/>
          </w:tcPr>
          <w:p>
            <w:pPr>
              <w:spacing w:after="0"/>
              <w:rPr>
                <w:sz w:val="18"/>
                <w:szCs w:val="18"/>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9"/>
              </w:rPr>
              <w:t>(Address of principal executive offices) (Zip Code)</w:t>
            </w:r>
          </w:p>
        </w:tc>
        <w:tc>
          <w:tcPr>
            <w:tcW w:w="1900" w:type="dxa"/>
            <w:vAlign w:val="bottom"/>
          </w:tcPr>
          <w:p>
            <w:pPr>
              <w:spacing w:after="0"/>
              <w:rPr>
                <w:sz w:val="20"/>
                <w:szCs w:val="20"/>
                <w:color w:val="auto"/>
              </w:rPr>
            </w:pP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(646) 885-8505</w:t>
            </w:r>
          </w:p>
        </w:tc>
        <w:tc>
          <w:tcPr>
            <w:tcW w:w="1900" w:type="dxa"/>
            <w:vAlign w:val="bottom"/>
          </w:tcPr>
          <w:p>
            <w:pPr>
              <w:spacing w:after="0"/>
              <w:rPr>
                <w:sz w:val="24"/>
                <w:szCs w:val="24"/>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8"/>
              </w:rPr>
              <w:t>(Registrant’s telephone number, include area code)</w:t>
            </w:r>
          </w:p>
        </w:tc>
        <w:tc>
          <w:tcPr>
            <w:tcW w:w="190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4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Title of each class:</w:t>
            </w:r>
          </w:p>
        </w:tc>
        <w:tc>
          <w:tcPr>
            <w:tcW w:w="25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42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On February 24, 2022, Y-mAbs Therapeutics, Inc., announced its financial results for the fiscal year ended December 31, 2021. A copy of the press release is attached hereto as Exhibit 99.1.</w:t>
      </w:r>
    </w:p>
    <w:p>
      <w:pPr>
        <w:spacing w:after="0" w:line="170"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The information furnished pursuant to Item 2.02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240" w:type="dxa"/>
            <w:vAlign w:val="bottom"/>
            <w:gridSpan w:val="4"/>
          </w:tcPr>
          <w:p>
            <w:pPr>
              <w:ind w:left="100"/>
              <w:spacing w:after="0"/>
              <w:rPr>
                <w:sz w:val="20"/>
                <w:szCs w:val="20"/>
                <w:color w:val="auto"/>
              </w:rPr>
            </w:pPr>
            <w:r>
              <w:rPr>
                <w:rFonts w:ascii="Arial" w:cs="Arial" w:eastAsia="Arial" w:hAnsi="Arial"/>
                <w:sz w:val="18"/>
                <w:szCs w:val="18"/>
                <w:color w:val="auto"/>
              </w:rPr>
              <w:t>(d) Exhibits</w:t>
            </w:r>
          </w:p>
        </w:tc>
      </w:tr>
      <w:tr>
        <w:trPr>
          <w:trHeight w:val="439"/>
        </w:trPr>
        <w:tc>
          <w:tcPr>
            <w:tcW w:w="100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Exhibit No.</w:t>
            </w:r>
          </w:p>
        </w:tc>
        <w:tc>
          <w:tcPr>
            <w:tcW w:w="120" w:type="dxa"/>
            <w:vAlign w:val="bottom"/>
            <w:tcBorders>
              <w:bottom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978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392"/>
        </w:trPr>
        <w:tc>
          <w:tcPr>
            <w:tcW w:w="100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78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February 24, 2022.</w:t>
              </w:r>
            </w:hyperlink>
          </w:p>
        </w:tc>
      </w:tr>
      <w:tr>
        <w:trPr>
          <w:trHeight w:val="20"/>
        </w:trPr>
        <w:tc>
          <w:tcPr>
            <w:tcW w:w="320" w:type="dxa"/>
            <w:vAlign w:val="bottom"/>
            <w:shd w:val="clear" w:color="auto" w:fill="0000EE"/>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80" w:type="dxa"/>
            <w:vAlign w:val="bottom"/>
            <w:shd w:val="clear" w:color="auto" w:fill="0000EE"/>
          </w:tcPr>
          <w:p>
            <w:pPr>
              <w:spacing w:after="0" w:line="20" w:lineRule="exact"/>
              <w:rPr>
                <w:sz w:val="1"/>
                <w:szCs w:val="1"/>
                <w:color w:val="auto"/>
              </w:rPr>
            </w:pPr>
          </w:p>
        </w:tc>
        <w:tc>
          <w:tcPr>
            <w:tcW w:w="6900" w:type="dxa"/>
            <w:vAlign w:val="bottom"/>
          </w:tcPr>
          <w:p>
            <w:pPr>
              <w:spacing w:after="0" w:line="20" w:lineRule="exact"/>
              <w:rPr>
                <w:sz w:val="1"/>
                <w:szCs w:val="1"/>
                <w:color w:val="auto"/>
              </w:rPr>
            </w:pPr>
          </w:p>
        </w:tc>
      </w:tr>
      <w:tr>
        <w:trPr>
          <w:trHeight w:val="453"/>
        </w:trPr>
        <w:tc>
          <w:tcPr>
            <w:tcW w:w="320" w:type="dxa"/>
            <w:vAlign w:val="bottom"/>
          </w:tcPr>
          <w:p>
            <w:pPr>
              <w:spacing w:after="0"/>
              <w:rPr>
                <w:sz w:val="20"/>
                <w:szCs w:val="20"/>
                <w:color w:val="auto"/>
              </w:rPr>
            </w:pPr>
            <w:r>
              <w:rPr>
                <w:rFonts w:ascii="Arial" w:cs="Arial" w:eastAsia="Arial" w:hAnsi="Arial"/>
                <w:sz w:val="18"/>
                <w:szCs w:val="18"/>
                <w:color w:val="auto"/>
                <w:w w:val="99"/>
              </w:rPr>
              <w:t>104</w:t>
            </w: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780" w:type="dxa"/>
            <w:vAlign w:val="bottom"/>
            <w:gridSpan w:val="2"/>
          </w:tcPr>
          <w:p>
            <w:pPr>
              <w:spacing w:after="0"/>
              <w:rPr>
                <w:sz w:val="20"/>
                <w:szCs w:val="20"/>
                <w:color w:val="auto"/>
              </w:rPr>
            </w:pPr>
            <w:r>
              <w:rPr>
                <w:rFonts w:ascii="Arial" w:cs="Arial" w:eastAsia="Arial" w:hAnsi="Arial"/>
                <w:sz w:val="18"/>
                <w:szCs w:val="18"/>
                <w:color w:val="auto"/>
              </w:rPr>
              <w:t>Interactive Data File (embedded within the Inline XBRL document).</w:t>
            </w:r>
          </w:p>
        </w:tc>
      </w:tr>
      <w:tr>
        <w:trPr>
          <w:trHeight w:val="648"/>
        </w:trPr>
        <w:tc>
          <w:tcPr>
            <w:tcW w:w="3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880" w:type="dxa"/>
            <w:vAlign w:val="bottom"/>
            <w:tcBorders>
              <w:bottom w:val="single" w:sz="8" w:color="auto"/>
            </w:tcBorders>
          </w:tcPr>
          <w:p>
            <w:pPr>
              <w:spacing w:after="0"/>
              <w:rPr>
                <w:sz w:val="24"/>
                <w:szCs w:val="24"/>
                <w:color w:val="auto"/>
              </w:rPr>
            </w:pPr>
          </w:p>
        </w:tc>
        <w:tc>
          <w:tcPr>
            <w:tcW w:w="69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120"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right="8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00" w:type="dxa"/>
            <w:vAlign w:val="bottom"/>
          </w:tcPr>
          <w:p>
            <w:pPr>
              <w:spacing w:after="0"/>
              <w:rPr>
                <w:sz w:val="20"/>
                <w:szCs w:val="20"/>
                <w:color w:val="auto"/>
              </w:rPr>
            </w:pPr>
          </w:p>
        </w:tc>
        <w:tc>
          <w:tcPr>
            <w:tcW w:w="7540" w:type="dxa"/>
            <w:vAlign w:val="bottom"/>
            <w:gridSpan w:val="2"/>
          </w:tcPr>
          <w:p>
            <w:pPr>
              <w:ind w:left="1940"/>
              <w:spacing w:after="0"/>
              <w:rPr>
                <w:sz w:val="20"/>
                <w:szCs w:val="20"/>
                <w:color w:val="auto"/>
              </w:rPr>
            </w:pPr>
            <w:r>
              <w:rPr>
                <w:rFonts w:ascii="Arial" w:cs="Arial" w:eastAsia="Arial" w:hAnsi="Arial"/>
                <w:sz w:val="18"/>
                <w:szCs w:val="18"/>
                <w:color w:val="auto"/>
              </w:rPr>
              <w:t>Y-MABS THERAPEUTICS, INC.</w:t>
            </w:r>
          </w:p>
        </w:tc>
      </w:tr>
      <w:tr>
        <w:trPr>
          <w:trHeight w:val="432"/>
        </w:trPr>
        <w:tc>
          <w:tcPr>
            <w:tcW w:w="3700" w:type="dxa"/>
            <w:vAlign w:val="bottom"/>
          </w:tcPr>
          <w:p>
            <w:pPr>
              <w:spacing w:after="0"/>
              <w:rPr>
                <w:sz w:val="20"/>
                <w:szCs w:val="20"/>
                <w:color w:val="auto"/>
              </w:rPr>
            </w:pPr>
            <w:r>
              <w:rPr>
                <w:rFonts w:ascii="Arial" w:cs="Arial" w:eastAsia="Arial" w:hAnsi="Arial"/>
                <w:sz w:val="18"/>
                <w:szCs w:val="18"/>
                <w:color w:val="auto"/>
              </w:rPr>
              <w:t>Date: February 24, 2022</w:t>
            </w:r>
          </w:p>
        </w:tc>
        <w:tc>
          <w:tcPr>
            <w:tcW w:w="7540" w:type="dxa"/>
            <w:vAlign w:val="bottom"/>
            <w:gridSpan w:val="2"/>
          </w:tcPr>
          <w:p>
            <w:pPr>
              <w:ind w:left="1940"/>
              <w:spacing w:after="0"/>
              <w:rPr>
                <w:sz w:val="20"/>
                <w:szCs w:val="20"/>
                <w:color w:val="auto"/>
              </w:rPr>
            </w:pPr>
            <w:r>
              <w:rPr>
                <w:rFonts w:ascii="Arial" w:cs="Arial" w:eastAsia="Arial" w:hAnsi="Arial"/>
                <w:sz w:val="18"/>
                <w:szCs w:val="18"/>
                <w:color w:val="auto"/>
              </w:rPr>
              <w:t>By: /s/ Thomas Gad</w:t>
            </w:r>
          </w:p>
        </w:tc>
      </w:tr>
      <w:tr>
        <w:trPr>
          <w:trHeight w:val="195"/>
        </w:trPr>
        <w:tc>
          <w:tcPr>
            <w:tcW w:w="370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52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r>
      <w:tr>
        <w:trPr>
          <w:trHeight w:val="216"/>
        </w:trPr>
        <w:tc>
          <w:tcPr>
            <w:tcW w:w="370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w w:val="95"/>
              </w:rPr>
              <w:t>Founder, Chairman, President and Head of Business Development &amp;</w:t>
            </w:r>
          </w:p>
        </w:tc>
      </w:tr>
      <w:tr>
        <w:trPr>
          <w:trHeight w:val="230"/>
        </w:trPr>
        <w:tc>
          <w:tcPr>
            <w:tcW w:w="370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Strategy</w:t>
            </w:r>
          </w:p>
        </w:tc>
      </w:tr>
      <w:tr>
        <w:trPr>
          <w:trHeight w:val="648"/>
        </w:trPr>
        <w:tc>
          <w:tcPr>
            <w:tcW w:w="370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4231005</wp:posOffset>
            </wp:positionH>
            <wp:positionV relativeFrom="paragraph">
              <wp:posOffset>154305</wp:posOffset>
            </wp:positionV>
            <wp:extent cx="2880360" cy="8058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880360" cy="805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Y-mAbs Reports Fourth Quarter and Full Year 2021 Financial Results and Recent Corporate Developments</w:t>
      </w:r>
    </w:p>
    <w:p>
      <w:pPr>
        <w:spacing w:after="0" w:line="225" w:lineRule="exact"/>
        <w:rPr>
          <w:sz w:val="20"/>
          <w:szCs w:val="20"/>
          <w:color w:val="auto"/>
        </w:rPr>
      </w:pPr>
    </w:p>
    <w:p>
      <w:pPr>
        <w:ind w:left="660" w:hanging="328"/>
        <w:spacing w:after="0"/>
        <w:tabs>
          <w:tab w:leader="none" w:pos="660"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Announced completion of pre-BLA meeting with the FDA for omburtamab BLA resubmission expected by the end of first quarter 2022</w:t>
      </w:r>
    </w:p>
    <w:p>
      <w:pPr>
        <w:spacing w:after="0" w:line="248" w:lineRule="exact"/>
        <w:rPr>
          <w:rFonts w:ascii="Arial" w:cs="Arial" w:eastAsia="Arial" w:hAnsi="Arial"/>
          <w:sz w:val="16"/>
          <w:szCs w:val="16"/>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DANYELZA® adoption drives sequential revenue increase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Completed IND submission to the FDA for first SADA construct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Appointed Sue Smith as Chief Commercial Officer</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Strong cash position with $181.6 million as of December 31, 2021, providing runway through the end of 2023</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The Company will host a conference call on Friday, February 25, 2022, at 9 a.m. EST</w:t>
      </w:r>
    </w:p>
    <w:p>
      <w:pPr>
        <w:spacing w:after="0" w:line="200" w:lineRule="exact"/>
        <w:rPr>
          <w:sz w:val="20"/>
          <w:szCs w:val="20"/>
          <w:color w:val="auto"/>
        </w:rPr>
      </w:pPr>
    </w:p>
    <w:p>
      <w:pPr>
        <w:spacing w:after="0" w:line="245" w:lineRule="exact"/>
        <w:rPr>
          <w:sz w:val="20"/>
          <w:szCs w:val="20"/>
          <w:color w:val="auto"/>
        </w:rPr>
      </w:pPr>
    </w:p>
    <w:p>
      <w:pPr>
        <w:ind w:right="120"/>
        <w:spacing w:after="0" w:line="311" w:lineRule="auto"/>
        <w:rPr>
          <w:sz w:val="20"/>
          <w:szCs w:val="20"/>
          <w:color w:val="auto"/>
        </w:rPr>
      </w:pPr>
      <w:r>
        <w:rPr>
          <w:rFonts w:ascii="Arial" w:cs="Arial" w:eastAsia="Arial" w:hAnsi="Arial"/>
          <w:sz w:val="16"/>
          <w:szCs w:val="16"/>
          <w:color w:val="auto"/>
        </w:rPr>
        <w:t>New York, NY, February 24, 2022 (GLOBE NEWSWIRE) – Y-mAbs Therapeutics, Inc. (the “Company” or “Y-mAbs”) (Nasdaq: YMAB) a commercial-stage biopharmaceutical company focused on the development and commercialization of novel, antibody-based therapeutic products for the treatment of cancer, today reported financial results for the fourth quarter and the full year ended December 31, 2021 and provided recent corporate highlights.</w:t>
      </w:r>
    </w:p>
    <w:p>
      <w:pPr>
        <w:spacing w:after="0" w:line="149"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"In recent months, we have achieved significant progress on the omburtamab BLA, which we expect to resubmit to the FDA by the end of the first quarter of 2022,” said Dr. Claus Moller, Chief Executive Officer. “We believe we now have a clear regulatory path in place and are one step closer to our goal of delivering omburtamab to children suffering from high-risk neuroblastoma brain tumors. In parallel, we are continuing to advance SADA, our novel platform for targeted radioisotope delivery that can potentially be adapted to various tumor targets. We filed an IND for GD2-SADA, the first SADA construct for potential use in GD2 positive solid tumors and are now accelerating pre-clinical testing with plans to submit at least one IND per year for additional SADA targets. In the meantime, we are actively pursuing additional collaboration and partnership opportunities.”</w:t>
      </w:r>
    </w:p>
    <w:p>
      <w:pPr>
        <w:spacing w:after="0" w:line="164" w:lineRule="exact"/>
        <w:rPr>
          <w:sz w:val="20"/>
          <w:szCs w:val="20"/>
          <w:color w:val="auto"/>
        </w:rPr>
      </w:pPr>
    </w:p>
    <w:p>
      <w:pPr>
        <w:jc w:val="both"/>
        <w:ind w:right="260"/>
        <w:spacing w:after="0" w:line="257" w:lineRule="auto"/>
        <w:rPr>
          <w:sz w:val="20"/>
          <w:szCs w:val="20"/>
          <w:color w:val="auto"/>
        </w:rPr>
      </w:pPr>
      <w:r>
        <w:rPr>
          <w:rFonts w:ascii="Arial" w:cs="Arial" w:eastAsia="Arial" w:hAnsi="Arial"/>
          <w:sz w:val="18"/>
          <w:szCs w:val="18"/>
          <w:color w:val="auto"/>
        </w:rPr>
        <w:t>“We are very pleased with our 2021 financial results, especially with our continued execution of the DANYELZA commercial launch, which generated revenues of $32.9 million in its first year,” said Thomas Gad, Founder, Chairman and President. “We continue to be focused on our oncology programs, supported by a strong balance sheet. We ended the year with $181.6 million in cash, that is anticipated to support us through multiple potentially value-creating catalysts by the end of 2023. We believe that we are well-positioned to elevate our business and we expect that 2022 will be another productive year for Y-mAbs.”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Fourth Quarter 2021 and Recent Corporate Developments</w:t>
      </w:r>
    </w:p>
    <w:p>
      <w:pPr>
        <w:spacing w:after="0" w:line="229" w:lineRule="exact"/>
        <w:rPr>
          <w:sz w:val="20"/>
          <w:szCs w:val="20"/>
          <w:color w:val="auto"/>
        </w:rPr>
      </w:pPr>
    </w:p>
    <w:p>
      <w:pPr>
        <w:ind w:left="660" w:right="500" w:hanging="328"/>
        <w:spacing w:after="0" w:line="308" w:lineRule="auto"/>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Subsequent to the end of the fourth quarter, on February 11, 2022, Y-mAbs announced the completion of a Pre-BLA Meeting with FDA for omburtamab and confirmed the timeline for resubmission of the omburtamab BLA by the end of the first quarter of 2022.</w:t>
      </w:r>
    </w:p>
    <w:p>
      <w:pPr>
        <w:spacing w:after="0" w:line="146" w:lineRule="exact"/>
        <w:rPr>
          <w:rFonts w:ascii="Arial" w:cs="Arial" w:eastAsia="Arial" w:hAnsi="Arial"/>
          <w:sz w:val="17"/>
          <w:szCs w:val="17"/>
          <w:color w:val="auto"/>
        </w:rPr>
      </w:pPr>
    </w:p>
    <w:p>
      <w:pPr>
        <w:ind w:left="660" w:right="320" w:hanging="328"/>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 December 15, 2021, Y-mAbs announced a pipeline update, including compassionate use data from an investigational infusion protocol for naxitamab. It was observed that the protocol may help managing Grade 3 and Grade 4 adverse events.</w:t>
      </w:r>
    </w:p>
    <w:p>
      <w:pPr>
        <w:spacing w:after="0" w:line="170" w:lineRule="exact"/>
        <w:rPr>
          <w:rFonts w:ascii="Arial" w:cs="Arial" w:eastAsia="Arial" w:hAnsi="Arial"/>
          <w:sz w:val="18"/>
          <w:szCs w:val="18"/>
          <w:color w:val="auto"/>
        </w:rPr>
      </w:pPr>
    </w:p>
    <w:p>
      <w:pPr>
        <w:ind w:left="660" w:right="120" w:hanging="328"/>
        <w:spacing w:after="0" w:line="263"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 December 14, 2021, Y-mAbs appointed Sue Smith to the role of Senior Vice-President, Chief Commercial Officer, effective January 1, 2022. Ms. Smith brings more than 25 years of extensive commercial experience including several successful product launches within cancer, rare diseases, and endocrinology.</w:t>
      </w:r>
    </w:p>
    <w:p>
      <w:pPr>
        <w:spacing w:after="0" w:line="183" w:lineRule="exact"/>
        <w:rPr>
          <w:rFonts w:ascii="Arial" w:cs="Arial" w:eastAsia="Arial" w:hAnsi="Arial"/>
          <w:sz w:val="18"/>
          <w:szCs w:val="18"/>
          <w:color w:val="auto"/>
        </w:rPr>
      </w:pPr>
    </w:p>
    <w:p>
      <w:pPr>
        <w:ind w:left="660" w:right="220" w:hanging="328"/>
        <w:spacing w:after="0" w:line="277"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On October 7, 2021, Y-mAbs announced that the U.S. Food and Drug Administration (“FDA”) had granted Rare Pediatric Disease Designation (“RPDD”) for the Company’s lutetium labeled omburtamab antibody program for the treatment of medulloblastoma.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337" w:right="37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4434205</wp:posOffset>
            </wp:positionH>
            <wp:positionV relativeFrom="page">
              <wp:posOffset>586105</wp:posOffset>
            </wp:positionV>
            <wp:extent cx="2880360" cy="8058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880360" cy="805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Results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Revenues</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Y-mAbs reported net revenue of $34.9 million for the year ended December 31, 2021, which consisted of product revenues of $32.9 million, generated from sales of DANYELZA, our first FDA approved product, and licensing revenues of $2.0 million related to a licensing agreement in Latin America. The gross margin for product revenues was 93% in 2021. Y-mAbs reported net revenues of $20.8 million for the year ended December 31, 2020, related to its licensing agreements in China and Israel. Y-mAbs did not have product revenues for the year ended December 31, 2020, as DANYELZA was not approved by the FDA until late November 2020.</w:t>
      </w:r>
    </w:p>
    <w:p>
      <w:pPr>
        <w:spacing w:after="0" w:line="188" w:lineRule="exact"/>
        <w:rPr>
          <w:sz w:val="20"/>
          <w:szCs w:val="20"/>
          <w:color w:val="auto"/>
        </w:rPr>
      </w:pPr>
    </w:p>
    <w:p>
      <w:pPr>
        <w:jc w:val="both"/>
        <w:ind w:right="200"/>
        <w:spacing w:after="0" w:line="301" w:lineRule="auto"/>
        <w:rPr>
          <w:sz w:val="20"/>
          <w:szCs w:val="20"/>
          <w:color w:val="auto"/>
        </w:rPr>
      </w:pPr>
      <w:r>
        <w:rPr>
          <w:rFonts w:ascii="Arial" w:cs="Arial" w:eastAsia="Arial" w:hAnsi="Arial"/>
          <w:sz w:val="16"/>
          <w:szCs w:val="16"/>
          <w:color w:val="auto"/>
        </w:rPr>
        <w:t>For the fourth quarter of 2021, Y-mAbs incurred net revenues of $9.6 million, which consisted of product revenues from the sales of DANYELZA. Sales were up 7.1% from the third quarter 2021, and we have now delivered DANYELZA to 28 centers across the nation, an increase of four centers since the third quarter 2021. Treatment centers outside MSK accounted for approximately 40% of the product revenues during the fourth quarter of 2021. Y-mAbs incurred net revenues of $20.8 million for the quarter ending December 31, 2020, related to its licensing agreements in China and Israel.</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Expenses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w:t>
      </w:r>
    </w:p>
    <w:p>
      <w:pPr>
        <w:spacing w:after="0" w:line="229" w:lineRule="exact"/>
        <w:rPr>
          <w:sz w:val="20"/>
          <w:szCs w:val="20"/>
          <w:color w:val="auto"/>
        </w:rPr>
      </w:pPr>
    </w:p>
    <w:p>
      <w:pPr>
        <w:ind w:right="280"/>
        <w:spacing w:after="0" w:line="279" w:lineRule="auto"/>
        <w:rPr>
          <w:sz w:val="20"/>
          <w:szCs w:val="20"/>
          <w:color w:val="auto"/>
        </w:rPr>
      </w:pPr>
      <w:r>
        <w:rPr>
          <w:rFonts w:ascii="Arial" w:cs="Arial" w:eastAsia="Arial" w:hAnsi="Arial"/>
          <w:sz w:val="17"/>
          <w:szCs w:val="17"/>
          <w:color w:val="auto"/>
        </w:rPr>
        <w:t>Y-mAbs is anticipating a BLA resubmission for omburtamab by the end of the first quarter 2022 and at the same time, the Company is advancing its antibody constructs through the clinic; predominantly DANYELZA, omburtamab, and the SADA constructs. Research and development expenses were $93.2 million for the twelve months ended December 31, 2021, compared to $93.7 million for the twelve months ended December 31, 2020. The $0.5 million decrease in research and development expenses primarily reflects the following main items:</w:t>
      </w:r>
    </w:p>
    <w:p>
      <w:pPr>
        <w:spacing w:after="0" w:line="171"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$4.8 million decrease in regulatory affairs expenses; and</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$13.3 million decrease in milestones and license acquisition costs.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decreases mentioned above were partially offset by the following increases:</w:t>
      </w:r>
    </w:p>
    <w:p>
      <w:pPr>
        <w:spacing w:after="0" w:line="225"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$6.2 million increase in outsourced manufacturing expenses;</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$4.1 million increase in personnel costs associated with research and development activities; and</w:t>
      </w:r>
    </w:p>
    <w:p>
      <w:pPr>
        <w:spacing w:after="0" w:line="9"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$3.9 million increase in clinical trial expenses.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Administration</w:t>
      </w:r>
    </w:p>
    <w:p>
      <w:pPr>
        <w:spacing w:after="0" w:line="229"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Selling, general, and administrative expenses were $54.6 million for the twelve months ended December 31, 2021, compared to $44.8 million for the twelve months ended December 31, 2020, corresponding to an increase of $9.8 million. The increase in selling, general, and administrative expenses was primarily due to a $8.9 million increase in personnel costs, partly associated with the expansion of our commercial team that is poised to drive further adoption of DANYELZA in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419100</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1440" w:right="359" w:bottom="1440"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4434205</wp:posOffset>
            </wp:positionH>
            <wp:positionV relativeFrom="page">
              <wp:posOffset>586105</wp:posOffset>
            </wp:positionV>
            <wp:extent cx="2880360" cy="8058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2880360" cy="805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Result</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Y-mAbs reported a net loss of $55.3 million, or ($1.28) per basic and diluted share, for the year ended December 31, 2021, compared to a net loss of $119.3 million, or ($2.97) per basic and diluted share, reported for the year ended December 31, 2020. The decrease in net loss was primarily caused by the sale in January 2021 of the priority review voucher received upon the approval of DANYELZA and the DANYELZA revenues generated in 2021, partially offset by increases in operating expenses related to the commercialization of DANYELZA in the United States.</w:t>
      </w:r>
    </w:p>
    <w:p>
      <w:pPr>
        <w:spacing w:after="0" w:line="17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For the quarter ended December 31, 2021, Y-mAbs incurred a net loss of $36.9 million, or ($0.85) per basic and diluted share, which compares to a net loss of $19.9 million, or ($0.48) per basic and diluted share, incurred for the quarter ended December 31, 2020. The increase in net loss was primarily caused by the DANYELZA revenues in 2021 not fully offsetting the licensing income in the fourth quarter of 2020.</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Company had approximately $181.6 million in cash and cash equivalents as of December 31, 2021.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Webcast and Conference Call</w:t>
      </w:r>
    </w:p>
    <w:p>
      <w:pPr>
        <w:spacing w:after="0" w:line="229"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The Company will host a conference call on Friday, February 25, 2022, at 9 a.m. Eastern Time. To participate in the call, please dial 877-407-0792 (domestic) or 201-689-8263 (international) and reference the conference ID 13726652.</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 webcast will be available at: https://viavid.webcasts.com/starthere.jsp?ei=1526062&amp;tp_key=59e1f9cc51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ind w:right="120"/>
        <w:spacing w:after="0" w:line="301" w:lineRule="auto"/>
        <w:rPr>
          <w:sz w:val="20"/>
          <w:szCs w:val="20"/>
          <w:color w:val="auto"/>
        </w:rPr>
      </w:pPr>
      <w:r>
        <w:rPr>
          <w:rFonts w:ascii="Arial" w:cs="Arial" w:eastAsia="Arial" w:hAnsi="Arial"/>
          <w:sz w:val="16"/>
          <w:szCs w:val="16"/>
          <w:color w:val="auto"/>
        </w:rPr>
        <w:t>Y-mAbs is a commercial-stage biopharmaceutical company focused on the development and commercialization of novel, antibody-based therapeutic cancer products. In addition to conventional antibodies, the Company’s technologies include bispecific antibodies generated using the Y-BiClone platform and the SADA platform. The Company’s broad and advanced product pipeline includes one FDA-approved product, DANYELZA (naxitamab-gqgk), which targets tumors that express GD2, and one product candidate at the registration-stage, omburtamab, which targets tumors that express B7-H3.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400050</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1440" w:right="359" w:bottom="1440" w:gutter="0" w:footer="0" w:header="0"/>
        </w:sectPr>
      </w:pPr>
    </w:p>
    <w:bookmarkStart w:id="6" w:name="page7"/>
    <w:bookmarkEnd w:id="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4434205</wp:posOffset>
            </wp:positionH>
            <wp:positionV relativeFrom="page">
              <wp:posOffset>586105</wp:posOffset>
            </wp:positionV>
            <wp:extent cx="2880360" cy="8058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2880360" cy="805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commercialization and product distribution plans; current and future clinical and pre-clinical studies and our research and development programs; expectations related to the timing of the initiation and completion of regulatory submissions; regulatory, marketing and reimbursement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developments relating to our competitors and our industry; and other statements that are not historical facts. Words such as ‘‘anticipate,’’ ‘‘believe,’’ “contemplate,” ‘‘continue,’’ ‘‘could,’’ ‘‘estimate,’’ ‘‘expect,’’ “hope,”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risks associated with the pandemic caused by the coronavirus known as COVID-19 and other risks and uncertainties affecting the Company including those described in the "Risk Factors" section included in our Annual Report on Form 10-K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color w:val="auto"/>
        </w:rPr>
        <w:t>“DANYELZA” and “Y-mAbs” are registered trademarks of Y-mAbs Therapeutics, Inc.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43" w:lineRule="exact"/>
        <w:rPr>
          <w:sz w:val="20"/>
          <w:szCs w:val="20"/>
          <w:color w:val="auto"/>
        </w:rPr>
      </w:pPr>
    </w:p>
    <w:p>
      <w:pPr>
        <w:ind w:left="20"/>
        <w:spacing w:after="0"/>
        <w:rPr>
          <w:sz w:val="20"/>
          <w:szCs w:val="20"/>
          <w:color w:val="auto"/>
        </w:rPr>
      </w:pPr>
      <w:r>
        <w:rPr>
          <w:rFonts w:ascii="Arial" w:cs="Arial" w:eastAsia="Arial" w:hAnsi="Arial"/>
          <w:sz w:val="18"/>
          <w:szCs w:val="18"/>
          <w:color w:val="auto"/>
        </w:rPr>
        <w:t>Y-mAbs Therapeutics,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1783080" cy="12515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783080" cy="1251585"/>
                    </a:xfrm>
                    <a:prstGeom prst="rect">
                      <a:avLst/>
                    </a:prstGeom>
                    <a:noFill/>
                  </pic:spPr>
                </pic:pic>
              </a:graphicData>
            </a:graphic>
          </wp:anchor>
        </w:drawing>
      </w:r>
    </w:p>
    <w:p>
      <w:pPr>
        <w:spacing w:after="0" w:line="3" w:lineRule="exact"/>
        <w:rPr>
          <w:sz w:val="20"/>
          <w:szCs w:val="20"/>
          <w:color w:val="auto"/>
        </w:rPr>
      </w:pPr>
    </w:p>
    <w:p>
      <w:pPr>
        <w:ind w:left="20"/>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ind w:left="20"/>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ind w:left="20"/>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ind w:left="20"/>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ind w:left="20"/>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589280</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4434205</wp:posOffset>
            </wp:positionH>
            <wp:positionV relativeFrom="page">
              <wp:posOffset>723265</wp:posOffset>
            </wp:positionV>
            <wp:extent cx="2880360" cy="763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2880360" cy="763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Y-MABS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data)</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3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right"/>
              <w:ind w:right="320"/>
              <w:spacing w:after="0"/>
              <w:rPr>
                <w:sz w:val="20"/>
                <w:szCs w:val="20"/>
                <w:color w:val="auto"/>
              </w:rPr>
            </w:pPr>
            <w:r>
              <w:rPr>
                <w:rFonts w:ascii="Arial" w:cs="Arial" w:eastAsia="Arial" w:hAnsi="Arial"/>
                <w:sz w:val="18"/>
                <w:szCs w:val="18"/>
                <w:color w:val="auto"/>
                <w:w w:val="90"/>
              </w:rPr>
              <w:t>December 31,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3"/>
          </w:tcPr>
          <w:p>
            <w:pPr>
              <w:jc w:val="right"/>
              <w:ind w:right="220"/>
              <w:spacing w:after="0"/>
              <w:rPr>
                <w:sz w:val="20"/>
                <w:szCs w:val="20"/>
                <w:color w:val="auto"/>
              </w:rPr>
            </w:pPr>
            <w:r>
              <w:rPr>
                <w:rFonts w:ascii="Arial" w:cs="Arial" w:eastAsia="Arial" w:hAnsi="Arial"/>
                <w:sz w:val="18"/>
                <w:szCs w:val="18"/>
                <w:color w:val="auto"/>
                <w:w w:val="88"/>
              </w:rPr>
              <w:t>December 31,</w:t>
            </w:r>
          </w:p>
        </w:tc>
      </w:tr>
      <w:tr>
        <w:trPr>
          <w:trHeight w:val="230"/>
        </w:trPr>
        <w:tc>
          <w:tcPr>
            <w:tcW w:w="8380" w:type="dxa"/>
            <w:vAlign w:val="bottom"/>
            <w:tcBorders>
              <w:bottom w:val="single" w:sz="8" w:color="CCEEFF"/>
            </w:tcBorders>
          </w:tcPr>
          <w:p>
            <w:pPr>
              <w:spacing w:after="0"/>
              <w:rPr>
                <w:sz w:val="20"/>
                <w:szCs w:val="20"/>
                <w:color w:val="auto"/>
              </w:rPr>
            </w:pPr>
          </w:p>
        </w:tc>
        <w:tc>
          <w:tcPr>
            <w:tcW w:w="60" w:type="dxa"/>
            <w:vAlign w:val="bottom"/>
            <w:tcBorders>
              <w:bottom w:val="single" w:sz="8" w:color="CCEEFF"/>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2021</w:t>
            </w:r>
          </w:p>
        </w:tc>
        <w:tc>
          <w:tcPr>
            <w:tcW w:w="220" w:type="dxa"/>
            <w:vAlign w:val="bottom"/>
            <w:tcBorders>
              <w:bottom w:val="single" w:sz="8" w:color="CCEEFF"/>
            </w:tcBorders>
          </w:tcPr>
          <w:p>
            <w:pPr>
              <w:spacing w:after="0"/>
              <w:rPr>
                <w:sz w:val="20"/>
                <w:szCs w:val="20"/>
                <w:color w:val="auto"/>
              </w:rPr>
            </w:pPr>
          </w:p>
        </w:tc>
        <w:tc>
          <w:tcPr>
            <w:tcW w:w="20" w:type="dxa"/>
            <w:vAlign w:val="bottom"/>
            <w:tcBorders>
              <w:bottom w:val="single" w:sz="8" w:color="CCEEFF"/>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2020</w:t>
            </w:r>
          </w:p>
        </w:tc>
        <w:tc>
          <w:tcPr>
            <w:tcW w:w="20" w:type="dxa"/>
            <w:vAlign w:val="bottom"/>
            <w:tcBorders>
              <w:bottom w:val="single" w:sz="8" w:color="CCEEFF"/>
            </w:tcBorders>
          </w:tcPr>
          <w:p>
            <w:pPr>
              <w:spacing w:after="0"/>
              <w:rPr>
                <w:sz w:val="20"/>
                <w:szCs w:val="20"/>
                <w:color w:val="auto"/>
              </w:rPr>
            </w:pPr>
          </w:p>
        </w:tc>
        <w:tc>
          <w:tcPr>
            <w:tcW w:w="80" w:type="dxa"/>
            <w:vAlign w:val="bottom"/>
            <w:tcBorders>
              <w:bottom w:val="single" w:sz="8" w:color="CCEEFF"/>
            </w:tcBorders>
          </w:tcPr>
          <w:p>
            <w:pPr>
              <w:spacing w:after="0"/>
              <w:rPr>
                <w:sz w:val="20"/>
                <w:szCs w:val="20"/>
                <w:color w:val="auto"/>
              </w:rPr>
            </w:pPr>
          </w:p>
        </w:tc>
      </w:tr>
      <w:tr>
        <w:trPr>
          <w:trHeight w:val="210"/>
        </w:trPr>
        <w:tc>
          <w:tcPr>
            <w:tcW w:w="838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8"/>
                <w:szCs w:val="18"/>
                <w:color w:val="auto"/>
              </w:rPr>
              <w:t>CURRENT ASSETS</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8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181,564</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114,634</w:t>
            </w:r>
          </w:p>
        </w:tc>
      </w:tr>
      <w:tr>
        <w:trPr>
          <w:trHeight w:val="216"/>
        </w:trPr>
        <w:tc>
          <w:tcPr>
            <w:tcW w:w="8380" w:type="dxa"/>
            <w:vAlign w:val="bottom"/>
          </w:tcPr>
          <w:p>
            <w:pPr>
              <w:ind w:left="180"/>
              <w:spacing w:after="0"/>
              <w:rPr>
                <w:sz w:val="20"/>
                <w:szCs w:val="20"/>
                <w:color w:val="auto"/>
              </w:rPr>
            </w:pPr>
            <w:r>
              <w:rPr>
                <w:rFonts w:ascii="Arial" w:cs="Arial" w:eastAsia="Arial" w:hAnsi="Arial"/>
                <w:sz w:val="18"/>
                <w:szCs w:val="18"/>
                <w:color w:val="auto"/>
              </w:rPr>
              <w:t>Accounts receivable, net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7,712</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Inventories</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5,512</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380" w:type="dxa"/>
            <w:vAlign w:val="bottom"/>
          </w:tcPr>
          <w:p>
            <w:pPr>
              <w:ind w:left="180"/>
              <w:spacing w:after="0"/>
              <w:rPr>
                <w:sz w:val="20"/>
                <w:szCs w:val="20"/>
                <w:color w:val="auto"/>
              </w:rPr>
            </w:pPr>
            <w:r>
              <w:rPr>
                <w:rFonts w:ascii="Arial" w:cs="Arial" w:eastAsia="Arial" w:hAnsi="Arial"/>
                <w:sz w:val="18"/>
                <w:szCs w:val="18"/>
                <w:color w:val="auto"/>
              </w:rPr>
              <w:t>Other current assets</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7,473</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7,729</w:t>
            </w:r>
          </w:p>
        </w:tc>
        <w:tc>
          <w:tcPr>
            <w:tcW w:w="80" w:type="dxa"/>
            <w:vAlign w:val="bottom"/>
          </w:tcPr>
          <w:p>
            <w:pPr>
              <w:spacing w:after="0"/>
              <w:rPr>
                <w:sz w:val="18"/>
                <w:szCs w:val="18"/>
                <w:color w:val="auto"/>
              </w:rPr>
            </w:pPr>
          </w:p>
        </w:tc>
      </w:tr>
      <w:tr>
        <w:trPr>
          <w:trHeight w:val="210"/>
        </w:trPr>
        <w:tc>
          <w:tcPr>
            <w:tcW w:w="838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current assets</w:t>
            </w: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202,261</w:t>
            </w:r>
          </w:p>
        </w:tc>
        <w:tc>
          <w:tcPr>
            <w:tcW w:w="2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122,363</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r>
      <w:tr>
        <w:trPr>
          <w:trHeight w:val="216"/>
        </w:trPr>
        <w:tc>
          <w:tcPr>
            <w:tcW w:w="8380" w:type="dxa"/>
            <w:vAlign w:val="bottom"/>
          </w:tcPr>
          <w:p>
            <w:pPr>
              <w:ind w:left="180"/>
              <w:spacing w:after="0"/>
              <w:rPr>
                <w:sz w:val="20"/>
                <w:szCs w:val="20"/>
                <w:color w:val="auto"/>
              </w:rPr>
            </w:pPr>
            <w:r>
              <w:rPr>
                <w:rFonts w:ascii="Arial" w:cs="Arial" w:eastAsia="Arial" w:hAnsi="Arial"/>
                <w:sz w:val="18"/>
                <w:szCs w:val="18"/>
                <w:color w:val="auto"/>
              </w:rPr>
              <w:t>Property and equipment, net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1,847</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1,825</w:t>
            </w:r>
          </w:p>
        </w:tc>
        <w:tc>
          <w:tcPr>
            <w:tcW w:w="80" w:type="dxa"/>
            <w:vAlign w:val="bottom"/>
          </w:tcPr>
          <w:p>
            <w:pPr>
              <w:spacing w:after="0"/>
              <w:rPr>
                <w:sz w:val="18"/>
                <w:szCs w:val="18"/>
                <w:color w:val="auto"/>
              </w:rPr>
            </w:pPr>
          </w:p>
        </w:tc>
      </w:tr>
      <w:tr>
        <w:trPr>
          <w:trHeight w:val="216"/>
        </w:trPr>
        <w:tc>
          <w:tcPr>
            <w:tcW w:w="8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Operating lease right-of-use assets</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3,842</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4,569</w:t>
            </w:r>
          </w:p>
        </w:tc>
        <w:tc>
          <w:tcPr>
            <w:tcW w:w="80" w:type="dxa"/>
            <w:vAlign w:val="bottom"/>
            <w:shd w:val="clear" w:color="auto" w:fill="CCEEFF"/>
          </w:tcPr>
          <w:p>
            <w:pPr>
              <w:spacing w:after="0"/>
              <w:rPr>
                <w:sz w:val="18"/>
                <w:szCs w:val="18"/>
                <w:color w:val="auto"/>
              </w:rPr>
            </w:pPr>
          </w:p>
        </w:tc>
      </w:tr>
      <w:tr>
        <w:trPr>
          <w:trHeight w:val="216"/>
        </w:trPr>
        <w:tc>
          <w:tcPr>
            <w:tcW w:w="8380" w:type="dxa"/>
            <w:vAlign w:val="bottom"/>
          </w:tcPr>
          <w:p>
            <w:pPr>
              <w:ind w:left="180"/>
              <w:spacing w:after="0"/>
              <w:rPr>
                <w:sz w:val="20"/>
                <w:szCs w:val="20"/>
                <w:color w:val="auto"/>
              </w:rPr>
            </w:pPr>
            <w:r>
              <w:rPr>
                <w:rFonts w:ascii="Arial" w:cs="Arial" w:eastAsia="Arial" w:hAnsi="Arial"/>
                <w:sz w:val="18"/>
                <w:szCs w:val="18"/>
                <w:color w:val="auto"/>
              </w:rPr>
              <w:t>Intangible assets, net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1,663</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 assets</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3,170</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3,290</w:t>
            </w:r>
          </w:p>
        </w:tc>
        <w:tc>
          <w:tcPr>
            <w:tcW w:w="80" w:type="dxa"/>
            <w:vAlign w:val="bottom"/>
            <w:shd w:val="clear" w:color="auto" w:fill="CCEEFF"/>
          </w:tcPr>
          <w:p>
            <w:pPr>
              <w:spacing w:after="0"/>
              <w:rPr>
                <w:sz w:val="18"/>
                <w:szCs w:val="18"/>
                <w:color w:val="auto"/>
              </w:rPr>
            </w:pPr>
          </w:p>
        </w:tc>
      </w:tr>
      <w:tr>
        <w:trPr>
          <w:trHeight w:val="249"/>
        </w:trPr>
        <w:tc>
          <w:tcPr>
            <w:tcW w:w="83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ASSETS</w:t>
            </w:r>
          </w:p>
        </w:tc>
        <w:tc>
          <w:tcPr>
            <w:tcW w:w="6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212,783</w:t>
            </w:r>
          </w:p>
        </w:tc>
        <w:tc>
          <w:tcPr>
            <w:tcW w:w="22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132,047</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r>
      <w:tr>
        <w:trPr>
          <w:trHeight w:val="196"/>
        </w:trPr>
        <w:tc>
          <w:tcPr>
            <w:tcW w:w="83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8"/>
                <w:szCs w:val="18"/>
                <w:color w:val="auto"/>
              </w:rPr>
              <w:t>LIABILITIES AND STOCKHOLDERS’ EQUITY</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83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8"/>
                <w:szCs w:val="18"/>
                <w:color w:val="auto"/>
              </w:rPr>
              <w:t>LIABILITIES</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8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13,552</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9,372</w:t>
            </w:r>
          </w:p>
        </w:tc>
        <w:tc>
          <w:tcPr>
            <w:tcW w:w="80" w:type="dxa"/>
            <w:vAlign w:val="bottom"/>
            <w:shd w:val="clear" w:color="auto" w:fill="CCEEFF"/>
          </w:tcPr>
          <w:p>
            <w:pPr>
              <w:spacing w:after="0"/>
              <w:rPr>
                <w:sz w:val="18"/>
                <w:szCs w:val="18"/>
                <w:color w:val="auto"/>
              </w:rPr>
            </w:pPr>
          </w:p>
        </w:tc>
      </w:tr>
      <w:tr>
        <w:trPr>
          <w:trHeight w:val="216"/>
        </w:trPr>
        <w:tc>
          <w:tcPr>
            <w:tcW w:w="8380" w:type="dxa"/>
            <w:vAlign w:val="bottom"/>
          </w:tcPr>
          <w:p>
            <w:pPr>
              <w:ind w:left="180"/>
              <w:spacing w:after="0"/>
              <w:rPr>
                <w:sz w:val="20"/>
                <w:szCs w:val="20"/>
                <w:color w:val="auto"/>
              </w:rPr>
            </w:pPr>
            <w:r>
              <w:rPr>
                <w:rFonts w:ascii="Arial" w:cs="Arial" w:eastAsia="Arial" w:hAnsi="Arial"/>
                <w:sz w:val="18"/>
                <w:szCs w:val="18"/>
                <w:color w:val="auto"/>
              </w:rPr>
              <w:t>Accrued liabilities</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12,540</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8,197</w:t>
            </w:r>
          </w:p>
        </w:tc>
        <w:tc>
          <w:tcPr>
            <w:tcW w:w="80" w:type="dxa"/>
            <w:vAlign w:val="bottom"/>
          </w:tcPr>
          <w:p>
            <w:pPr>
              <w:spacing w:after="0"/>
              <w:rPr>
                <w:sz w:val="18"/>
                <w:szCs w:val="18"/>
                <w:color w:val="auto"/>
              </w:rPr>
            </w:pPr>
          </w:p>
        </w:tc>
      </w:tr>
      <w:tr>
        <w:trPr>
          <w:trHeight w:val="216"/>
        </w:trPr>
        <w:tc>
          <w:tcPr>
            <w:tcW w:w="8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Operating lease liabilities, current portion</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1,783</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1,966</w:t>
            </w:r>
          </w:p>
        </w:tc>
        <w:tc>
          <w:tcPr>
            <w:tcW w:w="80" w:type="dxa"/>
            <w:vAlign w:val="bottom"/>
            <w:shd w:val="clear" w:color="auto" w:fill="CCEEFF"/>
          </w:tcPr>
          <w:p>
            <w:pPr>
              <w:spacing w:after="0"/>
              <w:rPr>
                <w:sz w:val="18"/>
                <w:szCs w:val="18"/>
                <w:color w:val="auto"/>
              </w:rPr>
            </w:pPr>
          </w:p>
        </w:tc>
      </w:tr>
      <w:tr>
        <w:trPr>
          <w:trHeight w:val="209"/>
        </w:trPr>
        <w:tc>
          <w:tcPr>
            <w:tcW w:w="8380" w:type="dxa"/>
            <w:vAlign w:val="bottom"/>
          </w:tcPr>
          <w:p>
            <w:pPr>
              <w:ind w:left="180"/>
              <w:spacing w:after="0"/>
              <w:rPr>
                <w:sz w:val="20"/>
                <w:szCs w:val="20"/>
                <w:color w:val="auto"/>
              </w:rPr>
            </w:pPr>
            <w:r>
              <w:rPr>
                <w:rFonts w:ascii="Arial" w:cs="Arial" w:eastAsia="Arial" w:hAnsi="Arial"/>
                <w:sz w:val="18"/>
                <w:szCs w:val="18"/>
                <w:color w:val="auto"/>
              </w:rPr>
              <w:t>Total current liabilities</w:t>
            </w:r>
          </w:p>
        </w:tc>
        <w:tc>
          <w:tcPr>
            <w:tcW w:w="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27,875</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19,535</w:t>
            </w:r>
          </w:p>
        </w:tc>
        <w:tc>
          <w:tcPr>
            <w:tcW w:w="100" w:type="dxa"/>
            <w:vAlign w:val="bottom"/>
            <w:gridSpan w:val="2"/>
          </w:tcPr>
          <w:p>
            <w:pPr>
              <w:spacing w:after="0"/>
              <w:rPr>
                <w:sz w:val="18"/>
                <w:szCs w:val="18"/>
                <w:color w:val="auto"/>
              </w:rPr>
            </w:pPr>
          </w:p>
        </w:tc>
      </w:tr>
      <w:tr>
        <w:trPr>
          <w:trHeight w:val="216"/>
        </w:trPr>
        <w:tc>
          <w:tcPr>
            <w:tcW w:w="8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Accrued milestone and royalty payments</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2,100</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2,695</w:t>
            </w:r>
          </w:p>
        </w:tc>
        <w:tc>
          <w:tcPr>
            <w:tcW w:w="80" w:type="dxa"/>
            <w:vAlign w:val="bottom"/>
            <w:shd w:val="clear" w:color="auto" w:fill="CCEEFF"/>
          </w:tcPr>
          <w:p>
            <w:pPr>
              <w:spacing w:after="0"/>
              <w:rPr>
                <w:sz w:val="18"/>
                <w:szCs w:val="18"/>
                <w:color w:val="auto"/>
              </w:rPr>
            </w:pPr>
          </w:p>
        </w:tc>
      </w:tr>
      <w:tr>
        <w:trPr>
          <w:trHeight w:val="216"/>
        </w:trPr>
        <w:tc>
          <w:tcPr>
            <w:tcW w:w="8380" w:type="dxa"/>
            <w:vAlign w:val="bottom"/>
          </w:tcPr>
          <w:p>
            <w:pPr>
              <w:ind w:left="180"/>
              <w:spacing w:after="0"/>
              <w:rPr>
                <w:sz w:val="20"/>
                <w:szCs w:val="20"/>
                <w:color w:val="auto"/>
              </w:rPr>
            </w:pPr>
            <w:r>
              <w:rPr>
                <w:rFonts w:ascii="Arial" w:cs="Arial" w:eastAsia="Arial" w:hAnsi="Arial"/>
                <w:sz w:val="18"/>
                <w:szCs w:val="18"/>
                <w:color w:val="auto"/>
              </w:rPr>
              <w:t>Operating lease liabilities, long-term portion</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1,851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2,013</w:t>
            </w:r>
          </w:p>
        </w:tc>
        <w:tc>
          <w:tcPr>
            <w:tcW w:w="80" w:type="dxa"/>
            <w:vAlign w:val="bottom"/>
          </w:tcPr>
          <w:p>
            <w:pPr>
              <w:spacing w:after="0"/>
              <w:rPr>
                <w:sz w:val="18"/>
                <w:szCs w:val="18"/>
                <w:color w:val="auto"/>
              </w:rPr>
            </w:pPr>
          </w:p>
        </w:tc>
      </w:tr>
      <w:tr>
        <w:trPr>
          <w:trHeight w:val="216"/>
        </w:trPr>
        <w:tc>
          <w:tcPr>
            <w:tcW w:w="8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 liabilities</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851</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1,968</w:t>
            </w:r>
          </w:p>
        </w:tc>
        <w:tc>
          <w:tcPr>
            <w:tcW w:w="80" w:type="dxa"/>
            <w:vAlign w:val="bottom"/>
            <w:shd w:val="clear" w:color="auto" w:fill="CCEEFF"/>
          </w:tcPr>
          <w:p>
            <w:pPr>
              <w:spacing w:after="0"/>
              <w:rPr>
                <w:sz w:val="18"/>
                <w:szCs w:val="18"/>
                <w:color w:val="auto"/>
              </w:rPr>
            </w:pPr>
          </w:p>
        </w:tc>
      </w:tr>
      <w:tr>
        <w:trPr>
          <w:trHeight w:val="210"/>
        </w:trPr>
        <w:tc>
          <w:tcPr>
            <w:tcW w:w="83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LIABILITIES</w:t>
            </w:r>
          </w:p>
        </w:tc>
        <w:tc>
          <w:tcPr>
            <w:tcW w:w="6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32,677</w:t>
            </w:r>
          </w:p>
        </w:tc>
        <w:tc>
          <w:tcPr>
            <w:tcW w:w="22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26,211</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r>
      <w:tr>
        <w:trPr>
          <w:trHeight w:val="210"/>
        </w:trPr>
        <w:tc>
          <w:tcPr>
            <w:tcW w:w="83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8"/>
                <w:szCs w:val="18"/>
                <w:color w:val="auto"/>
              </w:rPr>
              <w:t>STOCKHOLDERS’ EQUITY</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02"/>
        </w:trPr>
        <w:tc>
          <w:tcPr>
            <w:tcW w:w="8380" w:type="dxa"/>
            <w:vAlign w:val="bottom"/>
            <w:shd w:val="clear" w:color="auto" w:fill="CCEEFF"/>
          </w:tcPr>
          <w:p>
            <w:pPr>
              <w:ind w:left="140"/>
              <w:spacing w:after="0" w:line="201" w:lineRule="exact"/>
              <w:rPr>
                <w:sz w:val="20"/>
                <w:szCs w:val="20"/>
                <w:color w:val="auto"/>
              </w:rPr>
            </w:pPr>
            <w:r>
              <w:rPr>
                <w:rFonts w:ascii="Arial" w:cs="Arial" w:eastAsia="Arial" w:hAnsi="Arial"/>
                <w:sz w:val="18"/>
                <w:szCs w:val="18"/>
                <w:color w:val="auto"/>
                <w:w w:val="94"/>
              </w:rPr>
              <w:t>Preferred stock, $0.0001 par value, 5,500,000 shares authorized and none issued at December 31, 2021 and</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r>
      <w:tr>
        <w:trPr>
          <w:trHeight w:val="230"/>
        </w:trPr>
        <w:tc>
          <w:tcPr>
            <w:tcW w:w="8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December 31, 2020</w:t>
            </w: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24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8380" w:type="dxa"/>
            <w:vAlign w:val="bottom"/>
          </w:tcPr>
          <w:p>
            <w:pPr>
              <w:ind w:left="100"/>
              <w:spacing w:after="0" w:line="201" w:lineRule="exact"/>
              <w:rPr>
                <w:sz w:val="20"/>
                <w:szCs w:val="20"/>
                <w:color w:val="auto"/>
              </w:rPr>
            </w:pPr>
            <w:r>
              <w:rPr>
                <w:rFonts w:ascii="Arial" w:cs="Arial" w:eastAsia="Arial" w:hAnsi="Arial"/>
                <w:sz w:val="18"/>
                <w:szCs w:val="18"/>
                <w:color w:val="auto"/>
                <w:w w:val="89"/>
              </w:rPr>
              <w:t>Common stock, $0.0001 par value, 100,000,000 shares authorized at December 31, 2021 and December 31, 2020;</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230"/>
        </w:trPr>
        <w:tc>
          <w:tcPr>
            <w:tcW w:w="8380" w:type="dxa"/>
            <w:vAlign w:val="bottom"/>
          </w:tcPr>
          <w:p>
            <w:pPr>
              <w:ind w:left="180"/>
              <w:spacing w:after="0"/>
              <w:rPr>
                <w:sz w:val="20"/>
                <w:szCs w:val="20"/>
                <w:color w:val="auto"/>
              </w:rPr>
            </w:pPr>
            <w:r>
              <w:rPr>
                <w:rFonts w:ascii="Arial" w:cs="Arial" w:eastAsia="Arial" w:hAnsi="Arial"/>
                <w:sz w:val="18"/>
                <w:szCs w:val="18"/>
                <w:color w:val="auto"/>
                <w:w w:val="99"/>
              </w:rPr>
              <w:t>43,694,716 and 40,688,447 shares issued at December 31, 2021 and December 31, 2020, respectively</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4</w:t>
            </w:r>
          </w:p>
        </w:tc>
      </w:tr>
      <w:tr>
        <w:trPr>
          <w:trHeight w:val="216"/>
        </w:trPr>
        <w:tc>
          <w:tcPr>
            <w:tcW w:w="8380" w:type="dxa"/>
            <w:vAlign w:val="bottom"/>
            <w:shd w:val="clear" w:color="auto" w:fill="CCEEFF"/>
          </w:tcPr>
          <w:p>
            <w:pPr>
              <w:ind w:left="80"/>
              <w:spacing w:after="0"/>
              <w:rPr>
                <w:sz w:val="20"/>
                <w:szCs w:val="20"/>
                <w:color w:val="auto"/>
              </w:rPr>
            </w:pPr>
            <w:r>
              <w:rPr>
                <w:rFonts w:ascii="Arial" w:cs="Arial" w:eastAsia="Arial" w:hAnsi="Arial"/>
                <w:sz w:val="18"/>
                <w:szCs w:val="18"/>
                <w:color w:val="auto"/>
              </w:rPr>
              <w:t>Additional paid in capital</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519,206</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391,558</w:t>
            </w:r>
          </w:p>
        </w:tc>
        <w:tc>
          <w:tcPr>
            <w:tcW w:w="80" w:type="dxa"/>
            <w:vAlign w:val="bottom"/>
            <w:shd w:val="clear" w:color="auto" w:fill="CCEEFF"/>
          </w:tcPr>
          <w:p>
            <w:pPr>
              <w:spacing w:after="0"/>
              <w:rPr>
                <w:sz w:val="18"/>
                <w:szCs w:val="18"/>
                <w:color w:val="auto"/>
              </w:rPr>
            </w:pPr>
          </w:p>
        </w:tc>
      </w:tr>
      <w:tr>
        <w:trPr>
          <w:trHeight w:val="216"/>
        </w:trPr>
        <w:tc>
          <w:tcPr>
            <w:tcW w:w="8380" w:type="dxa"/>
            <w:vAlign w:val="bottom"/>
          </w:tcPr>
          <w:p>
            <w:pPr>
              <w:ind w:left="80"/>
              <w:spacing w:after="0"/>
              <w:rPr>
                <w:sz w:val="20"/>
                <w:szCs w:val="20"/>
                <w:color w:val="auto"/>
              </w:rPr>
            </w:pPr>
            <w:r>
              <w:rPr>
                <w:rFonts w:ascii="Arial" w:cs="Arial" w:eastAsia="Arial" w:hAnsi="Arial"/>
                <w:sz w:val="18"/>
                <w:szCs w:val="18"/>
                <w:color w:val="auto"/>
              </w:rPr>
              <w:t>Accumulated other comprehensive income / (loss)</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1,371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Arial" w:cs="Arial" w:eastAsia="Arial" w:hAnsi="Arial"/>
                <w:sz w:val="18"/>
                <w:szCs w:val="18"/>
                <w:color w:val="auto"/>
              </w:rPr>
              <w:t>(526)</w:t>
            </w:r>
          </w:p>
        </w:tc>
      </w:tr>
      <w:tr>
        <w:trPr>
          <w:trHeight w:val="216"/>
        </w:trPr>
        <w:tc>
          <w:tcPr>
            <w:tcW w:w="8380" w:type="dxa"/>
            <w:vAlign w:val="bottom"/>
            <w:shd w:val="clear" w:color="auto" w:fill="CCEEFF"/>
          </w:tcPr>
          <w:p>
            <w:pPr>
              <w:ind w:left="80"/>
              <w:spacing w:after="0"/>
              <w:rPr>
                <w:sz w:val="20"/>
                <w:szCs w:val="20"/>
                <w:color w:val="auto"/>
              </w:rPr>
            </w:pPr>
            <w:r>
              <w:rPr>
                <w:rFonts w:ascii="Arial" w:cs="Arial" w:eastAsia="Arial" w:hAnsi="Arial"/>
                <w:sz w:val="18"/>
                <w:szCs w:val="18"/>
                <w:color w:val="auto"/>
              </w:rPr>
              <w:t>Accumulated deficit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(340,475)</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(285,200)</w:t>
            </w:r>
          </w:p>
        </w:tc>
      </w:tr>
      <w:tr>
        <w:trPr>
          <w:trHeight w:val="210"/>
        </w:trPr>
        <w:tc>
          <w:tcPr>
            <w:tcW w:w="83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STOCKHOLDERS’ EQUITY</w:t>
            </w:r>
          </w:p>
        </w:tc>
        <w:tc>
          <w:tcPr>
            <w:tcW w:w="6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180,106</w:t>
            </w:r>
          </w:p>
        </w:tc>
        <w:tc>
          <w:tcPr>
            <w:tcW w:w="22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105,836</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r>
      <w:tr>
        <w:trPr>
          <w:trHeight w:val="209"/>
        </w:trPr>
        <w:tc>
          <w:tcPr>
            <w:tcW w:w="83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r>
      <w:tr>
        <w:trPr>
          <w:trHeight w:val="216"/>
        </w:trPr>
        <w:tc>
          <w:tcPr>
            <w:tcW w:w="8380" w:type="dxa"/>
            <w:vAlign w:val="bottom"/>
          </w:tcPr>
          <w:p>
            <w:pPr>
              <w:spacing w:after="0"/>
              <w:rPr>
                <w:sz w:val="20"/>
                <w:szCs w:val="20"/>
                <w:color w:val="auto"/>
              </w:rPr>
            </w:pPr>
            <w:r>
              <w:rPr>
                <w:rFonts w:ascii="Arial" w:cs="Arial" w:eastAsia="Arial" w:hAnsi="Arial"/>
                <w:sz w:val="18"/>
                <w:szCs w:val="18"/>
                <w:color w:val="auto"/>
              </w:rPr>
              <w:t>TOTAL LIABILITIES AND STOCKHOLDERS’ EQUITY</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212,783</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132,047</w:t>
            </w:r>
          </w:p>
        </w:tc>
        <w:tc>
          <w:tcPr>
            <w:tcW w:w="80" w:type="dxa"/>
            <w:vAlign w:val="bottom"/>
          </w:tcPr>
          <w:p>
            <w:pPr>
              <w:spacing w:after="0"/>
              <w:rPr>
                <w:sz w:val="18"/>
                <w:szCs w:val="18"/>
                <w:color w:val="auto"/>
              </w:rPr>
            </w:pPr>
          </w:p>
        </w:tc>
      </w:tr>
      <w:tr>
        <w:trPr>
          <w:trHeight w:val="20"/>
        </w:trPr>
        <w:tc>
          <w:tcPr>
            <w:tcW w:w="8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655"/>
        </w:trPr>
        <w:tc>
          <w:tcPr>
            <w:tcW w:w="83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440" w:right="339" w:bottom="1440" w:gutter="0" w:footer="0" w:header="0"/>
        </w:sectPr>
      </w:pPr>
    </w:p>
    <w:bookmarkStart w:id="8" w:name="page9"/>
    <w:bookmarkEnd w:id="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4434205</wp:posOffset>
            </wp:positionH>
            <wp:positionV relativeFrom="page">
              <wp:posOffset>586105</wp:posOffset>
            </wp:positionV>
            <wp:extent cx="2880360" cy="763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2880360" cy="763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Y-MABS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Net Loss and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and per share data)</w: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80" w:type="dxa"/>
            <w:vAlign w:val="bottom"/>
            <w:gridSpan w:val="7"/>
          </w:tcPr>
          <w:p>
            <w:pPr>
              <w:jc w:val="right"/>
              <w:ind w:right="260"/>
              <w:spacing w:after="0"/>
              <w:rPr>
                <w:sz w:val="20"/>
                <w:szCs w:val="20"/>
                <w:color w:val="auto"/>
              </w:rPr>
            </w:pPr>
            <w:r>
              <w:rPr>
                <w:rFonts w:ascii="Arial" w:cs="Arial" w:eastAsia="Arial" w:hAnsi="Arial"/>
                <w:sz w:val="18"/>
                <w:szCs w:val="18"/>
                <w:color w:val="auto"/>
                <w:w w:val="88"/>
              </w:rPr>
              <w:t>For the year ended December 31,</w:t>
            </w:r>
          </w:p>
        </w:tc>
        <w:tc>
          <w:tcPr>
            <w:tcW w:w="0" w:type="dxa"/>
            <w:vAlign w:val="bottom"/>
          </w:tcPr>
          <w:p>
            <w:pPr>
              <w:spacing w:after="0"/>
              <w:rPr>
                <w:sz w:val="1"/>
                <w:szCs w:val="1"/>
                <w:color w:val="auto"/>
              </w:rPr>
            </w:pPr>
          </w:p>
        </w:tc>
      </w:tr>
      <w:tr>
        <w:trPr>
          <w:trHeight w:val="210"/>
        </w:trPr>
        <w:tc>
          <w:tcPr>
            <w:tcW w:w="6860" w:type="dxa"/>
            <w:vAlign w:val="bottom"/>
            <w:tcBorders>
              <w:bottom w:val="single" w:sz="8" w:color="CCEEFF"/>
            </w:tcBorders>
          </w:tcPr>
          <w:p>
            <w:pPr>
              <w:spacing w:after="0"/>
              <w:rPr>
                <w:sz w:val="18"/>
                <w:szCs w:val="18"/>
                <w:color w:val="auto"/>
              </w:rPr>
            </w:pPr>
          </w:p>
        </w:tc>
        <w:tc>
          <w:tcPr>
            <w:tcW w:w="158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ind w:right="356"/>
              <w:spacing w:after="0"/>
              <w:rPr>
                <w:sz w:val="20"/>
                <w:szCs w:val="20"/>
                <w:color w:val="auto"/>
              </w:rPr>
            </w:pPr>
            <w:r>
              <w:rPr>
                <w:rFonts w:ascii="Arial" w:cs="Arial" w:eastAsia="Arial" w:hAnsi="Arial"/>
                <w:sz w:val="18"/>
                <w:szCs w:val="18"/>
                <w:color w:val="auto"/>
              </w:rPr>
              <w:t>2021</w:t>
            </w:r>
          </w:p>
        </w:tc>
        <w:tc>
          <w:tcPr>
            <w:tcW w:w="140" w:type="dxa"/>
            <w:vAlign w:val="bottom"/>
            <w:tcBorders>
              <w:top w:val="single" w:sz="8" w:color="auto"/>
              <w:bottom w:val="single" w:sz="8" w:color="CCEEFF"/>
            </w:tcBorders>
          </w:tcPr>
          <w:p>
            <w:pPr>
              <w:spacing w:after="0"/>
              <w:rPr>
                <w:sz w:val="18"/>
                <w:szCs w:val="18"/>
                <w:color w:val="auto"/>
              </w:rPr>
            </w:pPr>
          </w:p>
        </w:tc>
        <w:tc>
          <w:tcPr>
            <w:tcW w:w="80" w:type="dxa"/>
            <w:vAlign w:val="bottom"/>
            <w:tcBorders>
              <w:top w:val="single" w:sz="8" w:color="auto"/>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ind w:right="357"/>
              <w:spacing w:after="0"/>
              <w:rPr>
                <w:sz w:val="20"/>
                <w:szCs w:val="20"/>
                <w:color w:val="auto"/>
              </w:rPr>
            </w:pPr>
            <w:r>
              <w:rPr>
                <w:rFonts w:ascii="Arial" w:cs="Arial" w:eastAsia="Arial" w:hAnsi="Arial"/>
                <w:sz w:val="18"/>
                <w:szCs w:val="18"/>
                <w:color w:val="auto"/>
              </w:rPr>
              <w:t>2020</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REVENUES</w:t>
            </w:r>
          </w:p>
        </w:tc>
        <w:tc>
          <w:tcPr>
            <w:tcW w:w="1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tcPr>
          <w:p>
            <w:pPr>
              <w:ind w:left="180"/>
              <w:spacing w:after="0"/>
              <w:rPr>
                <w:sz w:val="20"/>
                <w:szCs w:val="20"/>
                <w:color w:val="auto"/>
              </w:rPr>
            </w:pPr>
            <w:r>
              <w:rPr>
                <w:rFonts w:ascii="Arial" w:cs="Arial" w:eastAsia="Arial" w:hAnsi="Arial"/>
                <w:sz w:val="18"/>
                <w:szCs w:val="18"/>
                <w:color w:val="auto"/>
              </w:rPr>
              <w:t>Product revenue, net</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1"/>
              <w:spacing w:after="0"/>
              <w:rPr>
                <w:sz w:val="20"/>
                <w:szCs w:val="20"/>
                <w:color w:val="auto"/>
              </w:rPr>
            </w:pPr>
            <w:r>
              <w:rPr>
                <w:rFonts w:ascii="Arial" w:cs="Arial" w:eastAsia="Arial" w:hAnsi="Arial"/>
                <w:sz w:val="18"/>
                <w:szCs w:val="18"/>
                <w:color w:val="auto"/>
              </w:rPr>
              <w:t>32,897</w:t>
            </w:r>
          </w:p>
        </w:tc>
        <w:tc>
          <w:tcPr>
            <w:tcW w:w="3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License revenue</w:t>
            </w:r>
          </w:p>
        </w:tc>
        <w:tc>
          <w:tcPr>
            <w:tcW w:w="1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2,000</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20,750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8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revenues</w:t>
            </w:r>
          </w:p>
        </w:tc>
        <w:tc>
          <w:tcPr>
            <w:tcW w:w="158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34,897</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20,750</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86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Arial" w:cs="Arial" w:eastAsia="Arial" w:hAnsi="Arial"/>
                <w:sz w:val="18"/>
                <w:szCs w:val="18"/>
                <w:color w:val="auto"/>
              </w:rPr>
              <w:t>OPERATING COSTS AND EXPENSES</w:t>
            </w: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Cost of goods sold</w:t>
            </w:r>
          </w:p>
        </w:tc>
        <w:tc>
          <w:tcPr>
            <w:tcW w:w="1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2,304</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60" w:type="dxa"/>
            <w:vAlign w:val="bottom"/>
          </w:tcPr>
          <w:p>
            <w:pPr>
              <w:ind w:left="180"/>
              <w:spacing w:after="0"/>
              <w:rPr>
                <w:sz w:val="20"/>
                <w:szCs w:val="20"/>
                <w:color w:val="auto"/>
              </w:rPr>
            </w:pPr>
            <w:r>
              <w:rPr>
                <w:rFonts w:ascii="Arial" w:cs="Arial" w:eastAsia="Arial" w:hAnsi="Arial"/>
                <w:sz w:val="18"/>
                <w:szCs w:val="18"/>
                <w:color w:val="auto"/>
              </w:rPr>
              <w:t>Licensing royalties</w:t>
            </w: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61"/>
              <w:spacing w:after="0"/>
              <w:rPr>
                <w:sz w:val="20"/>
                <w:szCs w:val="20"/>
                <w:color w:val="auto"/>
              </w:rPr>
            </w:pPr>
            <w:r>
              <w:rPr>
                <w:rFonts w:ascii="Arial" w:cs="Arial" w:eastAsia="Arial" w:hAnsi="Arial"/>
                <w:sz w:val="18"/>
                <w:szCs w:val="18"/>
                <w:color w:val="auto"/>
              </w:rPr>
              <w:t>210</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2,203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Research and development</w:t>
            </w:r>
          </w:p>
        </w:tc>
        <w:tc>
          <w:tcPr>
            <w:tcW w:w="1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93,245</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93,697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tcPr>
          <w:p>
            <w:pPr>
              <w:ind w:left="180"/>
              <w:spacing w:after="0"/>
              <w:rPr>
                <w:sz w:val="20"/>
                <w:szCs w:val="20"/>
                <w:color w:val="auto"/>
              </w:rPr>
            </w:pPr>
            <w:r>
              <w:rPr>
                <w:rFonts w:ascii="Arial" w:cs="Arial" w:eastAsia="Arial" w:hAnsi="Arial"/>
                <w:sz w:val="18"/>
                <w:szCs w:val="18"/>
                <w:color w:val="auto"/>
              </w:rPr>
              <w:t>Selling, general, and administrative</w:t>
            </w: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61"/>
              <w:spacing w:after="0"/>
              <w:rPr>
                <w:sz w:val="20"/>
                <w:szCs w:val="20"/>
                <w:color w:val="auto"/>
              </w:rPr>
            </w:pPr>
            <w:r>
              <w:rPr>
                <w:rFonts w:ascii="Arial" w:cs="Arial" w:eastAsia="Arial" w:hAnsi="Arial"/>
                <w:sz w:val="18"/>
                <w:szCs w:val="18"/>
                <w:color w:val="auto"/>
              </w:rPr>
              <w:t>54,571</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44,785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8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operating costs and expenses</w:t>
            </w:r>
          </w:p>
        </w:tc>
        <w:tc>
          <w:tcPr>
            <w:tcW w:w="15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150,330</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140,685</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68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Loss from operations</w:t>
            </w:r>
          </w:p>
        </w:tc>
        <w:tc>
          <w:tcPr>
            <w:tcW w:w="15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(115,433</w:t>
            </w:r>
          </w:p>
        </w:tc>
        <w:tc>
          <w:tcPr>
            <w:tcW w:w="140" w:type="dxa"/>
            <w:vAlign w:val="bottom"/>
            <w:tcBorders>
              <w:bottom w:val="single" w:sz="8" w:color="CCEEFF"/>
            </w:tcBorders>
          </w:tcPr>
          <w:p>
            <w:pPr>
              <w:jc w:val="right"/>
              <w:ind w:right="1"/>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(119,935</w:t>
            </w:r>
          </w:p>
        </w:tc>
        <w:tc>
          <w:tcPr>
            <w:tcW w:w="100" w:type="dxa"/>
            <w:vAlign w:val="bottom"/>
            <w:tcBorders>
              <w:bottom w:val="single" w:sz="8" w:color="CCEEFF"/>
            </w:tcBorders>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0"/>
        </w:trPr>
        <w:tc>
          <w:tcPr>
            <w:tcW w:w="686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tcPr>
          <w:p>
            <w:pPr>
              <w:spacing w:after="0"/>
              <w:rPr>
                <w:sz w:val="20"/>
                <w:szCs w:val="20"/>
                <w:color w:val="auto"/>
              </w:rPr>
            </w:pPr>
            <w:r>
              <w:rPr>
                <w:rFonts w:ascii="Arial" w:cs="Arial" w:eastAsia="Arial" w:hAnsi="Arial"/>
                <w:sz w:val="18"/>
                <w:szCs w:val="18"/>
                <w:color w:val="auto"/>
              </w:rPr>
              <w:t>OTHER INCOME, NET</w:t>
            </w: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Gain from sale of priority review voucher, net</w:t>
            </w:r>
          </w:p>
        </w:tc>
        <w:tc>
          <w:tcPr>
            <w:tcW w:w="1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62,010</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60" w:type="dxa"/>
            <w:vAlign w:val="bottom"/>
          </w:tcPr>
          <w:p>
            <w:pPr>
              <w:ind w:left="180"/>
              <w:spacing w:after="0"/>
              <w:rPr>
                <w:sz w:val="20"/>
                <w:szCs w:val="20"/>
                <w:color w:val="auto"/>
              </w:rPr>
            </w:pPr>
            <w:r>
              <w:rPr>
                <w:rFonts w:ascii="Arial" w:cs="Arial" w:eastAsia="Arial" w:hAnsi="Arial"/>
                <w:sz w:val="18"/>
                <w:szCs w:val="18"/>
                <w:color w:val="auto"/>
              </w:rPr>
              <w:t>Interest and other income / (loss), net</w:t>
            </w: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1"/>
              <w:spacing w:after="0"/>
              <w:rPr>
                <w:sz w:val="20"/>
                <w:szCs w:val="20"/>
                <w:color w:val="auto"/>
              </w:rPr>
            </w:pPr>
            <w:r>
              <w:rPr>
                <w:rFonts w:ascii="Arial" w:cs="Arial" w:eastAsia="Arial" w:hAnsi="Arial"/>
                <w:sz w:val="18"/>
                <w:szCs w:val="18"/>
                <w:color w:val="auto"/>
              </w:rPr>
              <w:t>(1,852)</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598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2"/>
        </w:trPr>
        <w:tc>
          <w:tcPr>
            <w:tcW w:w="6860" w:type="dxa"/>
            <w:vAlign w:val="bottom"/>
            <w:tcBorders>
              <w:top w:val="single" w:sz="8" w:color="CCEEFF"/>
            </w:tcBorders>
            <w:vMerge w:val="restart"/>
            <w:shd w:val="clear" w:color="auto" w:fill="CCEEFF"/>
          </w:tcPr>
          <w:p>
            <w:pPr>
              <w:spacing w:after="0"/>
              <w:rPr>
                <w:sz w:val="20"/>
                <w:szCs w:val="20"/>
                <w:color w:val="auto"/>
              </w:rPr>
            </w:pPr>
            <w:r>
              <w:rPr>
                <w:rFonts w:ascii="Arial" w:cs="Arial" w:eastAsia="Arial" w:hAnsi="Arial"/>
                <w:sz w:val="18"/>
                <w:szCs w:val="18"/>
                <w:color w:val="auto"/>
              </w:rPr>
              <w:t>NET LOSS</w:t>
            </w:r>
          </w:p>
        </w:tc>
        <w:tc>
          <w:tcPr>
            <w:tcW w:w="1580" w:type="dxa"/>
            <w:vAlign w:val="bottom"/>
            <w:tcBorders>
              <w:top w:val="single" w:sz="8" w:color="CCEEFF"/>
            </w:tcBorders>
            <w:vMerge w:val="restart"/>
            <w:shd w:val="clear" w:color="auto" w:fill="CCEEFF"/>
          </w:tcPr>
          <w:p>
            <w:pPr>
              <w:spacing w:after="0"/>
              <w:rPr>
                <w:sz w:val="12"/>
                <w:szCs w:val="12"/>
                <w:color w:val="auto"/>
              </w:rPr>
            </w:pPr>
          </w:p>
        </w:tc>
        <w:tc>
          <w:tcPr>
            <w:tcW w:w="1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shd w:val="clear" w:color="auto" w:fill="CCEEFF"/>
          </w:tcPr>
          <w:p>
            <w:pPr>
              <w:spacing w:after="0"/>
              <w:rPr>
                <w:sz w:val="12"/>
                <w:szCs w:val="12"/>
                <w:color w:val="auto"/>
              </w:rPr>
            </w:pPr>
          </w:p>
        </w:tc>
        <w:tc>
          <w:tcPr>
            <w:tcW w:w="140" w:type="dxa"/>
            <w:vAlign w:val="bottom"/>
            <w:tcBorders>
              <w:top w:val="single" w:sz="8" w:color="CCEEFF"/>
            </w:tcBorders>
            <w:shd w:val="clear" w:color="auto" w:fill="CCEEFF"/>
          </w:tcPr>
          <w:p>
            <w:pPr>
              <w:jc w:val="right"/>
              <w:ind w:right="1"/>
              <w:spacing w:after="0" w:line="142" w:lineRule="exact"/>
              <w:rPr>
                <w:sz w:val="20"/>
                <w:szCs w:val="20"/>
                <w:color w:val="auto"/>
              </w:rPr>
            </w:pPr>
            <w:r>
              <w:rPr>
                <w:rFonts w:ascii="Arial" w:cs="Arial" w:eastAsia="Arial" w:hAnsi="Arial"/>
                <w:sz w:val="16"/>
                <w:szCs w:val="16"/>
                <w:color w:val="auto"/>
                <w:w w:val="74"/>
              </w:rPr>
              <w:t>)</w:t>
            </w:r>
          </w:p>
        </w:tc>
        <w:tc>
          <w:tcPr>
            <w:tcW w:w="80" w:type="dxa"/>
            <w:vAlign w:val="bottom"/>
            <w:tcBorders>
              <w:top w:val="single" w:sz="8" w:color="CCEEFF"/>
            </w:tcBorders>
            <w:vMerge w:val="restart"/>
            <w:shd w:val="clear" w:color="auto" w:fill="CCEEFF"/>
          </w:tcPr>
          <w:p>
            <w:pPr>
              <w:spacing w:after="0"/>
              <w:rPr>
                <w:sz w:val="12"/>
                <w:szCs w:val="12"/>
                <w:color w:val="auto"/>
              </w:rPr>
            </w:pPr>
          </w:p>
        </w:tc>
        <w:tc>
          <w:tcPr>
            <w:tcW w:w="260" w:type="dxa"/>
            <w:vAlign w:val="bottom"/>
            <w:tcBorders>
              <w:top w:val="single" w:sz="8" w:color="auto"/>
            </w:tcBorders>
            <w:vMerge w:val="restart"/>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gridSpan w:val="2"/>
            <w:shd w:val="clear" w:color="auto" w:fill="CCEEFF"/>
          </w:tcPr>
          <w:p>
            <w:pPr>
              <w:jc w:val="right"/>
              <w:ind w:right="40"/>
              <w:spacing w:after="0" w:line="142" w:lineRule="exact"/>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68"/>
        </w:trPr>
        <w:tc>
          <w:tcPr>
            <w:tcW w:w="6860" w:type="dxa"/>
            <w:vAlign w:val="bottom"/>
            <w:vMerge w:val="continue"/>
            <w:shd w:val="clear" w:color="auto" w:fill="CCEEFF"/>
          </w:tcPr>
          <w:p>
            <w:pPr>
              <w:spacing w:after="0"/>
              <w:rPr>
                <w:sz w:val="5"/>
                <w:szCs w:val="5"/>
                <w:color w:val="auto"/>
              </w:rPr>
            </w:pPr>
          </w:p>
        </w:tc>
        <w:tc>
          <w:tcPr>
            <w:tcW w:w="1580" w:type="dxa"/>
            <w:vAlign w:val="bottom"/>
            <w:vMerge w:val="continue"/>
            <w:shd w:val="clear" w:color="auto" w:fill="CCEEFF"/>
          </w:tcPr>
          <w:p>
            <w:pPr>
              <w:spacing w:after="0"/>
              <w:rPr>
                <w:sz w:val="5"/>
                <w:szCs w:val="5"/>
                <w:color w:val="auto"/>
              </w:rPr>
            </w:pPr>
          </w:p>
        </w:tc>
        <w:tc>
          <w:tcPr>
            <w:tcW w:w="120" w:type="dxa"/>
            <w:vAlign w:val="bottom"/>
            <w:vMerge w:val="continue"/>
            <w:shd w:val="clear" w:color="auto" w:fill="CCEEFF"/>
          </w:tcPr>
          <w:p>
            <w:pPr>
              <w:spacing w:after="0"/>
              <w:rPr>
                <w:sz w:val="5"/>
                <w:szCs w:val="5"/>
                <w:color w:val="auto"/>
              </w:rPr>
            </w:pPr>
          </w:p>
        </w:tc>
        <w:tc>
          <w:tcPr>
            <w:tcW w:w="1260" w:type="dxa"/>
            <w:vAlign w:val="bottom"/>
            <w:gridSpan w:val="2"/>
            <w:shd w:val="clear" w:color="auto" w:fill="CCEEFF"/>
          </w:tcPr>
          <w:p>
            <w:pPr>
              <w:jc w:val="right"/>
              <w:ind w:right="61"/>
              <w:spacing w:after="0" w:line="68" w:lineRule="exact"/>
              <w:rPr>
                <w:sz w:val="20"/>
                <w:szCs w:val="20"/>
                <w:color w:val="auto"/>
              </w:rPr>
            </w:pPr>
            <w:r>
              <w:rPr>
                <w:rFonts w:ascii="Arial" w:cs="Arial" w:eastAsia="Arial" w:hAnsi="Arial"/>
                <w:sz w:val="7"/>
                <w:szCs w:val="7"/>
                <w:color w:val="auto"/>
              </w:rPr>
              <w:t>(55,275</w:t>
            </w:r>
          </w:p>
        </w:tc>
        <w:tc>
          <w:tcPr>
            <w:tcW w:w="80" w:type="dxa"/>
            <w:vAlign w:val="bottom"/>
            <w:vMerge w:val="continue"/>
            <w:shd w:val="clear" w:color="auto" w:fill="CCEEFF"/>
          </w:tcPr>
          <w:p>
            <w:pPr>
              <w:spacing w:after="0"/>
              <w:rPr>
                <w:sz w:val="5"/>
                <w:szCs w:val="5"/>
                <w:color w:val="auto"/>
              </w:rPr>
            </w:pPr>
          </w:p>
        </w:tc>
        <w:tc>
          <w:tcPr>
            <w:tcW w:w="260" w:type="dxa"/>
            <w:vAlign w:val="bottom"/>
            <w:vMerge w:val="continue"/>
            <w:shd w:val="clear" w:color="auto" w:fill="CCEEFF"/>
          </w:tcPr>
          <w:p>
            <w:pPr>
              <w:spacing w:after="0"/>
              <w:rPr>
                <w:sz w:val="5"/>
                <w:szCs w:val="5"/>
                <w:color w:val="auto"/>
              </w:rPr>
            </w:pPr>
          </w:p>
        </w:tc>
        <w:tc>
          <w:tcPr>
            <w:tcW w:w="1000" w:type="dxa"/>
            <w:vAlign w:val="bottom"/>
            <w:gridSpan w:val="2"/>
            <w:shd w:val="clear" w:color="auto" w:fill="CCEEFF"/>
          </w:tcPr>
          <w:p>
            <w:pPr>
              <w:jc w:val="right"/>
              <w:spacing w:after="0" w:line="68" w:lineRule="exact"/>
              <w:rPr>
                <w:sz w:val="20"/>
                <w:szCs w:val="20"/>
                <w:color w:val="auto"/>
              </w:rPr>
            </w:pPr>
            <w:r>
              <w:rPr>
                <w:rFonts w:ascii="Arial" w:cs="Arial" w:eastAsia="Arial" w:hAnsi="Arial"/>
                <w:sz w:val="7"/>
                <w:szCs w:val="7"/>
                <w:color w:val="auto"/>
              </w:rPr>
              <w:t>(119,337</w:t>
            </w:r>
          </w:p>
        </w:tc>
        <w:tc>
          <w:tcPr>
            <w:tcW w:w="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6860" w:type="dxa"/>
            <w:vAlign w:val="bottom"/>
            <w:tcBorders>
              <w:top w:val="single" w:sz="8" w:color="CCEEFF"/>
            </w:tcBorders>
          </w:tcPr>
          <w:p>
            <w:pPr>
              <w:spacing w:after="0" w:line="20" w:lineRule="exact"/>
              <w:rPr>
                <w:sz w:val="1"/>
                <w:szCs w:val="1"/>
                <w:color w:val="auto"/>
              </w:rPr>
            </w:pPr>
          </w:p>
        </w:tc>
        <w:tc>
          <w:tcPr>
            <w:tcW w:w="15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8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Other comprehensive income / (loss)</w:t>
            </w:r>
          </w:p>
        </w:tc>
        <w:tc>
          <w:tcPr>
            <w:tcW w:w="1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60" w:type="dxa"/>
            <w:vAlign w:val="bottom"/>
          </w:tcPr>
          <w:p>
            <w:pPr>
              <w:ind w:left="180"/>
              <w:spacing w:after="0"/>
              <w:rPr>
                <w:sz w:val="20"/>
                <w:szCs w:val="20"/>
                <w:color w:val="auto"/>
              </w:rPr>
            </w:pPr>
            <w:r>
              <w:rPr>
                <w:rFonts w:ascii="Arial" w:cs="Arial" w:eastAsia="Arial" w:hAnsi="Arial"/>
                <w:sz w:val="18"/>
                <w:szCs w:val="18"/>
                <w:color w:val="auto"/>
              </w:rPr>
              <w:t>Foreign currency translation</w:t>
            </w: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jc w:val="right"/>
              <w:ind w:right="61"/>
              <w:spacing w:after="0"/>
              <w:rPr>
                <w:sz w:val="20"/>
                <w:szCs w:val="20"/>
                <w:color w:val="auto"/>
              </w:rPr>
            </w:pPr>
            <w:r>
              <w:rPr>
                <w:rFonts w:ascii="Arial" w:cs="Arial" w:eastAsia="Arial" w:hAnsi="Arial"/>
                <w:sz w:val="18"/>
                <w:szCs w:val="18"/>
                <w:color w:val="auto"/>
              </w:rPr>
              <w:t>1,897</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3"/>
          </w:tcPr>
          <w:p>
            <w:pPr>
              <w:jc w:val="right"/>
              <w:ind w:right="40"/>
              <w:spacing w:after="0"/>
              <w:rPr>
                <w:sz w:val="20"/>
                <w:szCs w:val="20"/>
                <w:color w:val="auto"/>
              </w:rPr>
            </w:pPr>
            <w:r>
              <w:rPr>
                <w:rFonts w:ascii="Arial" w:cs="Arial" w:eastAsia="Arial" w:hAnsi="Arial"/>
                <w:sz w:val="18"/>
                <w:szCs w:val="18"/>
                <w:color w:val="auto"/>
              </w:rPr>
              <w:t>(576)</w:t>
            </w:r>
          </w:p>
        </w:tc>
        <w:tc>
          <w:tcPr>
            <w:tcW w:w="0" w:type="dxa"/>
            <w:vAlign w:val="bottom"/>
          </w:tcPr>
          <w:p>
            <w:pPr>
              <w:spacing w:after="0"/>
              <w:rPr>
                <w:sz w:val="1"/>
                <w:szCs w:val="1"/>
                <w:color w:val="auto"/>
              </w:rPr>
            </w:pPr>
          </w:p>
        </w:tc>
      </w:tr>
      <w:tr>
        <w:trPr>
          <w:trHeight w:val="142"/>
        </w:trPr>
        <w:tc>
          <w:tcPr>
            <w:tcW w:w="6860" w:type="dxa"/>
            <w:vAlign w:val="bottom"/>
            <w:tcBorders>
              <w:top w:val="single" w:sz="8" w:color="CCEEFF"/>
            </w:tcBorders>
            <w:vMerge w:val="restart"/>
            <w:shd w:val="clear" w:color="auto" w:fill="CCEEFF"/>
          </w:tcPr>
          <w:p>
            <w:pPr>
              <w:spacing w:after="0"/>
              <w:rPr>
                <w:sz w:val="20"/>
                <w:szCs w:val="20"/>
                <w:color w:val="auto"/>
              </w:rPr>
            </w:pPr>
            <w:r>
              <w:rPr>
                <w:rFonts w:ascii="Arial" w:cs="Arial" w:eastAsia="Arial" w:hAnsi="Arial"/>
                <w:sz w:val="18"/>
                <w:szCs w:val="18"/>
                <w:color w:val="auto"/>
              </w:rPr>
              <w:t>COMPREHENSIVE LOSS</w:t>
            </w:r>
          </w:p>
        </w:tc>
        <w:tc>
          <w:tcPr>
            <w:tcW w:w="1580" w:type="dxa"/>
            <w:vAlign w:val="bottom"/>
            <w:tcBorders>
              <w:top w:val="single" w:sz="8" w:color="CCEEFF"/>
            </w:tcBorders>
            <w:vMerge w:val="restart"/>
            <w:shd w:val="clear" w:color="auto" w:fill="CCEEFF"/>
          </w:tcPr>
          <w:p>
            <w:pPr>
              <w:spacing w:after="0"/>
              <w:rPr>
                <w:sz w:val="12"/>
                <w:szCs w:val="12"/>
                <w:color w:val="auto"/>
              </w:rPr>
            </w:pPr>
          </w:p>
        </w:tc>
        <w:tc>
          <w:tcPr>
            <w:tcW w:w="120" w:type="dxa"/>
            <w:vAlign w:val="bottom"/>
            <w:tcBorders>
              <w:top w:val="single" w:sz="8" w:color="auto"/>
            </w:tcBorders>
            <w:vMerge w:val="restart"/>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shd w:val="clear" w:color="auto" w:fill="CCEEFF"/>
          </w:tcPr>
          <w:p>
            <w:pPr>
              <w:spacing w:after="0"/>
              <w:rPr>
                <w:sz w:val="12"/>
                <w:szCs w:val="12"/>
                <w:color w:val="auto"/>
              </w:rPr>
            </w:pPr>
          </w:p>
        </w:tc>
        <w:tc>
          <w:tcPr>
            <w:tcW w:w="140" w:type="dxa"/>
            <w:vAlign w:val="bottom"/>
            <w:tcBorders>
              <w:top w:val="single" w:sz="8" w:color="CCEEFF"/>
            </w:tcBorders>
            <w:shd w:val="clear" w:color="auto" w:fill="CCEEFF"/>
          </w:tcPr>
          <w:p>
            <w:pPr>
              <w:jc w:val="right"/>
              <w:ind w:right="1"/>
              <w:spacing w:after="0" w:line="142" w:lineRule="exact"/>
              <w:rPr>
                <w:sz w:val="20"/>
                <w:szCs w:val="20"/>
                <w:color w:val="auto"/>
              </w:rPr>
            </w:pPr>
            <w:r>
              <w:rPr>
                <w:rFonts w:ascii="Arial" w:cs="Arial" w:eastAsia="Arial" w:hAnsi="Arial"/>
                <w:sz w:val="16"/>
                <w:szCs w:val="16"/>
                <w:color w:val="auto"/>
                <w:w w:val="74"/>
              </w:rPr>
              <w:t>)</w:t>
            </w:r>
          </w:p>
        </w:tc>
        <w:tc>
          <w:tcPr>
            <w:tcW w:w="80" w:type="dxa"/>
            <w:vAlign w:val="bottom"/>
            <w:tcBorders>
              <w:top w:val="single" w:sz="8" w:color="CCEEFF"/>
            </w:tcBorders>
            <w:vMerge w:val="restart"/>
            <w:shd w:val="clear" w:color="auto" w:fill="CCEEFF"/>
          </w:tcPr>
          <w:p>
            <w:pPr>
              <w:spacing w:after="0"/>
              <w:rPr>
                <w:sz w:val="12"/>
                <w:szCs w:val="12"/>
                <w:color w:val="auto"/>
              </w:rPr>
            </w:pPr>
          </w:p>
        </w:tc>
        <w:tc>
          <w:tcPr>
            <w:tcW w:w="260" w:type="dxa"/>
            <w:vAlign w:val="bottom"/>
            <w:tcBorders>
              <w:top w:val="single" w:sz="8" w:color="auto"/>
            </w:tcBorders>
            <w:vMerge w:val="restart"/>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gridSpan w:val="2"/>
            <w:shd w:val="clear" w:color="auto" w:fill="CCEEFF"/>
          </w:tcPr>
          <w:p>
            <w:pPr>
              <w:jc w:val="right"/>
              <w:ind w:right="40"/>
              <w:spacing w:after="0" w:line="142" w:lineRule="exact"/>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68"/>
        </w:trPr>
        <w:tc>
          <w:tcPr>
            <w:tcW w:w="6860" w:type="dxa"/>
            <w:vAlign w:val="bottom"/>
            <w:vMerge w:val="continue"/>
            <w:shd w:val="clear" w:color="auto" w:fill="CCEEFF"/>
          </w:tcPr>
          <w:p>
            <w:pPr>
              <w:spacing w:after="0"/>
              <w:rPr>
                <w:sz w:val="5"/>
                <w:szCs w:val="5"/>
                <w:color w:val="auto"/>
              </w:rPr>
            </w:pPr>
          </w:p>
        </w:tc>
        <w:tc>
          <w:tcPr>
            <w:tcW w:w="1580" w:type="dxa"/>
            <w:vAlign w:val="bottom"/>
            <w:vMerge w:val="continue"/>
            <w:shd w:val="clear" w:color="auto" w:fill="CCEEFF"/>
          </w:tcPr>
          <w:p>
            <w:pPr>
              <w:spacing w:after="0"/>
              <w:rPr>
                <w:sz w:val="5"/>
                <w:szCs w:val="5"/>
                <w:color w:val="auto"/>
              </w:rPr>
            </w:pPr>
          </w:p>
        </w:tc>
        <w:tc>
          <w:tcPr>
            <w:tcW w:w="120" w:type="dxa"/>
            <w:vAlign w:val="bottom"/>
            <w:vMerge w:val="continue"/>
            <w:shd w:val="clear" w:color="auto" w:fill="CCEEFF"/>
          </w:tcPr>
          <w:p>
            <w:pPr>
              <w:spacing w:after="0"/>
              <w:rPr>
                <w:sz w:val="5"/>
                <w:szCs w:val="5"/>
                <w:color w:val="auto"/>
              </w:rPr>
            </w:pPr>
          </w:p>
        </w:tc>
        <w:tc>
          <w:tcPr>
            <w:tcW w:w="1260" w:type="dxa"/>
            <w:vAlign w:val="bottom"/>
            <w:gridSpan w:val="2"/>
            <w:shd w:val="clear" w:color="auto" w:fill="CCEEFF"/>
          </w:tcPr>
          <w:p>
            <w:pPr>
              <w:jc w:val="right"/>
              <w:ind w:right="61"/>
              <w:spacing w:after="0" w:line="68" w:lineRule="exact"/>
              <w:rPr>
                <w:sz w:val="20"/>
                <w:szCs w:val="20"/>
                <w:color w:val="auto"/>
              </w:rPr>
            </w:pPr>
            <w:r>
              <w:rPr>
                <w:rFonts w:ascii="Arial" w:cs="Arial" w:eastAsia="Arial" w:hAnsi="Arial"/>
                <w:sz w:val="7"/>
                <w:szCs w:val="7"/>
                <w:color w:val="auto"/>
              </w:rPr>
              <w:t>(53,378</w:t>
            </w:r>
          </w:p>
        </w:tc>
        <w:tc>
          <w:tcPr>
            <w:tcW w:w="80" w:type="dxa"/>
            <w:vAlign w:val="bottom"/>
            <w:vMerge w:val="continue"/>
            <w:shd w:val="clear" w:color="auto" w:fill="CCEEFF"/>
          </w:tcPr>
          <w:p>
            <w:pPr>
              <w:spacing w:after="0"/>
              <w:rPr>
                <w:sz w:val="5"/>
                <w:szCs w:val="5"/>
                <w:color w:val="auto"/>
              </w:rPr>
            </w:pPr>
          </w:p>
        </w:tc>
        <w:tc>
          <w:tcPr>
            <w:tcW w:w="260" w:type="dxa"/>
            <w:vAlign w:val="bottom"/>
            <w:vMerge w:val="continue"/>
            <w:shd w:val="clear" w:color="auto" w:fill="CCEEFF"/>
          </w:tcPr>
          <w:p>
            <w:pPr>
              <w:spacing w:after="0"/>
              <w:rPr>
                <w:sz w:val="5"/>
                <w:szCs w:val="5"/>
                <w:color w:val="auto"/>
              </w:rPr>
            </w:pPr>
          </w:p>
        </w:tc>
        <w:tc>
          <w:tcPr>
            <w:tcW w:w="1000" w:type="dxa"/>
            <w:vAlign w:val="bottom"/>
            <w:gridSpan w:val="2"/>
            <w:shd w:val="clear" w:color="auto" w:fill="CCEEFF"/>
          </w:tcPr>
          <w:p>
            <w:pPr>
              <w:jc w:val="right"/>
              <w:spacing w:after="0" w:line="68" w:lineRule="exact"/>
              <w:rPr>
                <w:sz w:val="20"/>
                <w:szCs w:val="20"/>
                <w:color w:val="auto"/>
              </w:rPr>
            </w:pPr>
            <w:r>
              <w:rPr>
                <w:rFonts w:ascii="Arial" w:cs="Arial" w:eastAsia="Arial" w:hAnsi="Arial"/>
                <w:sz w:val="7"/>
                <w:szCs w:val="7"/>
                <w:color w:val="auto"/>
              </w:rPr>
              <w:t>(119,913</w:t>
            </w:r>
          </w:p>
        </w:tc>
        <w:tc>
          <w:tcPr>
            <w:tcW w:w="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6860" w:type="dxa"/>
            <w:vAlign w:val="bottom"/>
            <w:tcBorders>
              <w:top w:val="single" w:sz="8" w:color="CCEEFF"/>
            </w:tcBorders>
          </w:tcPr>
          <w:p>
            <w:pPr>
              <w:spacing w:after="0" w:line="20" w:lineRule="exact"/>
              <w:rPr>
                <w:sz w:val="1"/>
                <w:szCs w:val="1"/>
                <w:color w:val="auto"/>
              </w:rPr>
            </w:pPr>
          </w:p>
        </w:tc>
        <w:tc>
          <w:tcPr>
            <w:tcW w:w="15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8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860" w:type="dxa"/>
            <w:vAlign w:val="bottom"/>
            <w:shd w:val="clear" w:color="auto" w:fill="CCEEFF"/>
          </w:tcPr>
          <w:p>
            <w:pPr>
              <w:spacing w:after="0"/>
              <w:rPr>
                <w:sz w:val="20"/>
                <w:szCs w:val="20"/>
                <w:color w:val="auto"/>
              </w:rPr>
            </w:pPr>
            <w:r>
              <w:rPr>
                <w:rFonts w:ascii="Arial" w:cs="Arial" w:eastAsia="Arial" w:hAnsi="Arial"/>
                <w:sz w:val="18"/>
                <w:szCs w:val="18"/>
                <w:color w:val="auto"/>
              </w:rPr>
              <w:t>Net loss per share attributable to common stockholders, basic and diluted</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(1.28)</w:t>
            </w:r>
          </w:p>
        </w:tc>
        <w:tc>
          <w:tcPr>
            <w:tcW w:w="34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(2.97)</w:t>
            </w:r>
          </w:p>
        </w:tc>
        <w:tc>
          <w:tcPr>
            <w:tcW w:w="0" w:type="dxa"/>
            <w:vAlign w:val="bottom"/>
          </w:tcPr>
          <w:p>
            <w:pPr>
              <w:spacing w:after="0"/>
              <w:rPr>
                <w:sz w:val="1"/>
                <w:szCs w:val="1"/>
                <w:color w:val="auto"/>
              </w:rPr>
            </w:pPr>
          </w:p>
        </w:tc>
      </w:tr>
      <w:tr>
        <w:trPr>
          <w:trHeight w:val="20"/>
        </w:trPr>
        <w:tc>
          <w:tcPr>
            <w:tcW w:w="68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Weighted average common shares outstanding, basic and diluted</w:t>
            </w:r>
          </w:p>
        </w:tc>
        <w:tc>
          <w:tcPr>
            <w:tcW w:w="15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CCEEFF"/>
            </w:tcBorders>
            <w:vMerge w:val="restart"/>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CCEEFF"/>
            </w:tcBorders>
            <w:vMerge w:val="restart"/>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860" w:type="dxa"/>
            <w:vAlign w:val="bottom"/>
            <w:vMerge w:val="continue"/>
          </w:tcPr>
          <w:p>
            <w:pPr>
              <w:spacing w:after="0"/>
              <w:rPr>
                <w:sz w:val="17"/>
                <w:szCs w:val="17"/>
                <w:color w:val="auto"/>
              </w:rPr>
            </w:pPr>
          </w:p>
        </w:tc>
        <w:tc>
          <w:tcPr>
            <w:tcW w:w="158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43,181,808</w:t>
            </w:r>
          </w:p>
        </w:tc>
        <w:tc>
          <w:tcPr>
            <w:tcW w:w="14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40,118,537</w:t>
            </w:r>
          </w:p>
        </w:tc>
        <w:tc>
          <w:tcPr>
            <w:tcW w:w="20" w:type="dxa"/>
            <w:vAlign w:val="bottom"/>
            <w:tcBorders>
              <w:bottom w:val="single" w:sz="8" w:color="auto"/>
            </w:tcBorders>
            <w:vMerge w:val="continue"/>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86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686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2022-02-25T06:23:03Z</dcterms:created>
  <dcterms:modified xsi:type="dcterms:W3CDTF">2022-02-25T06:23:03Z</dcterms:modified>
</cp:coreProperties>
</file>