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October 26, 2020</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4"/>
          <w:szCs w:val="24"/>
          <w:color w:val="auto"/>
        </w:rPr>
      </w:pPr>
    </w:p>
    <w:tbl>
      <w:tblPr>
        <w:tblLayout w:type="fixed"/>
        <w:tblInd w:w="640" w:type="dxa"/>
        <w:tblCellMar>
          <w:top w:w="0" w:type="dxa"/>
          <w:left w:w="0" w:type="dxa"/>
          <w:bottom w:w="0" w:type="dxa"/>
          <w:right w:w="0" w:type="dxa"/>
        </w:tblCellMar>
      </w:tblPr>
      <w:tr>
        <w:trPr>
          <w:trHeight w:val="216"/>
        </w:trPr>
        <w:tc>
          <w:tcPr>
            <w:tcW w:w="2680" w:type="dxa"/>
            <w:vAlign w:val="bottom"/>
          </w:tcPr>
          <w:p>
            <w:pPr>
              <w:jc w:val="center"/>
              <w:ind w:right="250"/>
              <w:spacing w:after="0"/>
              <w:rPr>
                <w:sz w:val="20"/>
                <w:szCs w:val="20"/>
                <w:color w:val="auto"/>
              </w:rPr>
            </w:pPr>
            <w:r>
              <w:rPr>
                <w:rFonts w:ascii="Arial" w:cs="Arial" w:eastAsia="Arial" w:hAnsi="Arial"/>
                <w:sz w:val="18"/>
                <w:szCs w:val="18"/>
                <w:b w:val="1"/>
                <w:bCs w:val="1"/>
                <w:color w:val="auto"/>
                <w:w w:val="93"/>
              </w:rPr>
              <w:t>Delaware</w:t>
            </w:r>
          </w:p>
        </w:tc>
        <w:tc>
          <w:tcPr>
            <w:tcW w:w="484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001-38650</w:t>
            </w:r>
          </w:p>
        </w:tc>
        <w:tc>
          <w:tcPr>
            <w:tcW w:w="1980" w:type="dxa"/>
            <w:vAlign w:val="bottom"/>
          </w:tcPr>
          <w:p>
            <w:pPr>
              <w:jc w:val="center"/>
              <w:ind w:left="490"/>
              <w:spacing w:after="0"/>
              <w:rPr>
                <w:sz w:val="20"/>
                <w:szCs w:val="20"/>
                <w:color w:val="auto"/>
              </w:rPr>
            </w:pPr>
            <w:r>
              <w:rPr>
                <w:rFonts w:ascii="Arial" w:cs="Arial" w:eastAsia="Arial" w:hAnsi="Arial"/>
                <w:sz w:val="18"/>
                <w:szCs w:val="18"/>
                <w:b w:val="1"/>
                <w:bCs w:val="1"/>
                <w:color w:val="auto"/>
                <w:w w:val="91"/>
              </w:rPr>
              <w:t>47-4619612</w:t>
            </w:r>
          </w:p>
        </w:tc>
      </w:tr>
      <w:tr>
        <w:trPr>
          <w:trHeight w:val="216"/>
        </w:trPr>
        <w:tc>
          <w:tcPr>
            <w:tcW w:w="2680" w:type="dxa"/>
            <w:vAlign w:val="bottom"/>
          </w:tcPr>
          <w:p>
            <w:pPr>
              <w:jc w:val="center"/>
              <w:ind w:right="250"/>
              <w:spacing w:after="0"/>
              <w:rPr>
                <w:sz w:val="20"/>
                <w:szCs w:val="20"/>
                <w:color w:val="auto"/>
              </w:rPr>
            </w:pPr>
            <w:r>
              <w:rPr>
                <w:rFonts w:ascii="Arial" w:cs="Arial" w:eastAsia="Arial" w:hAnsi="Arial"/>
                <w:sz w:val="18"/>
                <w:szCs w:val="18"/>
                <w:b w:val="1"/>
                <w:bCs w:val="1"/>
                <w:color w:val="auto"/>
                <w:w w:val="91"/>
              </w:rPr>
              <w:t>(State or other jurisdiction of</w:t>
            </w:r>
          </w:p>
        </w:tc>
        <w:tc>
          <w:tcPr>
            <w:tcW w:w="484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(Commission</w:t>
            </w:r>
          </w:p>
        </w:tc>
        <w:tc>
          <w:tcPr>
            <w:tcW w:w="1980" w:type="dxa"/>
            <w:vAlign w:val="bottom"/>
          </w:tcPr>
          <w:p>
            <w:pPr>
              <w:jc w:val="center"/>
              <w:ind w:left="5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680" w:type="dxa"/>
            <w:vAlign w:val="bottom"/>
          </w:tcPr>
          <w:p>
            <w:pPr>
              <w:jc w:val="center"/>
              <w:ind w:right="250"/>
              <w:spacing w:after="0"/>
              <w:rPr>
                <w:sz w:val="20"/>
                <w:szCs w:val="20"/>
                <w:color w:val="auto"/>
              </w:rPr>
            </w:pPr>
            <w:r>
              <w:rPr>
                <w:rFonts w:ascii="Arial" w:cs="Arial" w:eastAsia="Arial" w:hAnsi="Arial"/>
                <w:sz w:val="18"/>
                <w:szCs w:val="18"/>
                <w:b w:val="1"/>
                <w:bCs w:val="1"/>
                <w:color w:val="auto"/>
                <w:w w:val="91"/>
              </w:rPr>
              <w:t>incorporation or organization)</w:t>
            </w:r>
          </w:p>
        </w:tc>
        <w:tc>
          <w:tcPr>
            <w:tcW w:w="484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File Number)</w:t>
            </w:r>
          </w:p>
        </w:tc>
        <w:tc>
          <w:tcPr>
            <w:tcW w:w="1980" w:type="dxa"/>
            <w:vAlign w:val="bottom"/>
          </w:tcPr>
          <w:p>
            <w:pPr>
              <w:jc w:val="center"/>
              <w:ind w:left="49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680" w:type="dxa"/>
            <w:vAlign w:val="bottom"/>
          </w:tcPr>
          <w:p>
            <w:pPr>
              <w:spacing w:after="0"/>
              <w:rPr>
                <w:sz w:val="24"/>
                <w:szCs w:val="24"/>
                <w:color w:val="auto"/>
              </w:rPr>
            </w:pPr>
          </w:p>
        </w:tc>
        <w:tc>
          <w:tcPr>
            <w:tcW w:w="484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230 Park Avenue</w:t>
            </w:r>
          </w:p>
        </w:tc>
        <w:tc>
          <w:tcPr>
            <w:tcW w:w="1980" w:type="dxa"/>
            <w:vAlign w:val="bottom"/>
          </w:tcPr>
          <w:p>
            <w:pPr>
              <w:spacing w:after="0"/>
              <w:rPr>
                <w:sz w:val="24"/>
                <w:szCs w:val="24"/>
                <w:color w:val="auto"/>
              </w:rPr>
            </w:pPr>
          </w:p>
        </w:tc>
      </w:tr>
      <w:tr>
        <w:trPr>
          <w:trHeight w:val="216"/>
        </w:trPr>
        <w:tc>
          <w:tcPr>
            <w:tcW w:w="2680" w:type="dxa"/>
            <w:vAlign w:val="bottom"/>
          </w:tcPr>
          <w:p>
            <w:pPr>
              <w:spacing w:after="0"/>
              <w:rPr>
                <w:sz w:val="18"/>
                <w:szCs w:val="18"/>
                <w:color w:val="auto"/>
              </w:rPr>
            </w:pPr>
          </w:p>
        </w:tc>
        <w:tc>
          <w:tcPr>
            <w:tcW w:w="48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Suite 3350</w:t>
            </w:r>
          </w:p>
        </w:tc>
        <w:tc>
          <w:tcPr>
            <w:tcW w:w="1980" w:type="dxa"/>
            <w:vAlign w:val="bottom"/>
          </w:tcPr>
          <w:p>
            <w:pPr>
              <w:spacing w:after="0"/>
              <w:rPr>
                <w:sz w:val="18"/>
                <w:szCs w:val="18"/>
                <w:color w:val="auto"/>
              </w:rPr>
            </w:pPr>
          </w:p>
        </w:tc>
      </w:tr>
      <w:tr>
        <w:trPr>
          <w:trHeight w:val="216"/>
        </w:trPr>
        <w:tc>
          <w:tcPr>
            <w:tcW w:w="2680" w:type="dxa"/>
            <w:vAlign w:val="bottom"/>
          </w:tcPr>
          <w:p>
            <w:pPr>
              <w:spacing w:after="0"/>
              <w:rPr>
                <w:sz w:val="18"/>
                <w:szCs w:val="18"/>
                <w:color w:val="auto"/>
              </w:rPr>
            </w:pPr>
          </w:p>
        </w:tc>
        <w:tc>
          <w:tcPr>
            <w:tcW w:w="48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New York, New York 10169</w:t>
            </w:r>
          </w:p>
        </w:tc>
        <w:tc>
          <w:tcPr>
            <w:tcW w:w="1980" w:type="dxa"/>
            <w:vAlign w:val="bottom"/>
          </w:tcPr>
          <w:p>
            <w:pPr>
              <w:spacing w:after="0"/>
              <w:rPr>
                <w:sz w:val="18"/>
                <w:szCs w:val="18"/>
                <w:color w:val="auto"/>
              </w:rPr>
            </w:pPr>
          </w:p>
        </w:tc>
      </w:tr>
      <w:tr>
        <w:trPr>
          <w:trHeight w:val="234"/>
        </w:trPr>
        <w:tc>
          <w:tcPr>
            <w:tcW w:w="2680" w:type="dxa"/>
            <w:vAlign w:val="bottom"/>
          </w:tcPr>
          <w:p>
            <w:pPr>
              <w:spacing w:after="0"/>
              <w:rPr>
                <w:sz w:val="20"/>
                <w:szCs w:val="20"/>
                <w:color w:val="auto"/>
              </w:rPr>
            </w:pPr>
          </w:p>
        </w:tc>
        <w:tc>
          <w:tcPr>
            <w:tcW w:w="48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(Address of principal executive offices) (Zip Code)</w:t>
            </w:r>
          </w:p>
        </w:tc>
        <w:tc>
          <w:tcPr>
            <w:tcW w:w="1980" w:type="dxa"/>
            <w:vAlign w:val="bottom"/>
          </w:tcPr>
          <w:p>
            <w:pPr>
              <w:spacing w:after="0"/>
              <w:rPr>
                <w:sz w:val="20"/>
                <w:szCs w:val="20"/>
                <w:color w:val="auto"/>
              </w:rPr>
            </w:pPr>
          </w:p>
        </w:tc>
      </w:tr>
      <w:tr>
        <w:trPr>
          <w:trHeight w:val="414"/>
        </w:trPr>
        <w:tc>
          <w:tcPr>
            <w:tcW w:w="2680" w:type="dxa"/>
            <w:vAlign w:val="bottom"/>
          </w:tcPr>
          <w:p>
            <w:pPr>
              <w:spacing w:after="0"/>
              <w:rPr>
                <w:sz w:val="24"/>
                <w:szCs w:val="24"/>
                <w:color w:val="auto"/>
              </w:rPr>
            </w:pPr>
          </w:p>
        </w:tc>
        <w:tc>
          <w:tcPr>
            <w:tcW w:w="484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(646) 885-8505</w:t>
            </w:r>
          </w:p>
        </w:tc>
        <w:tc>
          <w:tcPr>
            <w:tcW w:w="1980" w:type="dxa"/>
            <w:vAlign w:val="bottom"/>
          </w:tcPr>
          <w:p>
            <w:pPr>
              <w:spacing w:after="0"/>
              <w:rPr>
                <w:sz w:val="24"/>
                <w:szCs w:val="24"/>
                <w:color w:val="auto"/>
              </w:rPr>
            </w:pPr>
          </w:p>
        </w:tc>
      </w:tr>
      <w:tr>
        <w:trPr>
          <w:trHeight w:val="234"/>
        </w:trPr>
        <w:tc>
          <w:tcPr>
            <w:tcW w:w="2680" w:type="dxa"/>
            <w:vAlign w:val="bottom"/>
          </w:tcPr>
          <w:p>
            <w:pPr>
              <w:spacing w:after="0"/>
              <w:rPr>
                <w:sz w:val="20"/>
                <w:szCs w:val="20"/>
                <w:color w:val="auto"/>
              </w:rPr>
            </w:pPr>
          </w:p>
        </w:tc>
        <w:tc>
          <w:tcPr>
            <w:tcW w:w="484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(Registrant’s telephone number, include area code)</w:t>
            </w:r>
          </w:p>
        </w:tc>
        <w:tc>
          <w:tcPr>
            <w:tcW w:w="198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4"/>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$0.0001 par value</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YMAB</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441"/>
        <w:spacing w:after="0" w:line="248" w:lineRule="auto"/>
        <w:rPr>
          <w:sz w:val="20"/>
          <w:szCs w:val="20"/>
          <w:color w:val="auto"/>
        </w:rPr>
      </w:pPr>
      <w:r>
        <w:rPr>
          <w:rFonts w:ascii="Arial" w:cs="Arial" w:eastAsia="Arial" w:hAnsi="Arial"/>
          <w:sz w:val="17"/>
          <w:szCs w:val="17"/>
          <w:color w:val="auto"/>
        </w:rPr>
        <w:t xml:space="preserve">On October 26, 2020, Y-mAbs Therapeutics, Inc., (the “Company”) issued a press release announcing that the U.S. Food and Drug Administration has cleared the Company’s Investigational New Drug application for </w:t>
      </w:r>
      <w:r>
        <w:rPr>
          <w:rFonts w:ascii="Arial" w:cs="Arial" w:eastAsia="Arial" w:hAnsi="Arial"/>
          <w:sz w:val="28"/>
          <w:szCs w:val="28"/>
          <w:color w:val="auto"/>
          <w:vertAlign w:val="superscript"/>
        </w:rPr>
        <w:t>177</w:t>
      </w:r>
      <w:r>
        <w:rPr>
          <w:rFonts w:ascii="Arial" w:cs="Arial" w:eastAsia="Arial" w:hAnsi="Arial"/>
          <w:sz w:val="17"/>
          <w:szCs w:val="17"/>
          <w:color w:val="auto"/>
        </w:rPr>
        <w:t>Lu-omburtamab-DTPA for the treatment of B7-H3 positive Central Nervous System (“CNS”) and Leptomeningeal Metastasis (“LM”) from tumors in adult patients. Further, the press release announced that the Company anticipates that an international multicenter Phase 1/2 clinical trial will be opened for the screening of adult patients with CNS/LM from B7-H3 positive tumors during the fourth quarter of 2020. A copy of the press release is attached hereto as Exhibit 99.1.</w:t>
      </w:r>
    </w:p>
    <w:p>
      <w:pPr>
        <w:spacing w:after="0" w:line="196"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information furnished pursuant to Item 8.01 on this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except as expressly set forth by specific reference in such a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p>
        </w:tc>
        <w:tc>
          <w:tcPr>
            <w:tcW w:w="10200" w:type="dxa"/>
            <w:vAlign w:val="bottom"/>
            <w:gridSpan w:val="2"/>
          </w:tcPr>
          <w:p>
            <w:pPr>
              <w:ind w:left="60"/>
              <w:spacing w:after="0"/>
              <w:rPr>
                <w:sz w:val="20"/>
                <w:szCs w:val="20"/>
                <w:color w:val="auto"/>
              </w:rPr>
            </w:pPr>
            <w:r>
              <w:rPr>
                <w:rFonts w:ascii="Arial" w:cs="Arial" w:eastAsia="Arial" w:hAnsi="Arial"/>
                <w:sz w:val="18"/>
                <w:szCs w:val="18"/>
                <w:color w:val="auto"/>
              </w:rPr>
              <w:t>(d) Exhibits</w:t>
            </w:r>
          </w:p>
        </w:tc>
      </w:tr>
      <w:tr>
        <w:trPr>
          <w:trHeight w:val="439"/>
        </w:trPr>
        <w:tc>
          <w:tcPr>
            <w:tcW w:w="1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540" w:type="dxa"/>
            <w:vAlign w:val="bottom"/>
          </w:tcPr>
          <w:p>
            <w:pPr>
              <w:spacing w:after="0"/>
              <w:rPr>
                <w:sz w:val="24"/>
                <w:szCs w:val="24"/>
                <w:color w:val="auto"/>
              </w:rPr>
            </w:pPr>
          </w:p>
        </w:tc>
        <w:tc>
          <w:tcPr>
            <w:tcW w:w="9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432"/>
        </w:trPr>
        <w:tc>
          <w:tcPr>
            <w:tcW w:w="104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w:t>
              </w:r>
            </w:hyperlink>
          </w:p>
        </w:tc>
        <w:tc>
          <w:tcPr>
            <w:tcW w:w="540" w:type="dxa"/>
            <w:vAlign w:val="bottom"/>
          </w:tcPr>
          <w:p>
            <w:pPr>
              <w:spacing w:after="0"/>
              <w:rPr>
                <w:sz w:val="24"/>
                <w:szCs w:val="24"/>
                <w:color w:val="auto"/>
              </w:rPr>
            </w:pPr>
          </w:p>
        </w:tc>
        <w:tc>
          <w:tcPr>
            <w:tcW w:w="966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dated October 26, 2020 issued by Y-mAbs Therapeutics, Inc.</w:t>
              </w:r>
            </w:hyperlink>
          </w:p>
        </w:tc>
      </w:tr>
      <w:tr>
        <w:trPr>
          <w:trHeight w:val="675"/>
        </w:trPr>
        <w:tc>
          <w:tcPr>
            <w:tcW w:w="10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7520" w:type="dxa"/>
            <w:vAlign w:val="bottom"/>
            <w:gridSpan w:val="2"/>
          </w:tcPr>
          <w:p>
            <w:pPr>
              <w:ind w:left="2020"/>
              <w:spacing w:after="0"/>
              <w:rPr>
                <w:sz w:val="20"/>
                <w:szCs w:val="20"/>
                <w:color w:val="auto"/>
              </w:rPr>
            </w:pPr>
            <w:r>
              <w:rPr>
                <w:rFonts w:ascii="Arial" w:cs="Arial" w:eastAsia="Arial" w:hAnsi="Arial"/>
                <w:sz w:val="18"/>
                <w:szCs w:val="18"/>
                <w:color w:val="auto"/>
              </w:rPr>
              <w:t>Y-MABS THERAPEUTICS, INC.</w:t>
            </w:r>
          </w:p>
        </w:tc>
      </w:tr>
      <w:tr>
        <w:trPr>
          <w:trHeight w:val="432"/>
        </w:trPr>
        <w:tc>
          <w:tcPr>
            <w:tcW w:w="3720" w:type="dxa"/>
            <w:vAlign w:val="bottom"/>
          </w:tcPr>
          <w:p>
            <w:pPr>
              <w:spacing w:after="0"/>
              <w:rPr>
                <w:sz w:val="20"/>
                <w:szCs w:val="20"/>
                <w:color w:val="auto"/>
              </w:rPr>
            </w:pPr>
            <w:r>
              <w:rPr>
                <w:rFonts w:ascii="Arial" w:cs="Arial" w:eastAsia="Arial" w:hAnsi="Arial"/>
                <w:sz w:val="18"/>
                <w:szCs w:val="18"/>
                <w:color w:val="auto"/>
              </w:rPr>
              <w:t>Date: October 26, 2020</w:t>
            </w:r>
          </w:p>
        </w:tc>
        <w:tc>
          <w:tcPr>
            <w:tcW w:w="7520" w:type="dxa"/>
            <w:vAlign w:val="bottom"/>
            <w:gridSpan w:val="2"/>
          </w:tcPr>
          <w:p>
            <w:pPr>
              <w:ind w:left="2020"/>
              <w:spacing w:after="0"/>
              <w:rPr>
                <w:sz w:val="20"/>
                <w:szCs w:val="20"/>
                <w:color w:val="auto"/>
              </w:rPr>
            </w:pPr>
            <w:r>
              <w:rPr>
                <w:rFonts w:ascii="Arial" w:cs="Arial" w:eastAsia="Arial" w:hAnsi="Arial"/>
                <w:sz w:val="18"/>
                <w:szCs w:val="18"/>
                <w:color w:val="auto"/>
              </w:rPr>
              <w:t>By: /s/ Thomas Gad</w:t>
            </w:r>
          </w:p>
        </w:tc>
      </w:tr>
      <w:tr>
        <w:trPr>
          <w:trHeight w:val="195"/>
        </w:trPr>
        <w:tc>
          <w:tcPr>
            <w:tcW w:w="37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Gad</w:t>
            </w:r>
          </w:p>
        </w:tc>
      </w:tr>
      <w:tr>
        <w:trPr>
          <w:trHeight w:val="216"/>
        </w:trPr>
        <w:tc>
          <w:tcPr>
            <w:tcW w:w="37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3"/>
              </w:rPr>
              <w:t>Founder, Chairman, President and Head of Business Development &amp;</w:t>
            </w:r>
          </w:p>
        </w:tc>
      </w:tr>
      <w:tr>
        <w:trPr>
          <w:trHeight w:val="230"/>
        </w:trPr>
        <w:tc>
          <w:tcPr>
            <w:tcW w:w="37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Strategy</w:t>
            </w:r>
          </w:p>
        </w:tc>
      </w:tr>
      <w:tr>
        <w:trPr>
          <w:trHeight w:val="675"/>
        </w:trPr>
        <w:tc>
          <w:tcPr>
            <w:tcW w:w="37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165735</wp:posOffset>
            </wp:positionV>
            <wp:extent cx="2400300" cy="6343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0030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600" w:right="1600" w:firstLine="38"/>
        <w:spacing w:after="0" w:line="325" w:lineRule="auto"/>
        <w:rPr>
          <w:sz w:val="20"/>
          <w:szCs w:val="20"/>
          <w:color w:val="auto"/>
        </w:rPr>
      </w:pPr>
      <w:r>
        <w:rPr>
          <w:rFonts w:ascii="Arial" w:cs="Arial" w:eastAsia="Arial" w:hAnsi="Arial"/>
          <w:sz w:val="29"/>
          <w:szCs w:val="29"/>
          <w:b w:val="1"/>
          <w:bCs w:val="1"/>
          <w:color w:val="auto"/>
        </w:rPr>
        <w:t>Y-mAbs Announces FDA Clearance of IND for Lutetium-177 Labeled Omburtamab Antibody for Adult Indications</w:t>
      </w:r>
    </w:p>
    <w:p>
      <w:pPr>
        <w:spacing w:after="0" w:line="6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New York, NY, October 26, 2020 (GLOBE NEWSWIRE) – Y-mAbs Therapeutics, Inc. (the “Company” or “Y-mAbs”) (Nasdaq: YMAB) a late-stage clinical biopharmaceutical company focused on the development and commercialization of novel, antibody-based therapeutic products for the treatment of cancer announced today that the U.S. Food and Drug Administration (“FDA”) has cleared the Company’s Investigational New Drug (“IND”) application</w:t>
      </w:r>
    </w:p>
    <w:p>
      <w:pPr>
        <w:spacing w:after="0" w:line="2" w:lineRule="exact"/>
        <w:rPr>
          <w:sz w:val="20"/>
          <w:szCs w:val="20"/>
          <w:color w:val="auto"/>
        </w:rPr>
      </w:pPr>
    </w:p>
    <w:p>
      <w:pPr>
        <w:jc w:val="both"/>
        <w:ind w:right="20"/>
        <w:spacing w:after="0" w:line="209" w:lineRule="auto"/>
        <w:rPr>
          <w:sz w:val="20"/>
          <w:szCs w:val="20"/>
          <w:color w:val="auto"/>
        </w:rPr>
      </w:pPr>
      <w:r>
        <w:rPr>
          <w:rFonts w:ascii="Arial" w:cs="Arial" w:eastAsia="Arial" w:hAnsi="Arial"/>
          <w:sz w:val="18"/>
          <w:szCs w:val="18"/>
          <w:color w:val="auto"/>
        </w:rPr>
        <w:t xml:space="preserve">for </w:t>
      </w:r>
      <w:r>
        <w:rPr>
          <w:rFonts w:ascii="Arial" w:cs="Arial" w:eastAsia="Arial" w:hAnsi="Arial"/>
          <w:sz w:val="29"/>
          <w:szCs w:val="29"/>
          <w:color w:val="auto"/>
          <w:vertAlign w:val="superscript"/>
        </w:rPr>
        <w:t>177</w:t>
      </w:r>
      <w:r>
        <w:rPr>
          <w:rFonts w:ascii="Arial" w:cs="Arial" w:eastAsia="Arial" w:hAnsi="Arial"/>
          <w:sz w:val="18"/>
          <w:szCs w:val="18"/>
          <w:color w:val="auto"/>
        </w:rPr>
        <w:t>Lu-omburtamab-DTPA for the treatment of B7-H3 positive Central Nervous System (“CNS”) and Leptomeningeal Metastasis (“LM”) from tumors in adult patients.</w:t>
      </w:r>
    </w:p>
    <w:p>
      <w:pPr>
        <w:spacing w:after="0" w:line="207" w:lineRule="exact"/>
        <w:rPr>
          <w:sz w:val="20"/>
          <w:szCs w:val="20"/>
          <w:color w:val="auto"/>
        </w:rPr>
      </w:pPr>
    </w:p>
    <w:p>
      <w:pPr>
        <w:jc w:val="both"/>
        <w:spacing w:after="0" w:line="224" w:lineRule="auto"/>
        <w:rPr>
          <w:sz w:val="20"/>
          <w:szCs w:val="20"/>
          <w:color w:val="auto"/>
        </w:rPr>
      </w:pPr>
      <w:r>
        <w:rPr>
          <w:rFonts w:ascii="Arial" w:cs="Arial" w:eastAsia="Arial" w:hAnsi="Arial"/>
          <w:sz w:val="29"/>
          <w:szCs w:val="29"/>
          <w:color w:val="auto"/>
          <w:vertAlign w:val="superscript"/>
        </w:rPr>
        <w:t>177</w:t>
      </w:r>
      <w:r>
        <w:rPr>
          <w:rFonts w:ascii="Arial" w:cs="Arial" w:eastAsia="Arial" w:hAnsi="Arial"/>
          <w:sz w:val="18"/>
          <w:szCs w:val="18"/>
          <w:color w:val="auto"/>
        </w:rPr>
        <w:t>Lu-omburtamab-DTPA embodies the Company’s naked omburtamab antibody radiolabeled with lutetium-177, using DTPA to chelate the lutetium radioisotope to the antibody. Lutetium-177 is a beta-emitter with a half-life of 6.7 days and a maximum energy of 0.5 MeV, corresponding to a maximum soft-tissue penetration of approximately 1 mm from the binding site.</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anticipates that an international multicenter Phase 1/2 clinical trial will be opened for the screening of adult patients with CNS/LM from B7-H3 positive tumors during the fourth quarter of 2020.</w:t>
      </w:r>
    </w:p>
    <w:p>
      <w:pPr>
        <w:spacing w:after="0" w:line="174"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 xml:space="preserve">“We are very pleased to move </w:t>
      </w:r>
      <w:r>
        <w:rPr>
          <w:rFonts w:ascii="Arial" w:cs="Arial" w:eastAsia="Arial" w:hAnsi="Arial"/>
          <w:sz w:val="26"/>
          <w:szCs w:val="26"/>
          <w:color w:val="auto"/>
          <w:vertAlign w:val="superscript"/>
        </w:rPr>
        <w:t>177</w:t>
      </w:r>
      <w:r>
        <w:rPr>
          <w:rFonts w:ascii="Arial" w:cs="Arial" w:eastAsia="Arial" w:hAnsi="Arial"/>
          <w:sz w:val="16"/>
          <w:szCs w:val="16"/>
          <w:color w:val="auto"/>
        </w:rPr>
        <w:t xml:space="preserve">Lu-omburtamab-DTPA to the clinic. In this basket trial of B7-H3 positive CNS/LM cancers in adults, we hope to leverage our experience from treating more than 25 adults with </w:t>
      </w:r>
      <w:r>
        <w:rPr>
          <w:rFonts w:ascii="Arial" w:cs="Arial" w:eastAsia="Arial" w:hAnsi="Arial"/>
          <w:sz w:val="26"/>
          <w:szCs w:val="26"/>
          <w:color w:val="auto"/>
          <w:vertAlign w:val="superscript"/>
        </w:rPr>
        <w:t>131</w:t>
      </w:r>
      <w:r>
        <w:rPr>
          <w:rFonts w:ascii="Arial" w:cs="Arial" w:eastAsia="Arial" w:hAnsi="Arial"/>
          <w:sz w:val="16"/>
          <w:szCs w:val="16"/>
          <w:color w:val="auto"/>
        </w:rPr>
        <w:t xml:space="preserve">I-omburtamab. </w:t>
      </w:r>
      <w:r>
        <w:rPr>
          <w:rFonts w:ascii="Arial" w:cs="Arial" w:eastAsia="Arial" w:hAnsi="Arial"/>
          <w:sz w:val="26"/>
          <w:szCs w:val="26"/>
          <w:color w:val="auto"/>
          <w:vertAlign w:val="superscript"/>
        </w:rPr>
        <w:t>177</w:t>
      </w:r>
      <w:r>
        <w:rPr>
          <w:rFonts w:ascii="Arial" w:cs="Arial" w:eastAsia="Arial" w:hAnsi="Arial"/>
          <w:sz w:val="16"/>
          <w:szCs w:val="16"/>
          <w:color w:val="auto"/>
        </w:rPr>
        <w:t>Lu-omburtamab-DTPA is intended to address a clear unmet medical need for patients with B7-H3 positive brain metastasis, and we will open the study for the first adult patients during the fourth quarter of 2020. We are genuinely thrilled to widen our clinical reach for omburtamab to include adult indications,” said Thomas Gad, founder, Chairman and President.</w:t>
      </w:r>
    </w:p>
    <w:p>
      <w:pPr>
        <w:spacing w:after="0" w:line="20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 xml:space="preserve">Dr. Claus Moller, Chief Executive Officer further notes, “Based on our clinical experience with </w:t>
      </w:r>
      <w:r>
        <w:rPr>
          <w:rFonts w:ascii="Arial" w:cs="Arial" w:eastAsia="Arial" w:hAnsi="Arial"/>
          <w:sz w:val="26"/>
          <w:szCs w:val="26"/>
          <w:color w:val="auto"/>
          <w:vertAlign w:val="superscript"/>
        </w:rPr>
        <w:t>131</w:t>
      </w:r>
      <w:r>
        <w:rPr>
          <w:rFonts w:ascii="Arial" w:cs="Arial" w:eastAsia="Arial" w:hAnsi="Arial"/>
          <w:sz w:val="16"/>
          <w:szCs w:val="16"/>
          <w:color w:val="auto"/>
        </w:rPr>
        <w:t xml:space="preserve">I-omburtamab for B7-H3 positive brain metastasis, we are excited to see </w:t>
      </w:r>
      <w:r>
        <w:rPr>
          <w:rFonts w:ascii="Arial" w:cs="Arial" w:eastAsia="Arial" w:hAnsi="Arial"/>
          <w:sz w:val="26"/>
          <w:szCs w:val="26"/>
          <w:color w:val="auto"/>
          <w:vertAlign w:val="superscript"/>
        </w:rPr>
        <w:t>177</w:t>
      </w:r>
      <w:r>
        <w:rPr>
          <w:rFonts w:ascii="Arial" w:cs="Arial" w:eastAsia="Arial" w:hAnsi="Arial"/>
          <w:sz w:val="16"/>
          <w:szCs w:val="16"/>
          <w:color w:val="auto"/>
        </w:rPr>
        <w:t>Lu-omburtamab-DTPA make its way to the clinic to establish the safety profile and to determine the maximum tolerated dose.”</w:t>
      </w:r>
    </w:p>
    <w:p>
      <w:pPr>
        <w:spacing w:after="0" w:line="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Researchers at Memorial Sloan Kettering (“MSK”) developed the omburtamab antibody, which is exclusively licensed by MSK to Y-mAbs. As a result of this licensing arrangement, MSK has institutional financial interests in the compound and in Y-mAbs.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Y-mAbs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Y-mAbs is a late-stage clinical biopharmaceutical company focused on the development and commercialization of novel, antibody-based therapeutic products for the treatment of cancer. The Company has a broad and advanced product pipeline, including two pivotal-stage product candidates—naxitamab and omburtamab—which target tumors that express GD2 and B7-H3,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4914265</wp:posOffset>
            </wp:positionH>
            <wp:positionV relativeFrom="page">
              <wp:posOffset>586105</wp:posOffset>
            </wp:positionV>
            <wp:extent cx="2400300" cy="6343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400300" cy="63436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Such statements include, but are not limited to, statements about our business model and development and commercialization plans; current and future clinical and pre-clinical studies and our research and development programs; expectations related to the timing of the initiation and completion of regulatory submissions; regulatory, marketing and reimbursement approvals; rate and degree of market acceptance and clinical utility as well as pricing and reimbursement levels; retaining and hiring key employees; our commercialization, marketing and manufacturing capabilities and strategy; our intellectual property position and strategy; additional product candidates and technologies; collaborations or strategic partnerships and the potential benefits thereof; expectations related to the use of our cash and cash equivalents, and the need for, timing and amount of any future financing transaction; our financial performance, including our estimates regarding revenues, expenses, capital expenditure requirements; developments relating to our competitors and our industry; and other statements that are not historical facts. Words such as ‘‘anticipate,’’ ‘‘believe,’’ “contemplate,” ‘‘continue,’’ ‘‘could,’’ ‘‘estimate,’’ ‘‘expect,’’ ‘‘intend,’’ ‘‘may,’’ ‘‘might,’’ ‘‘plan,’’ ‘‘potential,’’ ‘‘predict,’’ ‘‘project,’’ ‘‘should,’’ ‘‘target,’’ “will”, ‘‘would’’ and similar expressions are intended to identify forward-looking statements, although not all forward-looking statements contain these identifying words. Our product candidates and related technologies are novel approaches to cancer treatment that present significant challenges. Actual results may differ materially from those indicated by such forward-looking statements as a result of various factors, including but not limited to: risks associated with our financial condition and need for additional capital; risks associated with our development work; cost and success of our product development activities and clinical trials; the risks of delay in the timing of our regulatory submissions or failure to receive approval of our drug candidates; the risks related to commercializing any approved pharmaceutical product including the rate and degree of market acceptance of our product candidates; development of our sales and marketing capabilities and risks associated with failure to obtain sufficient reimbursement for our products; the risks related to our dependence on third parties including for conduct of clinical testing and product manufacture; our inability to enter into partnerships; the risks related to government regulation; risks related to market approval, risks associated with protection of our intellectual property rights; risks related to employee matters and managing growth; risks related to our common stock and other risks and uncertainties affecting the Company including those described in the "Risk Factors" section included in our Annual Report on Form 10-K and in our other SEC filings. Any forward-looking statements contained in this press release speak only as of the date hereof, and the Company undertakes no obligation to update any forward-looking statement, whether as a result of new information, future events or otherwise.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“Y-mAbs” is a registered trademark of Y-mAbs 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Y-mAbs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783080" cy="128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128587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230 Park Avenue, Suite 3350</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New York,</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NY 10169</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USA</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+1 646 885 8505</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E-mail: info@ymabs.com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2020-10-26T08:49:33Z</dcterms:created>
  <dcterms:modified xsi:type="dcterms:W3CDTF">2020-10-26T08:49:33Z</dcterms:modified>
</cp:coreProperties>
</file>