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rPr>
          <w:rFonts w:ascii="Times New Roman" w:cs="Times New Roman" w:eastAsia="Times New Roman" w:hAnsi="Times New Roman"/>
          <w:sz w:val="22"/>
          <w:szCs w:val="22"/>
          <w:u w:val="single" w:color="auto"/>
          <w:color w:val="0000EE"/>
        </w:rPr>
      </w:pPr>
      <w:hyperlink w:anchor="page188">
        <w:r>
          <w:rPr>
            <w:rFonts w:ascii="Times New Roman" w:cs="Times New Roman" w:eastAsia="Times New Roman" w:hAnsi="Times New Roman"/>
            <w:sz w:val="22"/>
            <w:szCs w:val="22"/>
            <w:u w:val="single" w:color="auto"/>
            <w:color w:val="0000EE"/>
          </w:rPr>
          <w:t>TABLE OF CONTENTS</w:t>
        </w:r>
      </w:hyperlink>
    </w:p>
    <w:p>
      <w:pPr>
        <w:spacing w:after="0" w:line="18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As Filed Pursuant to Rule 424(b)(5)</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333-234034</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FF4040"/>
        </w:rPr>
        <w:t>Subject to completion, dated February 16, 2021</w:t>
      </w:r>
    </w:p>
    <w:p>
      <w:pPr>
        <w:spacing w:after="0" w:line="212" w:lineRule="exact"/>
        <w:rPr>
          <w:sz w:val="24"/>
          <w:szCs w:val="24"/>
          <w:color w:val="auto"/>
        </w:rPr>
      </w:pPr>
    </w:p>
    <w:p>
      <w:pPr>
        <w:ind w:right="40"/>
        <w:spacing w:after="0" w:line="250" w:lineRule="auto"/>
        <w:rPr>
          <w:sz w:val="20"/>
          <w:szCs w:val="20"/>
          <w:color w:val="auto"/>
        </w:rPr>
      </w:pPr>
      <w:r>
        <w:rPr>
          <w:rFonts w:ascii="Arial" w:cs="Arial" w:eastAsia="Arial" w:hAnsi="Arial"/>
          <w:sz w:val="18"/>
          <w:szCs w:val="18"/>
          <w:b w:val="1"/>
          <w:bCs w:val="1"/>
          <w:color w:val="FF4040"/>
        </w:rPr>
        <w:t>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they are not soliciting an offer to buy these securities in any jurisdiction where the offer or sale is not permitted.</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15, 2019)</w:t>
      </w:r>
    </w:p>
    <w:p>
      <w:pPr>
        <w:spacing w:after="0" w:line="172" w:lineRule="exact"/>
        <w:rPr>
          <w:sz w:val="24"/>
          <w:szCs w:val="24"/>
          <w:color w:val="auto"/>
        </w:rPr>
      </w:pPr>
    </w:p>
    <w:p>
      <w:pPr>
        <w:spacing w:after="0"/>
        <w:rPr>
          <w:sz w:val="20"/>
          <w:szCs w:val="20"/>
          <w:color w:val="auto"/>
        </w:rPr>
      </w:pPr>
      <w:r>
        <w:rPr>
          <w:rFonts w:ascii="Arial" w:cs="Arial" w:eastAsia="Arial" w:hAnsi="Arial"/>
          <w:sz w:val="32"/>
          <w:szCs w:val="32"/>
          <w:b w:val="1"/>
          <w:bCs w:val="1"/>
          <w:i w:val="1"/>
          <w:iCs w:val="1"/>
          <w:color w:val="auto"/>
        </w:rPr>
        <w:t>$100,000,000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2400300"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0300"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We are offering $100,000,000 of shares of our common stock.</w:t>
      </w:r>
    </w:p>
    <w:p>
      <w:pPr>
        <w:spacing w:after="0" w:line="212" w:lineRule="exact"/>
        <w:rPr>
          <w:sz w:val="24"/>
          <w:szCs w:val="24"/>
          <w:color w:val="auto"/>
        </w:rPr>
      </w:pPr>
    </w:p>
    <w:p>
      <w:pPr>
        <w:ind w:right="220"/>
        <w:spacing w:after="0" w:line="269" w:lineRule="auto"/>
        <w:rPr>
          <w:sz w:val="20"/>
          <w:szCs w:val="20"/>
          <w:color w:val="auto"/>
        </w:rPr>
      </w:pPr>
      <w:r>
        <w:rPr>
          <w:rFonts w:ascii="Arial" w:cs="Arial" w:eastAsia="Arial" w:hAnsi="Arial"/>
          <w:sz w:val="18"/>
          <w:szCs w:val="18"/>
          <w:color w:val="auto"/>
        </w:rPr>
        <w:t>Our common stock is listed on the Nasdaq Global Select Market under the symbol "YMAB". On February 12, 2021, the last reported sale price for our common stock on the Nasdaq Global Select Market, was $47.73 per share.</w:t>
      </w:r>
    </w:p>
    <w:p>
      <w:pPr>
        <w:spacing w:after="0" w:line="155" w:lineRule="exact"/>
        <w:rPr>
          <w:sz w:val="24"/>
          <w:szCs w:val="24"/>
          <w:color w:val="auto"/>
        </w:rPr>
      </w:pPr>
    </w:p>
    <w:p>
      <w:pPr>
        <w:ind w:right="780"/>
        <w:spacing w:after="0" w:line="25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159" w:lineRule="exact"/>
        <w:rPr>
          <w:sz w:val="24"/>
          <w:szCs w:val="24"/>
          <w:color w:val="auto"/>
        </w:rPr>
      </w:pPr>
    </w:p>
    <w:p>
      <w:pPr>
        <w:ind w:right="840"/>
        <w:spacing w:after="0" w:line="280" w:lineRule="auto"/>
        <w:rPr>
          <w:sz w:val="20"/>
          <w:szCs w:val="20"/>
          <w:color w:val="auto"/>
        </w:rPr>
      </w:pPr>
      <w:r>
        <w:rPr>
          <w:rFonts w:ascii="Arial" w:cs="Arial" w:eastAsia="Arial" w:hAnsi="Arial"/>
          <w:sz w:val="18"/>
          <w:szCs w:val="18"/>
          <w:b w:val="1"/>
          <w:bCs w:val="1"/>
          <w:color w:val="auto"/>
        </w:rPr>
        <w:t>Investing in our common stock involves a high degree of risk.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S-18 of this prospectus supplement.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5680" w:type="dxa"/>
            <w:vAlign w:val="bottom"/>
            <w:tcBorders>
              <w:top w:val="single" w:sz="8" w:color="auto"/>
              <w:bottom w:val="single" w:sz="8" w:color="auto"/>
            </w:tcBorders>
          </w:tcPr>
          <w:p>
            <w:pPr>
              <w:spacing w:after="0"/>
              <w:rPr>
                <w:sz w:val="21"/>
                <w:szCs w:val="21"/>
                <w:color w:val="auto"/>
              </w:rPr>
            </w:pPr>
          </w:p>
        </w:tc>
        <w:tc>
          <w:tcPr>
            <w:tcW w:w="3540" w:type="dxa"/>
            <w:vAlign w:val="bottom"/>
            <w:tcBorders>
              <w:top w:val="single" w:sz="8" w:color="auto"/>
              <w:bottom w:val="single" w:sz="8" w:color="auto"/>
            </w:tcBorders>
          </w:tcPr>
          <w:p>
            <w:pPr>
              <w:ind w:left="2220"/>
              <w:spacing w:after="0"/>
              <w:rPr>
                <w:sz w:val="20"/>
                <w:szCs w:val="20"/>
                <w:color w:val="auto"/>
              </w:rPr>
            </w:pPr>
            <w:r>
              <w:rPr>
                <w:rFonts w:ascii="Arial" w:cs="Arial" w:eastAsia="Arial" w:hAnsi="Arial"/>
                <w:sz w:val="18"/>
                <w:szCs w:val="18"/>
                <w:b w:val="1"/>
                <w:bCs w:val="1"/>
                <w:color w:val="auto"/>
              </w:rPr>
              <w:t>Per share</w:t>
            </w:r>
          </w:p>
        </w:tc>
        <w:tc>
          <w:tcPr>
            <w:tcW w:w="18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rPr>
              <w:t>Total</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Public Offering Price</w:t>
            </w:r>
          </w:p>
        </w:tc>
        <w:tc>
          <w:tcPr>
            <w:tcW w:w="3540" w:type="dxa"/>
            <w:vAlign w:val="bottom"/>
          </w:tcPr>
          <w:p>
            <w:pPr>
              <w:ind w:left="2220"/>
              <w:spacing w:after="0"/>
              <w:rPr>
                <w:sz w:val="20"/>
                <w:szCs w:val="20"/>
                <w:color w:val="auto"/>
              </w:rPr>
            </w:pPr>
            <w:r>
              <w:rPr>
                <w:rFonts w:ascii="Arial" w:cs="Arial" w:eastAsia="Arial" w:hAnsi="Arial"/>
                <w:sz w:val="18"/>
                <w:szCs w:val="18"/>
                <w:color w:val="auto"/>
              </w:rPr>
              <w:t>$</w:t>
            </w:r>
          </w:p>
        </w:tc>
        <w:tc>
          <w:tcPr>
            <w:tcW w:w="186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413"/>
        </w:trPr>
        <w:tc>
          <w:tcPr>
            <w:tcW w:w="568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3540" w:type="dxa"/>
            <w:vAlign w:val="bottom"/>
          </w:tcPr>
          <w:p>
            <w:pPr>
              <w:ind w:left="2220"/>
              <w:spacing w:after="0"/>
              <w:rPr>
                <w:sz w:val="20"/>
                <w:szCs w:val="20"/>
                <w:color w:val="auto"/>
              </w:rPr>
            </w:pPr>
            <w:r>
              <w:rPr>
                <w:rFonts w:ascii="Arial" w:cs="Arial" w:eastAsia="Arial" w:hAnsi="Arial"/>
                <w:sz w:val="18"/>
                <w:szCs w:val="18"/>
                <w:color w:val="auto"/>
              </w:rPr>
              <w:t>$</w:t>
            </w:r>
          </w:p>
        </w:tc>
        <w:tc>
          <w:tcPr>
            <w:tcW w:w="186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416"/>
        </w:trPr>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Proceeds to us (before expenses)</w:t>
            </w:r>
          </w:p>
        </w:tc>
        <w:tc>
          <w:tcPr>
            <w:tcW w:w="3540" w:type="dxa"/>
            <w:vAlign w:val="bottom"/>
            <w:tcBorders>
              <w:bottom w:val="single" w:sz="8" w:color="auto"/>
            </w:tcBorders>
          </w:tcPr>
          <w:p>
            <w:pPr>
              <w:ind w:left="222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r>
    </w:tbl>
    <w:p>
      <w:pPr>
        <w:spacing w:after="0" w:line="203"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refer you to "Underwriters" beginning on page S-174 of this prospectus supplement for additional information regarding underwriting compensation.</w:t>
      </w:r>
    </w:p>
    <w:p>
      <w:pPr>
        <w:spacing w:after="0" w:line="211" w:lineRule="exact"/>
        <w:rPr>
          <w:sz w:val="24"/>
          <w:szCs w:val="24"/>
          <w:color w:val="auto"/>
        </w:rPr>
      </w:pPr>
    </w:p>
    <w:p>
      <w:pPr>
        <w:ind w:right="40"/>
        <w:spacing w:after="0" w:line="252" w:lineRule="auto"/>
        <w:rPr>
          <w:sz w:val="20"/>
          <w:szCs w:val="20"/>
          <w:color w:val="auto"/>
        </w:rPr>
      </w:pPr>
      <w:r>
        <w:rPr>
          <w:rFonts w:ascii="Arial" w:cs="Arial" w:eastAsia="Arial" w:hAnsi="Arial"/>
          <w:sz w:val="18"/>
          <w:szCs w:val="18"/>
          <w:color w:val="auto"/>
        </w:rPr>
        <w:t>We have granted the underwriters an option to purchase up to an aggregate of $15,000,000 of additional shares of our common stock from us at the public offering price, less underwriting discounts and commissions. The underwriters may exercise this right at any time, in whole or in part, within 30 days following the date of this prospectus supplement.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The underwriters expect to deliver the shares of common stock to investors in book-entry form through the facilities of The Depository Trust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120" w:type="dxa"/>
            <w:vAlign w:val="bottom"/>
          </w:tcPr>
          <w:p>
            <w:pPr>
              <w:spacing w:after="0"/>
              <w:rPr>
                <w:sz w:val="20"/>
                <w:szCs w:val="20"/>
                <w:color w:val="auto"/>
              </w:rPr>
            </w:pPr>
            <w:r>
              <w:rPr>
                <w:rFonts w:ascii="Arial" w:cs="Arial" w:eastAsia="Arial" w:hAnsi="Arial"/>
                <w:sz w:val="18"/>
                <w:szCs w:val="18"/>
                <w:color w:val="auto"/>
                <w:w w:val="98"/>
              </w:rPr>
              <w:t>Company on or about February, 2021.</w:t>
            </w:r>
          </w:p>
        </w:tc>
        <w:tc>
          <w:tcPr>
            <w:tcW w:w="400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396"/>
        </w:trPr>
        <w:tc>
          <w:tcPr>
            <w:tcW w:w="4120" w:type="dxa"/>
            <w:vAlign w:val="bottom"/>
          </w:tcPr>
          <w:p>
            <w:pPr>
              <w:spacing w:after="0"/>
              <w:rPr>
                <w:sz w:val="24"/>
                <w:szCs w:val="24"/>
                <w:color w:val="auto"/>
              </w:rPr>
            </w:pPr>
          </w:p>
        </w:tc>
        <w:tc>
          <w:tcPr>
            <w:tcW w:w="4000" w:type="dxa"/>
            <w:vAlign w:val="bottom"/>
          </w:tcPr>
          <w:p>
            <w:pPr>
              <w:jc w:val="center"/>
              <w:ind w:right="901"/>
              <w:spacing w:after="0"/>
              <w:rPr>
                <w:sz w:val="20"/>
                <w:szCs w:val="20"/>
                <w:color w:val="auto"/>
              </w:rPr>
            </w:pPr>
            <w:r>
              <w:rPr>
                <w:rFonts w:ascii="Arial" w:cs="Arial" w:eastAsia="Arial" w:hAnsi="Arial"/>
                <w:sz w:val="18"/>
                <w:szCs w:val="18"/>
                <w:i w:val="1"/>
                <w:iCs w:val="1"/>
                <w:color w:val="auto"/>
                <w:w w:val="97"/>
              </w:rPr>
              <w:t>Joint Book-Running Managers</w:t>
            </w:r>
          </w:p>
        </w:tc>
        <w:tc>
          <w:tcPr>
            <w:tcW w:w="3120" w:type="dxa"/>
            <w:vAlign w:val="bottom"/>
          </w:tcPr>
          <w:p>
            <w:pPr>
              <w:spacing w:after="0"/>
              <w:rPr>
                <w:sz w:val="24"/>
                <w:szCs w:val="24"/>
                <w:color w:val="auto"/>
              </w:rPr>
            </w:pPr>
          </w:p>
        </w:tc>
      </w:tr>
      <w:tr>
        <w:trPr>
          <w:trHeight w:val="506"/>
        </w:trPr>
        <w:tc>
          <w:tcPr>
            <w:tcW w:w="4120" w:type="dxa"/>
            <w:vAlign w:val="bottom"/>
          </w:tcPr>
          <w:p>
            <w:pPr>
              <w:spacing w:after="0"/>
              <w:rPr>
                <w:sz w:val="20"/>
                <w:szCs w:val="20"/>
                <w:color w:val="auto"/>
              </w:rPr>
            </w:pPr>
            <w:r>
              <w:rPr>
                <w:rFonts w:ascii="Arial" w:cs="Arial" w:eastAsia="Arial" w:hAnsi="Arial"/>
                <w:sz w:val="24"/>
                <w:szCs w:val="24"/>
                <w:b w:val="1"/>
                <w:bCs w:val="1"/>
                <w:color w:val="auto"/>
              </w:rPr>
              <w:t>J.P. Morgan</w:t>
            </w:r>
          </w:p>
        </w:tc>
        <w:tc>
          <w:tcPr>
            <w:tcW w:w="4000" w:type="dxa"/>
            <w:vAlign w:val="bottom"/>
          </w:tcPr>
          <w:p>
            <w:pPr>
              <w:jc w:val="center"/>
              <w:ind w:right="901"/>
              <w:spacing w:after="0"/>
              <w:rPr>
                <w:sz w:val="20"/>
                <w:szCs w:val="20"/>
                <w:color w:val="auto"/>
              </w:rPr>
            </w:pPr>
            <w:r>
              <w:rPr>
                <w:rFonts w:ascii="Arial" w:cs="Arial" w:eastAsia="Arial" w:hAnsi="Arial"/>
                <w:sz w:val="24"/>
                <w:szCs w:val="24"/>
                <w:b w:val="1"/>
                <w:bCs w:val="1"/>
                <w:color w:val="auto"/>
              </w:rPr>
              <w:t>Morgan Stanley</w:t>
            </w:r>
          </w:p>
        </w:tc>
        <w:tc>
          <w:tcPr>
            <w:tcW w:w="3120" w:type="dxa"/>
            <w:vAlign w:val="bottom"/>
          </w:tcPr>
          <w:p>
            <w:pPr>
              <w:ind w:left="1320"/>
              <w:spacing w:after="0"/>
              <w:rPr>
                <w:sz w:val="20"/>
                <w:szCs w:val="20"/>
                <w:color w:val="auto"/>
              </w:rPr>
            </w:pPr>
            <w:r>
              <w:rPr>
                <w:rFonts w:ascii="Arial" w:cs="Arial" w:eastAsia="Arial" w:hAnsi="Arial"/>
                <w:sz w:val="24"/>
                <w:szCs w:val="24"/>
                <w:b w:val="1"/>
                <w:bCs w:val="1"/>
                <w:color w:val="auto"/>
                <w:w w:val="99"/>
              </w:rPr>
              <w:t>BofA Securities</w:t>
            </w:r>
          </w:p>
        </w:tc>
      </w:tr>
      <w:tr>
        <w:trPr>
          <w:trHeight w:val="695"/>
        </w:trPr>
        <w:tc>
          <w:tcPr>
            <w:tcW w:w="4120" w:type="dxa"/>
            <w:vAlign w:val="bottom"/>
          </w:tcPr>
          <w:p>
            <w:pPr>
              <w:spacing w:after="0"/>
              <w:rPr>
                <w:sz w:val="20"/>
                <w:szCs w:val="20"/>
                <w:color w:val="auto"/>
              </w:rPr>
            </w:pPr>
            <w:r>
              <w:rPr>
                <w:rFonts w:ascii="Arial" w:cs="Arial" w:eastAsia="Arial" w:hAnsi="Arial"/>
                <w:sz w:val="18"/>
                <w:szCs w:val="18"/>
                <w:color w:val="auto"/>
                <w:w w:val="99"/>
              </w:rPr>
              <w:t>The date of this prospectus supplement is February</w:t>
            </w:r>
          </w:p>
        </w:tc>
        <w:tc>
          <w:tcPr>
            <w:tcW w:w="4000" w:type="dxa"/>
            <w:vAlign w:val="bottom"/>
          </w:tcPr>
          <w:p>
            <w:pPr>
              <w:jc w:val="right"/>
              <w:ind w:right="3241"/>
              <w:spacing w:after="0"/>
              <w:rPr>
                <w:sz w:val="20"/>
                <w:szCs w:val="20"/>
                <w:color w:val="auto"/>
              </w:rPr>
            </w:pPr>
            <w:r>
              <w:rPr>
                <w:rFonts w:ascii="Arial" w:cs="Arial" w:eastAsia="Arial" w:hAnsi="Arial"/>
                <w:sz w:val="18"/>
                <w:szCs w:val="18"/>
                <w:color w:val="auto"/>
              </w:rPr>
              <w:t>, 2021.</w:t>
            </w:r>
          </w:p>
        </w:tc>
        <w:tc>
          <w:tcPr>
            <w:tcW w:w="3120" w:type="dxa"/>
            <w:vAlign w:val="bottom"/>
          </w:tcPr>
          <w:p>
            <w:pPr>
              <w:spacing w:after="0"/>
              <w:rPr>
                <w:sz w:val="24"/>
                <w:szCs w:val="24"/>
                <w:color w:val="auto"/>
              </w:rPr>
            </w:pPr>
          </w:p>
        </w:tc>
      </w:tr>
      <w:tr>
        <w:trPr>
          <w:trHeight w:val="211"/>
        </w:trPr>
        <w:tc>
          <w:tcPr>
            <w:tcW w:w="4120" w:type="dxa"/>
            <w:vAlign w:val="bottom"/>
            <w:tcBorders>
              <w:bottom w:val="single" w:sz="8" w:color="808080"/>
            </w:tcBorders>
          </w:tcPr>
          <w:p>
            <w:pPr>
              <w:spacing w:after="0"/>
              <w:rPr>
                <w:sz w:val="18"/>
                <w:szCs w:val="18"/>
                <w:color w:val="auto"/>
              </w:rPr>
            </w:pPr>
          </w:p>
        </w:tc>
        <w:tc>
          <w:tcPr>
            <w:tcW w:w="4000" w:type="dxa"/>
            <w:vAlign w:val="bottom"/>
            <w:tcBorders>
              <w:bottom w:val="single" w:sz="8" w:color="808080"/>
            </w:tcBorders>
          </w:tcPr>
          <w:p>
            <w:pPr>
              <w:spacing w:after="0"/>
              <w:rPr>
                <w:sz w:val="18"/>
                <w:szCs w:val="18"/>
                <w:color w:val="auto"/>
              </w:rPr>
            </w:pPr>
          </w:p>
        </w:tc>
        <w:tc>
          <w:tcPr>
            <w:tcW w:w="3120" w:type="dxa"/>
            <w:vAlign w:val="bottom"/>
            <w:tcBorders>
              <w:bottom w:val="single" w:sz="8" w:color="808080"/>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Table of contents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040" w:type="dxa"/>
            <w:vAlign w:val="bottom"/>
          </w:tcPr>
          <w:p>
            <w:pPr>
              <w:jc w:val="center"/>
              <w:ind w:left="3112"/>
              <w:spacing w:after="0"/>
              <w:rPr>
                <w:sz w:val="20"/>
                <w:szCs w:val="20"/>
                <w:color w:val="auto"/>
              </w:rPr>
            </w:pPr>
            <w:r>
              <w:rPr>
                <w:rFonts w:ascii="Arial" w:cs="Arial" w:eastAsia="Arial" w:hAnsi="Arial"/>
                <w:sz w:val="18"/>
                <w:szCs w:val="18"/>
                <w:b w:val="1"/>
                <w:bCs w:val="1"/>
                <w:color w:val="auto"/>
                <w:w w:val="97"/>
              </w:rPr>
              <w:t>Prospectus supplement</w:t>
            </w:r>
          </w:p>
        </w:tc>
        <w:tc>
          <w:tcPr>
            <w:tcW w:w="3200" w:type="dxa"/>
            <w:vAlign w:val="bottom"/>
          </w:tcPr>
          <w:p>
            <w:pPr>
              <w:spacing w:after="0"/>
              <w:rPr>
                <w:sz w:val="21"/>
                <w:szCs w:val="21"/>
                <w:color w:val="auto"/>
              </w:rPr>
            </w:pPr>
          </w:p>
        </w:tc>
      </w:tr>
      <w:tr>
        <w:trPr>
          <w:trHeight w:val="376"/>
        </w:trPr>
        <w:tc>
          <w:tcPr>
            <w:tcW w:w="8040" w:type="dxa"/>
            <w:vAlign w:val="bottom"/>
          </w:tcPr>
          <w:p>
            <w:pPr>
              <w:spacing w:after="0"/>
              <w:rPr>
                <w:sz w:val="24"/>
                <w:szCs w:val="24"/>
                <w:color w:val="auto"/>
              </w:rPr>
            </w:pPr>
          </w:p>
        </w:tc>
        <w:tc>
          <w:tcPr>
            <w:tcW w:w="3200" w:type="dxa"/>
            <w:vAlign w:val="bottom"/>
          </w:tcPr>
          <w:p>
            <w:pPr>
              <w:jc w:val="right"/>
              <w:ind w:right="1272"/>
              <w:spacing w:after="0"/>
              <w:rPr>
                <w:sz w:val="20"/>
                <w:szCs w:val="20"/>
                <w:color w:val="auto"/>
              </w:rPr>
            </w:pPr>
            <w:r>
              <w:rPr>
                <w:rFonts w:ascii="Arial" w:cs="Arial" w:eastAsia="Arial" w:hAnsi="Arial"/>
                <w:sz w:val="18"/>
                <w:szCs w:val="18"/>
                <w:b w:val="1"/>
                <w:bCs w:val="1"/>
                <w:color w:val="auto"/>
              </w:rPr>
              <w:t>Page</w:t>
            </w:r>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S-2</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Cautionary note regarding forward-looking statements</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S-4</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Prospectus supplement summary</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S-8</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The offering</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S-16</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S-18</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Use of proceeds</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S-96</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Dilution</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S-98</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Dividend policy</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S-99</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Material U.S. federal tax considerations for non-U.S. holders</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S-169</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Underwriters</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S-174</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Legal matters</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S-183</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Experts</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S-183</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Where you can find more information</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S-183</w:t>
              </w:r>
            </w:hyperlink>
          </w:p>
        </w:tc>
      </w:tr>
      <w:tr>
        <w:trPr>
          <w:trHeight w:val="237"/>
        </w:trPr>
        <w:tc>
          <w:tcPr>
            <w:tcW w:w="8040" w:type="dxa"/>
            <w:vAlign w:val="bottom"/>
          </w:tcPr>
          <w:p>
            <w:pPr>
              <w:ind w:left="1140"/>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Incorporation of certain information by reference</w:t>
              </w:r>
            </w:hyperlink>
          </w:p>
        </w:tc>
        <w:tc>
          <w:tcPr>
            <w:tcW w:w="3200" w:type="dxa"/>
            <w:vAlign w:val="bottom"/>
          </w:tcPr>
          <w:p>
            <w:pPr>
              <w:jc w:val="right"/>
              <w:ind w:right="1192"/>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S-183</w:t>
              </w:r>
            </w:hyperlink>
          </w:p>
        </w:tc>
      </w:tr>
      <w:tr>
        <w:trPr>
          <w:trHeight w:val="427"/>
        </w:trPr>
        <w:tc>
          <w:tcPr>
            <w:tcW w:w="8040" w:type="dxa"/>
            <w:vAlign w:val="bottom"/>
          </w:tcPr>
          <w:p>
            <w:pPr>
              <w:jc w:val="center"/>
              <w:ind w:left="3112"/>
              <w:spacing w:after="0"/>
              <w:rPr>
                <w:sz w:val="20"/>
                <w:szCs w:val="20"/>
                <w:color w:val="auto"/>
              </w:rPr>
            </w:pPr>
            <w:r>
              <w:rPr>
                <w:rFonts w:ascii="Arial" w:cs="Arial" w:eastAsia="Arial" w:hAnsi="Arial"/>
                <w:sz w:val="18"/>
                <w:szCs w:val="18"/>
                <w:b w:val="1"/>
                <w:bCs w:val="1"/>
                <w:color w:val="auto"/>
                <w:w w:val="97"/>
              </w:rPr>
              <w:t>Prospectus</w:t>
            </w:r>
          </w:p>
        </w:tc>
        <w:tc>
          <w:tcPr>
            <w:tcW w:w="3200" w:type="dxa"/>
            <w:vAlign w:val="bottom"/>
          </w:tcPr>
          <w:p>
            <w:pPr>
              <w:spacing w:after="0"/>
              <w:rPr>
                <w:sz w:val="24"/>
                <w:szCs w:val="24"/>
                <w:color w:val="auto"/>
              </w:rPr>
            </w:pPr>
          </w:p>
        </w:tc>
      </w:tr>
      <w:tr>
        <w:trPr>
          <w:trHeight w:val="376"/>
        </w:trPr>
        <w:tc>
          <w:tcPr>
            <w:tcW w:w="8040" w:type="dxa"/>
            <w:vAlign w:val="bottom"/>
          </w:tcPr>
          <w:p>
            <w:pPr>
              <w:ind w:left="1140"/>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About this prospectus</w:t>
              </w:r>
            </w:hyperlink>
          </w:p>
        </w:tc>
        <w:tc>
          <w:tcPr>
            <w:tcW w:w="3200" w:type="dxa"/>
            <w:vAlign w:val="bottom"/>
          </w:tcPr>
          <w:p>
            <w:pPr>
              <w:jc w:val="right"/>
              <w:ind w:right="1192"/>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1</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Risk factors</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2</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Cautionary statement regarding forward-looking statements</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3</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193">
              <w:r>
                <w:rPr>
                  <w:rFonts w:ascii="Arial" w:cs="Arial" w:eastAsia="Arial" w:hAnsi="Arial"/>
                  <w:sz w:val="18"/>
                  <w:szCs w:val="18"/>
                  <w:u w:val="single" w:color="auto"/>
                  <w:color w:val="0000EE"/>
                </w:rPr>
                <w:t>The company</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193">
              <w:r>
                <w:rPr>
                  <w:rFonts w:ascii="Arial" w:cs="Arial" w:eastAsia="Arial" w:hAnsi="Arial"/>
                  <w:sz w:val="18"/>
                  <w:szCs w:val="18"/>
                  <w:u w:val="single" w:color="auto"/>
                  <w:color w:val="0000EE"/>
                </w:rPr>
                <w:t>5</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Use of proceeds</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6</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Securities we may offer</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7</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Description of capital stock</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8</w:t>
              </w:r>
            </w:hyperlink>
          </w:p>
        </w:tc>
      </w:tr>
      <w:tr>
        <w:trPr>
          <w:trHeight w:val="202"/>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Description of debt securities</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13</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Description of warrants</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21</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Description of units</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23</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Legal ownership of securities</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24</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Plan of distribution</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28</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Legal matters</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31</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Experts</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31</w:t>
              </w:r>
            </w:hyperlink>
          </w:p>
        </w:tc>
      </w:tr>
      <w:tr>
        <w:trPr>
          <w:trHeight w:val="203"/>
        </w:trPr>
        <w:tc>
          <w:tcPr>
            <w:tcW w:w="8040" w:type="dxa"/>
            <w:vAlign w:val="bottom"/>
          </w:tcPr>
          <w:p>
            <w:pPr>
              <w:ind w:left="1140"/>
              <w:spacing w:after="0" w:line="202" w:lineRule="exact"/>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Where you can find more information</w:t>
              </w:r>
            </w:hyperlink>
          </w:p>
        </w:tc>
        <w:tc>
          <w:tcPr>
            <w:tcW w:w="3200" w:type="dxa"/>
            <w:vAlign w:val="bottom"/>
          </w:tcPr>
          <w:p>
            <w:pPr>
              <w:jc w:val="right"/>
              <w:ind w:right="1192"/>
              <w:spacing w:after="0" w:line="202" w:lineRule="exact"/>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31</w:t>
              </w:r>
            </w:hyperlink>
          </w:p>
        </w:tc>
      </w:tr>
      <w:tr>
        <w:trPr>
          <w:trHeight w:val="237"/>
        </w:trPr>
        <w:tc>
          <w:tcPr>
            <w:tcW w:w="8040" w:type="dxa"/>
            <w:vAlign w:val="bottom"/>
          </w:tcPr>
          <w:p>
            <w:pPr>
              <w:ind w:left="1140"/>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Incorporation by reference</w:t>
              </w:r>
            </w:hyperlink>
          </w:p>
        </w:tc>
        <w:tc>
          <w:tcPr>
            <w:tcW w:w="3200" w:type="dxa"/>
            <w:vAlign w:val="bottom"/>
          </w:tcPr>
          <w:p>
            <w:pPr>
              <w:jc w:val="right"/>
              <w:ind w:right="1192"/>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32</w:t>
              </w:r>
            </w:hyperlink>
          </w:p>
        </w:tc>
      </w:tr>
      <w:tr>
        <w:trPr>
          <w:trHeight w:val="419"/>
        </w:trPr>
        <w:tc>
          <w:tcPr>
            <w:tcW w:w="8040" w:type="dxa"/>
            <w:vAlign w:val="bottom"/>
          </w:tcPr>
          <w:p>
            <w:pPr>
              <w:jc w:val="center"/>
              <w:ind w:left="3112"/>
              <w:spacing w:after="0"/>
              <w:rPr>
                <w:sz w:val="20"/>
                <w:szCs w:val="20"/>
                <w:color w:val="auto"/>
              </w:rPr>
            </w:pPr>
            <w:r>
              <w:rPr>
                <w:rFonts w:ascii="Arial" w:cs="Arial" w:eastAsia="Arial" w:hAnsi="Arial"/>
                <w:sz w:val="18"/>
                <w:szCs w:val="18"/>
                <w:color w:val="auto"/>
                <w:w w:val="99"/>
              </w:rPr>
              <w:t>S-1</w:t>
            </w:r>
          </w:p>
        </w:tc>
        <w:tc>
          <w:tcPr>
            <w:tcW w:w="3200" w:type="dxa"/>
            <w:vAlign w:val="bottom"/>
          </w:tcPr>
          <w:p>
            <w:pPr>
              <w:spacing w:after="0"/>
              <w:rPr>
                <w:sz w:val="24"/>
                <w:szCs w:val="24"/>
                <w:color w:val="auto"/>
              </w:rPr>
            </w:pPr>
          </w:p>
        </w:tc>
      </w:tr>
      <w:tr>
        <w:trPr>
          <w:trHeight w:val="211"/>
        </w:trPr>
        <w:tc>
          <w:tcPr>
            <w:tcW w:w="8040" w:type="dxa"/>
            <w:vAlign w:val="bottom"/>
            <w:tcBorders>
              <w:bottom w:val="single" w:sz="8" w:color="808080"/>
            </w:tcBorders>
          </w:tcPr>
          <w:p>
            <w:pPr>
              <w:spacing w:after="0"/>
              <w:rPr>
                <w:sz w:val="18"/>
                <w:szCs w:val="18"/>
                <w:color w:val="auto"/>
              </w:rPr>
            </w:pPr>
          </w:p>
        </w:tc>
        <w:tc>
          <w:tcPr>
            <w:tcW w:w="32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About this prospectus supplement</w:t>
      </w:r>
    </w:p>
    <w:p>
      <w:pPr>
        <w:spacing w:after="0" w:line="24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On October 1, 2019, we filed with the Securities and Exchange Commission, or the SEC, a registration statement on Form S-3 (File No. 333-234034) utilizing a shelf registration process relating to the securities described in this prospectus supplement which registration statement was declared effective on October 15, 2019. Under this shelf registration process, we may, from time to time, sell up to $300 million in the aggregate of common stock, preferred stock, debt securities, warrants and/or units in any combination.</w:t>
      </w:r>
    </w:p>
    <w:p>
      <w:pPr>
        <w:spacing w:after="0" w:line="177"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common stock offering and also adds to and updates information contained in the accompanying prospectus and the documents incorporated by reference herein and therein.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62"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w:t>
      </w:r>
    </w:p>
    <w:p>
      <w:pPr>
        <w:spacing w:after="0" w:line="2" w:lineRule="exact"/>
        <w:rPr>
          <w:sz w:val="20"/>
          <w:szCs w:val="20"/>
          <w:color w:val="auto"/>
        </w:rPr>
      </w:pPr>
    </w:p>
    <w:p>
      <w:pPr>
        <w:ind w:right="420"/>
        <w:spacing w:after="0" w:line="243" w:lineRule="auto"/>
        <w:rPr>
          <w:sz w:val="20"/>
          <w:szCs w:val="20"/>
          <w:color w:val="auto"/>
        </w:rPr>
      </w:pPr>
      <w:r>
        <w:rPr>
          <w:rFonts w:ascii="Arial" w:cs="Arial" w:eastAsia="Arial" w:hAnsi="Arial"/>
          <w:sz w:val="18"/>
          <w:szCs w:val="18"/>
          <w:color w:val="auto"/>
        </w:rPr>
        <w:t>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Neither we nor the underwriters have authorized anyone to provide any information other than that contained or incorporated by reference in this prospectus supplement, the accompanying prospectus or in any free writing prospectus prepared by or on behalf of us or to which we have referred you. We take no responsibility for, and can provide no assurance as to the reliability of, any other information that others may give you.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w:t>
      </w:r>
    </w:p>
    <w:p>
      <w:pPr>
        <w:spacing w:after="0" w:line="188"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w:t>
      </w:r>
    </w:p>
    <w:p>
      <w:pPr>
        <w:spacing w:after="0" w:line="17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industry and market data contained or incorporated by reference into this prospectus supplement and the accompanying prospectus are based on independent industry publications, reports by market research firms or other published independent sources. Although we believe these sources are reliable, we have not independently verified the information and cannot guarantee its accuracy and completeness, as industry and market data are subject to change and cannot always be verified with complete certainty due to limits on the availability and reliability of raw data, the voluntary nature of the data gathering process and other limitations and uncertainties inherent in any statistical survey of market shares. Although we are not aware of any misstatements regarding the market and industry data presented or incorporated by reference into this prospectus supplement, these estimates involve risks and uncertainties and are subject to change based on various factors including those discussed in the section titled "Risk Factors." Accordingly, investors should not place undue reliance on this information.</w:t>
      </w:r>
    </w:p>
    <w:p>
      <w:pPr>
        <w:spacing w:after="0" w:line="16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Except as otherwise indicated herein or as the context otherwise requires, references in this prospectus supplement and the accompanying prospectus to "Y-mAbs," the "Company," "we," "us" and "our" and similar words refer to Y-mAbs Therapeutics, Inc. and our wholly owned Danish subsidiary, Y-mAbs Therapeutics A/S.</w:t>
      </w:r>
    </w:p>
    <w:p>
      <w:pPr>
        <w:spacing w:after="0" w:line="172"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"Y-mAbs®" and "DANYELZA®" are our registered trademarks. Any other trademarks or service marks of our company appearing in this prospectus supplement are the property of Y-mAbs Therapeutics, Inc. This prospectus supplement and the accompanying prospectus also contain references to trademarks belonging to other entities. Third-party product and company names mentioned herein may be the trademarks of their respective owners. Solely for convenience, the trademarks and trade names in this prospectus supplement and the accompanying</w:t>
      </w:r>
    </w:p>
    <w:p>
      <w:pPr>
        <w:spacing w:after="0" w:line="1" w:lineRule="exact"/>
        <w:rPr>
          <w:sz w:val="20"/>
          <w:szCs w:val="20"/>
          <w:color w:val="auto"/>
        </w:rPr>
      </w:pPr>
    </w:p>
    <w:p>
      <w:pPr>
        <w:ind w:right="80"/>
        <w:spacing w:after="0" w:line="203" w:lineRule="auto"/>
        <w:rPr>
          <w:sz w:val="20"/>
          <w:szCs w:val="20"/>
          <w:color w:val="auto"/>
        </w:rPr>
      </w:pPr>
      <w:r>
        <w:rPr>
          <w:rFonts w:ascii="Arial" w:cs="Arial" w:eastAsia="Arial" w:hAnsi="Arial"/>
          <w:sz w:val="18"/>
          <w:szCs w:val="18"/>
          <w:color w:val="auto"/>
        </w:rPr>
        <w:t xml:space="preserve">prospectus may be referred to without the ® and </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183"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No action is being taken in any jurisdiction outside the United States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or the accompanying prospectus applicable to that jurisdiction.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Cautionary note regarding forward-looking statements</w:t>
      </w:r>
    </w:p>
    <w:p>
      <w:pPr>
        <w:spacing w:after="0" w:line="24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This prospectus supplement, the accompanying prospectus and the information incorporated by reference herein and therein include "forward-looking statements" within the meaning of Section 27A of the Securities Act of 1933, as amended, or the Securities Act, and Section 21E of the Securities Exchange Act of 1934, as amended, or the Exchange Act. All statements, other than statements of historical facts, contained in this prospectus supplement and the accompanying prospectus, including the documents that we incorporate by reference herein and therein, including among others, statements regarding our business strategy, future operations and results thereof, future financial position, future revenue, projected costs, prospects, current and prospective products, product and regulatory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 looking statements, although not all forward-looking statements contain these identifying words.</w:t>
      </w:r>
    </w:p>
    <w:p>
      <w:pPr>
        <w:spacing w:after="0" w:line="19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This prospectus supplement and the accompanying prospectus and the documents incorporated by reference contain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212" w:lineRule="exact"/>
        <w:rPr>
          <w:sz w:val="20"/>
          <w:szCs w:val="20"/>
          <w:color w:val="auto"/>
        </w:rPr>
      </w:pPr>
    </w:p>
    <w:p>
      <w:pPr>
        <w:ind w:left="540" w:right="320" w:hanging="532"/>
        <w:spacing w:after="0" w:line="252"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launch and commercialize DANYELZA® (naxitamab-gqgk), referred to as DANYELZA, for the treatment of relapsed/refractory high-risk neuroblastoma in bone and/or bone marrow, in the United States and in any other jurisdictions where we may receive marketing approval in the future;</w:t>
      </w:r>
    </w:p>
    <w:p>
      <w:pPr>
        <w:spacing w:after="0" w:line="171" w:lineRule="exact"/>
        <w:rPr>
          <w:rFonts w:ascii="Arial" w:cs="Arial" w:eastAsia="Arial" w:hAnsi="Arial"/>
          <w:sz w:val="18"/>
          <w:szCs w:val="18"/>
          <w:color w:val="auto"/>
        </w:rPr>
      </w:pPr>
    </w:p>
    <w:p>
      <w:pPr>
        <w:ind w:left="540" w:right="160" w:hanging="532"/>
        <w:spacing w:after="0" w:line="333"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implementation of our business model and our plans to obtain regulatory approval and develop and commercialize our lead product candidate omburtamab and other product candidates, including the potential clinical efficacy, safety and other benefits thereof;</w:t>
      </w:r>
    </w:p>
    <w:p>
      <w:pPr>
        <w:spacing w:after="0" w:line="96" w:lineRule="exact"/>
        <w:rPr>
          <w:rFonts w:ascii="Arial" w:cs="Arial" w:eastAsia="Arial" w:hAnsi="Arial"/>
          <w:sz w:val="16"/>
          <w:szCs w:val="16"/>
          <w:color w:val="auto"/>
        </w:rPr>
      </w:pPr>
    </w:p>
    <w:p>
      <w:pPr>
        <w:ind w:left="540" w:right="100" w:hanging="532"/>
        <w:spacing w:after="0" w:line="26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for DANYELZA or any current or future product candidate for which we may receive marketing approval;</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our resubmission and potential approval of our Biological License Application, or BLA, for omburtamab;</w:t>
      </w:r>
    </w:p>
    <w:p>
      <w:pPr>
        <w:spacing w:after="0" w:line="211" w:lineRule="exact"/>
        <w:rPr>
          <w:rFonts w:ascii="Arial" w:cs="Arial" w:eastAsia="Arial" w:hAnsi="Arial"/>
          <w:sz w:val="18"/>
          <w:szCs w:val="18"/>
          <w:color w:val="auto"/>
        </w:rPr>
      </w:pPr>
    </w:p>
    <w:p>
      <w:pPr>
        <w:ind w:left="540" w:right="80" w:hanging="532"/>
        <w:spacing w:after="0" w:line="246"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and plans in continuing to build out our commercial infrastructure and successfully launching, marketing, and selling DANYELZA, omburtamab and any current or future product candidate for which we may receive marketing approval, including our plans with respect to the focus and activities of our sales force, the nature of our marketing, market access and patient support activities of DANYELZA and related assumptions;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960" w:hanging="532"/>
        <w:spacing w:after="0" w:line="26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coverage and reimbursement of, and the extent to which patient assistance programs are utilized for DANYELZA, omburtamab or any current or future product candidate for which we may receive marketing approval;</w:t>
      </w:r>
    </w:p>
    <w:p>
      <w:pPr>
        <w:spacing w:after="0" w:line="157" w:lineRule="exact"/>
        <w:rPr>
          <w:rFonts w:ascii="Arial" w:cs="Arial" w:eastAsia="Arial" w:hAnsi="Arial"/>
          <w:sz w:val="18"/>
          <w:szCs w:val="18"/>
          <w:color w:val="auto"/>
        </w:rPr>
      </w:pPr>
    </w:p>
    <w:p>
      <w:pPr>
        <w:ind w:left="540" w:right="100" w:hanging="532"/>
        <w:spacing w:after="0" w:line="24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and future clinical trials for DANYELZA and our lead product candidate omburtamab and other product candidates, whether conducted by us or by any of our collaborators, including the timing of initiation of these trials, the pace of enrollment, the completion of enrollment, the availability of data from these trials, the expected dates of Biological License Application, or BLA, submission and approval by the United States Food and Drug Administration, or FDA, and equivalent foreign regulatory authorities and of the anticipated results;</w:t>
      </w:r>
    </w:p>
    <w:p>
      <w:pPr>
        <w:spacing w:after="0" w:line="167" w:lineRule="exact"/>
        <w:rPr>
          <w:rFonts w:ascii="Arial" w:cs="Arial" w:eastAsia="Arial" w:hAnsi="Arial"/>
          <w:sz w:val="18"/>
          <w:szCs w:val="18"/>
          <w:color w:val="auto"/>
        </w:rPr>
      </w:pPr>
    </w:p>
    <w:p>
      <w:pPr>
        <w:jc w:val="both"/>
        <w:ind w:left="540" w:hanging="532"/>
        <w:spacing w:after="0" w:line="246"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business, operations and clinical development plans and timelines could be adversely affected by the effects of health epidemics, including the recent COVID-19 pandemic, on the manufacturing, clinical trial and other business activities performed by us or by third parties with whom we conduct business, including our contract manufacturers, or CMOs, contract research organizations, or CROs, shippers and others;</w:t>
      </w:r>
    </w:p>
    <w:p>
      <w:pPr>
        <w:spacing w:after="0" w:line="163" w:lineRule="exact"/>
        <w:rPr>
          <w:rFonts w:ascii="Arial" w:cs="Arial" w:eastAsia="Arial" w:hAnsi="Arial"/>
          <w:sz w:val="18"/>
          <w:szCs w:val="18"/>
          <w:color w:val="auto"/>
        </w:rPr>
      </w:pPr>
    </w:p>
    <w:p>
      <w:pPr>
        <w:ind w:left="540" w:right="340" w:hanging="532"/>
        <w:spacing w:after="0" w:line="26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integrate, manage and retain qualified personnel or key employees or our employees may not be able to come to work as a result of COVID-19;</w:t>
      </w:r>
    </w:p>
    <w:p>
      <w:pPr>
        <w:spacing w:after="0" w:line="157" w:lineRule="exact"/>
        <w:rPr>
          <w:rFonts w:ascii="Arial" w:cs="Arial" w:eastAsia="Arial" w:hAnsi="Arial"/>
          <w:sz w:val="18"/>
          <w:szCs w:val="18"/>
          <w:color w:val="auto"/>
        </w:rPr>
      </w:pPr>
    </w:p>
    <w:p>
      <w:pPr>
        <w:ind w:left="540" w:right="160" w:hanging="532"/>
        <w:spacing w:after="0" w:line="252"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pre-clinical studies and future clinical trials for our other product candidates and our research and development programs, whether conducted by us or by any of our collaborators, including the timing of initiation of these trials, the pace of enrollment, the expected date of completion and of the anticipated results;</w:t>
      </w:r>
    </w:p>
    <w:p>
      <w:pPr>
        <w:spacing w:after="0" w:line="158"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marketing and reimbursement approvals for our product candidates;</w:t>
      </w:r>
    </w:p>
    <w:p>
      <w:pPr>
        <w:spacing w:after="0" w:line="198" w:lineRule="exact"/>
        <w:rPr>
          <w:rFonts w:ascii="Arial" w:cs="Arial" w:eastAsia="Arial" w:hAnsi="Arial"/>
          <w:sz w:val="18"/>
          <w:szCs w:val="18"/>
          <w:color w:val="auto"/>
        </w:rPr>
      </w:pPr>
    </w:p>
    <w:p>
      <w:pPr>
        <w:ind w:left="540" w:right="120" w:hanging="532"/>
        <w:spacing w:after="0" w:line="26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employees and to identify, hire and retain additional qualified employees, including a direct sales force;</w:t>
      </w:r>
    </w:p>
    <w:p>
      <w:pPr>
        <w:spacing w:after="0" w:line="157" w:lineRule="exact"/>
        <w:rPr>
          <w:rFonts w:ascii="Arial" w:cs="Arial" w:eastAsia="Arial" w:hAnsi="Arial"/>
          <w:sz w:val="18"/>
          <w:szCs w:val="18"/>
          <w:color w:val="auto"/>
        </w:rPr>
      </w:pPr>
    </w:p>
    <w:p>
      <w:pPr>
        <w:ind w:left="540" w:hanging="532"/>
        <w:spacing w:after="0" w:line="26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the material weaknesses in our internal control over financial reporting and failure to comply with Section 404(b) of the Sarbanes-Oxley Act;</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98" w:lineRule="exact"/>
        <w:rPr>
          <w:rFonts w:ascii="Arial" w:cs="Arial" w:eastAsia="Arial" w:hAnsi="Arial"/>
          <w:sz w:val="18"/>
          <w:szCs w:val="18"/>
          <w:color w:val="auto"/>
        </w:rPr>
      </w:pPr>
    </w:p>
    <w:p>
      <w:pPr>
        <w:ind w:left="540" w:right="640" w:hanging="532"/>
        <w:spacing w:after="0" w:line="26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 and the scope of protection we are able to establish and maintain for the intellectual property rights covering our product candidates and technology;</w:t>
      </w:r>
    </w:p>
    <w:p>
      <w:pPr>
        <w:spacing w:after="0" w:line="157"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and technologies with significant commercial potential;</w:t>
      </w:r>
    </w:p>
    <w:p>
      <w:pPr>
        <w:spacing w:after="0" w:line="198" w:lineRule="exact"/>
        <w:rPr>
          <w:rFonts w:ascii="Arial" w:cs="Arial" w:eastAsia="Arial" w:hAnsi="Arial"/>
          <w:sz w:val="18"/>
          <w:szCs w:val="18"/>
          <w:color w:val="auto"/>
        </w:rPr>
      </w:pPr>
    </w:p>
    <w:p>
      <w:pPr>
        <w:ind w:left="540" w:right="540" w:hanging="532"/>
        <w:spacing w:after="0" w:line="26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enter into collaborations or strategic partnerships for the development and commercialization of our product candidates and future operations;</w:t>
      </w:r>
    </w:p>
    <w:p>
      <w:pPr>
        <w:spacing w:after="0" w:line="143" w:lineRule="exact"/>
        <w:rPr>
          <w:rFonts w:ascii="Arial" w:cs="Arial" w:eastAsia="Arial" w:hAnsi="Arial"/>
          <w:sz w:val="18"/>
          <w:szCs w:val="18"/>
          <w:color w:val="auto"/>
        </w:rPr>
      </w:pPr>
    </w:p>
    <w:p>
      <w:pPr>
        <w:ind w:left="540" w:right="240" w:hanging="532"/>
        <w:spacing w:after="0" w:line="252"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maintain and leverage our relationship with Memorial Sloan Kettering Cancer Center, or MSK, including our exclusive rights to the MSK License and current and future technology and our relationship with MSK as a user of DANYELZA and any future products;</w:t>
      </w:r>
    </w:p>
    <w:p>
      <w:pPr>
        <w:spacing w:after="0" w:line="171"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 or strategic partnerships;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related to the use of our cash and cash equivalents, how long that cash is expected to last;</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for, timing and amount of any future financing transaction;</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including our estimates regarding revenues, expenses, capital expenditure requirements;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11" w:lineRule="exact"/>
        <w:rPr>
          <w:rFonts w:ascii="Arial" w:cs="Arial" w:eastAsia="Arial" w:hAnsi="Arial"/>
          <w:sz w:val="18"/>
          <w:szCs w:val="18"/>
          <w:color w:val="auto"/>
        </w:rPr>
      </w:pPr>
    </w:p>
    <w:p>
      <w:pPr>
        <w:ind w:left="540" w:right="120" w:hanging="532"/>
        <w:spacing w:after="0" w:line="26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effects on our business, financial condition and results of operations from the global COVID-19 pandemic, including the pace of global economic recovery from the pandemic;</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98" w:lineRule="exact"/>
        <w:rPr>
          <w:rFonts w:ascii="Arial" w:cs="Arial" w:eastAsia="Arial" w:hAnsi="Arial"/>
          <w:sz w:val="18"/>
          <w:szCs w:val="18"/>
          <w:color w:val="auto"/>
        </w:rPr>
      </w:pPr>
    </w:p>
    <w:p>
      <w:pPr>
        <w:ind w:left="540" w:right="240" w:hanging="532"/>
        <w:spacing w:after="0" w:line="26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and difficulty to find a suitable replacement for, a small number of third party contract manufacturing organizations that we currently use for the complex and difficult manufacture of our product candidates;</w:t>
      </w:r>
    </w:p>
    <w:p>
      <w:pPr>
        <w:spacing w:after="0" w:line="157" w:lineRule="exact"/>
        <w:rPr>
          <w:rFonts w:ascii="Arial" w:cs="Arial" w:eastAsia="Arial" w:hAnsi="Arial"/>
          <w:sz w:val="18"/>
          <w:szCs w:val="18"/>
          <w:color w:val="auto"/>
        </w:rPr>
      </w:pPr>
    </w:p>
    <w:p>
      <w:pPr>
        <w:ind w:left="540" w:right="400" w:hanging="532"/>
        <w:spacing w:after="0" w:line="26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healthcare laws and regulations in the United States and any foreign countries, including, without limitation, those applying to the marketing and sale of pharmaceutical products;</w:t>
      </w:r>
    </w:p>
    <w:p>
      <w:pPr>
        <w:spacing w:after="0" w:line="143" w:lineRule="exact"/>
        <w:rPr>
          <w:rFonts w:ascii="Arial" w:cs="Arial" w:eastAsia="Arial" w:hAnsi="Arial"/>
          <w:sz w:val="18"/>
          <w:szCs w:val="18"/>
          <w:color w:val="auto"/>
        </w:rPr>
      </w:pPr>
    </w:p>
    <w:p>
      <w:pPr>
        <w:ind w:left="540" w:right="240" w:hanging="532"/>
        <w:spacing w:after="0" w:line="26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our prior initial public offering, or IPO, in 2018, our public offering in 2019 and this offering; and</w:t>
      </w:r>
    </w:p>
    <w:p>
      <w:pPr>
        <w:spacing w:after="0" w:line="143" w:lineRule="exact"/>
        <w:rPr>
          <w:rFonts w:ascii="Arial" w:cs="Arial" w:eastAsia="Arial" w:hAnsi="Arial"/>
          <w:sz w:val="18"/>
          <w:szCs w:val="18"/>
          <w:color w:val="auto"/>
        </w:rPr>
      </w:pPr>
    </w:p>
    <w:p>
      <w:pPr>
        <w:ind w:left="540" w:right="160" w:hanging="532"/>
        <w:spacing w:after="0" w:line="26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or incorporated by reference under the caption "Risk Factors" in this prospectus supplement.</w:t>
      </w:r>
    </w:p>
    <w:p>
      <w:pPr>
        <w:spacing w:after="0" w:line="157" w:lineRule="exact"/>
        <w:rPr>
          <w:sz w:val="20"/>
          <w:szCs w:val="20"/>
          <w:color w:val="auto"/>
        </w:rPr>
      </w:pPr>
    </w:p>
    <w:p>
      <w:pPr>
        <w:spacing w:after="0" w:line="272" w:lineRule="auto"/>
        <w:rPr>
          <w:rFonts w:ascii="Arial" w:cs="Arial" w:eastAsia="Arial" w:hAnsi="Arial"/>
          <w:sz w:val="16"/>
          <w:szCs w:val="16"/>
          <w:color w:val="auto"/>
        </w:rPr>
      </w:pPr>
      <w:r>
        <w:rPr>
          <w:rFonts w:ascii="Arial" w:cs="Arial" w:eastAsia="Arial" w:hAnsi="Arial"/>
          <w:sz w:val="16"/>
          <w:szCs w:val="16"/>
          <w:color w:val="auto"/>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 looking statements we make. We have included important factors in the cautionary statements included in this prospectus supplement, the accompanying prospectus, and the information incorporated by reference herein and therein, particularly in the "Risk Factors" section of this prospectus supplement, as revised or supplemented by our current reports on Form 8-K, as well as any amendments thereto, and contained in our </w:t>
      </w:r>
      <w:hyperlink r:id="rId17">
        <w:r>
          <w:rPr>
            <w:rFonts w:ascii="Arial" w:cs="Arial" w:eastAsia="Arial" w:hAnsi="Arial"/>
            <w:sz w:val="16"/>
            <w:szCs w:val="16"/>
            <w:u w:val="single" w:color="auto"/>
            <w:color w:val="0000EE"/>
          </w:rPr>
          <w:t>Annual Report on Form 10-K for the year ended December 31,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our Quarterly Report on Form 10-Q for the quarters ended </w:t>
      </w:r>
      <w:hyperlink r:id="rId18">
        <w:r>
          <w:rPr>
            <w:rFonts w:ascii="Arial" w:cs="Arial" w:eastAsia="Arial" w:hAnsi="Arial"/>
            <w:sz w:val="16"/>
            <w:szCs w:val="16"/>
            <w:u w:val="single" w:color="auto"/>
            <w:color w:val="0000EE"/>
          </w:rPr>
          <w:t>March 31, 2020</w:t>
        </w:r>
      </w:hyperlink>
      <w:r>
        <w:rPr>
          <w:rFonts w:ascii="Arial" w:cs="Arial" w:eastAsia="Arial" w:hAnsi="Arial"/>
          <w:sz w:val="16"/>
          <w:szCs w:val="16"/>
          <w:color w:val="auto"/>
        </w:rPr>
        <w:t xml:space="preserve">, </w:t>
      </w:r>
      <w:hyperlink r:id="rId19">
        <w:r>
          <w:rPr>
            <w:rFonts w:ascii="Arial" w:cs="Arial" w:eastAsia="Arial" w:hAnsi="Arial"/>
            <w:sz w:val="16"/>
            <w:szCs w:val="16"/>
            <w:u w:val="single" w:color="auto"/>
            <w:color w:val="0000EE"/>
          </w:rPr>
          <w:t>June 30, 2020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20">
        <w:r>
          <w:rPr>
            <w:rFonts w:ascii="Arial" w:cs="Arial" w:eastAsia="Arial" w:hAnsi="Arial"/>
            <w:sz w:val="16"/>
            <w:szCs w:val="16"/>
            <w:u w:val="single" w:color="auto"/>
            <w:color w:val="0000EE"/>
          </w:rPr>
          <w:t>September 30, 2020</w:t>
        </w:r>
      </w:hyperlink>
      <w:r>
        <w:rPr>
          <w:rFonts w:ascii="Arial" w:cs="Arial" w:eastAsia="Arial" w:hAnsi="Arial"/>
          <w:sz w:val="16"/>
          <w:szCs w:val="16"/>
          <w:color w:val="auto"/>
        </w:rPr>
        <w:t>, as filed with the SEC and which are incorporated herein by reference,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spacing w:after="0" w:line="162" w:lineRule="exact"/>
        <w:rPr>
          <w:rFonts w:ascii="Arial" w:cs="Arial" w:eastAsia="Arial" w:hAnsi="Arial"/>
          <w:sz w:val="16"/>
          <w:szCs w:val="16"/>
          <w:color w:val="auto"/>
        </w:rPr>
      </w:pPr>
    </w:p>
    <w:p>
      <w:pPr>
        <w:ind w:right="260"/>
        <w:spacing w:after="0" w:line="246" w:lineRule="auto"/>
        <w:rPr>
          <w:sz w:val="20"/>
          <w:szCs w:val="20"/>
          <w:color w:val="auto"/>
        </w:rPr>
      </w:pPr>
      <w:r>
        <w:rPr>
          <w:rFonts w:ascii="Arial" w:cs="Arial" w:eastAsia="Arial" w:hAnsi="Arial"/>
          <w:sz w:val="18"/>
          <w:szCs w:val="18"/>
          <w:color w:val="auto"/>
        </w:rPr>
        <w:t>You should read this prospectus supplement, the accompanying prospectus and the information incorporated by reference herein and therein completely and with the understanding that our actual future results may be materially different from what we expect. Any forward-looking statement speaks only as of the date of this prospectus supplement. We do not assume any obligation to update any forward-looking statements, whether as a result of new information, future events or otherwise, except as required by law.</w:t>
      </w:r>
    </w:p>
    <w:p>
      <w:pPr>
        <w:spacing w:after="0" w:line="177" w:lineRule="exact"/>
        <w:rPr>
          <w:rFonts w:ascii="Arial" w:cs="Arial" w:eastAsia="Arial" w:hAnsi="Arial"/>
          <w:sz w:val="16"/>
          <w:szCs w:val="16"/>
          <w:color w:val="auto"/>
        </w:rPr>
      </w:pPr>
    </w:p>
    <w:p>
      <w:pPr>
        <w:jc w:val="center"/>
        <w:ind w:right="-59"/>
        <w:spacing w:after="0"/>
        <w:rPr>
          <w:sz w:val="20"/>
          <w:szCs w:val="20"/>
          <w:color w:val="auto"/>
        </w:rPr>
      </w:pPr>
      <w:r>
        <w:rPr>
          <w:rFonts w:ascii="Arial" w:cs="Arial" w:eastAsia="Arial" w:hAnsi="Arial"/>
          <w:sz w:val="18"/>
          <w:szCs w:val="18"/>
          <w:color w:val="auto"/>
        </w:rPr>
        <w:t>S-6</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Industry and market data</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information contained in or incorporated by reference into this prospectus supplement and the accompanying prospectus concerning our industry and the markets in which we operate is based on information from various sources, including independent industry publications. In presenting this information, we have also made assumptions based on such data and other similar sources, and on our knowledge of, and our experience to date in, the potential markets for our product candidates. The industry in which we operate is subject to a high degree of uncertainty and risk due to a variety of factors, including those described in and incorporated by reference into the section entitled "Risk Factors" and in the documents incorporated by reference into this prospectus supplement. These and other factors could cause results to differ materially from those expressed in the estimates made by the independent parties and by us.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410210</wp:posOffset>
            </wp:positionV>
            <wp:extent cx="7136130" cy="6064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Arial" w:cs="Arial" w:eastAsia="Arial" w:hAnsi="Arial"/>
          <w:sz w:val="24"/>
          <w:szCs w:val="24"/>
          <w:b w:val="1"/>
          <w:bCs w:val="1"/>
          <w:color w:val="auto"/>
        </w:rPr>
        <w:t>Prospectus supplement summary</w:t>
      </w:r>
    </w:p>
    <w:p>
      <w:pPr>
        <w:spacing w:after="0" w:line="245" w:lineRule="exact"/>
        <w:rPr>
          <w:sz w:val="20"/>
          <w:szCs w:val="20"/>
          <w:color w:val="auto"/>
        </w:rPr>
      </w:pPr>
    </w:p>
    <w:p>
      <w:pPr>
        <w:ind w:left="240" w:right="140"/>
        <w:spacing w:after="0"/>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investing in our common stock. You should read this entire prospectus supplement and the accompanying prospectus, including the documents incorporated by reference herein and therein, carefully, especially the risks of investing in our common stock discussed under "Risk Factors" beginning on page S-18 of this prospectus supplement and under similar sections of the accompanying prospectus and other periodic reports incorporated herein and therein by reference, along with our consolidated financial statements and notes to those consolidated financial statements, before making an investment decision.</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Our company</w:t>
      </w:r>
    </w:p>
    <w:p>
      <w:pPr>
        <w:spacing w:after="0" w:line="224" w:lineRule="exact"/>
        <w:rPr>
          <w:sz w:val="20"/>
          <w:szCs w:val="20"/>
          <w:color w:val="auto"/>
        </w:rPr>
      </w:pPr>
    </w:p>
    <w:p>
      <w:pPr>
        <w:jc w:val="both"/>
        <w:ind w:left="240" w:right="300"/>
        <w:spacing w:after="0" w:line="252" w:lineRule="auto"/>
        <w:rPr>
          <w:sz w:val="20"/>
          <w:szCs w:val="20"/>
          <w:color w:val="auto"/>
        </w:rPr>
      </w:pPr>
      <w:r>
        <w:rPr>
          <w:rFonts w:ascii="Arial" w:cs="Arial" w:eastAsia="Arial" w:hAnsi="Arial"/>
          <w:sz w:val="18"/>
          <w:szCs w:val="18"/>
          <w:color w:val="auto"/>
        </w:rPr>
        <w:t>We are a commercial-stage biopharmaceutical company focused on the development and commercialization of novel, antibody based therapeutic products for the treatment of cancer. We are leveraging our proprietary antibody platforms and deep expertise in the field of antibodies to develop a broad portfolio of innovative medicines.</w:t>
      </w:r>
    </w:p>
    <w:p>
      <w:pPr>
        <w:spacing w:after="0" w:line="172" w:lineRule="exact"/>
        <w:rPr>
          <w:sz w:val="20"/>
          <w:szCs w:val="20"/>
          <w:color w:val="auto"/>
        </w:rPr>
      </w:pPr>
    </w:p>
    <w:p>
      <w:pPr>
        <w:ind w:left="240" w:right="20"/>
        <w:spacing w:after="0" w:line="246" w:lineRule="auto"/>
        <w:rPr>
          <w:sz w:val="20"/>
          <w:szCs w:val="20"/>
          <w:color w:val="auto"/>
        </w:rPr>
      </w:pPr>
      <w:r>
        <w:rPr>
          <w:rFonts w:ascii="Arial" w:cs="Arial" w:eastAsia="Arial" w:hAnsi="Arial"/>
          <w:sz w:val="18"/>
          <w:szCs w:val="18"/>
          <w:color w:val="auto"/>
        </w:rPr>
        <w:t>On November 25, 2020, DANYELZA® (naxitamab-gqgk) was approved by the United States Food and Drug Administration, or the FDA, for the treatment, in combination with Granulocyte-Macrophage Colony-Stimulating Factor, or GM-CSF, of pediatric patients one year of age and older and adult patients with relapsed or refractory, or R/R, high-risk neuroblastoma, or NB, in the bone or bone marrow who have demonstrated a partial response, minor response, or stable disease to prior therapy.</w:t>
      </w:r>
    </w:p>
    <w:p>
      <w:pPr>
        <w:spacing w:after="0" w:line="177" w:lineRule="exact"/>
        <w:rPr>
          <w:sz w:val="20"/>
          <w:szCs w:val="20"/>
          <w:color w:val="auto"/>
        </w:rPr>
      </w:pPr>
    </w:p>
    <w:p>
      <w:pPr>
        <w:ind w:left="240"/>
        <w:spacing w:after="0" w:line="243" w:lineRule="auto"/>
        <w:rPr>
          <w:sz w:val="20"/>
          <w:szCs w:val="20"/>
          <w:color w:val="auto"/>
        </w:rPr>
      </w:pPr>
      <w:r>
        <w:rPr>
          <w:rFonts w:ascii="Arial" w:cs="Arial" w:eastAsia="Arial" w:hAnsi="Arial"/>
          <w:sz w:val="18"/>
          <w:szCs w:val="18"/>
          <w:color w:val="auto"/>
        </w:rPr>
        <w:t>DANYELZA is also currently being investigated in three Phase 2 clinical studies for the treatment of patients with first-line NB, third-line NB, and in relapsed osteosarcoma. In addition, we have an ongoing Phase 2 trial at Memorial Sloan Kettering Cancer Center, or MSK, with our GD2-GD3 Vaccine for the treatment of Stage 4 high-risk NB. We believe the GD2-GD3 Vaccine can potentially serve as an add-on treatment to DANYELZA. We are commercializing DANYELZA in the United States and began shipping small quantities of product in February 2021.</w:t>
      </w:r>
    </w:p>
    <w:p>
      <w:pPr>
        <w:spacing w:after="0" w:line="184" w:lineRule="exact"/>
        <w:rPr>
          <w:sz w:val="20"/>
          <w:szCs w:val="20"/>
          <w:color w:val="auto"/>
        </w:rPr>
      </w:pPr>
    </w:p>
    <w:p>
      <w:pPr>
        <w:ind w:left="240" w:right="80"/>
        <w:spacing w:after="0" w:line="235" w:lineRule="auto"/>
        <w:rPr>
          <w:sz w:val="20"/>
          <w:szCs w:val="20"/>
          <w:color w:val="auto"/>
        </w:rPr>
      </w:pPr>
      <w:r>
        <w:rPr>
          <w:rFonts w:ascii="Arial" w:cs="Arial" w:eastAsia="Arial" w:hAnsi="Arial"/>
          <w:sz w:val="17"/>
          <w:szCs w:val="17"/>
          <w:color w:val="auto"/>
        </w:rPr>
        <w:t xml:space="preserve">We submitted a Biologics License Application, or BLA, to the FDA for radiolabeled </w:t>
      </w:r>
      <w:r>
        <w:rPr>
          <w:rFonts w:ascii="Arial" w:cs="Arial" w:eastAsia="Arial" w:hAnsi="Arial"/>
          <w:sz w:val="28"/>
          <w:szCs w:val="28"/>
          <w:color w:val="auto"/>
          <w:vertAlign w:val="superscript"/>
        </w:rPr>
        <w:t>131</w:t>
      </w:r>
      <w:r>
        <w:rPr>
          <w:rFonts w:ascii="Arial" w:cs="Arial" w:eastAsia="Arial" w:hAnsi="Arial"/>
          <w:sz w:val="17"/>
          <w:szCs w:val="17"/>
          <w:color w:val="auto"/>
        </w:rPr>
        <w:t>I-omburtamab for central nervous system, or CNS, leptomeningeal metastases, or LM, from NB in August 2020, and received a Refusal to File letter from the FDA in October 2020. The reason for the FDA's decision to issue the Refusal to File letter was that upon preliminary review, the FDA determined that certain parts of the Chemistry, Manufacturing and Control, or CMC, Module and the Clinical Module of the BLA required further detail. We plan to commercialize omburtamab as soon as possible after obtaining FDA approval, if such approval occurs. Additionally, we are conducting clinical studies with omburtamab in diffuse intrinsic pontine glioma, or DIPG, and desmoplastic small round cell tumor, or DSRCT. We also</w:t>
      </w:r>
    </w:p>
    <w:p>
      <w:pPr>
        <w:spacing w:after="0" w:line="1" w:lineRule="exact"/>
        <w:rPr>
          <w:sz w:val="20"/>
          <w:szCs w:val="20"/>
          <w:color w:val="auto"/>
        </w:rPr>
      </w:pPr>
    </w:p>
    <w:p>
      <w:pPr>
        <w:ind w:left="240" w:right="420"/>
        <w:spacing w:after="0" w:line="203" w:lineRule="auto"/>
        <w:rPr>
          <w:sz w:val="20"/>
          <w:szCs w:val="20"/>
          <w:color w:val="auto"/>
        </w:rPr>
      </w:pPr>
      <w:r>
        <w:rPr>
          <w:rFonts w:ascii="Arial" w:cs="Arial" w:eastAsia="Arial" w:hAnsi="Arial"/>
          <w:sz w:val="18"/>
          <w:szCs w:val="18"/>
          <w:color w:val="auto"/>
        </w:rPr>
        <w:t xml:space="preserve">have an omburtamab follow on product candidate,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in Phase 1 for the treatment of medulloblastoma, and in Phase I in adults targeting B7-H3 positive CNS/LM tumors.</w:t>
      </w:r>
    </w:p>
    <w:p>
      <w:pPr>
        <w:spacing w:after="0" w:line="183" w:lineRule="exact"/>
        <w:rPr>
          <w:sz w:val="20"/>
          <w:szCs w:val="20"/>
          <w:color w:val="auto"/>
        </w:rPr>
      </w:pPr>
    </w:p>
    <w:p>
      <w:pPr>
        <w:jc w:val="both"/>
        <w:ind w:left="240"/>
        <w:spacing w:after="0" w:line="273" w:lineRule="auto"/>
        <w:rPr>
          <w:sz w:val="20"/>
          <w:szCs w:val="20"/>
          <w:color w:val="auto"/>
        </w:rPr>
      </w:pPr>
      <w:r>
        <w:rPr>
          <w:rFonts w:ascii="Arial" w:cs="Arial" w:eastAsia="Arial" w:hAnsi="Arial"/>
          <w:sz w:val="16"/>
          <w:szCs w:val="16"/>
          <w:color w:val="auto"/>
        </w:rPr>
        <w:t>We are advancing a new generation of T cell engaging bispecific antibodies, or BsAbs, that may destroy tumor cells by recruitment of host T cells. Our Y-BiClone format contains two binding arms for the tumor target and two binding arms for T cells. This format was designed to have the minimal binding affinity necessary to recruit T cells. We have successfully opened an investigational new drug application, or IND,</w:t>
      </w:r>
    </w:p>
    <w:p>
      <w:pPr>
        <w:spacing w:after="0" w:line="1" w:lineRule="exact"/>
        <w:rPr>
          <w:sz w:val="20"/>
          <w:szCs w:val="20"/>
          <w:color w:val="auto"/>
        </w:rPr>
      </w:pPr>
    </w:p>
    <w:p>
      <w:pPr>
        <w:jc w:val="both"/>
        <w:ind w:left="240"/>
        <w:spacing w:after="0" w:line="203" w:lineRule="auto"/>
        <w:rPr>
          <w:sz w:val="20"/>
          <w:szCs w:val="20"/>
          <w:color w:val="auto"/>
        </w:rPr>
      </w:pPr>
      <w:r>
        <w:rPr>
          <w:rFonts w:ascii="Arial" w:cs="Arial" w:eastAsia="Arial" w:hAnsi="Arial"/>
          <w:sz w:val="18"/>
          <w:szCs w:val="18"/>
          <w:color w:val="auto"/>
        </w:rPr>
        <w:t xml:space="preserve">for our Phase 2 trial with nivatrotamab, our GD2 BsAb product candidate, in Small Cell Lung Cancer, or SCLC. In addition, a Phase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trial with nivatrotamab, for the treatment of refractory GD2 positive adult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5927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40"/>
        <w:spacing w:after="0" w:line="243" w:lineRule="auto"/>
        <w:rPr>
          <w:sz w:val="20"/>
          <w:szCs w:val="20"/>
          <w:color w:val="auto"/>
        </w:rPr>
      </w:pPr>
      <w:r>
        <w:rPr>
          <w:rFonts w:ascii="Arial" w:cs="Arial" w:eastAsia="Arial" w:hAnsi="Arial"/>
          <w:sz w:val="18"/>
          <w:szCs w:val="18"/>
          <w:color w:val="auto"/>
        </w:rPr>
        <w:t>and pediatric solid tumors is ongoing. Our nivatrotamab program thus addresses large patient populations. We are also advancing a CD33 BsAb for the treatment of hematological cancers expressing CD33, a transmembrane receptor expressed on cells of myeloid lineage, which we expect to enter clinical trials in 2021. We are advancing a pipeline of other novel BsAbs through late pre-clinical development. We believe our BsAbs have the potential to result in improved tumor binding, longer serum half-life and significantly greater T cell mediated killing of tumor cells without the need for continuous infusion.</w:t>
      </w:r>
    </w:p>
    <w:p>
      <w:pPr>
        <w:spacing w:after="0" w:line="181" w:lineRule="exact"/>
        <w:rPr>
          <w:sz w:val="20"/>
          <w:szCs w:val="20"/>
          <w:color w:val="auto"/>
        </w:rPr>
      </w:pPr>
    </w:p>
    <w:p>
      <w:pPr>
        <w:ind w:left="240" w:right="100"/>
        <w:spacing w:after="0" w:line="273" w:lineRule="auto"/>
        <w:rPr>
          <w:sz w:val="20"/>
          <w:szCs w:val="20"/>
          <w:color w:val="auto"/>
        </w:rPr>
      </w:pPr>
      <w:r>
        <w:rPr>
          <w:rFonts w:ascii="Arial" w:cs="Arial" w:eastAsia="Arial" w:hAnsi="Arial"/>
          <w:sz w:val="16"/>
          <w:szCs w:val="16"/>
          <w:color w:val="auto"/>
        </w:rPr>
        <w:t>Based on the SADA technology, which we have exclusively licensed from MSK and the Massachusetts Institute of Technology, or MIT, we are using our proprietary radioimmunotherapy SADA platform to advance a series of antibody constructs, where bispecific antibody fragments bind to the tumor before a radioactive payload is injected in a two-step approach. We also refer to the SADA technology as</w:t>
      </w:r>
    </w:p>
    <w:p>
      <w:pPr>
        <w:spacing w:after="0" w:line="1" w:lineRule="exact"/>
        <w:rPr>
          <w:sz w:val="20"/>
          <w:szCs w:val="20"/>
          <w:color w:val="auto"/>
        </w:rPr>
      </w:pPr>
    </w:p>
    <w:p>
      <w:pPr>
        <w:jc w:val="both"/>
        <w:ind w:left="240" w:right="380"/>
        <w:spacing w:after="0" w:line="228" w:lineRule="auto"/>
        <w:rPr>
          <w:sz w:val="20"/>
          <w:szCs w:val="20"/>
          <w:color w:val="auto"/>
        </w:rPr>
      </w:pPr>
      <w:r>
        <w:rPr>
          <w:rFonts w:ascii="Arial" w:cs="Arial" w:eastAsia="Arial" w:hAnsi="Arial"/>
          <w:sz w:val="17"/>
          <w:szCs w:val="17"/>
          <w:color w:val="auto"/>
        </w:rPr>
        <w:t xml:space="preserve">Liquid Radiation </w:t>
      </w:r>
      <w:r>
        <w:rPr>
          <w:rFonts w:ascii="Arial" w:cs="Arial" w:eastAsia="Arial" w:hAnsi="Arial"/>
          <w:sz w:val="28"/>
          <w:szCs w:val="28"/>
          <w:color w:val="auto"/>
          <w:vertAlign w:val="superscript"/>
        </w:rPr>
        <w:t>TM</w:t>
      </w:r>
      <w:r>
        <w:rPr>
          <w:rFonts w:ascii="Arial" w:cs="Arial" w:eastAsia="Arial" w:hAnsi="Arial"/>
          <w:sz w:val="17"/>
          <w:szCs w:val="17"/>
          <w:color w:val="auto"/>
        </w:rPr>
        <w:t>. We have designated GD2-SADA for potential use in GD2 positive solid tumors, B7-H3-SADA for potential use in prostate cancer, GPA33-SADA for potential use in colon cancer, and HER2-SADA for potential use in breast cancer as our first SADA constructs and expect to file an IND for GD2-SADA in 2021. We believe the SADA technology could potentially improve the efficacy of radiolabeled therapeutics in tumors that have not historically demonstrated meaningful responses to radiolabeled agents.</w:t>
      </w:r>
    </w:p>
    <w:p>
      <w:pPr>
        <w:spacing w:after="0" w:line="182" w:lineRule="exact"/>
        <w:rPr>
          <w:sz w:val="20"/>
          <w:szCs w:val="20"/>
          <w:color w:val="auto"/>
        </w:rPr>
      </w:pPr>
    </w:p>
    <w:p>
      <w:pPr>
        <w:ind w:left="240" w:right="60"/>
        <w:spacing w:after="0" w:line="252" w:lineRule="auto"/>
        <w:rPr>
          <w:sz w:val="20"/>
          <w:szCs w:val="20"/>
          <w:color w:val="auto"/>
        </w:rPr>
      </w:pPr>
      <w:r>
        <w:rPr>
          <w:rFonts w:ascii="Arial" w:cs="Arial" w:eastAsia="Arial" w:hAnsi="Arial"/>
          <w:sz w:val="18"/>
          <w:szCs w:val="18"/>
          <w:color w:val="auto"/>
        </w:rPr>
        <w:t>Our mission is to become the world leader in developing better and safer antibody 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DANYELZA</w:t>
      </w:r>
    </w:p>
    <w:p>
      <w:pPr>
        <w:spacing w:after="0" w:line="210" w:lineRule="exact"/>
        <w:rPr>
          <w:sz w:val="20"/>
          <w:szCs w:val="20"/>
          <w:color w:val="auto"/>
        </w:rPr>
      </w:pPr>
    </w:p>
    <w:p>
      <w:pPr>
        <w:ind w:left="240" w:right="60"/>
        <w:spacing w:after="0" w:line="281" w:lineRule="auto"/>
        <w:rPr>
          <w:sz w:val="20"/>
          <w:szCs w:val="20"/>
          <w:color w:val="auto"/>
        </w:rPr>
      </w:pPr>
      <w:r>
        <w:rPr>
          <w:rFonts w:ascii="Arial" w:cs="Arial" w:eastAsia="Arial" w:hAnsi="Arial"/>
          <w:sz w:val="16"/>
          <w:szCs w:val="16"/>
          <w:color w:val="auto"/>
        </w:rPr>
        <w:t>On October 16, 2020, we announced that a clinical update for DANYELZA was made at the International Society of Pediatric Oncology, or SIOP, Virtual Annual Congress held in Ottawa, Canada. Investigator assessed data from our pivotal 201 multicenter study was presented. The central independent evaluation showed an overall rate of response, or ORR, of 68% and the rate of complete response, or CR, was 59% for the 22 patients. In addition, bone marrow clearance was observed with complete response in seven of nine patients, who had positive bone marrow at trial start. The median duration of response with long-term follow-up was 27 weeks.</w:t>
      </w:r>
    </w:p>
    <w:p>
      <w:pPr>
        <w:spacing w:after="0" w:line="151" w:lineRule="exact"/>
        <w:rPr>
          <w:sz w:val="20"/>
          <w:szCs w:val="20"/>
          <w:color w:val="auto"/>
        </w:rPr>
      </w:pPr>
    </w:p>
    <w:p>
      <w:pPr>
        <w:ind w:left="240"/>
        <w:spacing w:after="0" w:line="237" w:lineRule="auto"/>
        <w:rPr>
          <w:sz w:val="20"/>
          <w:szCs w:val="20"/>
          <w:color w:val="auto"/>
        </w:rPr>
      </w:pPr>
      <w:r>
        <w:rPr>
          <w:rFonts w:ascii="Arial" w:cs="Arial" w:eastAsia="Arial" w:hAnsi="Arial"/>
          <w:sz w:val="18"/>
          <w:szCs w:val="18"/>
          <w:color w:val="auto"/>
        </w:rPr>
        <w:t>On November 25, 2020 we announced that the FDA had approved DANYELZA (naxitamab-gqgk) 40mg/10ml. in combination with granulocyte-macrophage colony-stimulating factor, or GM-CSF, for the treatment of pediatric patients one year of age and older and adult patients with relapsed or refractory high-risk neuroblastoma in the bone or bone marrow who have demonstrated a partial response, minor response, or stable disease to prior therapy. The indication was approved under accelerated approval regulation based on overall response rate and duration of response. Continued approval for this indication is contingent upon verification and description of clinical benefits in a confirmatory postmarketing trial. The confirmatory postmarketing clinical trial is required by the FDA to verify and to further characterize the clinical benefit of our ongoing Study 201, which will enroll a minimum of 80 patients and report ORR, progression free survival, or PFS, and overall survival, or OS. As of February 1, 2021 we have enrolled 54 patients and we anticipate completing the study no later than March 31, 2027. The ORR is the primary endpoint for the study, DOR is the secondary endpoint, PFS and OS are secondary endpoints in long-term follow up. In clinical studies, DANYELZA has been shown to cause serious infusion reactions including anaphylaxis, cardiac arrest, bronchospasm, stridor, and hypotension. The most common adverse events were mainly mild and moderate and included infusion-related reaction, pain, tachycardia, vomiting, cough, nausea, diarrhea, decreased appetite, hypertension, fatigue, erythema multiforme, peripheral neuropathy, urticaria,</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5944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6130" cy="594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480"/>
        <w:spacing w:after="0" w:line="269" w:lineRule="auto"/>
        <w:rPr>
          <w:sz w:val="20"/>
          <w:szCs w:val="20"/>
          <w:color w:val="auto"/>
        </w:rPr>
      </w:pPr>
      <w:r>
        <w:rPr>
          <w:rFonts w:ascii="Arial" w:cs="Arial" w:eastAsia="Arial" w:hAnsi="Arial"/>
          <w:sz w:val="18"/>
          <w:szCs w:val="18"/>
          <w:color w:val="auto"/>
        </w:rPr>
        <w:t>pyrexia, headache, edema, anxiety, localized edema and irritability. DANYELZA has been approved with a boxed warning for serious infusion reactions and neurotoxicity.</w:t>
      </w:r>
    </w:p>
    <w:p>
      <w:pPr>
        <w:spacing w:after="0" w:line="157" w:lineRule="exact"/>
        <w:rPr>
          <w:sz w:val="20"/>
          <w:szCs w:val="20"/>
          <w:color w:val="auto"/>
        </w:rPr>
      </w:pPr>
    </w:p>
    <w:p>
      <w:pPr>
        <w:ind w:left="240" w:right="220"/>
        <w:spacing w:after="0" w:line="241" w:lineRule="auto"/>
        <w:rPr>
          <w:sz w:val="20"/>
          <w:szCs w:val="20"/>
          <w:color w:val="auto"/>
        </w:rPr>
      </w:pPr>
      <w:r>
        <w:rPr>
          <w:rFonts w:ascii="Arial" w:cs="Arial" w:eastAsia="Arial" w:hAnsi="Arial"/>
          <w:sz w:val="18"/>
          <w:szCs w:val="18"/>
          <w:color w:val="auto"/>
        </w:rPr>
        <w:t>On December 28, we announced that we had entered into a definitive agreement to sell our Priority Review Voucher, or PRV, that was granted in conjunction with the approval by the FDA of DANYELZA, for the treatment of refractory/relapsed high-risk neuroblastoma to United Therapeutics Corporation, or United Therapeutics, based on an agreed valuation of $105 million. Pursuant to the agreement with MSK, we were entitled to retain 60% of the net proceeds from monetization of the PRV, and the remaining 40% was due to MSK. We received our portion of the net proceeds of from the sale of the PRV in the amount of approximately $62.0 million when the transaction was consummated in January 2021.</w:t>
      </w:r>
    </w:p>
    <w:p>
      <w:pPr>
        <w:spacing w:after="0" w:line="186"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Omburtamab</w:t>
      </w:r>
    </w:p>
    <w:p>
      <w:pPr>
        <w:spacing w:after="0" w:line="210" w:lineRule="exact"/>
        <w:rPr>
          <w:sz w:val="20"/>
          <w:szCs w:val="20"/>
          <w:color w:val="auto"/>
        </w:rPr>
      </w:pPr>
    </w:p>
    <w:p>
      <w:pPr>
        <w:ind w:left="240"/>
        <w:spacing w:after="0" w:line="237" w:lineRule="auto"/>
        <w:rPr>
          <w:sz w:val="20"/>
          <w:szCs w:val="20"/>
          <w:color w:val="auto"/>
        </w:rPr>
      </w:pPr>
      <w:r>
        <w:rPr>
          <w:rFonts w:ascii="Arial" w:cs="Arial" w:eastAsia="Arial" w:hAnsi="Arial"/>
          <w:sz w:val="18"/>
          <w:szCs w:val="18"/>
          <w:color w:val="auto"/>
        </w:rPr>
        <w:t>On October 5, 2020, we announced that we had received a Refusal to File letter from the FDA regarding the BLA for omburtamab for the treatment of pediatric patients with CNS/leptomeningeal metastasis from neuroblastoma, which was submitted in August 2020. The reason for the FDA's decision to issue the Refusal to File letter was that upon preliminary review, the FDA determined that certain parts of the CMC Module and the Clinical Module of the BLA required further detail. Among other things, the FDA requested that detailed validation data are included in the CMC Module. In the Clinical Module, FDA requested that clinical study data and external control data be reanalyzed using a propensity score adjusted analysis for important baseline characteristics, such as prior receipt of irradiation, and that further supportive evidence in the form of direct anti-tumor effect be included. We have been working closely with the FDA to resolve these issues and have a meeting with the FDA scheduled for March 26, 2021, to discuss adequacy of the external control reanalysis and supporting data to demonstrate direct anti-tumor effect for a BLA resubmission. Assuming a positive outcome of these discussions, we expect to resubmit our BLA for omburtamab by the end of the second quarter of 2021 or the third quarter of 2021. However, we can provide no assurance that the FDA will agree with our proposal or that we will be successful in resubmitting our BLA for omburtamab in this timeline. See "Risk Factors—Risks Related to Government Regulation; Market Approval and Other Legal Compliance Matters—In October 2020 we received a Refusal to File letter from the FDA regarding our BLA for omburtamab. We plan to resubmit the BLA. The FDA retains discretion to decide again not to file our BLA for omburtamab and may refuse to accept an accelerated approval pathway for omburtamab or our other product candidates which could have a material adverse impact on our development and approval process for these product candidates and our other product candidates" for additional information and risks relating to the omburtamab BLA resubmission with the FDA.</w:t>
      </w:r>
    </w:p>
    <w:p>
      <w:pPr>
        <w:spacing w:after="0" w:line="184" w:lineRule="exact"/>
        <w:rPr>
          <w:sz w:val="20"/>
          <w:szCs w:val="20"/>
          <w:color w:val="auto"/>
        </w:rPr>
      </w:pPr>
    </w:p>
    <w:p>
      <w:pPr>
        <w:ind w:left="240" w:right="140"/>
        <w:spacing w:after="0" w:line="230" w:lineRule="auto"/>
        <w:rPr>
          <w:sz w:val="20"/>
          <w:szCs w:val="20"/>
          <w:color w:val="auto"/>
        </w:rPr>
      </w:pPr>
      <w:r>
        <w:rPr>
          <w:rFonts w:ascii="Arial" w:cs="Arial" w:eastAsia="Arial" w:hAnsi="Arial"/>
          <w:sz w:val="17"/>
          <w:szCs w:val="17"/>
          <w:color w:val="auto"/>
        </w:rPr>
        <w:t>On October 14, 2020, we announced that the FDA had cleared our Investigational New Drug, or IND, application for 177Lu-omburtamab-DTPA for the treatment of medulloblastoma, which is the most common type of primary brain cancer in children. Medulloblastomas are invasive, rapidly growing tumors that, unlike most brain tumors, spread through the cerebrospinal fluid and frequently metastasize to different locations along the surface of the brain and spinal cord.</w:t>
      </w:r>
      <w:r>
        <w:rPr>
          <w:rFonts w:ascii="Arial" w:cs="Arial" w:eastAsia="Arial" w:hAnsi="Arial"/>
          <w:sz w:val="28"/>
          <w:szCs w:val="28"/>
          <w:color w:val="auto"/>
          <w:vertAlign w:val="superscript"/>
        </w:rPr>
        <w:t>177</w:t>
      </w:r>
      <w:r>
        <w:rPr>
          <w:rFonts w:ascii="Arial" w:cs="Arial" w:eastAsia="Arial" w:hAnsi="Arial"/>
          <w:sz w:val="17"/>
          <w:szCs w:val="17"/>
          <w:color w:val="auto"/>
        </w:rPr>
        <w:t>Lu-omburtamab-DTPA embodies our naked omburtamab antibody</w:t>
      </w:r>
    </w:p>
    <w:p>
      <w:pPr>
        <w:spacing w:after="0" w:line="1" w:lineRule="exact"/>
        <w:rPr>
          <w:sz w:val="20"/>
          <w:szCs w:val="20"/>
          <w:color w:val="auto"/>
        </w:rPr>
      </w:pPr>
    </w:p>
    <w:p>
      <w:pPr>
        <w:ind w:left="240" w:right="20"/>
        <w:spacing w:after="0" w:line="212" w:lineRule="auto"/>
        <w:rPr>
          <w:sz w:val="20"/>
          <w:szCs w:val="20"/>
          <w:color w:val="auto"/>
        </w:rPr>
      </w:pPr>
      <w:r>
        <w:rPr>
          <w:rFonts w:ascii="Arial" w:cs="Arial" w:eastAsia="Arial" w:hAnsi="Arial"/>
          <w:sz w:val="18"/>
          <w:szCs w:val="18"/>
          <w:color w:val="auto"/>
        </w:rPr>
        <w:t xml:space="preserve">radiolabeled with lutetium-177, using DTPA to chelate the lutetium radioisotope to the antibody. An international multicenter Phase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clinical trial is expected to initiate the screening of pediatric patients with medulloblastoma around the end of the first quarter of 2021 or the second quarter of 2021.</w:t>
      </w:r>
    </w:p>
    <w:p>
      <w:pPr>
        <w:spacing w:after="0" w:line="182" w:lineRule="exact"/>
        <w:rPr>
          <w:sz w:val="20"/>
          <w:szCs w:val="20"/>
          <w:color w:val="auto"/>
        </w:rPr>
      </w:pPr>
    </w:p>
    <w:p>
      <w:pPr>
        <w:ind w:left="240" w:right="320"/>
        <w:spacing w:after="0" w:line="252" w:lineRule="auto"/>
        <w:rPr>
          <w:sz w:val="20"/>
          <w:szCs w:val="20"/>
          <w:color w:val="auto"/>
        </w:rPr>
      </w:pPr>
      <w:r>
        <w:rPr>
          <w:rFonts w:ascii="Arial" w:cs="Arial" w:eastAsia="Arial" w:hAnsi="Arial"/>
          <w:sz w:val="18"/>
          <w:szCs w:val="18"/>
          <w:color w:val="auto"/>
        </w:rPr>
        <w:t>On October 16, 2020, we announced that a clinical update for omburtamab was made at the SIOP Virtual Annual Congress in Lyon, France. Interim results for 17 patients enrolled in our pivotal 101 multicenter study were presented. The study showed a twelve-months overall survival, or OS, of 87%, with a median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6278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6130" cy="627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follow-up of 26 weeks. This compares to an OS of approximately 30% in a historic control group previously disclosed by the Company.</w:t>
      </w:r>
    </w:p>
    <w:p>
      <w:pPr>
        <w:spacing w:after="0" w:line="215" w:lineRule="exact"/>
        <w:rPr>
          <w:sz w:val="20"/>
          <w:szCs w:val="20"/>
          <w:color w:val="auto"/>
        </w:rPr>
      </w:pPr>
    </w:p>
    <w:p>
      <w:pPr>
        <w:ind w:left="240" w:right="180"/>
        <w:spacing w:after="0" w:line="215" w:lineRule="auto"/>
        <w:rPr>
          <w:sz w:val="20"/>
          <w:szCs w:val="20"/>
          <w:color w:val="auto"/>
        </w:rPr>
      </w:pPr>
      <w:r>
        <w:rPr>
          <w:rFonts w:ascii="Arial" w:cs="Arial" w:eastAsia="Arial" w:hAnsi="Arial"/>
          <w:sz w:val="18"/>
          <w:szCs w:val="18"/>
          <w:color w:val="auto"/>
        </w:rPr>
        <w:t xml:space="preserve">On October 26, 2020, we announced that the FDA had cleared our IND application for </w:t>
      </w:r>
      <w:r>
        <w:rPr>
          <w:rFonts w:ascii="Arial" w:cs="Arial" w:eastAsia="Arial" w:hAnsi="Arial"/>
          <w:sz w:val="29"/>
          <w:szCs w:val="29"/>
          <w:color w:val="auto"/>
          <w:vertAlign w:val="superscript"/>
        </w:rPr>
        <w:t>177</w:t>
      </w:r>
      <w:r>
        <w:rPr>
          <w:rFonts w:ascii="Arial" w:cs="Arial" w:eastAsia="Arial" w:hAnsi="Arial"/>
          <w:sz w:val="18"/>
          <w:szCs w:val="18"/>
          <w:color w:val="auto"/>
        </w:rPr>
        <w:t xml:space="preserve">Lu-omburtamab-DTPA for the treatment of B7-H3 positive CNS/LM cancers in adults. An international multicenter Phase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clinical trial is expected to initiate the screening pediatric patients with B7-H3 positive CNS/LM cancers during the first quarter of 2021. In this study we plan to leverage our experience from treating more than 25 adults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64"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Nivatrotamab</w:t>
      </w:r>
    </w:p>
    <w:p>
      <w:pPr>
        <w:spacing w:after="0" w:line="210" w:lineRule="exact"/>
        <w:rPr>
          <w:sz w:val="20"/>
          <w:szCs w:val="20"/>
          <w:color w:val="auto"/>
        </w:rPr>
      </w:pPr>
    </w:p>
    <w:p>
      <w:pPr>
        <w:ind w:left="240" w:right="80"/>
        <w:spacing w:after="0" w:line="298" w:lineRule="auto"/>
        <w:rPr>
          <w:sz w:val="20"/>
          <w:szCs w:val="20"/>
          <w:color w:val="auto"/>
        </w:rPr>
      </w:pPr>
      <w:r>
        <w:rPr>
          <w:rFonts w:ascii="Arial" w:cs="Arial" w:eastAsia="Arial" w:hAnsi="Arial"/>
          <w:sz w:val="16"/>
          <w:szCs w:val="16"/>
          <w:color w:val="auto"/>
        </w:rPr>
        <w:t>On October 7, 2020, we announced that the FDA had granted Orphan Drug Designation, or ODD, and Rare Pediatric Disease Designation, or RPDD, for our leading bispecific antibody program nivatrotamab for the treatment of neuroblastoma. The RPDD makes us eligible for a Priority Review Voucher, or PRV, upon potential approval of the biologics license application for this rare pediatric cancer.</w:t>
      </w:r>
    </w:p>
    <w:p>
      <w:pPr>
        <w:spacing w:after="0" w:line="138" w:lineRule="exact"/>
        <w:rPr>
          <w:sz w:val="20"/>
          <w:szCs w:val="20"/>
          <w:color w:val="auto"/>
        </w:rPr>
      </w:pPr>
    </w:p>
    <w:p>
      <w:pPr>
        <w:ind w:left="240" w:right="80"/>
        <w:spacing w:after="0" w:line="269" w:lineRule="auto"/>
        <w:rPr>
          <w:sz w:val="20"/>
          <w:szCs w:val="20"/>
          <w:color w:val="auto"/>
        </w:rPr>
      </w:pPr>
      <w:r>
        <w:rPr>
          <w:rFonts w:ascii="Arial" w:cs="Arial" w:eastAsia="Arial" w:hAnsi="Arial"/>
          <w:sz w:val="18"/>
          <w:szCs w:val="18"/>
          <w:color w:val="auto"/>
        </w:rPr>
        <w:t>Researchers at MSK developed the therapeutic products referenced above, which are exclusively licensed by us from MSK. As a result of this licensing arrangement, MSK has institutional financial interests in the products and in our company.</w:t>
      </w:r>
    </w:p>
    <w:p>
      <w:pPr>
        <w:spacing w:after="0" w:line="159"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Collaborations</w:t>
      </w:r>
    </w:p>
    <w:p>
      <w:pPr>
        <w:spacing w:after="0" w:line="210" w:lineRule="exact"/>
        <w:rPr>
          <w:sz w:val="20"/>
          <w:szCs w:val="20"/>
          <w:color w:val="auto"/>
        </w:rPr>
      </w:pPr>
    </w:p>
    <w:p>
      <w:pPr>
        <w:ind w:left="240" w:right="60"/>
        <w:spacing w:after="0" w:line="252" w:lineRule="auto"/>
        <w:rPr>
          <w:sz w:val="20"/>
          <w:szCs w:val="20"/>
          <w:color w:val="auto"/>
        </w:rPr>
      </w:pPr>
      <w:r>
        <w:rPr>
          <w:rFonts w:ascii="Arial" w:cs="Arial" w:eastAsia="Arial" w:hAnsi="Arial"/>
          <w:sz w:val="18"/>
          <w:szCs w:val="18"/>
          <w:color w:val="auto"/>
        </w:rPr>
        <w:t>On December 4, 2020, we announced that we had entered into an exclusive license and distribution agreement for DANYELZA and omburtamab with Takeda Israel, a wholly owned subsidiary of Takeda Pharmaceutical Company Limited covering the State of Israel, West Bank and Gaza Strip.</w:t>
      </w:r>
    </w:p>
    <w:p>
      <w:pPr>
        <w:spacing w:after="0" w:line="172" w:lineRule="exact"/>
        <w:rPr>
          <w:sz w:val="20"/>
          <w:szCs w:val="20"/>
          <w:color w:val="auto"/>
        </w:rPr>
      </w:pPr>
    </w:p>
    <w:p>
      <w:pPr>
        <w:ind w:left="240" w:right="240"/>
        <w:spacing w:after="0" w:line="252" w:lineRule="auto"/>
        <w:rPr>
          <w:sz w:val="20"/>
          <w:szCs w:val="20"/>
          <w:color w:val="auto"/>
        </w:rPr>
      </w:pPr>
      <w:r>
        <w:rPr>
          <w:rFonts w:ascii="Arial" w:cs="Arial" w:eastAsia="Arial" w:hAnsi="Arial"/>
          <w:sz w:val="18"/>
          <w:szCs w:val="18"/>
          <w:color w:val="auto"/>
        </w:rPr>
        <w:t>On December 18, 2020, we announced that we had entered into a distribution agreement for DANYELZA and omburtamab with Swixx BioPharma AG for the Eastern European territories Bosnia &amp; Herzegovina, Bulgaria, Croatia, Czech Republic, Estonia, Hungary, Latvia, Lithuania, Poland, Romania, Russia, Serbia, Slovakia and Slovenia.</w:t>
      </w:r>
    </w:p>
    <w:p>
      <w:pPr>
        <w:spacing w:after="0" w:line="172" w:lineRule="exact"/>
        <w:rPr>
          <w:sz w:val="20"/>
          <w:szCs w:val="20"/>
          <w:color w:val="auto"/>
        </w:rPr>
      </w:pPr>
    </w:p>
    <w:p>
      <w:pPr>
        <w:ind w:left="240" w:right="220"/>
        <w:spacing w:after="0" w:line="281" w:lineRule="auto"/>
        <w:rPr>
          <w:sz w:val="20"/>
          <w:szCs w:val="20"/>
          <w:color w:val="auto"/>
        </w:rPr>
      </w:pPr>
      <w:r>
        <w:rPr>
          <w:rFonts w:ascii="Arial" w:cs="Arial" w:eastAsia="Arial" w:hAnsi="Arial"/>
          <w:sz w:val="16"/>
          <w:szCs w:val="16"/>
          <w:color w:val="auto"/>
        </w:rPr>
        <w:t>On December 18, 2020 we announced that we had entered into a license agreement with SciClone Pharmaceuticals International Ltd to be the exclusive co-development and commercialization partner for DANYELZA and omburtamab in Greater China, including Mainland China, Taiwan, Hong Kong and Macau. Under the terms of the agreement, SciClone paid us a $20 million upfront payment with the potential for us to receive up to $100 million in additional development, regulatory and sales milestone payments for both programs, as well as double-digit royalties on net sales for DANYELZA and omburtamab in the territory covered by the collaboration.</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update</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Preliminary and unaudited financial results for year ended December 31, 2020</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Set forth below are certain preliminary revenue, research and development expenses, operating expenses, and loss from operations expectations for the year ended December 31, 2020 and cash and cash equivalents and accumulated deficit as of December 31, 2020. These preliminary results represent our estimates which are based only on currently available information and do not present all necessary information for an understanding of our financial condition as of December 31, 2020 or our results of operations for the year ended December 31, 2020. As we complete our year-end financial close process and finalize our full-year 2020 audited financial statements, we will be required to make significant estimates and assumptions in a number of areas, including, but not limited to, the accrual for research and development expenses, the accrual of milestone and royalty payments, and the valuation of stock options.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5893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6130" cy="589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0"/>
        <w:spacing w:after="0" w:line="243" w:lineRule="auto"/>
        <w:rPr>
          <w:sz w:val="20"/>
          <w:szCs w:val="20"/>
          <w:color w:val="auto"/>
        </w:rPr>
      </w:pPr>
      <w:r>
        <w:rPr>
          <w:rFonts w:ascii="Arial" w:cs="Arial" w:eastAsia="Arial" w:hAnsi="Arial"/>
          <w:sz w:val="18"/>
          <w:szCs w:val="18"/>
          <w:color w:val="auto"/>
        </w:rPr>
        <w:t>This financial information has been prepared by and is the responsibility of our management. Our independent registered public accounting firm, PricewaterhouseCoopers LLP, has not audited, reviewed, compiled, or applied agreed-upon procedures with respect to the preliminary financial data. Accordingly, PricewaterhouseCoopers LLP does not express an opinion or any other form of assurance with respect thereto. These results could change as a result of further review. Complete financial results for the year ended December 31, 2020 will be included in our Annual Report on Form 10-K.</w:t>
      </w:r>
    </w:p>
    <w:p>
      <w:pPr>
        <w:spacing w:after="0" w:line="181" w:lineRule="exact"/>
        <w:rPr>
          <w:sz w:val="20"/>
          <w:szCs w:val="20"/>
          <w:color w:val="auto"/>
        </w:rPr>
      </w:pPr>
    </w:p>
    <w:p>
      <w:pPr>
        <w:ind w:left="240" w:right="60"/>
        <w:spacing w:after="0"/>
        <w:rPr>
          <w:sz w:val="20"/>
          <w:szCs w:val="20"/>
          <w:color w:val="auto"/>
        </w:rPr>
      </w:pPr>
      <w:r>
        <w:rPr>
          <w:rFonts w:ascii="Arial" w:cs="Arial" w:eastAsia="Arial" w:hAnsi="Arial"/>
          <w:sz w:val="18"/>
          <w:szCs w:val="18"/>
          <w:color w:val="auto"/>
        </w:rPr>
        <w:t>We expect to complete our audited financial statements for the year ended December 31, 2020 subsequent to the completion of this offering. While we are currently unaware of any items that would require us to make adjustments to the financial information set forth below, it is possible that we or our independent registered public accounting firm may identify such items as we complete our audited financial statements and any resulting changes could be material. Accordingly, undue reliance should not be placed on these preliminary estimates. These preliminary estimates are not necessarily indicative of any future period and should be read together with "Risk Factors," "Special Note Regarding Forward-Looking Statements," and our financial statements and related notes incorporated by reference in this prospectus supplement.</w:t>
      </w:r>
    </w:p>
    <w:p>
      <w:pPr>
        <w:spacing w:after="0" w:line="185" w:lineRule="exact"/>
        <w:rPr>
          <w:sz w:val="20"/>
          <w:szCs w:val="20"/>
          <w:color w:val="auto"/>
        </w:rPr>
      </w:pPr>
    </w:p>
    <w:p>
      <w:pPr>
        <w:ind w:left="240" w:right="240"/>
        <w:spacing w:after="0" w:line="239" w:lineRule="auto"/>
        <w:rPr>
          <w:sz w:val="20"/>
          <w:szCs w:val="20"/>
          <w:color w:val="auto"/>
        </w:rPr>
      </w:pPr>
      <w:r>
        <w:rPr>
          <w:rFonts w:ascii="Arial" w:cs="Arial" w:eastAsia="Arial" w:hAnsi="Arial"/>
          <w:sz w:val="18"/>
          <w:szCs w:val="18"/>
          <w:color w:val="auto"/>
        </w:rPr>
        <w:t>Based upon preliminary estimates and information available to us as of the date of this prospectus supplement, we expect to report that we had approximately $115.0 million of cash and cash equivalents as of December 31, 2020. We estimate that our total revenue for the year ended December 31, 2020 was approximately $21.0 million, as compared to zero for the year ended December 31, 2019. The estimated increase in total revenue is attributable to increased license revenue from our SciClone agreement. The cash and cash equivalents and revenue amount do not include any proceeds from the sale of the PRV for $105 million. Pursuant to the agreement with MSK, we were entitled to retain 60% of the net proceeds from monetization of the PRV, and the remaining 40% was paid to MSK. We received our portion of the net proceeds of from the sale of the PRV in the amount of approximately $62.0 million when the transaction was consummated in January 2021.</w:t>
      </w:r>
    </w:p>
    <w:p>
      <w:pPr>
        <w:spacing w:after="0" w:line="187" w:lineRule="exact"/>
        <w:rPr>
          <w:sz w:val="20"/>
          <w:szCs w:val="20"/>
          <w:color w:val="auto"/>
        </w:rPr>
      </w:pPr>
    </w:p>
    <w:p>
      <w:pPr>
        <w:ind w:left="240" w:right="160"/>
        <w:spacing w:after="0" w:line="277" w:lineRule="auto"/>
        <w:rPr>
          <w:sz w:val="20"/>
          <w:szCs w:val="20"/>
          <w:color w:val="auto"/>
        </w:rPr>
      </w:pPr>
      <w:r>
        <w:rPr>
          <w:rFonts w:ascii="Arial" w:cs="Arial" w:eastAsia="Arial" w:hAnsi="Arial"/>
          <w:sz w:val="16"/>
          <w:szCs w:val="16"/>
          <w:color w:val="auto"/>
        </w:rPr>
        <w:t>We estimate that our research and development expenses were approximately $96.0 million for the year ended December 31, 2020, as compared to $63.5 million for the year ended December 31, 2019. This estimated increase in research and development expenses is primarily due to an approximately $16.0 million increase in milestones and license acquisition costs related to (1) the SADA agreement, including costs related to the issuance of shares to two non-employees, and (2) the SciClone and Takeda agreements. The increase was also related to an increase in outsourced services and supplies costs, increase in employee related costs including salary, benefits and non-cash stock-based compensation for personnel related to our research activities, and increase in professional and consulting fees.</w:t>
      </w:r>
    </w:p>
    <w:p>
      <w:pPr>
        <w:spacing w:after="0" w:line="157" w:lineRule="exact"/>
        <w:rPr>
          <w:sz w:val="20"/>
          <w:szCs w:val="20"/>
          <w:color w:val="auto"/>
        </w:rPr>
      </w:pPr>
    </w:p>
    <w:p>
      <w:pPr>
        <w:ind w:left="240"/>
        <w:spacing w:after="0" w:line="241" w:lineRule="auto"/>
        <w:rPr>
          <w:sz w:val="20"/>
          <w:szCs w:val="20"/>
          <w:color w:val="auto"/>
        </w:rPr>
      </w:pPr>
      <w:r>
        <w:rPr>
          <w:rFonts w:ascii="Arial" w:cs="Arial" w:eastAsia="Arial" w:hAnsi="Arial"/>
          <w:sz w:val="18"/>
          <w:szCs w:val="18"/>
          <w:color w:val="auto"/>
        </w:rPr>
        <w:t>We estimate that our operating expenses for the year ended December 31, 2020 were approximately $141.0 million as compared to $83.0 million for the year ended December 31, 2019. This estimated increase is primarily due to the increased research and development expenses in addition to employee related costs, including salary, benefits and non-cash stock-based compensation for personnel related to the expansion of our business activities. In addition, increase in professional fees, insurances expenses as well as commercialization expenses related to the launch of DANYELZA and the potential launch of omburtamab contributed to the increase in overall operating expenses.</w:t>
      </w:r>
    </w:p>
    <w:p>
      <w:pPr>
        <w:spacing w:after="0" w:line="184" w:lineRule="exact"/>
        <w:rPr>
          <w:sz w:val="20"/>
          <w:szCs w:val="20"/>
          <w:color w:val="auto"/>
        </w:rPr>
      </w:pPr>
    </w:p>
    <w:p>
      <w:pPr>
        <w:ind w:left="240" w:right="40"/>
        <w:spacing w:after="0" w:line="246" w:lineRule="auto"/>
        <w:rPr>
          <w:sz w:val="20"/>
          <w:szCs w:val="20"/>
          <w:color w:val="auto"/>
        </w:rPr>
      </w:pPr>
      <w:r>
        <w:rPr>
          <w:rFonts w:ascii="Arial" w:cs="Arial" w:eastAsia="Arial" w:hAnsi="Arial"/>
          <w:sz w:val="18"/>
          <w:szCs w:val="18"/>
          <w:color w:val="auto"/>
        </w:rPr>
        <w:t>We estimate that our loss from operations was approximately $120.0 million for the year ended December 31, 2020. We also estimate that our net loss was approximately $120.0 million for the year ended December 31, 2020. The loss from operations and net loss amount do not include any proceeds from the sale of the PRV. Consequently, we expect that our accumulated deficit increased to approximately $286.0 million as of December 31, 2020.</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6278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6130" cy="627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risk factors</w:t>
      </w:r>
    </w:p>
    <w:p>
      <w:pPr>
        <w:spacing w:after="0" w:line="212" w:lineRule="exact"/>
        <w:rPr>
          <w:sz w:val="20"/>
          <w:szCs w:val="20"/>
          <w:color w:val="auto"/>
        </w:rPr>
      </w:pPr>
    </w:p>
    <w:p>
      <w:pPr>
        <w:ind w:left="240" w:right="60"/>
        <w:spacing w:after="0" w:line="252" w:lineRule="auto"/>
        <w:rPr>
          <w:sz w:val="20"/>
          <w:szCs w:val="20"/>
          <w:color w:val="auto"/>
        </w:rPr>
      </w:pPr>
      <w:r>
        <w:rPr>
          <w:rFonts w:ascii="Arial" w:cs="Arial" w:eastAsia="Arial" w:hAnsi="Arial"/>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185" w:lineRule="exact"/>
        <w:rPr>
          <w:sz w:val="20"/>
          <w:szCs w:val="20"/>
          <w:color w:val="auto"/>
        </w:rPr>
      </w:pPr>
    </w:p>
    <w:p>
      <w:pPr>
        <w:ind w:left="780" w:right="120" w:hanging="538"/>
        <w:spacing w:after="0" w:line="252"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launch and commercialize DANYELZA® (naxitamab-gqgk), referred to as DANYELZA, for the treatment of relapsed/refractory high-risk neuroblastoma in bone and/or bone marrow, in the United States and in any other jurisdictions where we may receive marketing approval in the future;</w:t>
      </w:r>
    </w:p>
    <w:p>
      <w:pPr>
        <w:spacing w:after="0" w:line="158" w:lineRule="exact"/>
        <w:rPr>
          <w:rFonts w:ascii="Arial" w:cs="Arial" w:eastAsia="Arial" w:hAnsi="Arial"/>
          <w:sz w:val="18"/>
          <w:szCs w:val="18"/>
          <w:color w:val="auto"/>
        </w:rPr>
      </w:pPr>
    </w:p>
    <w:p>
      <w:pPr>
        <w:jc w:val="both"/>
        <w:ind w:left="780" w:right="320" w:hanging="538"/>
        <w:spacing w:after="0" w:line="252"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business model and our plans to obtain regulatory approval and develop and commercialize our lead product candidate omburtamab and other product candidates, including the potential clinical efficacy, safety and other benefits thereof;</w:t>
      </w:r>
    </w:p>
    <w:p>
      <w:pPr>
        <w:spacing w:after="0" w:line="157" w:lineRule="exact"/>
        <w:rPr>
          <w:rFonts w:ascii="Arial" w:cs="Arial" w:eastAsia="Arial" w:hAnsi="Arial"/>
          <w:sz w:val="18"/>
          <w:szCs w:val="18"/>
          <w:color w:val="auto"/>
        </w:rPr>
      </w:pPr>
    </w:p>
    <w:p>
      <w:pPr>
        <w:ind w:left="780" w:hanging="538"/>
        <w:spacing w:after="0" w:line="26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for DANYELZA or any current or future product candidate for which we may receive marketing approval;</w:t>
      </w:r>
    </w:p>
    <w:p>
      <w:pPr>
        <w:spacing w:after="0" w:line="157" w:lineRule="exact"/>
        <w:rPr>
          <w:rFonts w:ascii="Arial" w:cs="Arial" w:eastAsia="Arial" w:hAnsi="Arial"/>
          <w:sz w:val="18"/>
          <w:szCs w:val="18"/>
          <w:color w:val="auto"/>
        </w:rPr>
      </w:pPr>
    </w:p>
    <w:p>
      <w:pPr>
        <w:ind w:left="780" w:hanging="538"/>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our resubmission and potential approval of our Biological License Application, or BLA, for omburtamab;</w:t>
      </w:r>
    </w:p>
    <w:p>
      <w:pPr>
        <w:spacing w:after="0" w:line="198" w:lineRule="exact"/>
        <w:rPr>
          <w:rFonts w:ascii="Arial" w:cs="Arial" w:eastAsia="Arial" w:hAnsi="Arial"/>
          <w:sz w:val="18"/>
          <w:szCs w:val="18"/>
          <w:color w:val="auto"/>
        </w:rPr>
      </w:pPr>
    </w:p>
    <w:p>
      <w:pPr>
        <w:ind w:left="780" w:right="80" w:hanging="538"/>
        <w:spacing w:after="0" w:line="246"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and plans in continuing to build out our commercial infrastructure and successfully launching, marketing, and selling DANYELZA, omburtamab and any current or future product candidate for which we may receive marketing approval, including our plans with respect to the focus and activities of our sales force, the nature of our marketing, market access and patient support activities of DANYELZA and related assumptions;</w:t>
      </w:r>
    </w:p>
    <w:p>
      <w:pPr>
        <w:spacing w:after="0" w:line="163" w:lineRule="exact"/>
        <w:rPr>
          <w:rFonts w:ascii="Arial" w:cs="Arial" w:eastAsia="Arial" w:hAnsi="Arial"/>
          <w:sz w:val="18"/>
          <w:szCs w:val="18"/>
          <w:color w:val="auto"/>
        </w:rPr>
      </w:pPr>
    </w:p>
    <w:p>
      <w:pPr>
        <w:ind w:left="780" w:right="460" w:hanging="538"/>
        <w:spacing w:after="0" w:line="26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coverage and reimbursement of, and the extent to which patient assistance programs are utilized for DANYELZA, omburtamab or any current or future product candidate for which we may receive marketing approval;</w:t>
      </w:r>
    </w:p>
    <w:p>
      <w:pPr>
        <w:spacing w:after="0" w:line="157" w:lineRule="exact"/>
        <w:rPr>
          <w:rFonts w:ascii="Arial" w:cs="Arial" w:eastAsia="Arial" w:hAnsi="Arial"/>
          <w:sz w:val="18"/>
          <w:szCs w:val="18"/>
          <w:color w:val="auto"/>
        </w:rPr>
      </w:pPr>
    </w:p>
    <w:p>
      <w:pPr>
        <w:ind w:left="780" w:right="40" w:hanging="538"/>
        <w:spacing w:after="0" w:line="243"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ongoing and future clinical trials for DANYELZA and our lead product candidate omburtamab and other product candidates, whether conducted by us or by any of our collaborators, including the timing of initiation of these trials, the pace of enrollment, the completion of enrollment, the availability of data from these trials, the expected dates of Biological License Application, or BLA, submission and approval by the United States Food and Drug Administration, or FDA, and equivalent foreign regulatory authorities and of the anticipated results;</w:t>
      </w:r>
    </w:p>
    <w:p>
      <w:pPr>
        <w:spacing w:after="0" w:line="167" w:lineRule="exact"/>
        <w:rPr>
          <w:rFonts w:ascii="Arial" w:cs="Arial" w:eastAsia="Arial" w:hAnsi="Arial"/>
          <w:sz w:val="18"/>
          <w:szCs w:val="18"/>
          <w:color w:val="auto"/>
        </w:rPr>
      </w:pPr>
    </w:p>
    <w:p>
      <w:pPr>
        <w:ind w:left="780" w:right="340" w:hanging="538"/>
        <w:spacing w:after="0" w:line="246"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our business, operations and clinical development plans and timelines could be adversely affected by the effects of health epidemics, including the recent COVID-19 pandemic, on the manufacturing, clinical trial and other business activities performed by us or by third parties with whom we conduct business, including our contract manufacturers, or CMOs, contract research organizations, or CROs, shippers and others;</w:t>
      </w:r>
    </w:p>
    <w:p>
      <w:pPr>
        <w:spacing w:after="0" w:line="163" w:lineRule="exact"/>
        <w:rPr>
          <w:rFonts w:ascii="Arial" w:cs="Arial" w:eastAsia="Arial" w:hAnsi="Arial"/>
          <w:sz w:val="18"/>
          <w:szCs w:val="18"/>
          <w:color w:val="auto"/>
        </w:rPr>
      </w:pPr>
    </w:p>
    <w:p>
      <w:pPr>
        <w:ind w:left="780" w:right="20" w:hanging="538"/>
        <w:spacing w:after="0" w:line="26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integrate, manage and retain qualified personnel or key employees or our employees may not be able to come to work as a result of COVID-19;</w:t>
      </w:r>
    </w:p>
    <w:p>
      <w:pPr>
        <w:spacing w:after="0" w:line="157" w:lineRule="exact"/>
        <w:rPr>
          <w:rFonts w:ascii="Arial" w:cs="Arial" w:eastAsia="Arial" w:hAnsi="Arial"/>
          <w:sz w:val="18"/>
          <w:szCs w:val="18"/>
          <w:color w:val="auto"/>
        </w:rPr>
      </w:pPr>
    </w:p>
    <w:p>
      <w:pPr>
        <w:ind w:left="780" w:right="140" w:hanging="538"/>
        <w:spacing w:after="0" w:line="252"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pre-clinical studies and future clinical trials for our other product candidates and our research and development programs, whether conducted by us or by any of our collaborators, including the timing of initiation of these trials, the pace of enrollment, the expected date of completion and of the anticipated results;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6802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6130" cy="680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80" w:hanging="538"/>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timing of and our ability to obtain and maintain regulatory, marketing and reimbursement approvals for our product candidates;</w:t>
      </w:r>
    </w:p>
    <w:p>
      <w:pPr>
        <w:spacing w:after="0" w:line="221" w:lineRule="exact"/>
        <w:rPr>
          <w:rFonts w:ascii="Arial" w:cs="Arial" w:eastAsia="Arial" w:hAnsi="Arial"/>
          <w:sz w:val="16"/>
          <w:szCs w:val="16"/>
          <w:color w:val="auto"/>
        </w:rPr>
      </w:pPr>
    </w:p>
    <w:p>
      <w:pPr>
        <w:ind w:left="780" w:right="560" w:hanging="538"/>
        <w:spacing w:after="0" w:line="26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employees and to identify, hire and retain additional qualified employees, including a direct sales force;</w:t>
      </w:r>
    </w:p>
    <w:p>
      <w:pPr>
        <w:spacing w:after="0" w:line="143" w:lineRule="exact"/>
        <w:rPr>
          <w:rFonts w:ascii="Arial" w:cs="Arial" w:eastAsia="Arial" w:hAnsi="Arial"/>
          <w:sz w:val="18"/>
          <w:szCs w:val="18"/>
          <w:color w:val="auto"/>
        </w:rPr>
      </w:pPr>
    </w:p>
    <w:p>
      <w:pPr>
        <w:ind w:left="780" w:right="920" w:hanging="538"/>
        <w:spacing w:after="0" w:line="26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remediate the material weaknesses in our internal control over financial reporting and failure to comply with Section 404(b) of the Sarbanes-Oxley Act;</w:t>
      </w:r>
    </w:p>
    <w:p>
      <w:pPr>
        <w:spacing w:after="0" w:line="157" w:lineRule="exact"/>
        <w:rPr>
          <w:rFonts w:ascii="Arial" w:cs="Arial" w:eastAsia="Arial" w:hAnsi="Arial"/>
          <w:sz w:val="18"/>
          <w:szCs w:val="18"/>
          <w:color w:val="auto"/>
        </w:rPr>
      </w:pPr>
    </w:p>
    <w:p>
      <w:pPr>
        <w:ind w:left="780" w:hanging="53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98" w:lineRule="exact"/>
        <w:rPr>
          <w:rFonts w:ascii="Arial" w:cs="Arial" w:eastAsia="Arial" w:hAnsi="Arial"/>
          <w:sz w:val="18"/>
          <w:szCs w:val="18"/>
          <w:color w:val="auto"/>
        </w:rPr>
      </w:pPr>
    </w:p>
    <w:p>
      <w:pPr>
        <w:ind w:left="780" w:right="180" w:hanging="538"/>
        <w:spacing w:after="0" w:line="26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intellectual property position and strategy and the scope of protection we are able to establish and maintain for the intellectual property rights covering our product candidates and technology;</w:t>
      </w:r>
    </w:p>
    <w:p>
      <w:pPr>
        <w:spacing w:after="0" w:line="143" w:lineRule="exact"/>
        <w:rPr>
          <w:rFonts w:ascii="Arial" w:cs="Arial" w:eastAsia="Arial" w:hAnsi="Arial"/>
          <w:sz w:val="18"/>
          <w:szCs w:val="18"/>
          <w:color w:val="auto"/>
        </w:rPr>
      </w:pPr>
    </w:p>
    <w:p>
      <w:pPr>
        <w:ind w:left="780" w:hanging="53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and technologies with significant commercial potential;</w:t>
      </w:r>
    </w:p>
    <w:p>
      <w:pPr>
        <w:spacing w:after="0" w:line="211" w:lineRule="exact"/>
        <w:rPr>
          <w:rFonts w:ascii="Arial" w:cs="Arial" w:eastAsia="Arial" w:hAnsi="Arial"/>
          <w:sz w:val="18"/>
          <w:szCs w:val="18"/>
          <w:color w:val="auto"/>
        </w:rPr>
      </w:pPr>
    </w:p>
    <w:p>
      <w:pPr>
        <w:ind w:left="780" w:right="100" w:hanging="538"/>
        <w:spacing w:after="0" w:line="26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plans and ability to enter into collaborations or strategic partnerships for the development and commercialization of our product candidates and future operations;</w:t>
      </w:r>
    </w:p>
    <w:p>
      <w:pPr>
        <w:spacing w:after="0" w:line="143" w:lineRule="exact"/>
        <w:rPr>
          <w:rFonts w:ascii="Arial" w:cs="Arial" w:eastAsia="Arial" w:hAnsi="Arial"/>
          <w:sz w:val="18"/>
          <w:szCs w:val="18"/>
          <w:color w:val="auto"/>
        </w:rPr>
      </w:pPr>
    </w:p>
    <w:p>
      <w:pPr>
        <w:ind w:left="780" w:hanging="538"/>
        <w:spacing w:after="0" w:line="252"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continue to maintain and leverage our relationship with Memorial Sloan Kettering Cancer Center, or MSK, including our exclusive rights to the MSK License and current and future technology and our relationship with MSK as a user of DANYELZA and any future products;</w:t>
      </w:r>
    </w:p>
    <w:p>
      <w:pPr>
        <w:spacing w:after="0" w:line="158" w:lineRule="exact"/>
        <w:rPr>
          <w:rFonts w:ascii="Arial" w:cs="Arial" w:eastAsia="Arial" w:hAnsi="Arial"/>
          <w:sz w:val="18"/>
          <w:szCs w:val="18"/>
          <w:color w:val="auto"/>
        </w:rPr>
      </w:pPr>
    </w:p>
    <w:p>
      <w:pPr>
        <w:ind w:left="780" w:hanging="53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 or strategic partnerships;</w:t>
      </w:r>
    </w:p>
    <w:p>
      <w:pPr>
        <w:spacing w:after="0" w:line="211" w:lineRule="exact"/>
        <w:rPr>
          <w:rFonts w:ascii="Arial" w:cs="Arial" w:eastAsia="Arial" w:hAnsi="Arial"/>
          <w:sz w:val="18"/>
          <w:szCs w:val="18"/>
          <w:color w:val="auto"/>
        </w:rPr>
      </w:pPr>
    </w:p>
    <w:p>
      <w:pPr>
        <w:ind w:left="780" w:hanging="53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related to the use of our cash and cash equivalents, how long that cash is expected to last;</w:t>
      </w:r>
    </w:p>
    <w:p>
      <w:pPr>
        <w:spacing w:after="0" w:line="198" w:lineRule="exact"/>
        <w:rPr>
          <w:rFonts w:ascii="Arial" w:cs="Arial" w:eastAsia="Arial" w:hAnsi="Arial"/>
          <w:sz w:val="18"/>
          <w:szCs w:val="18"/>
          <w:color w:val="auto"/>
        </w:rPr>
      </w:pPr>
    </w:p>
    <w:p>
      <w:pPr>
        <w:ind w:left="780" w:hanging="53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need for, timing and amount of any future financing transaction;</w:t>
      </w:r>
    </w:p>
    <w:p>
      <w:pPr>
        <w:spacing w:after="0" w:line="198" w:lineRule="exact"/>
        <w:rPr>
          <w:rFonts w:ascii="Arial" w:cs="Arial" w:eastAsia="Arial" w:hAnsi="Arial"/>
          <w:sz w:val="18"/>
          <w:szCs w:val="18"/>
          <w:color w:val="auto"/>
        </w:rPr>
      </w:pPr>
    </w:p>
    <w:p>
      <w:pPr>
        <w:ind w:left="780" w:hanging="53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 including our estimates regarding revenues, expenses, capital expenditure requirements;</w:t>
      </w:r>
    </w:p>
    <w:p>
      <w:pPr>
        <w:spacing w:after="0" w:line="211" w:lineRule="exact"/>
        <w:rPr>
          <w:rFonts w:ascii="Arial" w:cs="Arial" w:eastAsia="Arial" w:hAnsi="Arial"/>
          <w:sz w:val="18"/>
          <w:szCs w:val="18"/>
          <w:color w:val="auto"/>
        </w:rPr>
      </w:pPr>
    </w:p>
    <w:p>
      <w:pPr>
        <w:ind w:left="780" w:hanging="53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98" w:lineRule="exact"/>
        <w:rPr>
          <w:rFonts w:ascii="Arial" w:cs="Arial" w:eastAsia="Arial" w:hAnsi="Arial"/>
          <w:sz w:val="18"/>
          <w:szCs w:val="18"/>
          <w:color w:val="auto"/>
        </w:rPr>
      </w:pPr>
    </w:p>
    <w:p>
      <w:pPr>
        <w:ind w:left="780" w:right="320" w:hanging="538"/>
        <w:spacing w:after="0" w:line="26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effects on our business, financial condition and results of operations from the global COVID-19 pandemic, including the pace of global economic recovery from the pandemic;</w:t>
      </w:r>
    </w:p>
    <w:p>
      <w:pPr>
        <w:spacing w:after="0" w:line="143" w:lineRule="exact"/>
        <w:rPr>
          <w:rFonts w:ascii="Arial" w:cs="Arial" w:eastAsia="Arial" w:hAnsi="Arial"/>
          <w:sz w:val="18"/>
          <w:szCs w:val="18"/>
          <w:color w:val="auto"/>
        </w:rPr>
      </w:pPr>
    </w:p>
    <w:p>
      <w:pPr>
        <w:ind w:left="780" w:hanging="53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11" w:lineRule="exact"/>
        <w:rPr>
          <w:rFonts w:ascii="Arial" w:cs="Arial" w:eastAsia="Arial" w:hAnsi="Arial"/>
          <w:sz w:val="18"/>
          <w:szCs w:val="18"/>
          <w:color w:val="auto"/>
        </w:rPr>
      </w:pPr>
    </w:p>
    <w:p>
      <w:pPr>
        <w:ind w:left="780" w:right="900" w:hanging="538"/>
        <w:spacing w:after="0" w:line="333"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dependence on, and difficulty to find a suitable replacement for, a small number of third party contract manufacturing organizations that we currently use for the complex and difficult manufacture of our product candidates;</w:t>
      </w:r>
    </w:p>
    <w:p>
      <w:pPr>
        <w:spacing w:after="0" w:line="96" w:lineRule="exact"/>
        <w:rPr>
          <w:rFonts w:ascii="Arial" w:cs="Arial" w:eastAsia="Arial" w:hAnsi="Arial"/>
          <w:sz w:val="16"/>
          <w:szCs w:val="16"/>
          <w:color w:val="auto"/>
        </w:rPr>
      </w:pPr>
    </w:p>
    <w:p>
      <w:pPr>
        <w:ind w:left="780" w:right="740" w:hanging="538"/>
        <w:spacing w:after="0" w:line="26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healthcare laws and regulations in the United States and any foreign countries, including, without limitation, those applying to the marketing and sale of pharmaceutical products;</w:t>
      </w:r>
    </w:p>
    <w:p>
      <w:pPr>
        <w:spacing w:after="0" w:line="157" w:lineRule="exact"/>
        <w:rPr>
          <w:rFonts w:ascii="Arial" w:cs="Arial" w:eastAsia="Arial" w:hAnsi="Arial"/>
          <w:sz w:val="18"/>
          <w:szCs w:val="18"/>
          <w:color w:val="auto"/>
        </w:rPr>
      </w:pPr>
    </w:p>
    <w:p>
      <w:pPr>
        <w:ind w:left="780" w:right="140" w:hanging="538"/>
        <w:spacing w:after="0" w:line="26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our prior initial public offering, or IPO, in 2018, our public offering in 2019 and this offering; and</w:t>
      </w:r>
    </w:p>
    <w:p>
      <w:pPr>
        <w:spacing w:after="0" w:line="143" w:lineRule="exact"/>
        <w:rPr>
          <w:rFonts w:ascii="Arial" w:cs="Arial" w:eastAsia="Arial" w:hAnsi="Arial"/>
          <w:sz w:val="18"/>
          <w:szCs w:val="18"/>
          <w:color w:val="auto"/>
        </w:rPr>
      </w:pPr>
    </w:p>
    <w:p>
      <w:pPr>
        <w:ind w:left="780" w:right="640" w:hanging="538"/>
        <w:spacing w:after="0" w:line="26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or incorporated by reference under the caption "Risk Factors"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104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6130" cy="2010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Company information</w:t>
      </w:r>
    </w:p>
    <w:p>
      <w:pPr>
        <w:spacing w:after="0" w:line="212" w:lineRule="exact"/>
        <w:rPr>
          <w:sz w:val="20"/>
          <w:szCs w:val="20"/>
          <w:color w:val="auto"/>
        </w:rPr>
      </w:pPr>
    </w:p>
    <w:p>
      <w:pPr>
        <w:ind w:left="240" w:right="80"/>
        <w:spacing w:after="0" w:line="252" w:lineRule="auto"/>
        <w:rPr>
          <w:sz w:val="20"/>
          <w:szCs w:val="20"/>
          <w:color w:val="auto"/>
        </w:rPr>
      </w:pPr>
      <w:r>
        <w:rPr>
          <w:rFonts w:ascii="Arial" w:cs="Arial" w:eastAsia="Arial" w:hAnsi="Arial"/>
          <w:sz w:val="18"/>
          <w:szCs w:val="18"/>
          <w:color w:val="auto"/>
        </w:rPr>
        <w:t>We were incorporated under the laws of the State of Delaware on April 30, 2015. On September 25, 2018, we completed the IPO of our common stock. stock and became a publicly traded company listed for trading on the Nasdaq Global Select Market under the symbol YMAB.</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principal executive offices are located at 230 Park Avenue, Suite 3350, New York, New York 10169 and our telephone number is</w:t>
      </w:r>
    </w:p>
    <w:p>
      <w:pPr>
        <w:spacing w:after="0" w:line="41" w:lineRule="exact"/>
        <w:rPr>
          <w:sz w:val="20"/>
          <w:szCs w:val="20"/>
          <w:color w:val="auto"/>
        </w:rPr>
      </w:pPr>
    </w:p>
    <w:p>
      <w:pPr>
        <w:ind w:left="240" w:firstLine="2"/>
        <w:spacing w:after="0" w:line="238"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885-8505. Our corporate website address is </w:t>
      </w:r>
      <w:r>
        <w:rPr>
          <w:rFonts w:ascii="Arial" w:cs="Arial" w:eastAsia="Arial" w:hAnsi="Arial"/>
          <w:sz w:val="18"/>
          <w:szCs w:val="18"/>
          <w:i w:val="1"/>
          <w:iCs w:val="1"/>
          <w:color w:val="auto"/>
        </w:rPr>
        <w:t>www.ymabs.com</w:t>
      </w:r>
      <w:r>
        <w:rPr>
          <w:rFonts w:ascii="Arial" w:cs="Arial" w:eastAsia="Arial" w:hAnsi="Arial"/>
          <w:sz w:val="18"/>
          <w:szCs w:val="18"/>
          <w:color w:val="auto"/>
        </w:rPr>
        <w:t>. Our website and the information contained on, or that can be accessed through, the website will not be deemed to be incorporated by reference in, and are not considered part of, this prospectus supplement. The inclusion of our website address in this prospectus supplement is an inactive textual reference only. You should not rely on any such information in making your decision whether to purchase our securities.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410210</wp:posOffset>
            </wp:positionV>
            <wp:extent cx="7136130" cy="63220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6130" cy="632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Arial" w:cs="Arial" w:eastAsia="Arial" w:hAnsi="Arial"/>
          <w:sz w:val="24"/>
          <w:szCs w:val="24"/>
          <w:b w:val="1"/>
          <w:bCs w:val="1"/>
          <w:color w:val="auto"/>
        </w:rPr>
        <w:t>The offering</w:t>
      </w:r>
    </w:p>
    <w:p>
      <w:pPr>
        <w:spacing w:after="0" w:line="241" w:lineRule="exact"/>
        <w:rPr>
          <w:sz w:val="20"/>
          <w:szCs w:val="20"/>
          <w:color w:val="auto"/>
        </w:rPr>
      </w:pPr>
    </w:p>
    <w:tbl>
      <w:tblPr>
        <w:tblLayout w:type="fixed"/>
        <w:tblInd w:w="1320" w:type="dxa"/>
        <w:tblCellMar>
          <w:top w:w="0" w:type="dxa"/>
          <w:left w:w="0" w:type="dxa"/>
          <w:bottom w:w="0" w:type="dxa"/>
          <w:right w:w="0" w:type="dxa"/>
        </w:tblCellMar>
      </w:tblPr>
      <w:tr>
        <w:trPr>
          <w:trHeight w:val="247"/>
        </w:trPr>
        <w:tc>
          <w:tcPr>
            <w:tcW w:w="2800" w:type="dxa"/>
            <w:vAlign w:val="bottom"/>
          </w:tcPr>
          <w:p>
            <w:pPr>
              <w:spacing w:after="0"/>
              <w:rPr>
                <w:sz w:val="20"/>
                <w:szCs w:val="20"/>
                <w:color w:val="auto"/>
              </w:rPr>
            </w:pPr>
            <w:r>
              <w:rPr>
                <w:rFonts w:ascii="Arial" w:cs="Arial" w:eastAsia="Arial" w:hAnsi="Arial"/>
                <w:sz w:val="18"/>
                <w:szCs w:val="18"/>
                <w:b w:val="1"/>
                <w:bCs w:val="1"/>
                <w:color w:val="auto"/>
              </w:rPr>
              <w:t>Common stock offered by us</w:t>
            </w:r>
          </w:p>
        </w:tc>
        <w:tc>
          <w:tcPr>
            <w:tcW w:w="5800" w:type="dxa"/>
            <w:vAlign w:val="bottom"/>
            <w:gridSpan w:val="3"/>
          </w:tcPr>
          <w:p>
            <w:pPr>
              <w:ind w:left="300"/>
              <w:spacing w:after="0"/>
              <w:rPr>
                <w:sz w:val="20"/>
                <w:szCs w:val="20"/>
                <w:color w:val="auto"/>
              </w:rPr>
            </w:pPr>
            <w:r>
              <w:rPr>
                <w:rFonts w:ascii="Arial" w:cs="Arial" w:eastAsia="Arial" w:hAnsi="Arial"/>
                <w:sz w:val="18"/>
                <w:szCs w:val="18"/>
                <w:color w:val="auto"/>
              </w:rPr>
              <w:t>$100,000,000 of shares of our common stock.</w:t>
            </w:r>
          </w:p>
        </w:tc>
      </w:tr>
      <w:tr>
        <w:trPr>
          <w:trHeight w:val="401"/>
        </w:trPr>
        <w:tc>
          <w:tcPr>
            <w:tcW w:w="2800" w:type="dxa"/>
            <w:vAlign w:val="bottom"/>
          </w:tcPr>
          <w:p>
            <w:pPr>
              <w:spacing w:after="0"/>
              <w:rPr>
                <w:sz w:val="20"/>
                <w:szCs w:val="20"/>
                <w:color w:val="auto"/>
              </w:rPr>
            </w:pPr>
            <w:r>
              <w:rPr>
                <w:rFonts w:ascii="Arial" w:cs="Arial" w:eastAsia="Arial" w:hAnsi="Arial"/>
                <w:sz w:val="18"/>
                <w:szCs w:val="18"/>
                <w:b w:val="1"/>
                <w:bCs w:val="1"/>
                <w:color w:val="auto"/>
              </w:rPr>
              <w:t>Common stock to be</w:t>
            </w:r>
          </w:p>
        </w:tc>
        <w:tc>
          <w:tcPr>
            <w:tcW w:w="70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18"/>
                <w:szCs w:val="18"/>
                <w:color w:val="auto"/>
                <w:w w:val="99"/>
              </w:rPr>
              <w:t>shares of our common stock (or</w:t>
            </w:r>
          </w:p>
        </w:tc>
        <w:tc>
          <w:tcPr>
            <w:tcW w:w="2260" w:type="dxa"/>
            <w:vAlign w:val="bottom"/>
          </w:tcPr>
          <w:p>
            <w:pPr>
              <w:jc w:val="center"/>
              <w:ind w:right="12"/>
              <w:spacing w:after="0"/>
              <w:rPr>
                <w:sz w:val="20"/>
                <w:szCs w:val="20"/>
                <w:color w:val="auto"/>
              </w:rPr>
            </w:pPr>
            <w:r>
              <w:rPr>
                <w:rFonts w:ascii="Arial" w:cs="Arial" w:eastAsia="Arial" w:hAnsi="Arial"/>
                <w:sz w:val="18"/>
                <w:szCs w:val="18"/>
                <w:color w:val="auto"/>
                <w:w w:val="97"/>
              </w:rPr>
              <w:t>shares if the</w:t>
            </w:r>
          </w:p>
        </w:tc>
      </w:tr>
      <w:tr>
        <w:trPr>
          <w:trHeight w:val="247"/>
        </w:trPr>
        <w:tc>
          <w:tcPr>
            <w:tcW w:w="2800" w:type="dxa"/>
            <w:vAlign w:val="bottom"/>
          </w:tcPr>
          <w:p>
            <w:pPr>
              <w:spacing w:after="0"/>
              <w:rPr>
                <w:sz w:val="20"/>
                <w:szCs w:val="20"/>
                <w:color w:val="auto"/>
              </w:rPr>
            </w:pPr>
            <w:r>
              <w:rPr>
                <w:rFonts w:ascii="Arial" w:cs="Arial" w:eastAsia="Arial" w:hAnsi="Arial"/>
                <w:sz w:val="18"/>
                <w:szCs w:val="18"/>
                <w:b w:val="1"/>
                <w:bCs w:val="1"/>
                <w:color w:val="auto"/>
              </w:rPr>
              <w:t>outstanding after this offering</w:t>
            </w:r>
          </w:p>
        </w:tc>
        <w:tc>
          <w:tcPr>
            <w:tcW w:w="5800" w:type="dxa"/>
            <w:vAlign w:val="bottom"/>
            <w:gridSpan w:val="3"/>
          </w:tcPr>
          <w:p>
            <w:pPr>
              <w:ind w:left="300"/>
              <w:spacing w:after="0"/>
              <w:rPr>
                <w:sz w:val="20"/>
                <w:szCs w:val="20"/>
                <w:color w:val="auto"/>
              </w:rPr>
            </w:pPr>
            <w:r>
              <w:rPr>
                <w:rFonts w:ascii="Arial" w:cs="Arial" w:eastAsia="Arial" w:hAnsi="Arial"/>
                <w:sz w:val="18"/>
                <w:szCs w:val="18"/>
                <w:color w:val="auto"/>
                <w:w w:val="97"/>
              </w:rPr>
              <w:t>underwriters exercise their option to purchase additional shares in full).</w:t>
            </w:r>
          </w:p>
        </w:tc>
      </w:tr>
      <w:tr>
        <w:trPr>
          <w:trHeight w:val="401"/>
        </w:trPr>
        <w:tc>
          <w:tcPr>
            <w:tcW w:w="2800" w:type="dxa"/>
            <w:vAlign w:val="bottom"/>
          </w:tcPr>
          <w:p>
            <w:pPr>
              <w:spacing w:after="0"/>
              <w:rPr>
                <w:sz w:val="20"/>
                <w:szCs w:val="20"/>
                <w:color w:val="auto"/>
              </w:rPr>
            </w:pPr>
            <w:r>
              <w:rPr>
                <w:rFonts w:ascii="Arial" w:cs="Arial" w:eastAsia="Arial" w:hAnsi="Arial"/>
                <w:sz w:val="18"/>
                <w:szCs w:val="18"/>
                <w:b w:val="1"/>
                <w:bCs w:val="1"/>
                <w:color w:val="auto"/>
              </w:rPr>
              <w:t>Option to purchase additional</w:t>
            </w:r>
          </w:p>
        </w:tc>
        <w:tc>
          <w:tcPr>
            <w:tcW w:w="5800" w:type="dxa"/>
            <w:vAlign w:val="bottom"/>
            <w:gridSpan w:val="3"/>
          </w:tcPr>
          <w:p>
            <w:pPr>
              <w:ind w:left="300"/>
              <w:spacing w:after="0"/>
              <w:rPr>
                <w:sz w:val="20"/>
                <w:szCs w:val="20"/>
                <w:color w:val="auto"/>
              </w:rPr>
            </w:pPr>
            <w:r>
              <w:rPr>
                <w:rFonts w:ascii="Arial" w:cs="Arial" w:eastAsia="Arial" w:hAnsi="Arial"/>
                <w:sz w:val="18"/>
                <w:szCs w:val="18"/>
                <w:color w:val="auto"/>
              </w:rPr>
              <w:t>We have granted the underwriters an option for a period of 30 days</w:t>
            </w:r>
          </w:p>
        </w:tc>
      </w:tr>
      <w:tr>
        <w:trPr>
          <w:trHeight w:val="205"/>
        </w:trPr>
        <w:tc>
          <w:tcPr>
            <w:tcW w:w="2800" w:type="dxa"/>
            <w:vAlign w:val="bottom"/>
          </w:tcPr>
          <w:p>
            <w:pPr>
              <w:spacing w:after="0" w:line="205" w:lineRule="exact"/>
              <w:rPr>
                <w:sz w:val="20"/>
                <w:szCs w:val="20"/>
                <w:color w:val="auto"/>
              </w:rPr>
            </w:pPr>
            <w:r>
              <w:rPr>
                <w:rFonts w:ascii="Arial" w:cs="Arial" w:eastAsia="Arial" w:hAnsi="Arial"/>
                <w:sz w:val="18"/>
                <w:szCs w:val="18"/>
                <w:b w:val="1"/>
                <w:bCs w:val="1"/>
                <w:color w:val="auto"/>
              </w:rPr>
              <w:t>common stock offered by us</w:t>
            </w:r>
          </w:p>
        </w:tc>
        <w:tc>
          <w:tcPr>
            <w:tcW w:w="5800" w:type="dxa"/>
            <w:vAlign w:val="bottom"/>
            <w:gridSpan w:val="3"/>
          </w:tcPr>
          <w:p>
            <w:pPr>
              <w:ind w:left="300"/>
              <w:spacing w:after="0" w:line="205" w:lineRule="exact"/>
              <w:rPr>
                <w:sz w:val="20"/>
                <w:szCs w:val="20"/>
                <w:color w:val="auto"/>
              </w:rPr>
            </w:pPr>
            <w:r>
              <w:rPr>
                <w:rFonts w:ascii="Arial" w:cs="Arial" w:eastAsia="Arial" w:hAnsi="Arial"/>
                <w:sz w:val="18"/>
                <w:szCs w:val="18"/>
                <w:color w:val="auto"/>
              </w:rPr>
              <w:t>after the date of this prospectus supplement to purchase additional</w:t>
            </w:r>
          </w:p>
        </w:tc>
      </w:tr>
      <w:tr>
        <w:trPr>
          <w:trHeight w:val="203"/>
        </w:trPr>
        <w:tc>
          <w:tcPr>
            <w:tcW w:w="2800" w:type="dxa"/>
            <w:vAlign w:val="bottom"/>
          </w:tcPr>
          <w:p>
            <w:pPr>
              <w:spacing w:after="0"/>
              <w:rPr>
                <w:sz w:val="17"/>
                <w:szCs w:val="17"/>
                <w:color w:val="auto"/>
              </w:rPr>
            </w:pPr>
          </w:p>
        </w:tc>
        <w:tc>
          <w:tcPr>
            <w:tcW w:w="5800" w:type="dxa"/>
            <w:vAlign w:val="bottom"/>
            <w:gridSpan w:val="3"/>
          </w:tcPr>
          <w:p>
            <w:pPr>
              <w:ind w:left="300"/>
              <w:spacing w:after="0" w:line="202" w:lineRule="exact"/>
              <w:rPr>
                <w:sz w:val="20"/>
                <w:szCs w:val="20"/>
                <w:color w:val="auto"/>
              </w:rPr>
            </w:pPr>
            <w:r>
              <w:rPr>
                <w:rFonts w:ascii="Arial" w:cs="Arial" w:eastAsia="Arial" w:hAnsi="Arial"/>
                <w:sz w:val="18"/>
                <w:szCs w:val="18"/>
                <w:color w:val="auto"/>
                <w:w w:val="99"/>
              </w:rPr>
              <w:t>shares of our common stock with an aggregate offering price of up to</w:t>
            </w:r>
          </w:p>
        </w:tc>
      </w:tr>
      <w:tr>
        <w:trPr>
          <w:trHeight w:val="237"/>
        </w:trPr>
        <w:tc>
          <w:tcPr>
            <w:tcW w:w="2800" w:type="dxa"/>
            <w:vAlign w:val="bottom"/>
          </w:tcPr>
          <w:p>
            <w:pPr>
              <w:spacing w:after="0"/>
              <w:rPr>
                <w:sz w:val="20"/>
                <w:szCs w:val="20"/>
                <w:color w:val="auto"/>
              </w:rPr>
            </w:pPr>
          </w:p>
        </w:tc>
        <w:tc>
          <w:tcPr>
            <w:tcW w:w="3540" w:type="dxa"/>
            <w:vAlign w:val="bottom"/>
            <w:gridSpan w:val="2"/>
          </w:tcPr>
          <w:p>
            <w:pPr>
              <w:ind w:left="300"/>
              <w:spacing w:after="0"/>
              <w:rPr>
                <w:sz w:val="20"/>
                <w:szCs w:val="20"/>
                <w:color w:val="auto"/>
              </w:rPr>
            </w:pPr>
            <w:r>
              <w:rPr>
                <w:rFonts w:ascii="Arial" w:cs="Arial" w:eastAsia="Arial" w:hAnsi="Arial"/>
                <w:sz w:val="18"/>
                <w:szCs w:val="18"/>
                <w:color w:val="auto"/>
              </w:rPr>
              <w:t>$15,000,000.</w:t>
            </w:r>
          </w:p>
        </w:tc>
        <w:tc>
          <w:tcPr>
            <w:tcW w:w="2260" w:type="dxa"/>
            <w:vAlign w:val="bottom"/>
          </w:tcPr>
          <w:p>
            <w:pPr>
              <w:spacing w:after="0"/>
              <w:rPr>
                <w:sz w:val="20"/>
                <w:szCs w:val="20"/>
                <w:color w:val="auto"/>
              </w:rPr>
            </w:pPr>
          </w:p>
        </w:tc>
      </w:tr>
      <w:tr>
        <w:trPr>
          <w:trHeight w:val="411"/>
        </w:trPr>
        <w:tc>
          <w:tcPr>
            <w:tcW w:w="280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5800" w:type="dxa"/>
            <w:vAlign w:val="bottom"/>
            <w:gridSpan w:val="3"/>
          </w:tcPr>
          <w:p>
            <w:pPr>
              <w:ind w:left="300"/>
              <w:spacing w:after="0"/>
              <w:rPr>
                <w:sz w:val="20"/>
                <w:szCs w:val="20"/>
                <w:color w:val="auto"/>
              </w:rPr>
            </w:pPr>
            <w:r>
              <w:rPr>
                <w:rFonts w:ascii="Arial" w:cs="Arial" w:eastAsia="Arial" w:hAnsi="Arial"/>
                <w:sz w:val="18"/>
                <w:szCs w:val="18"/>
                <w:color w:val="auto"/>
                <w:w w:val="98"/>
              </w:rPr>
              <w:t>We estimate that the net proceeds from the sale of shares of common</w:t>
            </w:r>
          </w:p>
        </w:tc>
      </w:tr>
      <w:tr>
        <w:trPr>
          <w:trHeight w:val="203"/>
        </w:trPr>
        <w:tc>
          <w:tcPr>
            <w:tcW w:w="2800" w:type="dxa"/>
            <w:vAlign w:val="bottom"/>
          </w:tcPr>
          <w:p>
            <w:pPr>
              <w:spacing w:after="0"/>
              <w:rPr>
                <w:sz w:val="17"/>
                <w:szCs w:val="17"/>
                <w:color w:val="auto"/>
              </w:rPr>
            </w:pPr>
          </w:p>
        </w:tc>
        <w:tc>
          <w:tcPr>
            <w:tcW w:w="58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stock to the underwriters in this offering will be approximately</w:t>
            </w:r>
          </w:p>
        </w:tc>
      </w:tr>
      <w:tr>
        <w:trPr>
          <w:trHeight w:val="203"/>
        </w:trPr>
        <w:tc>
          <w:tcPr>
            <w:tcW w:w="2800" w:type="dxa"/>
            <w:vAlign w:val="bottom"/>
          </w:tcPr>
          <w:p>
            <w:pPr>
              <w:spacing w:after="0"/>
              <w:rPr>
                <w:sz w:val="17"/>
                <w:szCs w:val="17"/>
                <w:color w:val="auto"/>
              </w:rPr>
            </w:pPr>
          </w:p>
        </w:tc>
        <w:tc>
          <w:tcPr>
            <w:tcW w:w="70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2840" w:type="dxa"/>
            <w:vAlign w:val="bottom"/>
          </w:tcPr>
          <w:p>
            <w:pPr>
              <w:ind w:left="380"/>
              <w:spacing w:after="0" w:line="202" w:lineRule="exact"/>
              <w:rPr>
                <w:sz w:val="20"/>
                <w:szCs w:val="20"/>
                <w:color w:val="auto"/>
              </w:rPr>
            </w:pPr>
            <w:r>
              <w:rPr>
                <w:rFonts w:ascii="Arial" w:cs="Arial" w:eastAsia="Arial" w:hAnsi="Arial"/>
                <w:sz w:val="18"/>
                <w:szCs w:val="18"/>
                <w:color w:val="auto"/>
              </w:rPr>
              <w:t>million (approximately $</w:t>
            </w:r>
          </w:p>
        </w:tc>
        <w:tc>
          <w:tcPr>
            <w:tcW w:w="226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7"/>
              </w:rPr>
              <w:t>million if the underwriters'</w:t>
            </w:r>
          </w:p>
        </w:tc>
      </w:tr>
      <w:tr>
        <w:trPr>
          <w:trHeight w:val="203"/>
        </w:trPr>
        <w:tc>
          <w:tcPr>
            <w:tcW w:w="2800" w:type="dxa"/>
            <w:vAlign w:val="bottom"/>
          </w:tcPr>
          <w:p>
            <w:pPr>
              <w:spacing w:after="0"/>
              <w:rPr>
                <w:sz w:val="17"/>
                <w:szCs w:val="17"/>
                <w:color w:val="auto"/>
              </w:rPr>
            </w:pPr>
          </w:p>
        </w:tc>
        <w:tc>
          <w:tcPr>
            <w:tcW w:w="58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option to purchase additional shares is exercised in full), after</w:t>
            </w:r>
          </w:p>
        </w:tc>
      </w:tr>
      <w:tr>
        <w:trPr>
          <w:trHeight w:val="203"/>
        </w:trPr>
        <w:tc>
          <w:tcPr>
            <w:tcW w:w="2800" w:type="dxa"/>
            <w:vAlign w:val="bottom"/>
          </w:tcPr>
          <w:p>
            <w:pPr>
              <w:spacing w:after="0"/>
              <w:rPr>
                <w:sz w:val="17"/>
                <w:szCs w:val="17"/>
                <w:color w:val="auto"/>
              </w:rPr>
            </w:pPr>
          </w:p>
        </w:tc>
        <w:tc>
          <w:tcPr>
            <w:tcW w:w="58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deducting underwriters' discounts and commissions and estimated</w:t>
            </w:r>
          </w:p>
        </w:tc>
      </w:tr>
      <w:tr>
        <w:trPr>
          <w:trHeight w:val="237"/>
        </w:trPr>
        <w:tc>
          <w:tcPr>
            <w:tcW w:w="2800" w:type="dxa"/>
            <w:vAlign w:val="bottom"/>
          </w:tcPr>
          <w:p>
            <w:pPr>
              <w:spacing w:after="0"/>
              <w:rPr>
                <w:sz w:val="20"/>
                <w:szCs w:val="20"/>
                <w:color w:val="auto"/>
              </w:rPr>
            </w:pPr>
          </w:p>
        </w:tc>
        <w:tc>
          <w:tcPr>
            <w:tcW w:w="3540" w:type="dxa"/>
            <w:vAlign w:val="bottom"/>
            <w:gridSpan w:val="2"/>
          </w:tcPr>
          <w:p>
            <w:pPr>
              <w:ind w:left="300"/>
              <w:spacing w:after="0"/>
              <w:rPr>
                <w:sz w:val="20"/>
                <w:szCs w:val="20"/>
                <w:color w:val="auto"/>
              </w:rPr>
            </w:pPr>
            <w:r>
              <w:rPr>
                <w:rFonts w:ascii="Arial" w:cs="Arial" w:eastAsia="Arial" w:hAnsi="Arial"/>
                <w:sz w:val="18"/>
                <w:szCs w:val="18"/>
                <w:color w:val="auto"/>
              </w:rPr>
              <w:t>offering expenses payable by us.</w:t>
            </w:r>
          </w:p>
        </w:tc>
        <w:tc>
          <w:tcPr>
            <w:tcW w:w="2260" w:type="dxa"/>
            <w:vAlign w:val="bottom"/>
          </w:tcPr>
          <w:p>
            <w:pPr>
              <w:spacing w:after="0"/>
              <w:rPr>
                <w:sz w:val="20"/>
                <w:szCs w:val="20"/>
                <w:color w:val="auto"/>
              </w:rPr>
            </w:pPr>
          </w:p>
        </w:tc>
      </w:tr>
    </w:tbl>
    <w:p>
      <w:pPr>
        <w:spacing w:after="0" w:line="209" w:lineRule="exact"/>
        <w:rPr>
          <w:sz w:val="20"/>
          <w:szCs w:val="20"/>
          <w:color w:val="auto"/>
        </w:rPr>
      </w:pPr>
    </w:p>
    <w:p>
      <w:pPr>
        <w:ind w:left="4420" w:right="619"/>
        <w:spacing w:after="0" w:line="278" w:lineRule="auto"/>
        <w:rPr>
          <w:sz w:val="20"/>
          <w:szCs w:val="20"/>
          <w:color w:val="auto"/>
        </w:rPr>
      </w:pPr>
      <w:r>
        <w:rPr>
          <w:rFonts w:ascii="Arial" w:cs="Arial" w:eastAsia="Arial" w:hAnsi="Arial"/>
          <w:sz w:val="16"/>
          <w:szCs w:val="16"/>
          <w:color w:val="auto"/>
        </w:rPr>
        <w:t>We currently anticipate that we will use the net proceeds from this offering, together with our existing cash and cash equivalents, to</w:t>
      </w:r>
    </w:p>
    <w:p>
      <w:pPr>
        <w:spacing w:after="0" w:line="1" w:lineRule="exact"/>
        <w:rPr>
          <w:sz w:val="20"/>
          <w:szCs w:val="20"/>
          <w:color w:val="auto"/>
        </w:rPr>
      </w:pPr>
    </w:p>
    <w:p>
      <w:pPr>
        <w:ind w:left="4420" w:right="279" w:firstLine="9"/>
        <w:spacing w:after="0" w:line="264" w:lineRule="auto"/>
        <w:tabs>
          <w:tab w:leader="none" w:pos="4625" w:val="left"/>
        </w:tabs>
        <w:numPr>
          <w:ilvl w:val="0"/>
          <w:numId w:val="8"/>
        </w:numPr>
        <w:rPr>
          <w:rFonts w:ascii="Arial" w:cs="Arial" w:eastAsia="Arial" w:hAnsi="Arial"/>
          <w:sz w:val="16"/>
          <w:szCs w:val="16"/>
          <w:color w:val="auto"/>
        </w:rPr>
      </w:pPr>
      <w:r>
        <w:rPr>
          <w:rFonts w:ascii="Arial" w:cs="Arial" w:eastAsia="Arial" w:hAnsi="Arial"/>
          <w:sz w:val="16"/>
          <w:szCs w:val="16"/>
          <w:color w:val="auto"/>
        </w:rPr>
        <w:t>fund clinical development in additional pediatric and adult indications for DANYELZA; (ii) fund clinical development in additional pediatric indications and expansion into adult B7-H3 positive cancers for omburtamab; (iii) fund our SADA technology programs, currently in pre-clinical development, into clinical testing in a range of indications;</w:t>
      </w:r>
    </w:p>
    <w:p>
      <w:pPr>
        <w:ind w:left="4420" w:right="219" w:firstLine="9"/>
        <w:spacing w:after="0" w:line="229" w:lineRule="auto"/>
        <w:tabs>
          <w:tab w:leader="none" w:pos="4712"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fund our lutetium-labeled B7-H3 antibody,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into late-stage clinical testing in a range of pediatric and adult indications, including medulloblastoma and B7-H3 positive adult cancers; (v) fund clinical development of nivatrotamab, our bi-specific GD2 antibody, currently in Phase 2 for SCLC and take our portfolio of BsAb product candidates, including huCD33-BsAb for pediatric acute myeloid leukemia, or AML, into clinical testing; (vi) fund ongoing and expanding clinical development through regulatory submission of our GD2-GD3 Vaccine program; (vii) fund commercial infrastructure build-out for launch and other commercial activities for both DANYELZA and omburtamab, if approved; (viii) fund translational science, pre-clinical research and clinical development activities related to our other product candidates, programs and in-licensing of new technologies; and (ix) the remainder for working capital and other general corporate purposes.</w:t>
      </w:r>
    </w:p>
    <w:p>
      <w:pPr>
        <w:spacing w:after="0" w:line="2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See "Use of Proceeds" for more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36130" cy="425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6130" cy="4255770"/>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160"/>
        <w:spacing w:after="0" w:line="287" w:lineRule="auto"/>
        <w:rPr>
          <w:sz w:val="20"/>
          <w:szCs w:val="20"/>
          <w:color w:val="auto"/>
        </w:rPr>
      </w:pPr>
      <w:r>
        <w:rPr>
          <w:rFonts w:ascii="Arial" w:cs="Arial" w:eastAsia="Arial" w:hAnsi="Arial"/>
          <w:sz w:val="16"/>
          <w:szCs w:val="16"/>
          <w:color w:val="auto"/>
        </w:rPr>
        <w:t>Investing in our common stock involves a high degree of risk. You should read the "Risk Factors" section of this prospectus supplement beginning on page S-18, for a discussion of factors to consider carefully before deciding to purchase shares of our common stock.</w:t>
      </w:r>
    </w:p>
    <w:p>
      <w:pPr>
        <w:spacing w:after="0" w:line="171" w:lineRule="exact"/>
        <w:rPr>
          <w:sz w:val="20"/>
          <w:szCs w:val="20"/>
          <w:color w:val="auto"/>
        </w:rPr>
      </w:pPr>
    </w:p>
    <w:p>
      <w:pPr>
        <w:sectPr>
          <w:pgSz w:w="11900" w:h="16838" w:orient="portrait"/>
          <w:cols w:equalWidth="0" w:num="2">
            <w:col w:w="3700" w:space="720"/>
            <w:col w:w="6520"/>
          </w:cols>
          <w:pgMar w:left="320" w:top="121" w:right="639" w:bottom="1440" w:gutter="0" w:footer="0" w:header="0"/>
          <w:type w:val="continuous"/>
        </w:sectPr>
      </w:pPr>
    </w:p>
    <w:p>
      <w:pPr>
        <w:ind w:left="1320"/>
        <w:spacing w:after="0" w:line="280" w:lineRule="auto"/>
        <w:rPr>
          <w:sz w:val="20"/>
          <w:szCs w:val="20"/>
          <w:color w:val="auto"/>
        </w:rPr>
      </w:pPr>
      <w:r>
        <w:rPr>
          <w:rFonts w:ascii="Arial" w:cs="Arial" w:eastAsia="Arial" w:hAnsi="Arial"/>
          <w:sz w:val="18"/>
          <w:szCs w:val="18"/>
          <w:b w:val="1"/>
          <w:bCs w:val="1"/>
          <w:color w:val="auto"/>
        </w:rPr>
        <w:t>Nasdaq Global Select Market symbol</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"YMAB"</w:t>
      </w:r>
    </w:p>
    <w:p>
      <w:pPr>
        <w:spacing w:after="0" w:line="211" w:lineRule="exact"/>
        <w:rPr>
          <w:sz w:val="20"/>
          <w:szCs w:val="20"/>
          <w:color w:val="auto"/>
        </w:rPr>
      </w:pPr>
    </w:p>
    <w:p>
      <w:pPr>
        <w:sectPr>
          <w:pgSz w:w="11900" w:h="16838" w:orient="portrait"/>
          <w:cols w:equalWidth="0" w:num="2">
            <w:col w:w="3740" w:space="680"/>
            <w:col w:w="6520"/>
          </w:cols>
          <w:pgMar w:left="320" w:top="121" w:right="639" w:bottom="1440" w:gutter="0" w:footer="0" w:header="0"/>
          <w:type w:val="continuous"/>
        </w:sectPr>
      </w:pPr>
    </w:p>
    <w:p>
      <w:pPr>
        <w:ind w:left="240" w:right="660"/>
        <w:spacing w:after="0" w:line="269" w:lineRule="auto"/>
        <w:rPr>
          <w:sz w:val="20"/>
          <w:szCs w:val="20"/>
          <w:color w:val="auto"/>
        </w:rPr>
      </w:pPr>
      <w:r>
        <w:rPr>
          <w:rFonts w:ascii="Arial" w:cs="Arial" w:eastAsia="Arial" w:hAnsi="Arial"/>
          <w:sz w:val="18"/>
          <w:szCs w:val="18"/>
          <w:color w:val="auto"/>
        </w:rPr>
        <w:t>The number of shares outstanding immediately after this offering is based on 40,472,435 shares of our common stock issued and outstanding as of September 30, 2020, and excludes the following items as per September 30, 2020:</w:t>
      </w:r>
    </w:p>
    <w:p>
      <w:pPr>
        <w:spacing w:after="0" w:line="171" w:lineRule="exact"/>
        <w:rPr>
          <w:sz w:val="20"/>
          <w:szCs w:val="20"/>
          <w:color w:val="auto"/>
        </w:rPr>
      </w:pPr>
    </w:p>
    <w:p>
      <w:pPr>
        <w:ind w:left="780" w:hanging="538"/>
        <w:spacing w:after="0" w:line="252"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5,028,512 shares of our common stock issuable upon the exercise of stock options outstanding and expected to vest as of September 30, 2020 under our 2015 Equity Incentive Plan, or the 2015 Plan, and our 2018 Equity Incentive Plan, or the 2018 Plan, in the aggregate, at a weighted average exercise price of $16.50 per share;</w:t>
      </w:r>
    </w:p>
    <w:p>
      <w:pPr>
        <w:spacing w:after="0" w:line="158" w:lineRule="exact"/>
        <w:rPr>
          <w:rFonts w:ascii="Arial" w:cs="Arial" w:eastAsia="Arial" w:hAnsi="Arial"/>
          <w:sz w:val="18"/>
          <w:szCs w:val="18"/>
          <w:color w:val="auto"/>
        </w:rPr>
      </w:pPr>
    </w:p>
    <w:p>
      <w:pPr>
        <w:ind w:left="780" w:right="220" w:hanging="538"/>
        <w:spacing w:after="0" w:line="26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27,776 shares of our common stock issuable upon the settlement of unvested restricted stock units outstanding and expected to vest as of September 30, 2020 under our 2018 Plan;</w:t>
      </w:r>
    </w:p>
    <w:p>
      <w:pPr>
        <w:spacing w:after="0" w:line="143" w:lineRule="exact"/>
        <w:rPr>
          <w:rFonts w:ascii="Arial" w:cs="Arial" w:eastAsia="Arial" w:hAnsi="Arial"/>
          <w:sz w:val="18"/>
          <w:szCs w:val="18"/>
          <w:color w:val="auto"/>
        </w:rPr>
      </w:pPr>
    </w:p>
    <w:p>
      <w:pPr>
        <w:ind w:left="780" w:right="60" w:hanging="538"/>
        <w:spacing w:after="0" w:line="26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3,098,419 shares of our common stock available for future issuance under our 2018 Plan (no shares remain available for issuance under the 2015 Plan); and</w:t>
      </w:r>
    </w:p>
    <w:p>
      <w:pPr>
        <w:spacing w:after="0" w:line="157" w:lineRule="exact"/>
        <w:rPr>
          <w:rFonts w:ascii="Arial" w:cs="Arial" w:eastAsia="Arial" w:hAnsi="Arial"/>
          <w:sz w:val="18"/>
          <w:szCs w:val="18"/>
          <w:color w:val="auto"/>
        </w:rPr>
      </w:pPr>
    </w:p>
    <w:p>
      <w:pPr>
        <w:ind w:left="780" w:hanging="538"/>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700,000 shares of our common stock reserved for issuance under our 2018 Employee Stock Purchase Plan.</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Unless otherwise indicated, this prospectus supplement reflects and assumes the following:</w:t>
      </w:r>
    </w:p>
    <w:p>
      <w:pPr>
        <w:spacing w:after="0" w:line="212" w:lineRule="exact"/>
        <w:rPr>
          <w:sz w:val="20"/>
          <w:szCs w:val="20"/>
          <w:color w:val="auto"/>
        </w:rPr>
      </w:pPr>
    </w:p>
    <w:p>
      <w:pPr>
        <w:ind w:left="780" w:hanging="538"/>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outstanding stock options described above; and</w:t>
      </w:r>
    </w:p>
    <w:p>
      <w:pPr>
        <w:spacing w:after="0" w:line="198" w:lineRule="exact"/>
        <w:rPr>
          <w:rFonts w:ascii="Arial" w:cs="Arial" w:eastAsia="Arial" w:hAnsi="Arial"/>
          <w:sz w:val="18"/>
          <w:szCs w:val="18"/>
          <w:color w:val="auto"/>
        </w:rPr>
      </w:pPr>
    </w:p>
    <w:p>
      <w:pPr>
        <w:ind w:left="780" w:hanging="538"/>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Risk factors</w:t>
      </w:r>
    </w:p>
    <w:p>
      <w:pPr>
        <w:spacing w:after="0" w:line="245" w:lineRule="exact"/>
        <w:rPr>
          <w:sz w:val="20"/>
          <w:szCs w:val="20"/>
          <w:color w:val="auto"/>
        </w:rPr>
      </w:pPr>
    </w:p>
    <w:p>
      <w:pPr>
        <w:ind w:right="20"/>
        <w:spacing w:after="0" w:line="238" w:lineRule="auto"/>
        <w:rPr>
          <w:rFonts w:ascii="Arial" w:cs="Arial" w:eastAsia="Arial" w:hAnsi="Arial"/>
          <w:sz w:val="18"/>
          <w:szCs w:val="18"/>
          <w:i w:val="1"/>
          <w:iCs w:val="1"/>
          <w:color w:val="0000EE"/>
        </w:rPr>
      </w:pPr>
      <w:r>
        <w:rPr>
          <w:rFonts w:ascii="Arial" w:cs="Arial" w:eastAsia="Arial" w:hAnsi="Arial"/>
          <w:sz w:val="18"/>
          <w:szCs w:val="18"/>
          <w:i w:val="1"/>
          <w:iCs w:val="1"/>
          <w:color w:val="auto"/>
        </w:rPr>
        <w:t xml:space="preserve">Your investment in our common stock involves a high degree of risk. Before deciding whether to invest in our common stock, you should </w:t>
      </w:r>
      <w:hyperlink r:id="rId17">
        <w:r>
          <w:rPr>
            <w:rFonts w:ascii="Arial" w:cs="Arial" w:eastAsia="Arial" w:hAnsi="Arial"/>
            <w:sz w:val="18"/>
            <w:szCs w:val="18"/>
            <w:i w:val="1"/>
            <w:iCs w:val="1"/>
            <w:color w:val="auto"/>
          </w:rPr>
          <w:t xml:space="preserve">carefully consider the risks discussed below and under the section captioned "Risk Factors" contained in our </w:t>
        </w:r>
        <w:r>
          <w:rPr>
            <w:rFonts w:ascii="Arial" w:cs="Arial" w:eastAsia="Arial" w:hAnsi="Arial"/>
            <w:sz w:val="18"/>
            <w:szCs w:val="18"/>
            <w:i w:val="1"/>
            <w:iCs w:val="1"/>
            <w:u w:val="single" w:color="auto"/>
            <w:color w:val="0000EE"/>
          </w:rPr>
          <w:t>Annual Report on Form 10-K for</w:t>
        </w:r>
      </w:hyperlink>
      <w:r>
        <w:rPr>
          <w:rFonts w:ascii="Arial" w:cs="Arial" w:eastAsia="Arial" w:hAnsi="Arial"/>
          <w:sz w:val="18"/>
          <w:szCs w:val="18"/>
          <w:i w:val="1"/>
          <w:iCs w:val="1"/>
          <w:color w:val="auto"/>
        </w:rPr>
        <w:t xml:space="preserve"> </w:t>
      </w:r>
      <w:hyperlink r:id="rId17">
        <w:r>
          <w:rPr>
            <w:rFonts w:ascii="Arial" w:cs="Arial" w:eastAsia="Arial" w:hAnsi="Arial"/>
            <w:sz w:val="18"/>
            <w:szCs w:val="18"/>
            <w:i w:val="1"/>
            <w:iCs w:val="1"/>
            <w:u w:val="single" w:color="auto"/>
            <w:color w:val="0000EE"/>
          </w:rPr>
          <w:t>the year ended December 31, 2019</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and our Quarterly Report on Form 10-Q for the quarters ended</w:t>
        </w:r>
        <w:r>
          <w:rPr>
            <w:rFonts w:ascii="Arial" w:cs="Arial" w:eastAsia="Arial" w:hAnsi="Arial"/>
            <w:sz w:val="18"/>
            <w:szCs w:val="18"/>
            <w:i w:val="1"/>
            <w:iCs w:val="1"/>
            <w:color w:val="0000EE"/>
          </w:rPr>
          <w:t xml:space="preserve"> </w:t>
        </w:r>
      </w:hyperlink>
      <w:hyperlink r:id="rId18">
        <w:r>
          <w:rPr>
            <w:rFonts w:ascii="Arial" w:cs="Arial" w:eastAsia="Arial" w:hAnsi="Arial"/>
            <w:sz w:val="18"/>
            <w:szCs w:val="18"/>
            <w:i w:val="1"/>
            <w:iCs w:val="1"/>
            <w:u w:val="single" w:color="auto"/>
            <w:color w:val="0000EE"/>
          </w:rPr>
          <w:t>March 31, 2020</w:t>
        </w:r>
      </w:hyperlink>
      <w:hyperlink r:id="rId17">
        <w:r>
          <w:rPr>
            <w:rFonts w:ascii="Arial" w:cs="Arial" w:eastAsia="Arial" w:hAnsi="Arial"/>
            <w:sz w:val="18"/>
            <w:szCs w:val="18"/>
            <w:i w:val="1"/>
            <w:iCs w:val="1"/>
            <w:color w:val="000000"/>
          </w:rPr>
          <w:t>,</w:t>
        </w:r>
        <w:r>
          <w:rPr>
            <w:rFonts w:ascii="Arial" w:cs="Arial" w:eastAsia="Arial" w:hAnsi="Arial"/>
            <w:sz w:val="18"/>
            <w:szCs w:val="18"/>
            <w:i w:val="1"/>
            <w:iCs w:val="1"/>
            <w:color w:val="0000EE"/>
          </w:rPr>
          <w:t xml:space="preserve"> </w:t>
        </w:r>
      </w:hyperlink>
      <w:hyperlink r:id="rId19">
        <w:r>
          <w:rPr>
            <w:rFonts w:ascii="Arial" w:cs="Arial" w:eastAsia="Arial" w:hAnsi="Arial"/>
            <w:sz w:val="18"/>
            <w:szCs w:val="18"/>
            <w:i w:val="1"/>
            <w:iCs w:val="1"/>
            <w:u w:val="single" w:color="auto"/>
            <w:color w:val="0000EE"/>
          </w:rPr>
          <w:t xml:space="preserve">June 30, 2020 </w:t>
        </w:r>
      </w:hyperlink>
      <w:hyperlink r:id="rId17">
        <w:r>
          <w:rPr>
            <w:rFonts w:ascii="Arial" w:cs="Arial" w:eastAsia="Arial" w:hAnsi="Arial"/>
            <w:sz w:val="18"/>
            <w:szCs w:val="18"/>
            <w:i w:val="1"/>
            <w:iCs w:val="1"/>
            <w:color w:val="000000"/>
          </w:rPr>
          <w:t>and</w:t>
        </w:r>
      </w:hyperlink>
      <w:r>
        <w:rPr>
          <w:rFonts w:ascii="Arial" w:cs="Arial" w:eastAsia="Arial" w:hAnsi="Arial"/>
          <w:sz w:val="18"/>
          <w:szCs w:val="18"/>
          <w:i w:val="1"/>
          <w:iCs w:val="1"/>
          <w:color w:val="0000EE"/>
        </w:rPr>
        <w:t xml:space="preserve"> </w:t>
      </w:r>
      <w:hyperlink r:id="rId43">
        <w:r>
          <w:rPr>
            <w:rFonts w:ascii="Arial" w:cs="Arial" w:eastAsia="Arial" w:hAnsi="Arial"/>
            <w:sz w:val="18"/>
            <w:szCs w:val="18"/>
            <w:i w:val="1"/>
            <w:iCs w:val="1"/>
            <w:u w:val="single" w:color="auto"/>
            <w:color w:val="0000EE"/>
          </w:rPr>
          <w:t>September 30, 2020</w:t>
        </w:r>
      </w:hyperlink>
      <w:r>
        <w:rPr>
          <w:rFonts w:ascii="Arial" w:cs="Arial" w:eastAsia="Arial" w:hAnsi="Arial"/>
          <w:sz w:val="18"/>
          <w:szCs w:val="18"/>
          <w:i w:val="1"/>
          <w:iCs w:val="1"/>
          <w:color w:val="000000"/>
        </w:rPr>
        <w:t>,</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which were filed with the SEC and are incorporated by reference in this prospectus supplement and the accompanying</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prospectus in their entirety and which may be amended, supplemented or superseded by other reports we subsequently file with the SEC, together with other information in this prospectus supplement, the accompanying prospectus, the information and documents incorporated by reference herein and therein,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 Additional risks and uncertainties not presently known to us or that we currently deem immaterial may also impair our business operations. Please also read carefully the section entitled "Cautionary Statement Regarding Forward-Looking Statements."</w:t>
      </w:r>
    </w:p>
    <w:p>
      <w:pPr>
        <w:spacing w:after="0" w:line="166" w:lineRule="exact"/>
        <w:rPr>
          <w:rFonts w:ascii="Arial" w:cs="Arial" w:eastAsia="Arial" w:hAnsi="Arial"/>
          <w:sz w:val="18"/>
          <w:szCs w:val="18"/>
          <w:i w:val="1"/>
          <w:iCs w:val="1"/>
          <w:color w:val="0000EE"/>
        </w:rPr>
      </w:pPr>
    </w:p>
    <w:p>
      <w:pPr>
        <w:spacing w:after="0"/>
        <w:rPr>
          <w:sz w:val="20"/>
          <w:szCs w:val="20"/>
          <w:color w:val="auto"/>
        </w:rPr>
      </w:pPr>
      <w:r>
        <w:rPr>
          <w:rFonts w:ascii="Arial" w:cs="Arial" w:eastAsia="Arial" w:hAnsi="Arial"/>
          <w:sz w:val="22"/>
          <w:szCs w:val="22"/>
          <w:b w:val="1"/>
          <w:bCs w:val="1"/>
          <w:color w:val="auto"/>
        </w:rPr>
        <w:t>Risks related to this offering</w:t>
      </w:r>
    </w:p>
    <w:p>
      <w:pPr>
        <w:spacing w:after="0" w:line="224" w:lineRule="exact"/>
        <w:rPr>
          <w:rFonts w:ascii="Arial" w:cs="Arial" w:eastAsia="Arial" w:hAnsi="Arial"/>
          <w:sz w:val="18"/>
          <w:szCs w:val="18"/>
          <w:i w:val="1"/>
          <w:iCs w:val="1"/>
          <w:color w:val="0000EE"/>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and substantial dilution in the book value of your investment.</w:t>
      </w:r>
    </w:p>
    <w:p>
      <w:pPr>
        <w:spacing w:after="0" w:line="141" w:lineRule="exact"/>
        <w:rPr>
          <w:rFonts w:ascii="Arial" w:cs="Arial" w:eastAsia="Arial" w:hAnsi="Arial"/>
          <w:sz w:val="18"/>
          <w:szCs w:val="18"/>
          <w:i w:val="1"/>
          <w:iCs w:val="1"/>
          <w:color w:val="0000EE"/>
        </w:rPr>
      </w:pPr>
    </w:p>
    <w:p>
      <w:pPr>
        <w:ind w:right="40"/>
        <w:spacing w:after="0" w:line="278" w:lineRule="auto"/>
        <w:rPr>
          <w:sz w:val="20"/>
          <w:szCs w:val="20"/>
          <w:color w:val="auto"/>
        </w:rPr>
      </w:pPr>
      <w:r>
        <w:rPr>
          <w:rFonts w:ascii="Arial" w:cs="Arial" w:eastAsia="Arial" w:hAnsi="Arial"/>
          <w:sz w:val="16"/>
          <w:szCs w:val="16"/>
          <w:color w:val="auto"/>
        </w:rPr>
        <w:t>The price per share of our common stock in this offering is substantially higher than the net tangible book value per share of our common stock outstanding prior to this offering. Therefore, if you purchase shares of our common stock in this offering, you will incur immediate and substantial</w:t>
      </w:r>
    </w:p>
    <w:p>
      <w:pPr>
        <w:spacing w:after="0" w:line="1" w:lineRule="exact"/>
        <w:rPr>
          <w:rFonts w:ascii="Arial" w:cs="Arial" w:eastAsia="Arial" w:hAnsi="Arial"/>
          <w:sz w:val="18"/>
          <w:szCs w:val="18"/>
          <w:i w:val="1"/>
          <w:iCs w:val="1"/>
          <w:color w:val="0000EE"/>
        </w:rPr>
      </w:pPr>
    </w:p>
    <w:p>
      <w:pPr>
        <w:jc w:val="both"/>
        <w:ind w:right="80"/>
        <w:spacing w:after="0" w:line="239" w:lineRule="auto"/>
        <w:rPr>
          <w:sz w:val="20"/>
          <w:szCs w:val="20"/>
          <w:color w:val="auto"/>
        </w:rPr>
      </w:pPr>
      <w:r>
        <w:rPr>
          <w:rFonts w:ascii="Arial" w:cs="Arial" w:eastAsia="Arial" w:hAnsi="Arial"/>
          <w:sz w:val="18"/>
          <w:szCs w:val="18"/>
          <w:color w:val="auto"/>
        </w:rPr>
        <w:t>dilution in the net tangible book value per share of common stock from the public offering price per share of $ . To the extent shares are issued under outstanding stock options at exercise prices lower than the price of our common stock in this offering, you will incur further dilution. See the section entitled "Dilution" for a more detailed illustration of the dilution you would incur if you participate in this offering.</w:t>
      </w:r>
    </w:p>
    <w:p>
      <w:pPr>
        <w:spacing w:after="0" w:line="183" w:lineRule="exact"/>
        <w:rPr>
          <w:rFonts w:ascii="Arial" w:cs="Arial" w:eastAsia="Arial" w:hAnsi="Arial"/>
          <w:sz w:val="18"/>
          <w:szCs w:val="18"/>
          <w:i w:val="1"/>
          <w:iCs w:val="1"/>
          <w:color w:val="0000EE"/>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We have broad discretion in the use of our cash, cash equivalents and short-term investments, including the net proceeds we receive in this offering, and may not use them effectively.</w:t>
      </w:r>
    </w:p>
    <w:p>
      <w:pPr>
        <w:spacing w:after="0" w:line="141" w:lineRule="exact"/>
        <w:rPr>
          <w:rFonts w:ascii="Arial" w:cs="Arial" w:eastAsia="Arial" w:hAnsi="Arial"/>
          <w:sz w:val="18"/>
          <w:szCs w:val="18"/>
          <w:i w:val="1"/>
          <w:iCs w:val="1"/>
          <w:color w:val="0000EE"/>
        </w:rPr>
      </w:pPr>
    </w:p>
    <w:p>
      <w:pPr>
        <w:ind w:right="180"/>
        <w:spacing w:after="0" w:line="241" w:lineRule="auto"/>
        <w:rPr>
          <w:sz w:val="20"/>
          <w:szCs w:val="20"/>
          <w:color w:val="auto"/>
        </w:rPr>
      </w:pPr>
      <w:r>
        <w:rPr>
          <w:rFonts w:ascii="Arial" w:cs="Arial" w:eastAsia="Arial" w:hAnsi="Arial"/>
          <w:sz w:val="18"/>
          <w:szCs w:val="18"/>
          <w:color w:val="auto"/>
        </w:rPr>
        <w:t>Our management has broad discretion to use our cash, cash equivalents and short-term investments, including the net proceeds we receive in this offering,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drug candidates. Pending their use to fund our operations, we may invest our cash, cash equivalents and short-term investments, including the net proceeds from this offering, in a manner that does not produce income or that loses value.</w:t>
      </w:r>
    </w:p>
    <w:p>
      <w:pPr>
        <w:spacing w:after="0" w:line="184" w:lineRule="exact"/>
        <w:rPr>
          <w:rFonts w:ascii="Arial" w:cs="Arial" w:eastAsia="Arial" w:hAnsi="Arial"/>
          <w:sz w:val="18"/>
          <w:szCs w:val="18"/>
          <w:i w:val="1"/>
          <w:iCs w:val="1"/>
          <w:color w:val="0000EE"/>
        </w:rPr>
      </w:pPr>
    </w:p>
    <w:p>
      <w:pPr>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12" w:lineRule="exact"/>
        <w:rPr>
          <w:rFonts w:ascii="Arial" w:cs="Arial" w:eastAsia="Arial" w:hAnsi="Arial"/>
          <w:sz w:val="18"/>
          <w:szCs w:val="18"/>
          <w:i w:val="1"/>
          <w:iCs w:val="1"/>
          <w:color w:val="0000EE"/>
        </w:rPr>
      </w:pPr>
    </w:p>
    <w:p>
      <w:pPr>
        <w:spacing w:after="0" w:line="246"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w:t>
      </w:r>
    </w:p>
    <w:p>
      <w:pPr>
        <w:spacing w:after="0" w:line="177" w:lineRule="exact"/>
        <w:rPr>
          <w:rFonts w:ascii="Arial" w:cs="Arial" w:eastAsia="Arial" w:hAnsi="Arial"/>
          <w:sz w:val="18"/>
          <w:szCs w:val="18"/>
          <w:i w:val="1"/>
          <w:iCs w:val="1"/>
          <w:color w:val="0000EE"/>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rFonts w:ascii="Arial" w:cs="Arial" w:eastAsia="Arial" w:hAnsi="Arial"/>
          <w:sz w:val="18"/>
          <w:szCs w:val="18"/>
          <w:i w:val="1"/>
          <w:iCs w:val="1"/>
          <w:color w:val="0000EE"/>
        </w:rPr>
      </w:pPr>
      <w:r>
        <w:rPr>
          <w:rFonts w:ascii="Arial" w:cs="Arial" w:eastAsia="Arial" w:hAnsi="Arial"/>
          <w:sz w:val="18"/>
          <w:szCs w:val="18"/>
          <w:i w:val="1"/>
          <w:iCs w:val="1"/>
          <w:color w:val="0000EE"/>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40"/>
        <w:spacing w:after="0" w:line="269" w:lineRule="auto"/>
        <w:rPr>
          <w:sz w:val="20"/>
          <w:szCs w:val="20"/>
          <w:color w:val="auto"/>
        </w:rPr>
      </w:pPr>
      <w:r>
        <w:rPr>
          <w:rFonts w:ascii="Arial" w:cs="Arial" w:eastAsia="Arial" w:hAnsi="Arial"/>
          <w:sz w:val="18"/>
          <w:szCs w:val="18"/>
          <w:color w:val="auto"/>
        </w:rPr>
        <w:t>price per share at which we sell additional shares of our common stock, or securities convertible or exchangeable for our common stock, in future transactions may be higher or lower than the price per share paid by investors in this offering.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be volatile in the future and fluctuate substantially.</w:t>
      </w:r>
    </w:p>
    <w:p>
      <w:pPr>
        <w:spacing w:after="0" w:line="212"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Our stock price has been and is likely to be volatile and may fluctuate substantially. The stock market in general and the market for pharmaceutical and biotechnology companies in particular have experienced extreme volatility that has often been unrelated to the operating performance of particular companies. The market price for our common stock may be influenced by many factors, including:</w:t>
      </w:r>
    </w:p>
    <w:p>
      <w:pPr>
        <w:spacing w:after="0" w:line="172"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launch and commercialize DANYELZA and any other product candidates, if approved;</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results of clinical trials of any of our product candidates;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product candidates or our competitors' products and product candidates;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11" w:lineRule="exact"/>
        <w:rPr>
          <w:rFonts w:ascii="Arial" w:cs="Arial" w:eastAsia="Arial" w:hAnsi="Arial"/>
          <w:sz w:val="18"/>
          <w:szCs w:val="18"/>
          <w:color w:val="auto"/>
        </w:rPr>
      </w:pPr>
    </w:p>
    <w:p>
      <w:pPr>
        <w:ind w:left="540" w:right="620" w:hanging="532"/>
        <w:spacing w:after="0" w:line="26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establishment or termination of collaborations for our products and product candidates or development programs;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revenues and expenses related to any of our products, product candidates or development programs;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211" w:lineRule="exact"/>
        <w:rPr>
          <w:rFonts w:ascii="Arial" w:cs="Arial" w:eastAsia="Arial" w:hAnsi="Arial"/>
          <w:sz w:val="18"/>
          <w:szCs w:val="18"/>
          <w:color w:val="auto"/>
        </w:rPr>
      </w:pPr>
    </w:p>
    <w:p>
      <w:pPr>
        <w:ind w:left="540" w:hanging="532"/>
        <w:spacing w:after="0" w:line="26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actual or anticipated changes in forecasts of financial performance, or changes in development timelines;</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Sales of a significant number of shares of our common stock in the public markets, or the perception that such sales could occur, could cause the market price of our common stock to drop significantly, even if our business is doing well.</w:t>
      </w:r>
    </w:p>
    <w:p>
      <w:pPr>
        <w:spacing w:after="0" w:line="141" w:lineRule="exact"/>
        <w:rPr>
          <w:sz w:val="20"/>
          <w:szCs w:val="20"/>
          <w:color w:val="auto"/>
        </w:rPr>
      </w:pPr>
    </w:p>
    <w:p>
      <w:pPr>
        <w:jc w:val="both"/>
        <w:ind w:right="60"/>
        <w:spacing w:after="0" w:line="278"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w:t>
      </w:r>
    </w:p>
    <w:p>
      <w:pPr>
        <w:spacing w:after="0" w:line="1" w:lineRule="exact"/>
        <w:rPr>
          <w:sz w:val="20"/>
          <w:szCs w:val="20"/>
          <w:color w:val="auto"/>
        </w:rPr>
      </w:pPr>
    </w:p>
    <w:p>
      <w:pPr>
        <w:jc w:val="right"/>
        <w:spacing w:after="0" w:line="234" w:lineRule="auto"/>
        <w:rPr>
          <w:sz w:val="20"/>
          <w:szCs w:val="20"/>
          <w:color w:val="auto"/>
        </w:rPr>
      </w:pPr>
      <w:r>
        <w:rPr>
          <w:rFonts w:ascii="Arial" w:cs="Arial" w:eastAsia="Arial" w:hAnsi="Arial"/>
          <w:sz w:val="18"/>
          <w:szCs w:val="18"/>
          <w:color w:val="auto"/>
        </w:rPr>
        <w:t>we will have outstanding              shares of common stock based on (i) 40,472,435 shares outstanding as of September 30, 2020 and (ii) shares of our common stock that we are selling in this offering, but not including any additional share issuable upon exercise of</w:t>
      </w:r>
    </w:p>
    <w:p>
      <w:pPr>
        <w:spacing w:after="0" w:line="1" w:lineRule="exact"/>
        <w:rPr>
          <w:sz w:val="20"/>
          <w:szCs w:val="20"/>
          <w:color w:val="auto"/>
        </w:rPr>
      </w:pPr>
    </w:p>
    <w:p>
      <w:pPr>
        <w:ind w:right="480"/>
        <w:spacing w:after="0" w:line="243" w:lineRule="auto"/>
        <w:rPr>
          <w:sz w:val="20"/>
          <w:szCs w:val="20"/>
          <w:color w:val="auto"/>
        </w:rPr>
      </w:pPr>
      <w:r>
        <w:rPr>
          <w:rFonts w:ascii="Arial" w:cs="Arial" w:eastAsia="Arial" w:hAnsi="Arial"/>
          <w:sz w:val="18"/>
          <w:szCs w:val="18"/>
          <w:color w:val="auto"/>
        </w:rPr>
        <w:t>outstanding stock options or any exercise by the underwriters of their option to purchase additional shares from us. The shares that we are selling in this offering may be resold in the public market immediately without restriction, unless purchased by our affiliates.</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our executive officers and directors and certain of our shareholders have agreed that, subject to certain exceptions, during the period ending 90 days after the date of this prospectus supplement, we and they will not offer, sell, contract to sell, pledge or otherwise dispose of, directly or indirectly, any of our common stock or securities convertible into or exchangeable or exercisable for any of our common stock, enter into a transaction that would have the same effect, or enter into any swap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the representatives of the underwriters, who may release any of the securities subject to these lock-up agreements at any time without notice. Exceptions to the lock-up restrictions are described in more detail in this prospectus supplement under the caption "Underwriters." J.P. Morgan Securities LLC, Morgan Stanley &amp; Co. LLC and BofA Securities, Inc. may, in their discretion, permit us or our stockholders who are subject to these lock-up agreements to sell shares prior to the expiration of the lock-up agreements.</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shares are eligible for sale in the public market under Rule 144 of the Securities Act, subject in certain cases to the volume limitations and other conditions of Rule 144 applicable to affiliates, after the earlier of the expiration of, or release from, the lock-up period. The holders of these shares may at any time decide to sell their shares in the public market.</w:t>
      </w:r>
    </w:p>
    <w:p>
      <w:pPr>
        <w:spacing w:after="0" w:line="171"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Moreover, holders of an aggregate of approximately 2,744,000 shares of our common stock as of December 31, 2020, have rights, subject to some conditions, to require us to file registration statements covering their shares or to include their shares in registration statements that we may file for ourselves or other stockholders. We have also registered all shares of common stock that we may issue under our equity compensation plans. As a result, these shares can be freely sold in the public market upon issuance, subject to volume limitations applicable to affiliates and the lock-up agreements described above, to the extent applicable.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financial condition and need for additional capital</w:t>
      </w:r>
    </w:p>
    <w:p>
      <w:pPr>
        <w:spacing w:after="0" w:line="224" w:lineRule="exact"/>
        <w:rPr>
          <w:sz w:val="20"/>
          <w:szCs w:val="20"/>
          <w:color w:val="auto"/>
        </w:rPr>
      </w:pPr>
    </w:p>
    <w:p>
      <w:pPr>
        <w:ind w:right="480"/>
        <w:spacing w:after="0" w:line="249" w:lineRule="auto"/>
        <w:rPr>
          <w:sz w:val="20"/>
          <w:szCs w:val="20"/>
          <w:color w:val="auto"/>
        </w:rPr>
      </w:pPr>
      <w:r>
        <w:rPr>
          <w:rFonts w:ascii="Arial" w:cs="Arial" w:eastAsia="Arial" w:hAnsi="Arial"/>
          <w:sz w:val="18"/>
          <w:szCs w:val="18"/>
          <w:b w:val="1"/>
          <w:bCs w:val="1"/>
          <w:i w:val="1"/>
          <w:iCs w:val="1"/>
          <w:color w:val="auto"/>
        </w:rPr>
        <w:t>We have a limited operating history and have incurred significant losses since inception. Our only product approved for sale is DANYELZA, which only recently received approval and we have never generated any substantial revenue from product sales. We expect to incur significant losses for the foreseeable future. We may never achieve or maintain profitability, which may cause the market value of our common stock to decline significantly.</w:t>
      </w:r>
    </w:p>
    <w:p>
      <w:pPr>
        <w:spacing w:after="0" w:line="167" w:lineRule="exact"/>
        <w:rPr>
          <w:sz w:val="20"/>
          <w:szCs w:val="20"/>
          <w:color w:val="auto"/>
        </w:rPr>
      </w:pPr>
    </w:p>
    <w:p>
      <w:pPr>
        <w:ind w:right="820"/>
        <w:spacing w:after="0" w:line="278" w:lineRule="auto"/>
        <w:rPr>
          <w:sz w:val="20"/>
          <w:szCs w:val="20"/>
          <w:color w:val="auto"/>
        </w:rPr>
      </w:pPr>
      <w:r>
        <w:rPr>
          <w:rFonts w:ascii="Arial" w:cs="Arial" w:eastAsia="Arial" w:hAnsi="Arial"/>
          <w:sz w:val="16"/>
          <w:szCs w:val="16"/>
          <w:color w:val="auto"/>
        </w:rPr>
        <w:t>We are a commercial-stage biopharmaceutical company with a limited operating history. Since our inception in 2015, we have incurred significant losses each year. Our net losses were $81.0 million for the year ended December 31, 2019 and we estimate net losses of</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$119.6 million for the year ended December 31, 2020. As of December 31, 2020 we estimate that our accumulated deficit will be approximately $286.0 million. We have financed our operations principally through private placements, the initial public offering of our common stock in 2018 as well as our public offering in November 2019. This financial data for the year ended December 31, 2020 is preliminary and is subject to change upon completion of our financial statement closing procedures. There can be no assurance that such financial data for the year ended December 31, 2020 will not differ from these estimates, including as a result of review adjustments, and any such changes could be material. The preliminary financial data included in this prospectus supplement has been prepared by and is the responsibility of our management. See the section "Prospectus Supplement Summary—Financial Update" for more information. PricewaterhouseCoopers LLP has not audited, reviewed, compiled, or applied agreed-upon procedures with respect to the preliminary financial data. Accordingly, PricewaterhouseCoopers LLP does not express an opinion or any other form of assurance with respect thereto. These results could change as a result of further review. Complete financial results for the year ended December 31, 2020 will be included in our Annual Report on Form 10-K.</w:t>
      </w:r>
    </w:p>
    <w:p>
      <w:pPr>
        <w:spacing w:after="0" w:line="37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To date, we have devoted substantially all our efforts to research and development of DANYELZA our only approved product and our other lead product candidate omburtamab. On November 25, 2020, DANYELZA was approved by the FDA for the treatment, in combination with GM-CSF, of pediatric patients 1 year of age and older and adult patients R/R high-risk NB, in the bone or bone marrow who have demonstrated a partial response, minor response, or stable disease to prior therapy. While our lead product candidate omburtamab is in registration stage clinical development, no assurance can be given that we will receive regulatory approval for the sale of omburtamab or other product candidates in the near term, if at all. Our other product candidates are in the early stages of clinical development or pre-clinical research. As a result, we expect that it will be a number of years, if ever, before we have any of these other product candidates approved and ready for commercialization.</w:t>
      </w:r>
    </w:p>
    <w:p>
      <w:pPr>
        <w:spacing w:after="0" w:line="15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The net losses we incur may fluctuate significantly from quarter to quarter. Our only product approved for sale is DANYELZA, which only recently received approval and we have never generated any substantial revenue from product sales. We have only begun very limited sales and shipments of DANYELZA since February 2021 and we do not anticipate generating any substantial revenue from product sales until DANYELZA has been on the market for a period of time. No assurance can be given that we will ever receive regulatory approval for any of our product candidates other than DANYELZA. Our ability to generate revenue and achieve profitability depends significantly on our success in many factors, including:</w:t>
      </w:r>
    </w:p>
    <w:p>
      <w:pPr>
        <w:spacing w:after="0" w:line="184" w:lineRule="exact"/>
        <w:rPr>
          <w:sz w:val="20"/>
          <w:szCs w:val="20"/>
          <w:color w:val="auto"/>
        </w:rPr>
      </w:pPr>
    </w:p>
    <w:p>
      <w:pPr>
        <w:ind w:left="540" w:right="300" w:hanging="532"/>
        <w:spacing w:after="0" w:line="26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successful launch and commercialization of DANYELZA and our product candidates for which we may obtain regulatory approvals and marketing authorizations, either directly or with a collaborator or distributor;</w:t>
      </w:r>
    </w:p>
    <w:p>
      <w:pPr>
        <w:spacing w:after="0" w:line="157" w:lineRule="exact"/>
        <w:rPr>
          <w:rFonts w:ascii="Arial" w:cs="Arial" w:eastAsia="Arial" w:hAnsi="Arial"/>
          <w:sz w:val="18"/>
          <w:szCs w:val="18"/>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completing research regarding, and non-clinical and clinical development of, our product candidates;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520" w:hanging="532"/>
        <w:spacing w:after="0" w:line="269"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approvals, marketing authorizations and coverage and reimbursements from payors for DANYELZA and other product candidates for which we complete clinical studies;</w:t>
      </w:r>
    </w:p>
    <w:p>
      <w:pPr>
        <w:spacing w:after="0" w:line="157" w:lineRule="exact"/>
        <w:rPr>
          <w:rFonts w:ascii="Arial" w:cs="Arial" w:eastAsia="Arial" w:hAnsi="Arial"/>
          <w:sz w:val="18"/>
          <w:szCs w:val="18"/>
          <w:color w:val="auto"/>
        </w:rPr>
      </w:pPr>
    </w:p>
    <w:p>
      <w:pPr>
        <w:ind w:left="540" w:right="200" w:hanging="532"/>
        <w:spacing w:after="0" w:line="252"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and maintaining a sustainable and scalable manufacturing process for DANYELZA and our other product candidates, including establishing and maintaining commercially viable supply relationships with third parties including Patheon/Thermo Fisher and EMD/Merck or establishing our own manufacturing capabilities and infrastructure;</w:t>
      </w:r>
    </w:p>
    <w:p>
      <w:pPr>
        <w:spacing w:after="0" w:line="158" w:lineRule="exact"/>
        <w:rPr>
          <w:rFonts w:ascii="Arial" w:cs="Arial" w:eastAsia="Arial" w:hAnsi="Arial"/>
          <w:sz w:val="18"/>
          <w:szCs w:val="18"/>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market acceptance of DANYELZA and our product candidates as viable treatment options;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addressing any competing products, product candidates, related technologies and/or market developments;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distribution or other arrangements into which we may enter;</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adequately financing our operations at acceptable terms.</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anticipate incurring research, development, clinical trial, manufacturing and marketing costs associated with commercializing even approved products such as DANYELZA. Our expenses could increase beyond expectations if we are required by the FDA or other regulatory agencies, domestic or foreign, to change our manufacturing processes or assays, or to perform clinical, non-clinical, or other types of studies in addition to those that we currently anticipate. If we are successful in obtaining regulatory approvals to market more of our product candidates, such as DANYELZA in the US, our revenue will be dependent, in part, upon the size of the markets in the territories for which we gain regulatory approval, the accepted price for the product, the ability to obtain reimbursement at any price, and whether we own the commercial rights for that territory. If the number of our addressable disease patients is not as significant as we estimate, the indication approved by regulatory authorities is narrower than we expect, or the reasonably expected population for treatment is narrowed by competition, physician choice or treatment guidelines, we may not generate significant revenue from sales of such products, even if approved. If we are not able to generate sufficient revenue from the sale of DANYELZA or any other approved products, we may never become profitable.</w:t>
      </w:r>
    </w:p>
    <w:p>
      <w:pPr>
        <w:spacing w:after="0" w:line="364"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14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were incorporated and began our operations on April 30, 2015. Our operations to date have been limited to organizing and staffing our company, business planning, raising capital, conducting clinical trials of DANYELZA and our lead product candidates and conducting pre-clinical studies and clinical trials of our other product candidates, and identifying additional potential product candidates. We have not yet demonstrated our ability to successfully conduct sales and marketing activities necessary for successful drug commercialization. Typically, it takes about six to 10 years to develop a new drug from the time it is in Phase 1 clinical trials to when it is approved for treating patients, but in many cases it may take longer. Consequently, any predictions you make about our future success or viability may not be as accurate as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they could be if we had a longer operating history or a history of successfully developing and commercializing pharmaceutical products. In addition, as a business with a limited operating history, we may encounter unforeseen expenses, difficulties, complications, delays and other known and unknown factors as we continue to develop and commercialize DANYELZA and our other product candidates.</w:t>
      </w:r>
    </w:p>
    <w:p>
      <w:pPr>
        <w:spacing w:after="0" w:line="17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b w:val="1"/>
          <w:bCs w:val="1"/>
          <w:i w:val="1"/>
          <w:iCs w:val="1"/>
          <w:color w:val="auto"/>
        </w:rPr>
        <w:t>Our payment obligations to MSK and MIT may be a drain on our cash resources, or may cause us to incur debt obligations or issue additional equity securities to satisfy such payment obligations, which may adversely affect our financial position and results of operations.</w:t>
      </w:r>
    </w:p>
    <w:p>
      <w:pPr>
        <w:spacing w:after="0" w:line="16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the MSK License, we have committed to funding scientific research as well as conducting certain clinical trial activities at MSK. As licensed product candidates progress through clinical development and commercialization, certain milestone payments will come due, and we will owe MSK customary royalties on commercial sales of our approved products, if any. These milestone payments become due upon achievement of the related clinical, regulatory or sales-based milestone set forth in the MSK License and all milestones are accrued for when they are probable and estimable. Certain of the clinical and regulatory milestone payments become due at the earlier of completion of the related milestone activity or the date indicated in the MSK License, whether or not the milestone activity has been achieved. Total clinical and regulatory milestones potentially due under the MSK License are $2,450,000 and $9,000,000, respectively. There are also sales-based milestones that become due should we achieve certain amounts of sales of licensed products with total sales-based milestones potentially due of $20,000,000. Under the MSK CD33 License, we are obligated to make potential payments of $550,000, $500,000 and $7,500,000 for clinical, regulatory and sales-based milestones, respectively.</w:t>
      </w:r>
    </w:p>
    <w:p>
      <w:pPr>
        <w:spacing w:after="0" w:line="188"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In addition, we have committed to acquire certain personnel and laboratory services at MSK under a Master Data Services Agreement, or MDSA, and two separate Core Facility Service Agreements, or CFSAs. We have also entered into an Investigator-Sponsored Master Clinical Trial Agreement, or the MCTA, with MSK under which we will provide drug product and funding for certain clinical trials at MSK under separate appendices to be executed. Additionally, we have entered into a Sponsored Research Agreement, or the SRA, with MSK pursuant to which we paid MSK to conduct certain research projects over a period of five years related to the intellectual property licensed under the MSK License. The SRA was amended on September 13, 2019, and will expire five years from the date of the amendment. We entered into a Manufacturing Agreement with MSK's Radiochemistry and Molecular Imaging Probes Core Facility, or RMIP, pursuant to which RMIP will complete specified</w:t>
      </w:r>
    </w:p>
    <w:p>
      <w:pPr>
        <w:spacing w:after="0" w:line="1" w:lineRule="exact"/>
        <w:rPr>
          <w:sz w:val="20"/>
          <w:szCs w:val="20"/>
          <w:color w:val="auto"/>
        </w:rPr>
      </w:pPr>
    </w:p>
    <w:p>
      <w:pPr>
        <w:jc w:val="both"/>
        <w:ind w:right="300"/>
        <w:spacing w:after="0" w:line="212" w:lineRule="auto"/>
        <w:rPr>
          <w:sz w:val="20"/>
          <w:szCs w:val="20"/>
          <w:color w:val="auto"/>
        </w:rPr>
      </w:pPr>
      <w:r>
        <w:rPr>
          <w:rFonts w:ascii="Arial" w:cs="Arial" w:eastAsia="Arial" w:hAnsi="Arial"/>
          <w:sz w:val="18"/>
          <w:szCs w:val="18"/>
          <w:color w:val="auto"/>
        </w:rPr>
        <w:t xml:space="preserve">manufacturing activities related to </w:t>
      </w:r>
      <w:r>
        <w:rPr>
          <w:rFonts w:ascii="Arial" w:cs="Arial" w:eastAsia="Arial" w:hAnsi="Arial"/>
          <w:sz w:val="29"/>
          <w:szCs w:val="29"/>
          <w:color w:val="auto"/>
          <w:vertAlign w:val="superscript"/>
        </w:rPr>
        <w:t>131</w:t>
      </w:r>
      <w:r>
        <w:rPr>
          <w:rFonts w:ascii="Arial" w:cs="Arial" w:eastAsia="Arial" w:hAnsi="Arial"/>
          <w:sz w:val="18"/>
          <w:szCs w:val="18"/>
          <w:color w:val="auto"/>
        </w:rPr>
        <w:t>I-omburtamab in connection with Study 101. We also remain responsible for any potential downstream payment obligations to MSK related to the GD2-GD3 Vaccine. This includes our obligation to make development milestone payments totaling $1,400,000 and mid single-digit royalty payments to MSK.</w:t>
      </w:r>
    </w:p>
    <w:p>
      <w:pPr>
        <w:spacing w:after="0" w:line="18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April 2020, we entered into the SADA License Agreement which requires us to pay to MSK and MIT mid to high single-digit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SADA License. These amounts are nonrefundable but are creditable against royalty payments otherwise due under the SADA License. We are also obligated to pay to MSK and MIT certain clinical, regulatory and sales-based milestone payments under the SADA License Agreement. Certain of the clinical and regulatory milestone payments become due at the earlier of completion of the related milestone activity or the date indicated in the SADA License Agreement. Total clinical and regulatory milestone payments potentially due under the SADA License Agreement are $4,730,000 and $18,125,000, respectively. Additionally, we are also obligated to make sales-based milestones payments totaling $23,750,000, that become due should the Company achieve certain amounts of sales of licensed products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under the SADA License. In addition, for each of the SADA constructs generated by MSK and sold for the Company by a sublicensee of the Company, the Company may pay sales-based milestone payments in the total amount of $60,000,000 based on the achievement of various levels of cumulative net sales by the sublicensee. Under the SADA License Agreement, we have also committed to fund scientific research at MSK under a Sponsored Research Agreement for up to $1,500,000 over the next three years.</w:t>
      </w:r>
    </w:p>
    <w:p>
      <w:pPr>
        <w:spacing w:after="0" w:line="177" w:lineRule="exact"/>
        <w:rPr>
          <w:sz w:val="20"/>
          <w:szCs w:val="20"/>
          <w:color w:val="auto"/>
        </w:rPr>
      </w:pPr>
    </w:p>
    <w:p>
      <w:pPr>
        <w:jc w:val="both"/>
        <w:ind w:right="300"/>
        <w:spacing w:after="0" w:line="252" w:lineRule="auto"/>
        <w:rPr>
          <w:sz w:val="20"/>
          <w:szCs w:val="20"/>
          <w:color w:val="auto"/>
        </w:rPr>
      </w:pPr>
      <w:r>
        <w:rPr>
          <w:rFonts w:ascii="Arial" w:cs="Arial" w:eastAsia="Arial" w:hAnsi="Arial"/>
          <w:sz w:val="18"/>
          <w:szCs w:val="18"/>
          <w:color w:val="auto"/>
        </w:rPr>
        <w:t>These payments could be significant and in order to satisfy our obligations to MSK and MIT, if and when they are triggered, we may use our existing cash, incur debt obligations or issue additional equity securities, which may materially and adversely affect our financial position and results of operations.</w:t>
      </w:r>
    </w:p>
    <w:p>
      <w:pPr>
        <w:spacing w:after="0" w:line="172"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i w:val="1"/>
          <w:iCs w:val="1"/>
          <w:color w:val="auto"/>
        </w:rPr>
        <w:t>We will need substantial additional funding until at least such time as we can generate substantial revenue from product sales. If we fail to obtain additional funding until at least such time as we can generate substantial revenue from product sales, we may be forced to delay, reduce or eliminate our research and drug development programs or current or future commercialization efforts and our license and other agreements may be terminated.</w:t>
      </w:r>
    </w:p>
    <w:p>
      <w:pPr>
        <w:spacing w:after="0" w:line="16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Developing pharmaceutical products, including conducting pre-clinical studies and clinical trials, is a very time-consuming, expensive and uncertain process that takes years to complete. We expect our expenses to increase in connection with our ongoing activities, particularly as we commence sales and marketing of DANYELZA and conduct clinical trials of, and seek marketing approval for our lead product candidate omburtamab and our other product candidates. We expect to incur commercialization expenses, which may be significant, related to product sales, marketing, manufacturing and distribution of DANYELZA or our product candidates to the extent that such sales, marketing, manufacturing and distribution are not the responsibility of any collaborator that we may have at such time for any such product candidate. Furthermore, we expect to incur additional costs associated with operating as a public company. Accordingly, until at least such time as we can generate substantial revenues from sales of DANYELZA or our product candidates, if approved, we will need to obtain substantial additional funding in connection with our continuing operations. If we are unable to raise sufficient amounts of additional capital when needed or on attractive terms, we may be forced to delay, reduce or eliminate our research and drug development programs or our future commercialization efforts.</w:t>
      </w:r>
    </w:p>
    <w:p>
      <w:pPr>
        <w:spacing w:after="0" w:line="186"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Based upon preliminary estimates and information available to us as of the date of this prospectus supplement, we expect to report that we had approximately $115.0 million of cash and cash equivalents as of December 31, 2020, see the section "Prospectus Supplement Summary—</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Financial Update." We estimate that the net proceeds from this offering will be approximately </w:t>
      </w:r>
      <w:r>
        <w:rPr>
          <w:rFonts w:ascii="Arial" w:cs="Arial" w:eastAsia="Arial" w:hAnsi="Arial"/>
          <w:sz w:val="18"/>
          <w:szCs w:val="18"/>
          <w:b w:val="1"/>
          <w:bCs w:val="1"/>
          <w:color w:val="auto"/>
        </w:rPr>
        <w:t>$</w:t>
      </w:r>
      <w:r>
        <w:rPr>
          <w:rFonts w:ascii="Arial" w:cs="Arial" w:eastAsia="Arial" w:hAnsi="Arial"/>
          <w:sz w:val="18"/>
          <w:szCs w:val="18"/>
          <w:color w:val="auto"/>
        </w:rPr>
        <w:t xml:space="preserve"> million after deducting estimated offering expenses payable by us. We believe that such proceeds, together with our existing cash and cash equivalents, the proceeds we received in January 2021 from the sale of the PRV in connection with the approval of naxitamab, and assuming we receive FDA approval for omburtamab and the sale of the PRV related to such approval, will be sufficient to fund our operations through the fourth quarter of 2023. This financial information has been prepared by and is the responsibility of our management. Our independent registered public accounting firm, PricewaterhouseCoopers LLP, has not audited, reviewed, compiled, or applied agreed-upon procedures with respect to the preliminary financial data. Accordingly, PricewaterhouseCoopers LLP does not express an opinion or any other form of assurance with respect thereto. These results could change as a result of further review. Complete financial results for the year ended December 31, 2020 will be included in our Annual Report on Form 10-K.</w:t>
      </w:r>
    </w:p>
    <w:p>
      <w:pPr>
        <w:spacing w:after="0" w:line="185" w:lineRule="exact"/>
        <w:rPr>
          <w:sz w:val="20"/>
          <w:szCs w:val="20"/>
          <w:color w:val="auto"/>
        </w:rPr>
      </w:pPr>
    </w:p>
    <w:p>
      <w:pPr>
        <w:jc w:val="both"/>
        <w:ind w:right="280"/>
        <w:spacing w:after="0" w:line="246" w:lineRule="auto"/>
        <w:rPr>
          <w:sz w:val="20"/>
          <w:szCs w:val="20"/>
          <w:color w:val="auto"/>
        </w:rPr>
      </w:pPr>
      <w:r>
        <w:rPr>
          <w:rFonts w:ascii="Arial" w:cs="Arial" w:eastAsia="Arial" w:hAnsi="Arial"/>
          <w:sz w:val="18"/>
          <w:szCs w:val="18"/>
          <w:color w:val="auto"/>
        </w:rPr>
        <w:t>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if we choose to expand more rapidly than we presently anticipate.</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In addition, we cannot be certain that additional funding will be available on acceptable terms, or at all.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the agreements. We could be required to seek collaborators for DANYELZA 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62" w:lineRule="exact"/>
        <w:rPr>
          <w:sz w:val="20"/>
          <w:szCs w:val="20"/>
          <w:color w:val="auto"/>
        </w:rPr>
      </w:pPr>
    </w:p>
    <w:p>
      <w:pPr>
        <w:ind w:right="86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DANYELZA or our product candidates on terms unfavorable to us.</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expect our expenses to increase in connection with our planned operations. Until such time, if ever, as we can generate substantial revenues from the sale of DANYELZA and our product candidates, if approved, we expect to finance our cash needs through a combination of cash on hand, equity offerings, debt financings, collaborations, strategic alliances and/or licensing arrangements. To the extent that we raise additional capital through the sale of equity or convertible debt securities, ownership interests will be diluted, and the terms of these securities could include liquidation or other preferences and anti-dilution protections that could adversely affect the rights of common stockholders. In addition, debt financing, if available, would result in fixed payment obligations and may involve agreements that include restrictive covenants that limit our ability to take specific actions, such as incurring additional debt, making capital expenditures or acquisitions, limiting our ability to conduct licensing transactions,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commercialization of DANYELZA or other products, if approved, or development of our product candidates.</w:t>
      </w:r>
    </w:p>
    <w:p>
      <w:pPr>
        <w:spacing w:after="0" w:line="36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related to our intellectual property, future revenue streams or any of our future product candidates or grant licenses on terms that may not be favorable to us. If we are unable to raise additional funds when needed, we may be required to delay, reduce and/or eliminate our product development or current or future commercialization efforts or grant rights to develop and market products or product candidates that we would otherwise prefer to develop and market ourselves.</w:t>
      </w:r>
    </w:p>
    <w:p>
      <w:pPr>
        <w:spacing w:after="0" w:line="181" w:lineRule="exact"/>
        <w:rPr>
          <w:sz w:val="20"/>
          <w:szCs w:val="20"/>
          <w:color w:val="auto"/>
        </w:rPr>
      </w:pPr>
    </w:p>
    <w:p>
      <w:pPr>
        <w:ind w:right="660"/>
        <w:spacing w:after="0" w:line="343" w:lineRule="auto"/>
        <w:rPr>
          <w:sz w:val="20"/>
          <w:szCs w:val="20"/>
          <w:color w:val="auto"/>
        </w:rPr>
      </w:pPr>
      <w:r>
        <w:rPr>
          <w:rFonts w:ascii="Arial" w:cs="Arial" w:eastAsia="Arial" w:hAnsi="Arial"/>
          <w:sz w:val="16"/>
          <w:szCs w:val="16"/>
          <w:b w:val="1"/>
          <w:bCs w:val="1"/>
          <w:i w:val="1"/>
          <w:iCs w:val="1"/>
          <w:color w:val="auto"/>
        </w:rPr>
        <w:t>We may expand our resources to pursue a particular product or product candidate or indication and fail to capitalize on other products or product candidates or indications that may be more profitable or for which there is a greater likelihood of success.</w:t>
      </w:r>
    </w:p>
    <w:p>
      <w:pPr>
        <w:spacing w:after="0" w:line="9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intend to focus our efforts and managerial resources on specific products and product candidates and on specific indications such as DANYELZA for the treatment of relapsed/refractory high-risk neuroblastoma in bone and/or bone marrow and omburtamab for central nervous system leptomeningeal metastases from neuroblastoma. As a result, we may forgo or delay pursuit of opportunities with other products or product candidates or for other indications that may prove to have greater commercial potential. Our resource allocation decisions may cause us to fail to capitalize on viable commercial products or profitable market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opportunities. Failure to properly assess potential product candidates for 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If we do not accurately evaluate the commercial potential or target market for a particular product candidate, we may relinquish valuable rights to that product candidate through partnering, licensing or other royalty arrangements in cases in which it would have been more advantageous for us to retain sole development and commercialization rights to such product candidate or product.</w:t>
      </w:r>
    </w:p>
    <w:p>
      <w:pPr>
        <w:spacing w:after="0" w:line="184"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b w:val="1"/>
          <w:bCs w:val="1"/>
          <w:i w:val="1"/>
          <w:iCs w:val="1"/>
          <w:color w:val="auto"/>
        </w:rPr>
        <w:t>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16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Management performed its initial assessment of the effectiveness of internal control over financial reporting. This assessment included disclosures of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We have undertaken and are executing the activities necessary to remediate the material weaknesses identified in our assessment.</w:t>
      </w:r>
    </w:p>
    <w:p>
      <w:pPr>
        <w:spacing w:after="0" w:line="18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connection with the audit of our financial statements for the years ended December 31, 2019 and 2018, it was determined that we lack a sufficient number of trained professionals with an appropriate level of accounting knowledge, training and experience to: (a) design and maintain formal accounting policies, procedures and controls over the fair presentation of our financial statements; (b) analyze, record and disclose complex accounting matters timely and accurately, including share based compensation arrangements and accounting for license arrangements; and (c) design and maintain controls over the preparation and review of account reconciliations, journal entries and financial statements, including maintaining appropriate segregation of duties.</w:t>
      </w:r>
    </w:p>
    <w:p>
      <w:pPr>
        <w:spacing w:after="0" w:line="18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Each of these control deficiencies could result in a misstatement of these accounts or disclosures that would result in a material misstatement of our annual or interim consolidated financial statements that would not be prevented or detected, and accordingly, it was determined that these control deficiencies constitute material weaknesses.</w:t>
      </w:r>
    </w:p>
    <w:p>
      <w:pPr>
        <w:spacing w:after="0" w:line="17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 are taking steps to address the material weaknesses identified above and have hired three additional finance and accounting professionals in 2019 and 2020, to a total of seven professionals to help mitigate the identified material weaknesses in our internal control over financial reporting by increasing the oversight and review procedures with regard to segregation of duties, financial reporting, financial processes and procedures and internal control procedures. Of these three additional finance and accounting professionals one has SEC reporting and accounting experience, and two have experience in internal controls and financial controlling. We have implemented, designed and are testing the operating effectiveness of controls to potentially remediate the material weakness. We have designed and are testing controls to remediate the control gaps identified in our annual assessment. No assurance can be given that these or other measures will fully remediate the material weaknesses described above in a timely manner. Additionally, if the costs related to compliance are significant, our results of operations and financial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80"/>
        <w:spacing w:after="0" w:line="277" w:lineRule="auto"/>
        <w:rPr>
          <w:sz w:val="20"/>
          <w:szCs w:val="20"/>
          <w:color w:val="auto"/>
        </w:rPr>
      </w:pPr>
      <w:r>
        <w:rPr>
          <w:rFonts w:ascii="Arial" w:cs="Arial" w:eastAsia="Arial" w:hAnsi="Arial"/>
          <w:sz w:val="16"/>
          <w:szCs w:val="16"/>
          <w:color w:val="auto"/>
        </w:rPr>
        <w:t>condition may be materially adversely affected. If we are unable to remediate the material weaknesses, or otherwise maintain effective internal control over financial reporting, we may not be able to report our financial results accurately, prevent fraud or file our periodic reports in a timely manner.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No assurance can be given that all of our existing material weaknesses have been identified, or that we will not in the future identify additional material weaknesses.</w:t>
      </w:r>
    </w:p>
    <w:p>
      <w:pPr>
        <w:spacing w:after="0" w:line="15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will be required to formally attest to the effectiveness of our internal control over financial reporting pursuant to Section 404(a) of the Sarbanes-Oxley Act and our independent registered public accounting firm will be required to formally attest to the effectiveness of our internal control over financial reporting pursuant to Section 404(b) of the Sarbanes-Oxley Act for the year ended December 31, 2020. We will no longer be an "emerging growth company" as of December 31, 2020 as the market value of our common stock held by non-affiliates exceeded $700.0 million as of June 30, 2020. As of the date of this offering, our independent registered public accounting firm has not finalized its work with respect to its audit of our financial statements or the effectiveness of our internal control over financial reporting pursuant to Section 404(b) of the Sarbanes-Oxley Act for the year ended December 31, 2020 and when that work is finalized, if the material weaknesses discussed above are not remediated or if additional material weaknesses related to our internal controls are identified, we may conclude that our internal controls are not effective and our independent registered public accounting firm will not be able to attest that our internal controls over financial reporting are effective pursuant to Section 404(b) of the Sarbanes-Oxley Act for the year ended December 31, 2020. Our remediation efforts may not enable us to avoid material weaknesses in our internal control over financial reporting in the future. An adverse report on the effectiveness of our internal control over financial reporting pursuant to Section 404(b) of the Sarbanes-Oxley Act for the year ended December 31, 2020, by our independent registered public accounting firm could have a material adverse impact on our company and financial statements and we may not be able to accurately or timely report our financial condition or results of operations, which may adversely affect investor confidence in us and, as a result, the value of our common stock.</w:t>
      </w:r>
    </w:p>
    <w:p>
      <w:pPr>
        <w:spacing w:after="0" w:line="18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Global Select Market or other adverse consequences that would materially harm our business. If we cannot provide reliable financial reports or prevent fraud, or error, our business and results of operations could be harmed and investors could lose confidence in our reported financial information. Any of the foregoing occurrences, should they come to pass, could negatively impact the public perception of our company, which could have a negative impact on our stock price.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product development and commercialization</w:t>
      </w:r>
    </w:p>
    <w:p>
      <w:pPr>
        <w:spacing w:after="0" w:line="224"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i w:val="1"/>
          <w:iCs w:val="1"/>
          <w:color w:val="auto"/>
        </w:rPr>
        <w:t>Our only approved product DANYELZA, our product candidates and related technologies are novel approaches to cancer treatment that present significant challenges, and our ability to generate product revenue is dependent on the success of DANYELZA or one or more of our product candidates, which might require additional clinical testing before we can seek regulatory approval and begin commercial sales.</w:t>
      </w:r>
    </w:p>
    <w:p>
      <w:pPr>
        <w:spacing w:after="0" w:line="16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only approved product DANYELZA, our product candidates and related technologies represent novel approaches to cancer treatment generally. Developing and commercializing these products therefore subjects us to a number of challenges. To date we have not generated any substantial revenues from sales of DANYELZA which is currently our only approved product. We may never be able to develop another marketable product. Our ability to generate product revenue is highly dependent on our ability to successfully commercialize DANYELZA and to obtain additional regulatory approvals of and successfully commercialize additional product candidates including in particular omburtamab. This will require additional clinical and non-clinical development, regulatory review and approval in each jurisdiction in which we intend to market them, substantial investment, access to sufficient commercial manufacturing capacity, and significant marketing efforts. We cannot be certain that any other of our product candidates will be successful in clinical studies and they may not receive regulatory approval even if they are successful in clinical studies.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our product candidates in development will depend on several factors, including the following:</w:t>
      </w:r>
    </w:p>
    <w:p>
      <w:pPr>
        <w:spacing w:after="0" w:line="212"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and timely completion of our ongoing clinical trials;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initiation and successful patient enrollment and completion of additional clinical trials on a timely basis;</w:t>
      </w:r>
    </w:p>
    <w:p>
      <w:pPr>
        <w:spacing w:after="0" w:line="198" w:lineRule="exact"/>
        <w:rPr>
          <w:rFonts w:ascii="Arial" w:cs="Arial" w:eastAsia="Arial" w:hAnsi="Arial"/>
          <w:sz w:val="18"/>
          <w:szCs w:val="18"/>
          <w:color w:val="auto"/>
        </w:rPr>
      </w:pPr>
    </w:p>
    <w:p>
      <w:pPr>
        <w:ind w:left="540" w:right="460" w:hanging="532"/>
        <w:spacing w:after="0" w:line="269"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safety, tolerability and efficacy profiles that are satisfactory to the FDA or any comparable foreign regulatory authority for marketing approval;</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receipt of marketing and reimbursement approvals for our lead product candidates from applicable regulatory authorities;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and drug product suppliers and manufacturers;</w:t>
      </w:r>
    </w:p>
    <w:p>
      <w:pPr>
        <w:spacing w:after="0" w:line="211" w:lineRule="exact"/>
        <w:rPr>
          <w:rFonts w:ascii="Arial" w:cs="Arial" w:eastAsia="Arial" w:hAnsi="Arial"/>
          <w:sz w:val="18"/>
          <w:szCs w:val="18"/>
          <w:color w:val="auto"/>
        </w:rPr>
      </w:pPr>
    </w:p>
    <w:p>
      <w:pPr>
        <w:ind w:left="540" w:right="560" w:hanging="532"/>
        <w:spacing w:after="0" w:line="269"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establishment of scaled production arrangements with third-party manufacturers to obtain finished products that are appropriately packaged for sale;</w:t>
      </w:r>
    </w:p>
    <w:p>
      <w:pPr>
        <w:spacing w:after="0" w:line="143" w:lineRule="exact"/>
        <w:rPr>
          <w:rFonts w:ascii="Arial" w:cs="Arial" w:eastAsia="Arial" w:hAnsi="Arial"/>
          <w:sz w:val="18"/>
          <w:szCs w:val="18"/>
          <w:color w:val="auto"/>
        </w:rPr>
      </w:pPr>
    </w:p>
    <w:p>
      <w:pPr>
        <w:ind w:left="540" w:right="1000" w:hanging="532"/>
        <w:spacing w:after="0" w:line="269"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 including our licensed intellectual property;</w:t>
      </w:r>
    </w:p>
    <w:p>
      <w:pPr>
        <w:spacing w:after="0" w:line="211" w:lineRule="exact"/>
        <w:rPr>
          <w:rFonts w:ascii="Arial" w:cs="Arial" w:eastAsia="Arial" w:hAnsi="Arial"/>
          <w:sz w:val="18"/>
          <w:szCs w:val="18"/>
          <w:color w:val="auto"/>
        </w:rPr>
      </w:pPr>
    </w:p>
    <w:p>
      <w:pPr>
        <w:ind w:left="540" w:right="600" w:hanging="532"/>
        <w:spacing w:after="0" w:line="269"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 including the hiring of a direct salesforce and creation of marketing campaigns;</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 acceptance by physicians and patients, the medical community and third-party payors; and</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12"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w:t>
      </w:r>
    </w:p>
    <w:p>
      <w:pPr>
        <w:spacing w:after="0" w:line="172"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DANYELZA and our lead product candidate omburtamab are our most advanced product and product candidate. Because our other product candidates are based on similar technology, if DANYELZA or omburtamab encounter safety or efficacy problems, developmental delays, regulatory issues, or other problems, our development plans and business could be significantly harmed. Further, competitors who are developing products with similar technology may experience problems with their products that could identify problems that would potentially harm our business.</w:t>
      </w:r>
    </w:p>
    <w:p>
      <w:pPr>
        <w:spacing w:after="0" w:line="181"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We have limited experience operating as a commercial company and the marketing and sale of DANYELZA or any future approved products may be unsuccessful or less successful than anticipated.</w:t>
      </w:r>
    </w:p>
    <w:p>
      <w:pPr>
        <w:spacing w:after="0" w:line="14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While we are initiating the commercial launch of DANYELZA in the United States, we have limited experience as a commercial company and there is limited information about our ability to successfully overcome many of the risks and uncertainties encountered by companies commercializing drugs in the biopharmaceutical industry. To execute our business plan, in addition to successfully marketing and selling DANYELZA, we will need to successfully:</w:t>
      </w:r>
    </w:p>
    <w:p>
      <w:pPr>
        <w:spacing w:after="0" w:line="177" w:lineRule="exact"/>
        <w:rPr>
          <w:sz w:val="20"/>
          <w:szCs w:val="20"/>
          <w:color w:val="auto"/>
        </w:rPr>
      </w:pPr>
    </w:p>
    <w:p>
      <w:pPr>
        <w:ind w:left="540" w:hanging="532"/>
        <w:spacing w:after="0" w:line="269"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and maintain our relationships with healthcare providers who will be treating the patients who may receive our products and any future products;</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adequate pricing and reimbursement for DANYELZA and any future products;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gain regulatory authorization for the development and commercialization of our product candidates;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maintain successful strategic alliances;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accurately forecast demand for our products and scale manufacturing to meet that demand;</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marketing approvals, and commercialization;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and grow our relationship with MSK as a user of DANYELZA and any future products.</w:t>
      </w:r>
    </w:p>
    <w:p>
      <w:pPr>
        <w:spacing w:after="0" w:line="212" w:lineRule="exact"/>
        <w:rPr>
          <w:sz w:val="20"/>
          <w:szCs w:val="20"/>
          <w:color w:val="auto"/>
        </w:rPr>
      </w:pPr>
    </w:p>
    <w:p>
      <w:pPr>
        <w:ind w:right="560"/>
        <w:spacing w:after="0" w:line="269"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product candidates, commercialize DANYELZA or any future products, raise capital, expand our business, or continue our operations.</w:t>
      </w:r>
    </w:p>
    <w:p>
      <w:pPr>
        <w:spacing w:after="0" w:line="157"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The commercial success of DANYELZA and of any future approved products, will depend upon the degree of market acceptance by physicians, patients, third-party payors, and others in the medical community.</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commercial success of DANYELZA, and of any future approved products, will depend in part on market acceptance by physicians, patients, third-party payors, and others in the medical community. For example, current cancer treatments like surgery, chemotherapy or radiation therapy are well-established in the medical community, and doctors may continue to rely on these treatments. If DANYELZA or any future approved products do not achieve an adequate level of acceptance, we may not generate significant revenues from sales of drugs and we may not become profitable. The degree of market acceptance of</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DANYELZA, and of any future product, if approved for commercial sale, will depend on a number of factors, including:</w:t>
      </w:r>
    </w:p>
    <w:p>
      <w:pPr>
        <w:spacing w:after="0" w:line="212"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developing processes for the safe administration of our products, including long-term follow-up for all patients who receive the product;</w:t>
      </w:r>
    </w:p>
    <w:p>
      <w:pPr>
        <w:spacing w:after="0" w:line="221" w:lineRule="exact"/>
        <w:rPr>
          <w:rFonts w:ascii="Arial" w:cs="Arial" w:eastAsia="Arial" w:hAnsi="Arial"/>
          <w:sz w:val="16"/>
          <w:szCs w:val="16"/>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or the ability of any potential future collaborators, to offer the product for sale at competitive prices;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availability and amount of coverage and reimbursement from government payors, managed care plans and other third-party payors; and</w:t>
      </w:r>
    </w:p>
    <w:p>
      <w:pPr>
        <w:spacing w:after="0" w:line="221" w:lineRule="exact"/>
        <w:rPr>
          <w:rFonts w:ascii="Arial" w:cs="Arial" w:eastAsia="Arial" w:hAnsi="Arial"/>
          <w:sz w:val="16"/>
          <w:szCs w:val="16"/>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competitive product introductions and other actions by competitors in the marketplace.</w:t>
      </w:r>
    </w:p>
    <w:p>
      <w:pPr>
        <w:spacing w:after="0" w:line="212"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We have only recently established our marketing and sales organization and have only limited experience in marketing and sale of biopharmaceutical products. We may not be successful in commercializing DANYELZA or any future approved product unless we are able to maintain and expand our sales and marketing capabilities or enter into agreements with third parties to sell and market such approved products.</w:t>
      </w:r>
    </w:p>
    <w:p>
      <w:pPr>
        <w:spacing w:after="0" w:line="16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have only recently established our sales and marketing organization and have only limited experience in marketing and sale of biopharmaceutical products. We began small shipments of DANYELZA in February 2021. Other than our commercialization partnerships for DANYELZA and omburtamab covering certain territories outside the US with SciClone Pharmaceuticals International Ltd, Takeda Israel and Swixx Biopharma AG, we are not currently a party to any strategic collaboration that provides us with access to a collaborator's resources in selling or marketing drugs. To achieve commercial success for any future approved products we must successfully maintain and expand our sales and marketing organization or outsource these functions to strategic collaborators and other third parties. We have built our own focused, specialized sales and marketing organization in the United States. We continue to explore selectively establishing partnerships in markets outside the United States to support the commercialization of our product candidates for which we obtain marketing approval and that can be commercialized with such capabilities, and we are currently initiating the process of building our own sales capabilities in Europe, however, no assurance can be given that we will be successful in our efforts.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There are risks involved with both further establishing our own direct sales and marketing capabilities and entering into arrangements with third parties to perform these services. For example, recruiting and training even a small sales force can be expensive and time-consuming and could delay any commercial launch of a product candidate.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4"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color w:val="auto"/>
        </w:rPr>
        <w:t>Factors that may inhibit our efforts to commercialize our drugs on our own after obtaining any regulatory approval to gain market acceptance include:</w:t>
      </w:r>
    </w:p>
    <w:p>
      <w:pPr>
        <w:spacing w:after="0" w:line="157"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raise financing necessary to maintain and grow our commercialization infrastructure;</w:t>
      </w:r>
    </w:p>
    <w:p>
      <w:pPr>
        <w:spacing w:after="0" w:line="198" w:lineRule="exact"/>
        <w:rPr>
          <w:rFonts w:ascii="Arial" w:cs="Arial" w:eastAsia="Arial" w:hAnsi="Arial"/>
          <w:sz w:val="18"/>
          <w:szCs w:val="18"/>
          <w:color w:val="auto"/>
        </w:rPr>
      </w:pPr>
    </w:p>
    <w:p>
      <w:pPr>
        <w:ind w:left="540" w:right="260" w:hanging="532"/>
        <w:spacing w:after="0" w:line="252"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DANYELZA or any future approved products, in particular in light of current reduced in-person access to medical institutions and personnel and other significant disruptions to the healthcare system and community due to COVID-19;</w:t>
      </w:r>
    </w:p>
    <w:p>
      <w:pPr>
        <w:spacing w:after="0" w:line="158" w:lineRule="exact"/>
        <w:rPr>
          <w:rFonts w:ascii="Arial" w:cs="Arial" w:eastAsia="Arial" w:hAnsi="Arial"/>
          <w:sz w:val="18"/>
          <w:szCs w:val="18"/>
          <w:color w:val="auto"/>
        </w:rPr>
      </w:pPr>
    </w:p>
    <w:p>
      <w:pPr>
        <w:ind w:left="540" w:right="80" w:hanging="532"/>
        <w:spacing w:after="0" w:line="269"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drug lines;</w:t>
      </w:r>
    </w:p>
    <w:p>
      <w:pPr>
        <w:spacing w:after="0" w:line="157"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revenues from the sale of drugs or the profitability of these revenues to us are likely to be lower from arrangements that we enter into with third parties to perform sales and marketing service (such as with SciClone Pharmaceuticals International Ltd, Takeda Israel and Swixx Biopharma AG) than if we were to market and sell any drugs that we develop ourselves. In addition, we may not be successful in entering additional arrangements with third parties to sell and market our product candidates or may be unable to do so on terms that are favorable to us. We have limited control over such third parties, and any of them may fail to devote the necessary resources and attention to sell and market our drugs effectively. If we do not maintain and expand our sales and marketing capabilities successfully, either on our own or in collaboration with third parties, we might not be successful in commercializing DANYELZA or any of our product candidates for which we receive marketing approval, if any. In the event that we are unable to effectively deploy our sales organization or distribution strategy on a timely and efficient basis, if at all, the commercialization of DANYELZA or our product candidates, if approved, could be delayed which would negatively impact our ability to generate product revenues.</w:t>
      </w:r>
    </w:p>
    <w:p>
      <w:pPr>
        <w:spacing w:after="0" w:line="188"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4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biopharmaceutical industry, and the market for developing antibody-based products in particular, is characterized by intense competition and rapid innovation. Our competitors may be able to develop other compounds or drugs that are able to achieve similar or better results. Our actual and potential competitors include major multinational pharmaceutical companies, established biotechnology companies, specialty pharmaceutical companies, universities, and other research institutions. Many of our competitors have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substantially greater financial, technical and other resources, such as larger research and development staff and experienced marketing and manufacturing organizations as well as 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DANYELZA or our product candidates or may develop proprietary technologies or secure patent protection that we may need for the commercialization of DANYELZA and development of our product candidates and related technologies.</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Specifically, MacroGenics, Inc. and Daiichi Sankyo Co. are developing antibodies against B7-H3. United Therapeutics Corporation, or United Therapeutics, has commercialized Unituxin (dinutuximab), an antibody against GD2, in the United States and has announced plans to seek a label expansion for Unituxin in combination with irinotecan and temozolomide for the treatment of pediatric patients with R/R NB. During the third quarter of 2020, United Therapeutics discontinued its efforts to investigate Unituxin's potential activity against adult cancerous tumors, and its efforts to develop a humanized version of Unituxin. In addition, DANYELZA may face competition from dinutuximab beta, a similar antibody product against GD2 developed by Apeiron Biologics AG, or Apeiron, that was approved in Europe in May 2017 to treat high-risk NB and R/R NB. In October 2016, EUSA Pharma (UK) Ltd., or EUSA, announced that it had acquired global commercialization rights to dinutuximab beta, which is currently being commercialized under the name Qarziba® in Europe. EUSA has previously announced plans to file for registration of dinutuximab beta in the United States in 2020 in R/R NB. In January 2020, EUSA and BeiGene Ltd., or BeiGene, announced an exclusive collaboration to commercialize Qarziba® in mainland China and in November 2020 EUSA and BeiGene announced that the BLA for QARZIBA® (dinutuximab beta) was accepted by the China National Medical Products Administration and granted priority review.</w:t>
      </w:r>
    </w:p>
    <w:p>
      <w:pPr>
        <w:spacing w:after="0" w:line="36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may not be the first to market even with respect to our approved products such as DANYELZA and that may affect the price or demand for DANYELZA and our product candidates. Additionally, the availability and price of our competitors' products could limit the demand and the price we are able to charge for our products. We may not be able to implement our business plan if the acceptance of our products is inhibited by price competition or the reluctance of physicians to switch from existing methods of treatment to our products, or if physicians switch to other new drug or biologic products or choose to reserve our products for use in limited circumstances. Additionally, a competitor could obtain orphan product exclusivity from the FDA with respect to such competitor's product. If such competitor product is determined to be the same product as one of our product candidates, that may prevent us from obtaining approval from the FDA for such product candidate for the same indication for seven years, except in limited circumstances.</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The market opportunities for DANYELZA and our product candidates, if approved, may be limited to those patients who are ineligible for or have failed prior treatments and may be small. If we encounter difficulties enrolling patients in our clinical trials, our clinical development activities could be delayed or otherwise adversely affected. Also, the market opportunity for DANYELZA and our product candidates, if approved, may be smaller than we expect.</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current target patient population is based on our beliefs and estimates regarding the incidence or prevalence of certain types of cancers that may be addressable by our DANYELZA and product candidates,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which are derived from a variety of sources, including scientific literature, surveys of clinics, patient foundations, or market research. The total addressable market opportunity for DANYELZA and any other product candidates we may produce, if approved, will ultimately depend upon, among other things, the diagnosis criteria included in the final label for our current and future products for sale for these indications, acceptance by the medical community and patient access, drug pricing, and reimbursement. The number of patients in our targeted commercial markets and elsewhere may turn out to be lower than expected, possibly materially, patients may not be otherwise amenable to treatment with our drug, or new patients may become increasingly difficult to identify or gain access to, all of which would adversely affect our results of operations and our business.</w:t>
      </w:r>
    </w:p>
    <w:p>
      <w:pPr>
        <w:spacing w:after="0" w:line="18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Even if we obtain significant market share for DANYELZA or our product candidates, if approved, because the potential target populations are small, we may never achieve profitability without obtaining regulatory approval for additional and broader indications, including use of DANYELZA or our product candidates, if approved, for front-line and third-line therapy.</w:t>
      </w:r>
    </w:p>
    <w:p>
      <w:pPr>
        <w:spacing w:after="0" w:line="17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DANYELZA is approved only as second line treatment for patients with relapsed/refractory high-risk neuroblastoma in bone and/or bone marrow, and we expect to initially seek approval of our product candidate omburtamab also as second-line therapy for patients who have relapsed from systemic disease. Even if we would seek approval as front-line or third-line therapy for DANYELZA, omburtamab or another product candidate there is no guarantee that they would be approved. In addition, we may have to conduct additional clinical trials prior to gaining approval for front-line or third-line therapy.</w:t>
      </w:r>
    </w:p>
    <w:p>
      <w:pPr>
        <w:spacing w:after="0" w:line="18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172"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competing clinical trials for similar therapies or other new therapeutics not involving our product candidates and or related technologies;</w:t>
      </w:r>
    </w:p>
    <w:p>
      <w:pPr>
        <w:spacing w:after="0" w:line="234" w:lineRule="exact"/>
        <w:rPr>
          <w:rFonts w:ascii="Arial" w:cs="Arial" w:eastAsia="Arial" w:hAnsi="Arial"/>
          <w:sz w:val="16"/>
          <w:szCs w:val="16"/>
          <w:color w:val="auto"/>
        </w:rPr>
      </w:pPr>
    </w:p>
    <w:p>
      <w:pPr>
        <w:ind w:left="540" w:right="240" w:hanging="532"/>
        <w:spacing w:after="0" w:line="333"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96" w:lineRule="exact"/>
        <w:rPr>
          <w:rFonts w:ascii="Arial" w:cs="Arial" w:eastAsia="Arial" w:hAnsi="Arial"/>
          <w:sz w:val="16"/>
          <w:szCs w:val="16"/>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12" w:lineRule="exact"/>
        <w:rPr>
          <w:sz w:val="20"/>
          <w:szCs w:val="20"/>
          <w:color w:val="auto"/>
        </w:rPr>
      </w:pPr>
    </w:p>
    <w:p>
      <w:pPr>
        <w:jc w:val="both"/>
        <w:ind w:right="180"/>
        <w:spacing w:after="0" w:line="252"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opt to enroll in a trial being conducted by one of our competitors.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only use conventional therapies, such as chemotherapy and radiation, rather than enroll patients in any future clinical trial.</w:t>
      </w:r>
    </w:p>
    <w:p>
      <w:pPr>
        <w:spacing w:after="0" w:line="18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 submit regulatory filings, obtain marketing approvals and delay the launch of our products, upon approval.</w:t>
      </w:r>
    </w:p>
    <w:p>
      <w:pPr>
        <w:spacing w:after="0" w:line="177"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b w:val="1"/>
          <w:bCs w:val="1"/>
          <w:i w:val="1"/>
          <w:iCs w:val="1"/>
          <w:color w:val="auto"/>
        </w:rPr>
        <w:t>DANYELZA or any current or future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or cause regulatory authorities to require labeling statements, such as boxed warnings. Even after approval, if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17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As with most biological drug products, use of DANYELZA or any current or future product candidates could be associated with undesirable side effects or adverse events which can vary in severity from minor reactions to death and in frequency from infrequent to prevalent. Undesirable side effects or unacceptable toxicities caused by our products or product candidates could cause us or regulatory authorities to interrupt, delay, or halt clinical trials.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expect to have to educate and train medical personnel using our products and product candidates to understand their side effect profiles, both for our planned clinical trials and upon any commercialization of any product candidates when approved such as DANYELZA. Inadequate training in recognizing or managing the potential side effects of our products or product candidates could result in adverse effects to patients, including death. Any of these occurrences may materially and adversely harm our business, financial condition and prospects.</w:t>
      </w:r>
    </w:p>
    <w:p>
      <w:pPr>
        <w:spacing w:after="0" w:line="185" w:lineRule="exact"/>
        <w:rPr>
          <w:sz w:val="20"/>
          <w:szCs w:val="20"/>
          <w:color w:val="auto"/>
        </w:rPr>
      </w:pPr>
    </w:p>
    <w:p>
      <w:pPr>
        <w:ind w:right="180"/>
        <w:spacing w:after="0" w:line="333" w:lineRule="auto"/>
        <w:rPr>
          <w:sz w:val="20"/>
          <w:szCs w:val="20"/>
          <w:color w:val="auto"/>
        </w:rPr>
      </w:pPr>
      <w:r>
        <w:rPr>
          <w:rFonts w:ascii="Arial" w:cs="Arial" w:eastAsia="Arial" w:hAnsi="Arial"/>
          <w:sz w:val="16"/>
          <w:szCs w:val="16"/>
          <w:color w:val="auto"/>
        </w:rPr>
        <w:t>Undesirable side effects caused by DANYELZA or any other product or product candidate could limit the commercial profile of such product or product candidate or result in significant negative consequences such as a more restrictive label or other limitations or restrictions.</w:t>
      </w:r>
    </w:p>
    <w:p>
      <w:pPr>
        <w:spacing w:after="0" w:line="11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clinical studies, DANYELZA has been shown to cause serious infusion reactions including anaphylaxis, cardiac arrest, bronchospasm, stridor, and hypotension. The most common adverse events were mainly mild and moderate and included infusion-related reaction, pain, tachycardia, vomiting, cough, nausea, diarrhea, decreased appetite, hypertension, fatigue, erythema multiforme, peripheral neuropathy, urticaria, pyrexia, headache, edema, anxiety, localized edema and irritability. DANYELZA has been approved with a boxed warning for serious infusion reactions and neurotoxicity.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such as for DANYELZA in the US, a product candidate receives marketing approval and we, or others, discover that the drug is less effective than previously believed or causes undesirable side effects that were not previously identified, including during any long-term follow-up observation period recommended or required for patients who receive treatment using our products, a number of potentially significant negative consequences could result, including:</w:t>
      </w:r>
    </w:p>
    <w:p>
      <w:pPr>
        <w:spacing w:after="0" w:line="185"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seize the product;</w:t>
      </w:r>
    </w:p>
    <w:p>
      <w:pPr>
        <w:spacing w:after="0" w:line="211" w:lineRule="exact"/>
        <w:rPr>
          <w:rFonts w:ascii="Arial" w:cs="Arial" w:eastAsia="Arial" w:hAnsi="Arial"/>
          <w:sz w:val="18"/>
          <w:szCs w:val="18"/>
          <w:color w:val="auto"/>
        </w:rPr>
      </w:pPr>
    </w:p>
    <w:p>
      <w:pPr>
        <w:ind w:left="540" w:right="40" w:hanging="532"/>
        <w:spacing w:after="0" w:line="269"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product, change the way such product is administered to patients or conduct additional clinical trials;</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198" w:lineRule="exact"/>
        <w:rPr>
          <w:rFonts w:ascii="Arial" w:cs="Arial" w:eastAsia="Arial" w:hAnsi="Arial"/>
          <w:sz w:val="18"/>
          <w:szCs w:val="18"/>
          <w:color w:val="auto"/>
        </w:rPr>
      </w:pPr>
    </w:p>
    <w:p>
      <w:pPr>
        <w:ind w:left="540" w:hanging="532"/>
        <w:spacing w:after="0" w:line="269"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(such as for DANYELZA) narrow the indications for use or require additional warnings in the labeling, such as a boxed warning or a contraindication, or impose distribution or use restrictions;</w:t>
      </w:r>
    </w:p>
    <w:p>
      <w:pPr>
        <w:spacing w:after="0" w:line="157" w:lineRule="exact"/>
        <w:rPr>
          <w:rFonts w:ascii="Arial" w:cs="Arial" w:eastAsia="Arial" w:hAnsi="Arial"/>
          <w:sz w:val="18"/>
          <w:szCs w:val="18"/>
          <w:color w:val="auto"/>
        </w:rPr>
      </w:pPr>
    </w:p>
    <w:p>
      <w:pPr>
        <w:ind w:left="540" w:right="120" w:hanging="532"/>
        <w:spacing w:after="0" w:line="252"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157"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any future collaborators, may be subject to fines, injunctions or the imposition of civil or criminal penalties;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drug may become less competitive;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Any of the foregoing could prevent us from achieving or maintaining market acceptance of DANYELZA or a particular product candidate, if approved, and could significantly harm our business, results of operations, and prospects, and could adversely impact our financial condition, results of operations, ability to raise additional financing or the market price of our common stock.</w:t>
      </w:r>
    </w:p>
    <w:p>
      <w:pPr>
        <w:spacing w:after="0" w:line="172"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b w:val="1"/>
          <w:bCs w:val="1"/>
          <w:i w:val="1"/>
          <w:iCs w:val="1"/>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spacing w:after="0" w:line="17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Success in pre-clinical studies and early-stage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80"/>
        <w:spacing w:after="0" w:line="269" w:lineRule="auto"/>
        <w:rPr>
          <w:sz w:val="20"/>
          <w:szCs w:val="20"/>
          <w:color w:val="auto"/>
        </w:rPr>
      </w:pPr>
      <w:r>
        <w:rPr>
          <w:rFonts w:ascii="Arial" w:cs="Arial" w:eastAsia="Arial" w:hAnsi="Arial"/>
          <w:sz w:val="18"/>
          <w:szCs w:val="18"/>
          <w:color w:val="auto"/>
        </w:rPr>
        <w:t>significant setbacks in subsequent clinical trials. Additionally, the outcome of pre-clinical studies and early-stage clinical trials may not be predictive of the success of larger, later-stage clinical trials.</w:t>
      </w:r>
    </w:p>
    <w:p>
      <w:pPr>
        <w:spacing w:after="0" w:line="15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 In addition, the design of a clinical trial can determine whether its results will support approval of a drug and flaws in the design of a clinical trial may not become apparent until the clinical trial is well advanced. We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spacing w:after="0" w:line="18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w:t>
      </w:r>
    </w:p>
    <w:p>
      <w:pPr>
        <w:spacing w:after="0" w:line="17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marketing approval to market our product candidates. We have multiple clinical trials of our lead product candidates currently ongoing. In the event that an adverse safety issue, clinical hold or other adverse finding occurs in one or more of our clinical trials of our lead product candidates, such event could adversely affect our other clinical trials of our lead product candidates. We have received clinical holds on our IND applications for certain of our product candidates in the past and there is no assurance that we will not be subject to additional clinical holds in the future, which may ultimately delay or otherwise adversely affect the clinical development of our product candidates. We have initiated Study 101 and such study will form the primary basis for our planned resubmission of the BLA for omburtamab to establish comparability of study population and pharmacokinetics analysis with Study 03-133 and to satisfy the confirmatory study and post-marketing requirements by the FDA. If the results of this study fail to demonstrate comparability to the satisfaction of the FDA and other comparable regulatory authorities, this may lead to a delay in the approval process for omburtamab.</w:t>
      </w:r>
    </w:p>
    <w:p>
      <w:pPr>
        <w:spacing w:after="0" w:line="18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Further, our product candidates may not be approved even if they achieve their primary endpoints in Phase 3 clinical trials or other pivotal trials. The FDA or non-U.S. regulatory authorities may disagree with our trial design and our interpretation of data from pre-clinical studies and clinical trials or conclude that we do not have adequate manufacturing controls or quality systems. 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In addition,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future clinical trials to be sufficient to serve as the basis for approval of one of our product candidates for any indication. The FDA and non-U.S. regulatory authorities retain broad discretion in evaluating the results of our clinical trials and in determining whether the results demonstrate that a product candidate is safe and effective.</w:t>
      </w:r>
    </w:p>
    <w:p>
      <w:pPr>
        <w:spacing w:after="0" w:line="184" w:lineRule="exact"/>
        <w:rPr>
          <w:sz w:val="20"/>
          <w:szCs w:val="20"/>
          <w:color w:val="auto"/>
        </w:rPr>
      </w:pPr>
    </w:p>
    <w:p>
      <w:pPr>
        <w:ind w:right="680"/>
        <w:spacing w:after="0" w:line="333" w:lineRule="auto"/>
        <w:rPr>
          <w:sz w:val="20"/>
          <w:szCs w:val="20"/>
          <w:color w:val="auto"/>
        </w:rPr>
      </w:pPr>
      <w:r>
        <w:rPr>
          <w:rFonts w:ascii="Arial" w:cs="Arial" w:eastAsia="Arial" w:hAnsi="Arial"/>
          <w:sz w:val="16"/>
          <w:szCs w:val="16"/>
          <w:color w:val="auto"/>
        </w:rPr>
        <w:t>If we are required to conduct additional clinical trials of a product candidate than we expect prior to its approval, we will need substantial additional funds and there is no assurance that the results of any such additional clinical trials will be sufficient for approval.</w:t>
      </w:r>
    </w:p>
    <w:p>
      <w:pPr>
        <w:spacing w:after="0" w:line="11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161"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Other than DANYELZA, the product candidates and related technologies we have licensed have not yet led, and may never lead, to approved products. Further, our only approved product DANYELZA was just recently approved and launched in the United States and hence its commercial potential cannot be judged with accuracy at this point in time. Even if we are successful in continuing to build our pipeline, obtaining regulatory approvals and commercializing our product candidates will require substantial additional funding beyond cash and cash equivalents and are prone to the risks of failure inherent in medical product development. Investment in biopharmaceutical product development involves significant risk that any potential product candidate will fail to demonstrate adequate efficacy or an acceptable safety profile, gain regulatory approval, and/or become commercially viable. We cannot provide you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162"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successful in identifying additional product candidates;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acquire or discover additional product candidates;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98" w:lineRule="exact"/>
        <w:rPr>
          <w:rFonts w:ascii="Arial" w:cs="Arial" w:eastAsia="Arial" w:hAnsi="Arial"/>
          <w:sz w:val="18"/>
          <w:szCs w:val="18"/>
          <w:color w:val="auto"/>
        </w:rPr>
      </w:pPr>
    </w:p>
    <w:p>
      <w:pPr>
        <w:ind w:left="540" w:right="260" w:hanging="532"/>
        <w:spacing w:after="0" w:line="269"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57"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if applicable.</w:t>
      </w:r>
    </w:p>
    <w:p>
      <w:pPr>
        <w:spacing w:after="0" w:line="21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 As for DANYELZA, which has been approved by the FDA for the United States market, even if we receive approval to market our product candidates from the FDA, the EMA, or other regulatory bodies, whether for the treatment of cancers or other diseases, no assurance can be given you that any such product candidates will be successfully commercialized, widely accepted in the marketplace or more effective than other commercially available alternatives.</w:t>
      </w:r>
    </w:p>
    <w:p>
      <w:pPr>
        <w:spacing w:after="0" w:line="184"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i w:val="1"/>
          <w:iCs w:val="1"/>
          <w:color w:val="auto"/>
        </w:rPr>
        <w:t>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spacing w:after="0" w:line="16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currently have in place several agreements with MSK, including the MSK License, the MSK CD33 License, the SADA License Agreement, that are important and 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In addition, we anticipate that MSK, due to patients obtaining treatment at the institution, may become a major source for the distribution and administration of DANYELZA. Any disruption of our relationship with MSK could have a material adverse effect on our business, results of operations and financial condition. In addition, any of these relationships may require us to incur other charges, increase our near and long-term expenditures, issue securities that dilute our existing stockholders, or disrupt our management and business. In addition, we face significant competition in seeking appropriate strategic partners and the negotiation process is time consuming and complex. Moreover, we may not be successful in our efforts to establish a strategic partnership or other alternative arrangements for our product candidates because they may be deemed to be at too early a stage of development for collaborative effort and third parties may not view our product candidates as having the requisite potential to demonstrate safety and efficacy or because the commercial potential is difficult to predict.</w:t>
      </w:r>
    </w:p>
    <w:p>
      <w:pPr>
        <w:spacing w:after="0" w:line="183"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Further, arrangements with third parties, such as our arrangement with MSK or our current or potential future collaborations we may enter into involving our product candidates, are subject to numerous risks, including the following:</w:t>
      </w:r>
    </w:p>
    <w:p>
      <w:pPr>
        <w:spacing w:after="0" w:line="171" w:lineRule="exact"/>
        <w:rPr>
          <w:sz w:val="20"/>
          <w:szCs w:val="20"/>
          <w:color w:val="auto"/>
        </w:rPr>
      </w:pPr>
    </w:p>
    <w:p>
      <w:pPr>
        <w:ind w:left="540" w:right="140" w:hanging="532"/>
        <w:spacing w:after="0" w:line="269"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have significant discretion in determining the efforts and resources that they will apply to a collaboration;</w:t>
      </w:r>
    </w:p>
    <w:p>
      <w:pPr>
        <w:spacing w:after="0" w:line="143" w:lineRule="exact"/>
        <w:rPr>
          <w:rFonts w:ascii="Arial" w:cs="Arial" w:eastAsia="Arial" w:hAnsi="Arial"/>
          <w:sz w:val="18"/>
          <w:szCs w:val="18"/>
          <w:color w:val="auto"/>
        </w:rPr>
      </w:pPr>
    </w:p>
    <w:p>
      <w:pPr>
        <w:ind w:left="540" w:right="140" w:hanging="532"/>
        <w:spacing w:after="0" w:line="246"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not pursue development and commercialization of our products or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line="252"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71" w:lineRule="exact"/>
        <w:rPr>
          <w:rFonts w:ascii="Arial" w:cs="Arial" w:eastAsia="Arial" w:hAnsi="Arial"/>
          <w:sz w:val="18"/>
          <w:szCs w:val="18"/>
          <w:color w:val="auto"/>
        </w:rPr>
      </w:pPr>
    </w:p>
    <w:p>
      <w:pPr>
        <w:ind w:left="540" w:right="120" w:hanging="532"/>
        <w:spacing w:after="0" w:line="269"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could independently develop, or develop with third parties, products that compete directly or indirectly with our products or product candidates;</w:t>
      </w:r>
    </w:p>
    <w:p>
      <w:pPr>
        <w:spacing w:after="0" w:line="143" w:lineRule="exact"/>
        <w:rPr>
          <w:rFonts w:ascii="Arial" w:cs="Arial" w:eastAsia="Arial" w:hAnsi="Arial"/>
          <w:sz w:val="18"/>
          <w:szCs w:val="18"/>
          <w:color w:val="auto"/>
        </w:rPr>
      </w:pPr>
    </w:p>
    <w:p>
      <w:pPr>
        <w:jc w:val="both"/>
        <w:ind w:left="540" w:right="360" w:hanging="532"/>
        <w:spacing w:after="0" w:line="252"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candidates discovered through such arrangements or any potential future collaborations with us may be viewed by such third parties or any potential future collaborators as competitive with their own product candidates or products, which may cause such third parties or collaborators to cease to devote resources to the commercialization of our products or product candidates;</w:t>
      </w:r>
    </w:p>
    <w:p>
      <w:pPr>
        <w:spacing w:after="0" w:line="158" w:lineRule="exact"/>
        <w:rPr>
          <w:rFonts w:ascii="Arial" w:cs="Arial" w:eastAsia="Arial" w:hAnsi="Arial"/>
          <w:sz w:val="18"/>
          <w:szCs w:val="18"/>
          <w:color w:val="auto"/>
        </w:rPr>
      </w:pPr>
    </w:p>
    <w:p>
      <w:pPr>
        <w:ind w:left="540" w:right="460" w:hanging="532"/>
        <w:spacing w:after="0" w:line="269"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third party or any current tor potential future collaborator with marketing and distribution rights to one or more products may not commit sufficient resources to their marketing and distribution;</w:t>
      </w:r>
    </w:p>
    <w:p>
      <w:pPr>
        <w:spacing w:after="0" w:line="157" w:lineRule="exact"/>
        <w:rPr>
          <w:rFonts w:ascii="Arial" w:cs="Arial" w:eastAsia="Arial" w:hAnsi="Arial"/>
          <w:sz w:val="18"/>
          <w:szCs w:val="18"/>
          <w:color w:val="auto"/>
        </w:rPr>
      </w:pPr>
    </w:p>
    <w:p>
      <w:pPr>
        <w:ind w:left="540" w:right="160" w:hanging="532"/>
        <w:spacing w:after="0" w:line="252"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57" w:lineRule="exact"/>
        <w:rPr>
          <w:rFonts w:ascii="Arial" w:cs="Arial" w:eastAsia="Arial" w:hAnsi="Arial"/>
          <w:sz w:val="18"/>
          <w:szCs w:val="18"/>
          <w:color w:val="auto"/>
        </w:rPr>
      </w:pPr>
    </w:p>
    <w:p>
      <w:pPr>
        <w:ind w:left="540" w:right="180" w:hanging="532"/>
        <w:spacing w:after="0" w:line="252"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disputes may arise between us and such third party or any current or potential future collaborator that cause the delay or termination of the research, development or commercialization of our products or product candidates, or that result in costly litigation or arbitration that diverts management attention and resources;</w:t>
      </w:r>
    </w:p>
    <w:p>
      <w:pPr>
        <w:spacing w:after="0" w:line="158" w:lineRule="exact"/>
        <w:rPr>
          <w:rFonts w:ascii="Arial" w:cs="Arial" w:eastAsia="Arial" w:hAnsi="Arial"/>
          <w:sz w:val="18"/>
          <w:szCs w:val="18"/>
          <w:color w:val="auto"/>
        </w:rPr>
      </w:pPr>
    </w:p>
    <w:p>
      <w:pPr>
        <w:ind w:left="540" w:right="320" w:hanging="532"/>
        <w:spacing w:after="0" w:line="269"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infringe the intellectual property rights of third parties, which may expose us to litigation and potential liability;</w:t>
      </w:r>
    </w:p>
    <w:p>
      <w:pPr>
        <w:spacing w:after="0" w:line="157" w:lineRule="exact"/>
        <w:rPr>
          <w:rFonts w:ascii="Arial" w:cs="Arial" w:eastAsia="Arial" w:hAnsi="Arial"/>
          <w:sz w:val="18"/>
          <w:szCs w:val="18"/>
          <w:color w:val="auto"/>
        </w:rPr>
      </w:pPr>
    </w:p>
    <w:p>
      <w:pPr>
        <w:ind w:left="540" w:right="680" w:hanging="532"/>
        <w:spacing w:after="0" w:line="269"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arrangements or any current or potential future collaborations may be terminated and, if terminated, may result in a need for additional capital to pursue further development or commercialization of the applicable product or product candidate; and</w:t>
      </w:r>
    </w:p>
    <w:p>
      <w:pPr>
        <w:spacing w:after="0" w:line="143" w:lineRule="exact"/>
        <w:rPr>
          <w:rFonts w:ascii="Arial" w:cs="Arial" w:eastAsia="Arial" w:hAnsi="Arial"/>
          <w:sz w:val="18"/>
          <w:szCs w:val="18"/>
          <w:color w:val="auto"/>
        </w:rPr>
      </w:pPr>
    </w:p>
    <w:p>
      <w:pPr>
        <w:ind w:left="540" w:right="460" w:hanging="532"/>
        <w:spacing w:after="0" w:line="252"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own or co-own intellectual property covering our products that results from our collaborating with them, and in such cases, we would not have the exclusive right to commercialize such intellectual property.</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As a result, if we are unable to maintain current arrangements or collaborations or enter into and maintain future arrangements and collaborations, or if such arrangements or collaborations are not successful, 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products or product candidates could delay the development and commercialization of our products or product candidates in certain territories for certain indications, which would harm our business prospects, financial condition, and results of operations.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60"/>
        <w:spacing w:after="0" w:line="343" w:lineRule="auto"/>
        <w:rPr>
          <w:sz w:val="20"/>
          <w:szCs w:val="20"/>
          <w:color w:val="auto"/>
        </w:rPr>
      </w:pPr>
      <w:r>
        <w:rPr>
          <w:rFonts w:ascii="Arial" w:cs="Arial" w:eastAsia="Arial" w:hAnsi="Arial"/>
          <w:sz w:val="16"/>
          <w:szCs w:val="16"/>
          <w:b w:val="1"/>
          <w:bCs w:val="1"/>
          <w:i w:val="1"/>
          <w:iCs w:val="1"/>
          <w:color w:val="auto"/>
        </w:rPr>
        <w:t>If we or third parties, such as contract research organizations, or CROs, or contract manufacturing organizations, or CMOs, use hazardous and biological materials in a manner that causes injury or violates applicable law, we may be liable for damages.</w:t>
      </w:r>
    </w:p>
    <w:p>
      <w:pPr>
        <w:spacing w:after="0" w:line="9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research and development activities may involve the controlled use of potentially hazardous substances, including chemical and biological materials, by us or third parties, such as CROs and CMOs. The use of Iodine-131, Iodine-124 and Lutetium-177-labeled antibody treatments involves the inherent risk of exposure from beta ray emissions, which can alter or harm healthy cells in the body. We and such third parties are subject to federal, state, and local laws and regulations in the United States and Europe governing the use, manufacture, storage, handling, and disposal of medical and hazardous materials. Although we believe that our and such third-parties'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 We currently maintain insurance coverage for injuries resulting from the hazardous materials we use; however, future claims may exceed the amount of our coverage. Also, we do not have insurance coverage for pollution cleanup and removal. Currently the costs of complying with such federal, state, local and foreign environmental regulations are not significant, and consist primarily of waste disposal expenses. However, they could become expensive, and current or future environmental laws or regulations may impair our research, development, production and commercialization efforts.</w:t>
      </w:r>
    </w:p>
    <w:p>
      <w:pPr>
        <w:spacing w:after="0" w:line="366" w:lineRule="exact"/>
        <w:rPr>
          <w:sz w:val="20"/>
          <w:szCs w:val="20"/>
          <w:color w:val="auto"/>
        </w:rPr>
      </w:pPr>
    </w:p>
    <w:p>
      <w:pPr>
        <w:jc w:val="both"/>
        <w:ind w:right="60"/>
        <w:spacing w:after="0" w:line="249" w:lineRule="auto"/>
        <w:rPr>
          <w:sz w:val="20"/>
          <w:szCs w:val="20"/>
          <w:color w:val="auto"/>
        </w:rPr>
      </w:pPr>
      <w:r>
        <w:rPr>
          <w:rFonts w:ascii="Arial" w:cs="Arial" w:eastAsia="Arial" w:hAnsi="Arial"/>
          <w:sz w:val="18"/>
          <w:szCs w:val="18"/>
          <w:b w:val="1"/>
          <w:bCs w:val="1"/>
          <w:i w:val="1"/>
          <w:iCs w:val="1"/>
          <w:color w:val="auto"/>
        </w:rPr>
        <w:t>Our normal business operations may, directly or indirectly, be adversely impacted by the ongoing global COVID-19 pandemic. COVID-19 and future outbreak of any highly infectious or contagious diseases, could materially and adversely affect our operations and have a material impact on our financial position. Further, the spread of the COVID-19 outbreak has caused business continuity issues of an as yet unknown magnitude and duration.</w:t>
      </w:r>
    </w:p>
    <w:p>
      <w:pPr>
        <w:spacing w:after="0" w:line="16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COVID-19 pandemic, and preventative measures taken to contain or mitigate this pandemic have caused, and are continuing to cause, business slowdowns or shutdowns in various regions around the world and disruption in the global supply chain and business operations. National, state and local governments in affected regions have implemented and may continue to implement safety precautions, including quarantines, border closures, increased border controls, travel restrictions, shelter in place orders and shutdowns, resulting in business closures, work stoppages, slowdowns and delays, cancellation of events and other measures. These measures may disrupt normal business operations both in and outside of affected areas and may have significant negative impacts on businesses and financial markets worldwide. We continue to monitor our operations and applicable government recommendations, and we have made modifications to our normal operations because of the COVID-19 pandemic, including limiting travel and working from home and also implemented enhanced travel-safe policies for our employees' travel to our clinical sites. Prolonged remote working arrangements could impact employees' productivity and morale, strain our technology resources and introduce operational risks. Operating requirements may continually change due to the COVID-19 pandemic and we may experience unpredictability in our expenses, employee productivity and employee work culture. Additionally, the risk of cyber-attacks or other privacy or data security incidents may be heightened as a result of our moving increasingly towards a remote working environment, which may be less secure and more susceptible to security breaches.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COVID-19 pandemic could affect the health and availability of our workforce as well as those of the third parties we rely on. If members of our management and other key personnel in critical functions across our organization are unable to perform their duties or have limited availability due to the COVID-19 pandemic, we may not be able to execute on our business strategy and/or our operations may be negatively impacted.</w:t>
      </w:r>
    </w:p>
    <w:p>
      <w:pPr>
        <w:spacing w:after="0" w:line="17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Our business, operations and clinical development timelines and plans have been and could continue to be adversely affected by COVID-19, and could be adversely impacted by other health epidemics in regions where we have concentrations of clinical trial sites or other business operations, and could cause significant disruption in the operations of CROs, CMOs and other third parties and collaborators upon whom we rely. The COVID-19 pandemic has affected multiple countries worldwide, including those where we have planned and ongoing preclinical studies and clinical trials. Site initiation and patient enrollment could be delayed or suspended due to prioritization of hospital resources toward the COVID-19 pandemic or patients not having a desire to enroll in clinical trials due to concerns regarding COVID-19. In addition, some patients may not be able to comply with clinical trial protocols and the ability to conduct follow up visits with treated patients may be limited if patients do not want to participate in follow up visits due to concerns regarding COVID-19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 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COVID-19 could be adversely impacted.</w:t>
      </w:r>
    </w:p>
    <w:p>
      <w:pPr>
        <w:spacing w:after="0" w:line="369"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response to the COVID-19 pandemic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the COVID-19 pandemic. If these third parties continue to experience shutdowns or business disruptions, our ability to conduct our business in the manner and on the timelines presently planned could be materially and negatively impacted.</w:t>
      </w:r>
    </w:p>
    <w:p>
      <w:pPr>
        <w:spacing w:after="0" w:line="184"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Further, COVID-19 has severely impacted global economic activity and caused significant volatility and negative pressure in global financial markets. Many experts predict that the outbreak will trigger a period of global economic slowdown or a global recession. We are unable to predict the extent or nature of these impacts at this time.</w:t>
      </w:r>
    </w:p>
    <w:p>
      <w:pPr>
        <w:spacing w:after="0" w:line="17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COVID-19 is adversely affecting, and is expected to continue to adversely affect, our operations, and COVID-19 or another pandemic may result in material and adverse effects on our ability to successfully operate our business, including:</w:t>
      </w:r>
    </w:p>
    <w:p>
      <w:pPr>
        <w:spacing w:after="0" w:line="157" w:lineRule="exact"/>
        <w:rPr>
          <w:sz w:val="20"/>
          <w:szCs w:val="20"/>
          <w:color w:val="auto"/>
        </w:rPr>
      </w:pPr>
    </w:p>
    <w:p>
      <w:pPr>
        <w:ind w:left="540" w:right="20" w:hanging="532"/>
        <w:spacing w:after="0" w:line="241"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launch, commercialize, and generate revenue from DANYELZA and our product candidates, even if approved, may be adversely affected by the impact of the COVID-19 pandemic. For example, limited hospital access for non-patients, social distancing requirements, and precautionary measures due to COVID-19 have impacted the ability of our sales personnel to interact in-person with customers. In response, we have implemented a virtual launch model, which may adversely affect the ability of our sales professionals to effectively market DANYELZA and our product candidates to physicians, which may have a negative impact on our sales and our market penetration. In addition, in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180"/>
        <w:spacing w:after="0" w:line="252" w:lineRule="auto"/>
        <w:rPr>
          <w:sz w:val="20"/>
          <w:szCs w:val="20"/>
          <w:color w:val="auto"/>
        </w:rPr>
      </w:pPr>
      <w:r>
        <w:rPr>
          <w:rFonts w:ascii="Arial" w:cs="Arial" w:eastAsia="Arial" w:hAnsi="Arial"/>
          <w:sz w:val="18"/>
          <w:szCs w:val="18"/>
          <w:color w:val="auto"/>
        </w:rPr>
        <w:t>the United States we plan to utilize various programs to help patients afford our products, including patient assistance programs for eligible patients. Market disruption and rising unemployment caused by the COVID-19 pandemic may lead to increased utilization of our patient assistance programs, which could reduce revenues;</w:t>
      </w:r>
    </w:p>
    <w:p>
      <w:pPr>
        <w:spacing w:after="0" w:line="172" w:lineRule="exact"/>
        <w:rPr>
          <w:sz w:val="20"/>
          <w:szCs w:val="20"/>
          <w:color w:val="auto"/>
        </w:rPr>
      </w:pPr>
    </w:p>
    <w:p>
      <w:pPr>
        <w:ind w:left="540" w:right="740" w:hanging="532"/>
        <w:spacing w:after="0" w:line="269"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 including receiving any required investigational new drug applications, or INDs;</w:t>
      </w:r>
    </w:p>
    <w:p>
      <w:pPr>
        <w:spacing w:after="0" w:line="157" w:lineRule="exact"/>
        <w:rPr>
          <w:rFonts w:ascii="Arial" w:cs="Arial" w:eastAsia="Arial" w:hAnsi="Arial"/>
          <w:sz w:val="18"/>
          <w:szCs w:val="18"/>
          <w:color w:val="auto"/>
        </w:rPr>
      </w:pPr>
    </w:p>
    <w:p>
      <w:pPr>
        <w:ind w:left="540" w:right="300" w:hanging="532"/>
        <w:spacing w:after="0" w:line="269"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 if patients are affected by the virus or are fearful of visiting or traveling to clinical trial sites because of the outbreak;</w:t>
      </w:r>
    </w:p>
    <w:p>
      <w:pPr>
        <w:spacing w:after="0" w:line="143" w:lineRule="exact"/>
        <w:rPr>
          <w:rFonts w:ascii="Arial" w:cs="Arial" w:eastAsia="Arial" w:hAnsi="Arial"/>
          <w:sz w:val="18"/>
          <w:szCs w:val="18"/>
          <w:color w:val="auto"/>
        </w:rPr>
      </w:pPr>
    </w:p>
    <w:p>
      <w:pPr>
        <w:ind w:left="540" w:right="80" w:hanging="532"/>
        <w:spacing w:after="0" w:line="269"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manufacturing disruptions;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the transport of clinical trial materials;</w:t>
      </w:r>
    </w:p>
    <w:p>
      <w:pPr>
        <w:spacing w:after="0" w:line="211" w:lineRule="exact"/>
        <w:rPr>
          <w:rFonts w:ascii="Arial" w:cs="Arial" w:eastAsia="Arial" w:hAnsi="Arial"/>
          <w:sz w:val="18"/>
          <w:szCs w:val="18"/>
          <w:color w:val="auto"/>
        </w:rPr>
      </w:pPr>
    </w:p>
    <w:p>
      <w:pPr>
        <w:ind w:left="540" w:right="420" w:hanging="532"/>
        <w:spacing w:after="0" w:line="269"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our clinical trials are conducted, which may result in unexpected costs, or to discontinue the clinical trials altogether;</w:t>
      </w:r>
    </w:p>
    <w:p>
      <w:pPr>
        <w:spacing w:after="0" w:line="143" w:lineRule="exact"/>
        <w:rPr>
          <w:rFonts w:ascii="Arial" w:cs="Arial" w:eastAsia="Arial" w:hAnsi="Arial"/>
          <w:sz w:val="18"/>
          <w:szCs w:val="18"/>
          <w:color w:val="auto"/>
        </w:rPr>
      </w:pPr>
    </w:p>
    <w:p>
      <w:pPr>
        <w:ind w:left="540" w:right="280" w:hanging="532"/>
        <w:spacing w:after="0" w:line="269"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43" w:lineRule="exact"/>
        <w:rPr>
          <w:rFonts w:ascii="Arial" w:cs="Arial" w:eastAsia="Arial" w:hAnsi="Arial"/>
          <w:sz w:val="18"/>
          <w:szCs w:val="18"/>
          <w:color w:val="auto"/>
        </w:rPr>
      </w:pPr>
    </w:p>
    <w:p>
      <w:pPr>
        <w:ind w:left="540" w:right="60" w:hanging="532"/>
        <w:spacing w:after="0" w:line="246"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spacing w:after="0" w:line="177" w:lineRule="exact"/>
        <w:rPr>
          <w:rFonts w:ascii="Arial" w:cs="Arial" w:eastAsia="Arial" w:hAnsi="Arial"/>
          <w:sz w:val="18"/>
          <w:szCs w:val="18"/>
          <w:color w:val="auto"/>
        </w:rPr>
      </w:pPr>
    </w:p>
    <w:p>
      <w:pPr>
        <w:ind w:left="540" w:right="160" w:hanging="532"/>
        <w:spacing w:after="0" w:line="269"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143" w:lineRule="exact"/>
        <w:rPr>
          <w:rFonts w:ascii="Arial" w:cs="Arial" w:eastAsia="Arial" w:hAnsi="Arial"/>
          <w:sz w:val="18"/>
          <w:szCs w:val="18"/>
          <w:color w:val="auto"/>
        </w:rPr>
      </w:pPr>
    </w:p>
    <w:p>
      <w:pPr>
        <w:ind w:left="540" w:right="480" w:hanging="532"/>
        <w:spacing w:after="0" w:line="269"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regulatory approvals for our product candidates due to the FDA focusing on clinical trials related to therapies and vaccines targeting COVID-19;</w:t>
      </w:r>
    </w:p>
    <w:p>
      <w:pPr>
        <w:spacing w:after="0" w:line="143" w:lineRule="exact"/>
        <w:rPr>
          <w:rFonts w:ascii="Arial" w:cs="Arial" w:eastAsia="Arial" w:hAnsi="Arial"/>
          <w:sz w:val="18"/>
          <w:szCs w:val="18"/>
          <w:color w:val="auto"/>
        </w:rPr>
      </w:pPr>
    </w:p>
    <w:p>
      <w:pPr>
        <w:jc w:val="both"/>
        <w:ind w:left="540" w:right="200" w:hanging="532"/>
        <w:spacing w:after="0" w:line="333"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refusal of the FDA or other regulatory authorities to accept data, including from clinical trials in affected geographies or failure to comply with updated FDA or other regulatory guidance and expectations related to the conduct of clinical trials during the COVID-19 pandemic;</w:t>
      </w:r>
    </w:p>
    <w:p>
      <w:pPr>
        <w:spacing w:after="0" w:line="110" w:lineRule="exact"/>
        <w:rPr>
          <w:rFonts w:ascii="Arial" w:cs="Arial" w:eastAsia="Arial" w:hAnsi="Arial"/>
          <w:sz w:val="16"/>
          <w:szCs w:val="16"/>
          <w:color w:val="auto"/>
        </w:rPr>
      </w:pPr>
    </w:p>
    <w:p>
      <w:pPr>
        <w:jc w:val="both"/>
        <w:ind w:left="540" w:hanging="532"/>
        <w:spacing w:after="0" w:line="252"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destabilization of the markets and negative impacts on the healthcare system or regulatory authorities globally could negatively impact our ability to obtain approval to market, market and sell our products, including through the disruption of regulatory activities or health care activities in general;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100" w:hanging="532"/>
        <w:spacing w:after="0" w:line="252"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accessing the capital and credit markets on favorable terms, or at all, and a severe disruption and instability in the global financial markets, or deteriorations in credit and financing conditions which could affect our access to capital necessary to fund business operations;</w:t>
      </w:r>
    </w:p>
    <w:p>
      <w:pPr>
        <w:spacing w:after="0" w:line="171" w:lineRule="exact"/>
        <w:rPr>
          <w:rFonts w:ascii="Arial" w:cs="Arial" w:eastAsia="Arial" w:hAnsi="Arial"/>
          <w:sz w:val="18"/>
          <w:szCs w:val="18"/>
          <w:color w:val="auto"/>
        </w:rPr>
      </w:pPr>
    </w:p>
    <w:p>
      <w:pPr>
        <w:ind w:left="540" w:hanging="532"/>
        <w:spacing w:after="0" w:line="269"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negative impact on the health of our employees, especially if a significant number of them or any of their family members are impacted or if any of our senior leaders are impacted for an extended period of time;</w:t>
      </w:r>
    </w:p>
    <w:p>
      <w:pPr>
        <w:spacing w:after="0" w:line="143" w:lineRule="exact"/>
        <w:rPr>
          <w:rFonts w:ascii="Arial" w:cs="Arial" w:eastAsia="Arial" w:hAnsi="Arial"/>
          <w:sz w:val="18"/>
          <w:szCs w:val="18"/>
          <w:color w:val="auto"/>
        </w:rPr>
      </w:pPr>
    </w:p>
    <w:p>
      <w:pPr>
        <w:jc w:val="both"/>
        <w:ind w:left="540" w:right="140" w:hanging="532"/>
        <w:spacing w:after="0" w:line="252"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delays in the preparation and submission of applications for regulatory approval of our product candidates, as well as potential interruptions or delays in FDA's ability to review applications in a timely manner consistent with past practices, which may impact review and approval times;</w:t>
      </w:r>
    </w:p>
    <w:p>
      <w:pPr>
        <w:spacing w:after="0" w:line="158"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scheduling manufacturing inspections in connection with BLA approval;</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general decline in business activity;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deterioration in our ability to ensure business continuity during a disruption.</w:t>
      </w:r>
    </w:p>
    <w:p>
      <w:pPr>
        <w:spacing w:after="0" w:line="21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Despite our efforts to manage and mitigate these impacts to our company, their ultimate impact also depends on factors beyond our knowledge or control, including the duration and severity of this and any other pandemic, as well as third-party actions taken to contain its spread and mitigate its public health effects, and the pace of global economic recovery following containment of the spread. In addition, while we cannot predict the impact that COVID-19 will have on our suppliers, vendors and other business partners and each of their financial conditions, any material adverse effects on these parties could adversely impact us. The ultimate impact of this and any other pandemic on our business is highly uncertain and the continued spread of COVID-19 may have further adverse impacts on our business, operations, any pending regulatory approvals, supply chain, and financial position, and may also exacerbate other risks discussed in this prospectus supplement. To the extent the COVID-19 pandemic adversely affects our business, clinical trials, results of operations and financial condition, it may also have the effect of heightening many of the other risks described in this "Risk Factors" section.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ultimate impact of the COVID-19 pandemic or a similar health epidemic is highly uncertain and subject to change.</w:t>
      </w:r>
    </w:p>
    <w:p>
      <w:pPr>
        <w:spacing w:after="0" w:line="212"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i w:val="1"/>
          <w:iCs w:val="1"/>
          <w:color w:val="auto"/>
        </w:rPr>
        <w:t>Any significant disruption in or unauthorized access to our computer systems or those of third parties that we utilize in our operations, including those relating to cybersecurity or arising from cyber-attacks, could result in a loss or degradation of service, unauthorized disclosure of data, including member and corporate information, or theft of intellectual property which could adversely impact our business.</w:t>
      </w:r>
    </w:p>
    <w:p>
      <w:pPr>
        <w:spacing w:after="0" w:line="167"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Our business is dependent upon the reliable performance and security of our computer systems and those of third parties that we utilize in our operations. These systems may be subject to damage or interruption from, among other things, earthquakes, adverse weather conditions, other natural disasters, terrorist attacks, state-sponsored attacks, rogue employees, power loss, telecommunications failures, and cybersecurity risks. Interruptions in these systems, or with the internet in general, could hinder our ability to operate. Service interruptions, errors in our software or the unavailability of computer systems used in our operations could diminish the overall attractiveness of our business.</w:t>
      </w:r>
    </w:p>
    <w:p>
      <w:pPr>
        <w:spacing w:after="0" w:line="151"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Our computer systems and those of third parties we use in our operations are subject to cybersecurity threats, including cyber-attacks such as computer viruses, denial of service attacks, physical or electronic break-ins and similar disruptions. Additionally, outside parties may attempt to induce or deceive employees or users to disclose sensitive or confidential information in order to gain access to data. Any attempt by</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hackers to obtain our data (including patient, clinical trial and corporate information) or intellectual property, disrupt our business, or otherwise access our systems, or those of third parties we use, if successful, could harm our business, be expensive to remedy and damage our reputation. We have implemented commercially reasonable systems and processes to thwart hackers and otherwise protect our data and systems, but the techniques used to gain unauthorized access to data and software are constantly evolving, and we may be unable to anticipate or prevent unauthorized access. There is no assurance that hackers may not have a material impact on our business or systems in the future. Efforts to prevent hackers from disrupting our service or otherwise accessing our systems are expensive to develop, implement and maintain. These efforts require ongoing monitoring and updating as technologies change and efforts to overcome security measures become more sophisticated, and such efforts may limit the functionality of or otherwise negatively impact our operations and systems. Any significant disruption to our systems could adversely affect our business and results of operation. Further, a penetration of our systems or a third-party's systems or other misappropriation or misuse of personal information could subject us to business, regulatory, litigation and reputation risk and divert internal resources to respond to such an event, which could have a negative effect on our business, financial condition and results of operations.</w:t>
      </w:r>
    </w:p>
    <w:p>
      <w:pPr>
        <w:spacing w:after="0" w:line="36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We utilize our own communications and computer hardware systems located either in our facilities or in that of a third-party provider. In addition, we utilize third-party "cloud" computing services in connection with our business operations. Problems faced by us or our third-party "cloud" computing or other network providers, including technological or business-related disruptions, as well as natural disasters, cybersecurity threats and regulatory interference, could adversely impact the experience of our members.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dependence on third parties</w:t>
      </w:r>
    </w:p>
    <w:p>
      <w:pPr>
        <w:spacing w:after="0" w:line="224"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i w:val="1"/>
          <w:iCs w:val="1"/>
          <w:color w:val="auto"/>
        </w:rPr>
        <w:t>Third parties have sponsored most clinical trials of DANYELZA and omburtamab so far, and our ability to influence the design and conduct of such clinical trials has been limited. We have incurred significant expenses and are obligated to make significant payments in the future with respect to such clinical trials. We plan to assume control over the future clinical and regulatory development of such product candidates, including obtaining sponsorship of existing INDs or filing new company-sponsored INDs, which will entail substantial additional expenses and may be subject to delay. Any failure by a third party to meet its obligations with respect to the clinical and regulatory development of our product candidates may delay or impair our ability to obtain regulatory approval for our product candidates and result in liability for our company.</w:t>
      </w:r>
    </w:p>
    <w:p>
      <w:pPr>
        <w:spacing w:after="0" w:line="17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have sponsored only a limited number of clinical trials relating to DANYELZA and omburtamab. Instead, faculty members at our third-party research institution collaborators, or those institutions themselves, have sponsored most of the clinical trials relating to these product candidates, in each case, under their own INDs. We have incurred significant expenses and are obligated to make significant payments in the future with respect to such clinical trials. To date, we have assumed control of only a limited number of such clinical trials and plan to assume control of the overall clinical and regulatory development of DANYELZA and omburtamab for future clinical trials and obtain sponsorship of the INDs or file new company-sponsored INDs, all of which will cause us to incur substantial additional expenses and may be subject to delay. Failure to obtain, or delays in obtaining, sponsorship of INDs or in filing new company-sponsored INDs for DANYELZA or omburtamab or any other product candidates we determine to advance could negatively affect the timing of our potential future clinical trials. Such an impact on timing could increase research and development costs and could delay or prevent obtaining regulatory approval for our most advanced product candidates, either of which could have a material adverse effect on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Further, even in the event that the IND sponsorship is obtained for existing and new INDs, we did not control the design or conduct of the previous trials. It is possible that the FDA will not accept these previous trials as providing adequate support for future clinical trials, whether controlled by us or third parties, for any reason, including the safety, purity, and potency of the product candidate, the degree of product characterization, elements of the design or execution of the previous trials or safety concerns, or other trial results. We may also be subject to liabilities arising from any treatment-related injuries or adverse effects in patients enrolled in these previous trials. As a result, we may be subject to unforeseen third-party claims and delays in our potential future clinical trials. We may also be required to repeat in whole or in part clinical trials previously conducted by our third-party research institution collaborators, which will be expensive and delay the submission and licensure or other regulatory approvals with respect to any of our product candidates. Any such delay or liability could have a material adverse effect on our business.</w:t>
      </w:r>
    </w:p>
    <w:p>
      <w:pPr>
        <w:spacing w:after="0" w:line="18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Moreover, we have so far been dependent on contractual arrangements with our third-party research institution collaborators and will continue to be until we assume control. Such arrangements provide us certain information rights with respect to the previous trials, including access to and the ability to use and reference the data, including for our own regulatory filings, resulting from the previous trials. However, if the data prove to be inadequate compared to the first-hand knowledge we might have gained had the completed trials been corporate-sponsored trials, then our ability to design and conduct our planned corporate-sponsored clinical trials may be adversely affected. Additionally, the FDA may disagree with the sufficiency of our right to reference the pre-clinical, manufacturing, or clinical data generated by these prior investigator-sponsored trials, or our interpretation of pre-clinical, manufacturing, or clinical data from these clinical trials. Moreover, the FDA may require us to obtain and submit additional pre-clinical, clinical, manufacturing, clinical, toxicology or other in vivo or in vitro data before we may begin our planned trials and/or may not accept such additional data as adequate to begin our planned trials.</w:t>
      </w:r>
    </w:p>
    <w:p>
      <w:pPr>
        <w:spacing w:after="0" w:line="183"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b w:val="1"/>
          <w:bCs w:val="1"/>
          <w:i w:val="1"/>
          <w:iCs w:val="1"/>
          <w:color w:val="auto"/>
        </w:rPr>
        <w:t>We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spacing w:after="0" w:line="16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 on third parties does not relieve us of our regulatory responsibilities. We and these third parties are required to comply with current good clinical practices, or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non-clinical or clinical trials before approving our marketing applications. We cannot be certain that, upon inspection, such regulatory authorities will determine that any of our clinical trials comply with the GCP regulations. In addition, our clinical trials must be conducted with biologic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We may also rely on investigator-reported interim data in making business decisions. Independent review of the data could fail to confirm the investigator reported interim data, which may lead to revisions in disclosed clinical trial results in the future. Any such revisions that reveal more negative data than previously disclosed investigator-reported interim data could have an adverse impact on our business prospects and the trading price of our common stock. Such revisions could also reduce investor confidence in investigator-reported interim data that we disclose in the future.</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 relationships with our CROs, there can be no assurance that we will not encounter similar challenges in the future or that these challenges will not have a material adverse impact on our business, financial condition and prospects.</w:t>
      </w:r>
    </w:p>
    <w:p>
      <w:pPr>
        <w:spacing w:after="0" w:line="146"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b w:val="1"/>
          <w:bCs w:val="1"/>
          <w:i w:val="1"/>
          <w:iCs w:val="1"/>
          <w:color w:val="auto"/>
        </w:rPr>
        <w:t>We rely on third parties to manufacture DANYELZA for commercial sales and our product candidates for our ongoing and planned pre-clinical studies and clinical studies. We also expect to rely on third parties for the manufacturing process of additional product candidates and for commercial supplies of other product candidates than DANYELZA, if approved. Our business could be harmed if those third parties fail to provide us with sufficient quantities of product supplies or product candidates, or fail to do so at acceptable quality levels or prices or fail to maintain adequate compliance with CMC guidelines of the FDA.</w:t>
      </w:r>
    </w:p>
    <w:p>
      <w:pPr>
        <w:spacing w:after="0" w:line="14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do not currently own any facility that may be used as commercial or clinical-scale manufacturing and processing facility and we rely on outside vendors to manufacture supplies and process DANYELZA and product candidates for pre-clinical studies and clinical trials under the guidance of our management team. DANYELZA and omburtamab have only been manufactured or processed on a limited basis and we may not be able to continue doing so for these or any of our product candidates. Our manufacturing process may be more difficult or expensive than the approaches currently in use. We may make changes as we work to optimize the manufacturing process, and we cannot be sure that even minor changes in the process will not result in significantly different products that may not be as safe and effective as any product candidates deployed by our third-party research institution collaborators.</w:t>
      </w:r>
    </w:p>
    <w:p>
      <w:pPr>
        <w:spacing w:after="0" w:line="18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To date, we have obtained the active pharmaceutical ingredient, or API, of DANYELZA and omburtamab from a limited number of third-party manufacturers. We have engaged a separate third-party manufacturer to conduct fill-and-finish and labeling services, as well as for the storage and distribution of DANYELZA and omburtamab to clinical sites. We do not have a long-term supply agreement with any of these third-party manufacturers, and we purchase our required drug supplies on a purchase order basis.</w:t>
      </w:r>
    </w:p>
    <w:p>
      <w:pPr>
        <w:spacing w:after="0" w:line="177"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color w:val="auto"/>
        </w:rPr>
        <w:t>We rely also on third-party manufacturers and third-party collaborators for the manufacture of DANYELZA for commercial supply and we expect this also to be the case for any of our product candidates for which we or any of our potential future collaborators obtain marketing approval. We may be unable to establish any agreements with third-party manufacturers or to do so on acceptable terms.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We are highly dependent on our current third-party drug substance manufacturer of omburtamab, EMD/Merck, since this manufacturing process uses a hybridoma cell line in a relatively small scale (200 litres) cGMP manufacturing process. Many manufacturers refuse to allow hybridoma cell lines to be used in their facilities due to the risk of contamination and the relatively small scale of the cGMP system may render a collaboration with us less attractive from a third party's commercial point of view.</w:t>
      </w:r>
    </w:p>
    <w:p>
      <w:pPr>
        <w:spacing w:after="0" w:line="177" w:lineRule="exact"/>
        <w:rPr>
          <w:sz w:val="20"/>
          <w:szCs w:val="20"/>
          <w:color w:val="auto"/>
        </w:rPr>
      </w:pPr>
    </w:p>
    <w:p>
      <w:pPr>
        <w:ind w:right="680"/>
        <w:spacing w:after="0" w:line="269"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w:t>
      </w:r>
    </w:p>
    <w:p>
      <w:pPr>
        <w:spacing w:after="0" w:line="157" w:lineRule="exact"/>
        <w:rPr>
          <w:sz w:val="20"/>
          <w:szCs w:val="20"/>
          <w:color w:val="auto"/>
        </w:rPr>
      </w:pPr>
    </w:p>
    <w:p>
      <w:pPr>
        <w:ind w:left="540" w:right="220" w:hanging="532"/>
        <w:spacing w:after="0" w:line="246"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potential manufacturers is limited, we would need to qualify any new manufacturers, our BLA submissions would need to be amended and ultimately the FDA must approve any new manufacturers. This approval would require new testing and cGMP, compliance inspections by the FDA. In addition, a new manufacturer would have to be educated in, or develop substantially equivalent processes for, production of our products;</w:t>
      </w:r>
    </w:p>
    <w:p>
      <w:pPr>
        <w:spacing w:after="0" w:line="177" w:lineRule="exact"/>
        <w:rPr>
          <w:rFonts w:ascii="Arial" w:cs="Arial" w:eastAsia="Arial" w:hAnsi="Arial"/>
          <w:sz w:val="18"/>
          <w:szCs w:val="18"/>
          <w:color w:val="auto"/>
        </w:rPr>
      </w:pPr>
    </w:p>
    <w:p>
      <w:pPr>
        <w:ind w:left="540" w:right="100" w:hanging="532"/>
        <w:spacing w:after="0" w:line="269"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or produce the quantity and quality required to meet our clinical and commercial needs, if any;</w:t>
      </w:r>
    </w:p>
    <w:p>
      <w:pPr>
        <w:spacing w:after="0" w:line="143" w:lineRule="exact"/>
        <w:rPr>
          <w:rFonts w:ascii="Arial" w:cs="Arial" w:eastAsia="Arial" w:hAnsi="Arial"/>
          <w:sz w:val="18"/>
          <w:szCs w:val="18"/>
          <w:color w:val="auto"/>
        </w:rPr>
      </w:pPr>
    </w:p>
    <w:p>
      <w:pPr>
        <w:ind w:left="540" w:right="660" w:hanging="532"/>
        <w:spacing w:after="0" w:line="269"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third-party manufacturers may not be able to execute our manufacturing procedures and other logistical support requirements appropriately;</w:t>
      </w:r>
    </w:p>
    <w:p>
      <w:pPr>
        <w:spacing w:after="0" w:line="143" w:lineRule="exact"/>
        <w:rPr>
          <w:rFonts w:ascii="Arial" w:cs="Arial" w:eastAsia="Arial" w:hAnsi="Arial"/>
          <w:sz w:val="18"/>
          <w:szCs w:val="18"/>
          <w:color w:val="auto"/>
        </w:rPr>
      </w:pPr>
    </w:p>
    <w:p>
      <w:pPr>
        <w:ind w:left="540" w:right="160" w:hanging="532"/>
        <w:spacing w:after="0" w:line="246"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third-party manufacturers may not perform as agreed, according to our schedule or specifications, or at all, may not devote sufficient resources to our product candidates, may give greater priority to the supply of other products over our product candidates, or may not remain in the contract manufacturing business for the time required to supply our clinical trials or to successfully produce, store, and distribute our products;</w:t>
      </w:r>
    </w:p>
    <w:p>
      <w:pPr>
        <w:spacing w:after="0" w:line="177" w:lineRule="exact"/>
        <w:rPr>
          <w:rFonts w:ascii="Arial" w:cs="Arial" w:eastAsia="Arial" w:hAnsi="Arial"/>
          <w:sz w:val="18"/>
          <w:szCs w:val="18"/>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 of cross-contamination if more than one product is manufactured at our third-party manufacturer's production facilities;</w:t>
      </w:r>
    </w:p>
    <w:p>
      <w:pPr>
        <w:spacing w:after="0" w:line="198" w:lineRule="exact"/>
        <w:rPr>
          <w:rFonts w:ascii="Arial" w:cs="Arial" w:eastAsia="Arial" w:hAnsi="Arial"/>
          <w:sz w:val="18"/>
          <w:szCs w:val="18"/>
          <w:color w:val="auto"/>
        </w:rPr>
      </w:pPr>
    </w:p>
    <w:p>
      <w:pPr>
        <w:ind w:left="540" w:right="240" w:hanging="532"/>
        <w:spacing w:after="0" w:line="252"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third-party manufacturers are subject to ongoing periodic unannounced inspection by the FDA and corresponding state agencies to ensure strict compliance with cGMPs and other government regulations and corresponding foreign standards. We do not have control over third-party manufacturers' compliance with these and or any other applicable regulations and standards;</w:t>
      </w:r>
    </w:p>
    <w:p>
      <w:pPr>
        <w:spacing w:after="0" w:line="157" w:lineRule="exact"/>
        <w:rPr>
          <w:rFonts w:ascii="Arial" w:cs="Arial" w:eastAsia="Arial" w:hAnsi="Arial"/>
          <w:sz w:val="18"/>
          <w:szCs w:val="18"/>
          <w:color w:val="auto"/>
        </w:rPr>
      </w:pPr>
    </w:p>
    <w:p>
      <w:pPr>
        <w:ind w:left="540" w:right="100" w:hanging="532"/>
        <w:spacing w:after="0" w:line="269"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157" w:lineRule="exact"/>
        <w:rPr>
          <w:rFonts w:ascii="Arial" w:cs="Arial" w:eastAsia="Arial" w:hAnsi="Arial"/>
          <w:sz w:val="18"/>
          <w:szCs w:val="18"/>
          <w:color w:val="auto"/>
        </w:rPr>
      </w:pPr>
    </w:p>
    <w:p>
      <w:pPr>
        <w:ind w:left="540" w:hanging="532"/>
        <w:spacing w:after="0"/>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third-party manufacturers could breach, terminate or not renew their agreement with us at a time that is costly or inconvenient for us;</w:t>
      </w:r>
    </w:p>
    <w:p>
      <w:pPr>
        <w:spacing w:after="0" w:line="221" w:lineRule="exact"/>
        <w:rPr>
          <w:rFonts w:ascii="Arial" w:cs="Arial" w:eastAsia="Arial" w:hAnsi="Arial"/>
          <w:sz w:val="16"/>
          <w:szCs w:val="16"/>
          <w:color w:val="auto"/>
        </w:rPr>
      </w:pPr>
    </w:p>
    <w:p>
      <w:pPr>
        <w:ind w:left="540" w:hanging="532"/>
        <w:spacing w:after="0" w:line="252"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and, if approved, commercial supplies for the raw materials and components used to manufacture and process our product candidates, particularly those for which we have no other source or supplier, may not be available or may not be suitable or acceptable for use due to material or component defects;</w:t>
      </w:r>
    </w:p>
    <w:p>
      <w:pPr>
        <w:spacing w:after="0" w:line="157" w:lineRule="exact"/>
        <w:rPr>
          <w:rFonts w:ascii="Arial" w:cs="Arial" w:eastAsia="Arial" w:hAnsi="Arial"/>
          <w:sz w:val="18"/>
          <w:szCs w:val="18"/>
          <w:color w:val="auto"/>
        </w:rPr>
      </w:pPr>
    </w:p>
    <w:p>
      <w:pPr>
        <w:ind w:left="540" w:right="160" w:hanging="532"/>
        <w:spacing w:after="0" w:line="269"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157" w:lineRule="exact"/>
        <w:rPr>
          <w:rFonts w:ascii="Arial" w:cs="Arial" w:eastAsia="Arial" w:hAnsi="Arial"/>
          <w:sz w:val="18"/>
          <w:szCs w:val="18"/>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200" w:hanging="532"/>
        <w:spacing w:after="0" w:line="252"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Our third-party manufacturers and critical reagent suppliers may be subject to inclement weather, as well as natural or man-made disasters; and</w:t>
      </w:r>
    </w:p>
    <w:p>
      <w:pPr>
        <w:spacing w:after="0" w:line="171" w:lineRule="exact"/>
        <w:rPr>
          <w:rFonts w:ascii="Arial" w:cs="Arial" w:eastAsia="Arial" w:hAnsi="Arial"/>
          <w:sz w:val="18"/>
          <w:szCs w:val="18"/>
          <w:color w:val="auto"/>
        </w:rPr>
      </w:pPr>
    </w:p>
    <w:p>
      <w:pPr>
        <w:ind w:left="540" w:right="100" w:hanging="532"/>
        <w:spacing w:after="0" w:line="26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third-party manufacturers may have unacceptable or inconsistent product quality success rates and yields and may have inadequate quality control systems.</w:t>
      </w:r>
    </w:p>
    <w:p>
      <w:pPr>
        <w:spacing w:after="0" w:line="15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Each of these risks could delay or prevent the completion of our clinical trials, could delay any additional BLA submissions or the approval of any of our product candidates by the FDA, result in higher costs or adversely impact commercialization of our product candidates. For example,</w:t>
      </w:r>
    </w:p>
    <w:p>
      <w:pPr>
        <w:ind w:right="60"/>
        <w:spacing w:after="0" w:line="206" w:lineRule="auto"/>
        <w:rPr>
          <w:sz w:val="20"/>
          <w:szCs w:val="20"/>
          <w:color w:val="auto"/>
        </w:rPr>
      </w:pPr>
      <w:r>
        <w:rPr>
          <w:rFonts w:ascii="Arial" w:cs="Arial" w:eastAsia="Arial" w:hAnsi="Arial"/>
          <w:sz w:val="17"/>
          <w:szCs w:val="17"/>
          <w:color w:val="auto"/>
        </w:rPr>
        <w:t xml:space="preserve">during 2018 we experienced a shortage in the supply of Iodine-131, one of the components of our </w:t>
      </w:r>
      <w:r>
        <w:rPr>
          <w:rFonts w:ascii="Arial" w:cs="Arial" w:eastAsia="Arial" w:hAnsi="Arial"/>
          <w:sz w:val="28"/>
          <w:szCs w:val="28"/>
          <w:color w:val="auto"/>
          <w:vertAlign w:val="superscript"/>
        </w:rPr>
        <w:t>131</w:t>
      </w:r>
      <w:r>
        <w:rPr>
          <w:rFonts w:ascii="Arial" w:cs="Arial" w:eastAsia="Arial" w:hAnsi="Arial"/>
          <w:sz w:val="17"/>
          <w:szCs w:val="17"/>
          <w:color w:val="auto"/>
        </w:rPr>
        <w:t>I-omburtamab product candidate, from our single source supplier. We have established a relationship with an additional supplier which we believe will be able to provide us with adequate</w:t>
      </w:r>
    </w:p>
    <w:p>
      <w:pPr>
        <w:spacing w:after="0" w:line="1"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 xml:space="preserve">supplies of Iodine-131. While we have not yet experienced any delays in the research and development of our </w:t>
      </w:r>
      <w:r>
        <w:rPr>
          <w:rFonts w:ascii="Arial" w:cs="Arial" w:eastAsia="Arial" w:hAnsi="Arial"/>
          <w:sz w:val="29"/>
          <w:szCs w:val="29"/>
          <w:color w:val="auto"/>
          <w:vertAlign w:val="superscript"/>
        </w:rPr>
        <w:t>131</w:t>
      </w:r>
      <w:r>
        <w:rPr>
          <w:rFonts w:ascii="Arial" w:cs="Arial" w:eastAsia="Arial" w:hAnsi="Arial"/>
          <w:sz w:val="18"/>
          <w:szCs w:val="18"/>
          <w:color w:val="auto"/>
        </w:rPr>
        <w:t>I-omburtamab product candidate to date, any such shortages in the supply of such raw materials used in the manufacture of our product candidates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facilities used by our contract manufacturers to manufacture DANYELZA and our product candidates must be approved by the FDA pursuant to inspections conducted after submittal of the BLA to the FDA. We do not have complete control over all aspects of the manufacturing process of, and are dependent on, our contract manufacturing partners for compliance with cGMP regulations for manufacturing both active drug substances and finished drug products. DANYELZA and any product candidates that we may develop may compete with product candidates of other companies for access to manufacturing facilities. There are a limited number of manufacturers that operate under cGMP regulations and that might be capable of manufacturing for us.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drugs and harm our business and results of operations.</w:t>
      </w:r>
    </w:p>
    <w:p>
      <w:pPr>
        <w:spacing w:after="0" w:line="36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Any performance failure on the part of our existing or future manufacturers could adversely affect our commercialization of approved products, such as DANYELZA, and delay clinical development or marketing approval. We do not currently have arrangements in place for redundant supply of our DANYELZA and omburtamab and we only currently use a different single third-party manufacturer for fill-and-finish services for DANYELZA and omburtamab. If our current contract manufacturers cannot perform as agreed, we may be required to replace those manufacturers and we may incur added costs and delays in identifying and qualifying any such replacement. We have been informed that the FDA plans to visit and inspect the site of EMD Millipore Corporation (now part of the Merck KgaA group of companies), or EMD/Merck in Merck KgA site in Martillac, France, where the drug substance is manufactured. The COVID-19 pandemic and travel restrictions may impact the timing of such inspection, even though it is not expected to take place until the second half of 2021. We estimate that the FDA inspection may occur in the second half of 2021 assuming the FDA accepts the omburtamab BLA filing. However, if the FDA is not able to timely conduct an inspection for any reason, including due to COVID-19 travel restrictions or otherwise,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there may be adverse consequences to the approval process, and we may not obtain BLA approval on a timely basis or at all. Delays in the approval process or our inability to obtain approval for any reason for omburtamab or any other product candidate would have a material adverse effect upon our business, results of operations and financial condition. The FDA may also decide to inspect the fill and finish site at Patheon/Thermo Fisher in Ferentino, Italy, which may cause similar risks.</w:t>
      </w:r>
    </w:p>
    <w:p>
      <w:pPr>
        <w:spacing w:after="0" w:line="177"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i w:val="1"/>
          <w:iCs w:val="1"/>
          <w:color w:val="auto"/>
        </w:rPr>
        <w:t>We are and will continue to rely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the IND filings and our ability to conduct future planned clinical trials.</w:t>
      </w:r>
    </w:p>
    <w:p>
      <w:pPr>
        <w:spacing w:after="0" w:line="167"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color w:val="auto"/>
        </w:rPr>
        <w:t>We currently have limited internal research and development capabilities and we have not and are not currently conducting any independent clinical trials. Therefore, we currently rely on third-party research institutions for both capabilities.</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Currently, MSK is conducting clinical trials to address pediatric high-risk NB and relapsed osteosarcoma using DANYELZA. We are also conducting clinical trials at MSK for CNS/LM from NB, DIPG and DSRCT for our omburtamab product candidate and GD2 positive tumors for our nivatrotamab product candidate. Under the terms of the MCTA, we are obligated to pay for the costs associated with these clinical trials.</w:t>
      </w:r>
    </w:p>
    <w:p>
      <w:pPr>
        <w:spacing w:after="0" w:line="17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agreed to fund certain research and development costs under both the MSK License, the MSK CD33 License and the SADA License Agreement. However, the research we have agreed to fund constitutes only a small portion of the overall research of MSK. Other research being conducted by MSK may receive higher priority than research on the programs we may fund.</w:t>
      </w:r>
    </w:p>
    <w:p>
      <w:pPr>
        <w:spacing w:after="0" w:line="172"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The outside scientists who conduct the clinical testing of DANYELZA and our other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would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spacing w:after="0" w:line="16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existing agreements with MSK may be subject to termination by MSK upon the occurrence of certain circumstances. If MSK terminates the MSK License, the MSK CD33 License, the SADA License Agreement or its other agreements with us, commercialization of any approved product, such as DANYELZA, or the research and development of the relevant product candidates would be suspended, and we would not be able to research, develop, and license our existing and future product candidates as currently contemplated. We may be required to devote 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b w:val="1"/>
          <w:bCs w:val="1"/>
          <w:i w:val="1"/>
          <w:iCs w:val="1"/>
          <w:color w:val="auto"/>
        </w:rPr>
        <w:t>DANYELZA and our product candidates are biologics and the manufacture of DANYELZA and our product candidates is complex. We, or any of our third-party manufacturers, may encounter difficulties in production, particularly with respect to process development or scaling-up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spacing w:after="0" w:line="17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DANYELZA and our product candidates are biologics and the process of manufacturing them is complex, highly 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manufacturing of DANYELZA and our product candidates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as well as compliance with strictly enforced federal, state and foreign regulations.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No assurance can be given that any stability failures or other issues relating to the manufacture of DANYELZA or our product candidates will not occur in the future.</w:t>
      </w:r>
    </w:p>
    <w:p>
      <w:pPr>
        <w:spacing w:after="0" w:line="365"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Further, as product candidates are developed through pre-clinical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Moreover, as we develop and/or scale-up our manufacturing process, we expect that we will need to obtain rights to and supplies of certain materials and equipment to be used as part of that process. We may not be able to obtain rights to such materials on commercially reasonable terms, or at all.</w:t>
      </w:r>
    </w:p>
    <w:p>
      <w:pPr>
        <w:spacing w:after="0" w:line="157"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 addition, the manufacturing process for any products that we may develop is subject to FDA, EMA and other foreign regulatory authority approval process, and we will need to contract with manufacturers who can meet all applicable FDA, EMA and other foreign regulatory authority requirements on an ongoing basis. If we, or our CMOs, are unable to reliably produce products to specifications acceptable to the FDA, EMA or other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business, financial condition, results of operations and growth prospects. Although we are working to develop commercially viable processes,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 We may ultimately be unable to, among other things, develop a manufacturing process and distribution network that will, reduce the cost of goods for our product candidates to levels that will allow for an attractive return on investment if and when those product candidates are commercialized.</w:t>
      </w:r>
    </w:p>
    <w:p>
      <w:pPr>
        <w:spacing w:after="0" w:line="184"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i w:val="1"/>
          <w:iCs w:val="1"/>
          <w:color w:val="auto"/>
        </w:rPr>
        <w:t>We have entered into strategic collaborations for the development, marketing and commercialization of DANYELZA and omburtamab in certain jurisdictions and may do so also in the future for all or some of our product candidates. If those collaborations are not successful, or if we are unable to establish additional collaborations, we may have to alter or delay our development and commercialization plans.</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As we further develop our lead product candidates and following potential approval, commercialize our products, we may build a commercial infrastructure with the capability to directly market it to a variety of markets and territories. In November 2020, we have entered into an exclusive license and distribution agreement for DANYELZA and omburtamab with Takeda Israel, a wholly owned subsidiary of Takeda Pharmaceutical Company Limited covering the State of Israel, West Bank and Gaza Strip. In December 2020, we entered into a distribution agreement for DANYELZA and omburtamab with Swixx BioPharma AG for the Eastern European territories Bosnia &amp; Herzegovina, Bulgaria, Croatia, Czech Republic, Estonia, Hungary, Latvia, Lithuania, Poland, Romania, Russia, Serbia, Slovakia and Slovenia. Finally, later in December 2020, we entered into a license agreement for DANYELZA and omburtamab with SciClone Pharmaceuticals International Ltd., for Greater China, including Mainland China, Taiwan, Hong Kong and Macau. We may enter into further strategic collaborations for the development, marketing and commercialization of all or some of our product candidates. Our current and future potential collaborators for any collaboration arrangements include large and mid-size pharmaceutical companies, regional and national pharmaceutical companies and biotechnology companies. We would face significant competition in seeking appropriate collaborators. Whether we reach a definitive agreement for any further collaborations will depend, among other things, upon our assessment of the collaborator's resources and expertise, the terms and conditions of the proposed collaboration and the proposed collaborator's evaluation of a number of factors. We have and will for any future collaborations likely have limited control over the amount and timing of resources that our collaborators dedicate to the development, marketing and/or commercialization of our product candidates. Our ability to generate revenues from these arrangements will depend on our current and future potential collaborators' abilities to successfully perform the functions assigned to them in these arrangements. In addition, our current collaborators have and any future collaborators may have, the right to abandon research or development projects and terminate applicable agreements, including funding obligations, prior to or upon the expiration of the agreed upon terms.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any future potential collaborations involving our product candidates pose risks to us, including the following:</w:t>
      </w:r>
    </w:p>
    <w:p>
      <w:pPr>
        <w:spacing w:after="0" w:line="212"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98" w:lineRule="exact"/>
        <w:rPr>
          <w:rFonts w:ascii="Arial" w:cs="Arial" w:eastAsia="Arial" w:hAnsi="Arial"/>
          <w:sz w:val="18"/>
          <w:szCs w:val="18"/>
          <w:color w:val="auto"/>
        </w:rPr>
      </w:pPr>
    </w:p>
    <w:p>
      <w:pPr>
        <w:jc w:val="both"/>
        <w:ind w:left="540" w:right="40" w:hanging="532"/>
        <w:spacing w:after="0" w:line="252"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460" w:hanging="532"/>
        <w:spacing w:after="0" w:line="26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57" w:lineRule="exact"/>
        <w:rPr>
          <w:rFonts w:ascii="Arial" w:cs="Arial" w:eastAsia="Arial" w:hAnsi="Arial"/>
          <w:sz w:val="18"/>
          <w:szCs w:val="18"/>
          <w:color w:val="auto"/>
        </w:rPr>
      </w:pPr>
    </w:p>
    <w:p>
      <w:pPr>
        <w:ind w:left="540" w:right="40" w:hanging="532"/>
        <w:spacing w:after="0" w:line="26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drugs that compete directly or indirectly with our drugs or product candidates;</w:t>
      </w:r>
    </w:p>
    <w:p>
      <w:pPr>
        <w:spacing w:after="0" w:line="143" w:lineRule="exact"/>
        <w:rPr>
          <w:rFonts w:ascii="Arial" w:cs="Arial" w:eastAsia="Arial" w:hAnsi="Arial"/>
          <w:sz w:val="18"/>
          <w:szCs w:val="18"/>
          <w:color w:val="auto"/>
        </w:rPr>
      </w:pPr>
    </w:p>
    <w:p>
      <w:pPr>
        <w:ind w:left="540" w:right="560" w:hanging="532"/>
        <w:spacing w:after="0" w:line="26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drugs may not commit sufficient resources to the marketing and distribution of such drug or drugs;</w:t>
      </w:r>
    </w:p>
    <w:p>
      <w:pPr>
        <w:spacing w:after="0" w:line="143" w:lineRule="exact"/>
        <w:rPr>
          <w:rFonts w:ascii="Arial" w:cs="Arial" w:eastAsia="Arial" w:hAnsi="Arial"/>
          <w:sz w:val="18"/>
          <w:szCs w:val="18"/>
          <w:color w:val="auto"/>
        </w:rPr>
      </w:pPr>
    </w:p>
    <w:p>
      <w:pPr>
        <w:ind w:left="540" w:right="160" w:hanging="532"/>
        <w:spacing w:after="0" w:line="246"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77" w:lineRule="exact"/>
        <w:rPr>
          <w:rFonts w:ascii="Arial" w:cs="Arial" w:eastAsia="Arial" w:hAnsi="Arial"/>
          <w:sz w:val="18"/>
          <w:szCs w:val="18"/>
          <w:color w:val="auto"/>
        </w:rPr>
      </w:pPr>
    </w:p>
    <w:p>
      <w:pPr>
        <w:ind w:left="540" w:right="100" w:hanging="532"/>
        <w:spacing w:after="0" w:line="26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98" w:lineRule="exact"/>
        <w:rPr>
          <w:rFonts w:ascii="Arial" w:cs="Arial" w:eastAsia="Arial" w:hAnsi="Arial"/>
          <w:sz w:val="18"/>
          <w:szCs w:val="18"/>
          <w:color w:val="auto"/>
        </w:rPr>
      </w:pPr>
    </w:p>
    <w:p>
      <w:pPr>
        <w:ind w:left="540" w:right="440" w:hanging="532"/>
        <w:spacing w:after="0" w:line="26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any collaboration arrangement that we enter into, such as if we undergo a change of control;</w:t>
      </w:r>
    </w:p>
    <w:p>
      <w:pPr>
        <w:spacing w:after="0" w:line="157" w:lineRule="exact"/>
        <w:rPr>
          <w:rFonts w:ascii="Arial" w:cs="Arial" w:eastAsia="Arial" w:hAnsi="Arial"/>
          <w:sz w:val="18"/>
          <w:szCs w:val="18"/>
          <w:color w:val="auto"/>
        </w:rPr>
      </w:pPr>
    </w:p>
    <w:p>
      <w:pPr>
        <w:ind w:left="540" w:right="240" w:hanging="532"/>
        <w:spacing w:after="0" w:line="26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restricted under then-existing collaboration agreements from entering into future agreements on certain terms with potential collaborators;</w:t>
      </w:r>
    </w:p>
    <w:p>
      <w:pPr>
        <w:spacing w:after="0" w:line="143" w:lineRule="exact"/>
        <w:rPr>
          <w:rFonts w:ascii="Arial" w:cs="Arial" w:eastAsia="Arial" w:hAnsi="Arial"/>
          <w:sz w:val="18"/>
          <w:szCs w:val="18"/>
          <w:color w:val="auto"/>
        </w:rPr>
      </w:pPr>
    </w:p>
    <w:p>
      <w:pPr>
        <w:ind w:left="540" w:right="160" w:hanging="532"/>
        <w:spacing w:after="0" w:line="26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marketing and/or commercialization of the applicable product candidates;</w:t>
      </w:r>
    </w:p>
    <w:p>
      <w:pPr>
        <w:spacing w:after="0" w:line="143" w:lineRule="exact"/>
        <w:rPr>
          <w:rFonts w:ascii="Arial" w:cs="Arial" w:eastAsia="Arial" w:hAnsi="Arial"/>
          <w:sz w:val="18"/>
          <w:szCs w:val="18"/>
          <w:color w:val="auto"/>
        </w:rPr>
      </w:pPr>
    </w:p>
    <w:p>
      <w:pPr>
        <w:ind w:left="540" w:right="460" w:hanging="532"/>
        <w:spacing w:after="0" w:line="26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learn about our discoveries, data, proprietary information, trade secrets, or compounds and use this knowledge to compete with us in the future; and</w:t>
      </w:r>
    </w:p>
    <w:p>
      <w:pPr>
        <w:spacing w:after="0" w:line="157"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potential future collaborators or acquirers.</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current and any future collaboration agreements, if any, may not lead to development or commercialization of product candidates in the most efficient manner, or at all.</w:t>
      </w:r>
    </w:p>
    <w:p>
      <w:pPr>
        <w:spacing w:after="0" w:line="15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may not be able to negotiate additional collaborations on a timely basis, on acceptable terms, or at all, if and when we seek to enter into collaborations.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Coverage and reimbursement decisions by third-party payors may have an adverse effect on pricing and market acceptance. If there is not sufficient coverage and reimbursement for our products, it is less likely that our products will be widely used.</w:t>
      </w:r>
    </w:p>
    <w:p>
      <w:pPr>
        <w:spacing w:after="0" w:line="14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Market acceptance and sales of our products, if approved, such as DANYELZA, will depend on coverage and reimbursement policies and may be affected by future healthcare reform measures. Government authorities and third-party payors, such as private health insurers and health maintenance organizations, decide which drugs they will reimburse and establish payment levels and, in some cases, utilization management strategies, such as tiered formularies and prior authorization. To date, no third-party provider has established coverage policies or provided reimbursement for DANYELZA or any of our other product candidates and we cannot assure you that coverage and reimbursement will be available for DANYELZA or any products that we develop or that the reimbursement level will be adequate to allow us to operate profitably. Also, we cannot be certain that coverage and reimbursement policies will not reduce the demand for, or the price paid for, our products. If coverage and reimbursement is not available or is available on a limited basis, or if the coverage and reimbursement amount is inadequate, we may not be able to successfully commercialize any of our approved products.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government regulation; market approval and other legal compliance matters</w:t>
      </w:r>
    </w:p>
    <w:p>
      <w:pPr>
        <w:spacing w:after="0" w:line="224" w:lineRule="exact"/>
        <w:rPr>
          <w:sz w:val="20"/>
          <w:szCs w:val="20"/>
          <w:color w:val="auto"/>
        </w:rPr>
      </w:pPr>
    </w:p>
    <w:p>
      <w:pPr>
        <w:ind w:right="300"/>
        <w:spacing w:after="0" w:line="249" w:lineRule="auto"/>
        <w:rPr>
          <w:sz w:val="20"/>
          <w:szCs w:val="20"/>
          <w:color w:val="auto"/>
        </w:rPr>
      </w:pPr>
      <w:r>
        <w:rPr>
          <w:rFonts w:ascii="Arial" w:cs="Arial" w:eastAsia="Arial" w:hAnsi="Arial"/>
          <w:sz w:val="18"/>
          <w:szCs w:val="18"/>
          <w:b w:val="1"/>
          <w:bCs w:val="1"/>
          <w:i w:val="1"/>
          <w:iCs w:val="1"/>
          <w:color w:val="auto"/>
        </w:rPr>
        <w:t>In October 2020 we received a Refusal to File letter from the FDA regarding our BLA for omburtamab. We plan to resubmit the BLA. The FDA retains discretion to decide again not to file our BLA for omburtamab and may refuse to accept an accelerated approval pathway for omburtamab or our other product candidates which could have a material adverse impact on our development and approval process for these product candidates and our other product candidates.</w:t>
      </w:r>
    </w:p>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We initiated submission of a rolling BLA for omburtamab in June 2020 under the FDA's rolling review process and completed the rolling submission in August 2020. In October 2020 we received a Refusal to File letter from the FDA regarding the BLA for omburtamab. The reason for the FDA's decision to issue the Refusal to File letter was that upon preliminary review, the FDA determined that certain parts of the Chemistry, Manufacturing and Control (CMC) Module and the Clinical Module of the BLA required further detail. Among other things, the FDA requested that detailed validation data be included in the CMC Module, that clinical study data and external control data be reanalyzed using a propensity score adjusted analysis for important baseline characteristics, such as prior receipt of irradiation, and that further supportive evidence in the form of direct anti-tumor effect be included in the Clinical Module. We have been working closely with the FDA to resolve these issues and have a meeting with the FDA scheduled for March 26, 2021, to discuss the adequacy of the external control reanalysis and supporting data to demonstrate direct anti-tumor effect for a BLA resubmission. Assuming a positive outcome of these discussions, we expect to resubmit our BLA for omburtamab by the end of the second quarter of 2021 or the third quarter of 2021. However, there is no assurance that we will be successful in these discussions or that the FDA would accept our proposal and our data as sufficient to allow the BLA resubmission. In addition, the FDA may raise additional issues and pose questions to us that may delay the resubmission of our BLA for omburtamab, the filing of the BLA for omburtamab by the FDA, the approval process and the ultimate issuance of any Marketing Authorizations for omburtamab. We may not be able to provide a satisfactory or a timely response to FDA questions or we may not be able to timely gather the required data, or at all, to prepare our BLA submission for omburtamab as planned. If we are unable to address all questions or concerns the FDA has raised or may raise or if we do not have timely access to the data required for the preparations of the BLA, we may not be able to timely submit our BLA and ultimately receive a Marketing Authorization for omburtamab. If the FDA files the BLA and we are delayed or unable to provide data in</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response to FDA information requests, the PDUFA date for our BLA may be extended or we may receive a Complete Response Letter, which would have a material adverse effect on our business, results of operation and financial condition.</w:t>
      </w:r>
    </w:p>
    <w:p>
      <w:pPr>
        <w:spacing w:after="0" w:line="157" w:lineRule="exact"/>
        <w:rPr>
          <w:sz w:val="20"/>
          <w:szCs w:val="20"/>
          <w:color w:val="auto"/>
        </w:rPr>
      </w:pPr>
    </w:p>
    <w:p>
      <w:pPr>
        <w:ind w:right="740"/>
        <w:spacing w:after="0" w:line="269" w:lineRule="auto"/>
        <w:rPr>
          <w:sz w:val="20"/>
          <w:szCs w:val="20"/>
          <w:color w:val="auto"/>
        </w:rPr>
      </w:pPr>
      <w:r>
        <w:rPr>
          <w:rFonts w:ascii="Arial" w:cs="Arial" w:eastAsia="Arial" w:hAnsi="Arial"/>
          <w:sz w:val="18"/>
          <w:szCs w:val="18"/>
          <w:color w:val="auto"/>
        </w:rPr>
        <w:t>The FDA retains discretion to decide again not to review our BLA for omburtamab. No assurance can be given that we would be able to satisfactorily or timely answer or resolve all the questions and issues the FDA may pose.</w:t>
      </w:r>
    </w:p>
    <w:p>
      <w:pPr>
        <w:spacing w:after="0" w:line="15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intend to resubmit our BLA as a rolling BLA submission. However, the FDA could refuse to accept a rolling BLA submission, which could result in a delay in obtaining a Marketing Authorization, if at all. In addition, while we are currently pursuing a full approval for our BLA for omburtamab, in the event the FDA finds our data insufficient to support such full approval, it is possible that the FDA would consider whether our clinical data is sufficient for a potential accelerated approval. However, the FDA may not find our data sufficient to support either a full approval or an accelerated approval. Even if the FDA were to find our clinical data sufficient to support an accelerated approval, we would need to conduct a post-marketing confirmatory study to confirm the clinical benefit of omburtamab. The FDA may also impose other conditions as a result of any accelerated or full approval which we may not be able to satisfy. Any delay or inability to obtain approval for our BLA for omburtamab would materially adversely affect our ability to generate revenue from commercialization of omburtamab, which would likely result in significant harm to our financial position and adversely impact our stock price. This could also adversely affect the development and approval process for our other product candidates. We can provide no assurance that the FDA will agree with our proposal or that we will be able to refile the BLA submission on time or at all or that we will ultimately be able to obtain FDA approval for omburtamab.</w:t>
      </w:r>
    </w:p>
    <w:p>
      <w:pPr>
        <w:spacing w:after="0" w:line="18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addition, as part of the FDA approval process, the FDA will require an inspection of the manufacturing facilities for omburtamab. If the FDA is unable to conclude that these manufacturing facilities are in substantial compliance with cGMP, or if the FDA is not able to timely conduct an inspection for any reason including due to COVID-19 travel restrictions or otherwise, there may be adverse consequences to the approval process, and we may not obtain BLA approval on a timely basis or at all. We estimate that the FDA inspection may occur in the second half of 2021 if assuming the FDA accepts the omburtamab BLA filing, however, if the FDA is not able to timely conduct an inspection for any reason including due to COVID-19 travel restrictions or otherwise, there may be adverse consequences to the approval process, and we may not obtain BLA approval on a timely basis or at all. Delays in the approval process or our inability to obtain approval for any reason for omburtamab or any other product candidate would have a material adverse effect upon our business, results of operations and financial condition. Delays in the approval process or our inability to obtain approval for any reason for omburtamab or any other drug candidate would have a material adverse effect upon our business, results of operations and financial condition.</w:t>
      </w:r>
    </w:p>
    <w:p>
      <w:pPr>
        <w:spacing w:after="0" w:line="188"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FDA regulatory approval process is lengthy, time-consuming, and inherently unpredictable, and we or any of our potential future collaborators may experience significant delays in the clinical development and regulatory approval, if any, for the commercialization of our product candidates. To date, we have only obtained regulatory approval to market DANYELZA in the United States for relapsed/refractory high-risk neuroblastoma in bone and/or bone marrow. We cannot predict when or if, and in which other territories, we, or any of our potential future collaborators, will obtain marketing approval to commercialize a product or product candidate.</w:t>
      </w:r>
    </w:p>
    <w:p>
      <w:pPr>
        <w:spacing w:after="0" w:line="174"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drug products, including biologics, are subject to extensive regulation by the FDA and other regulatory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80"/>
        <w:spacing w:after="0" w:line="243" w:lineRule="auto"/>
        <w:rPr>
          <w:sz w:val="20"/>
          <w:szCs w:val="20"/>
          <w:color w:val="auto"/>
        </w:rPr>
      </w:pPr>
      <w:r>
        <w:rPr>
          <w:rFonts w:ascii="Arial" w:cs="Arial" w:eastAsia="Arial" w:hAnsi="Arial"/>
          <w:sz w:val="18"/>
          <w:szCs w:val="18"/>
          <w:color w:val="auto"/>
        </w:rPr>
        <w:t>authorities in the United States. Even if we complete the necessary pre-clinical studies and clinical trials, we will not be permitted to market any biological drug product in the United States until we receive a Biologics License from the FDA as we did for DANYELZA for relapsed/refractory high-risk neuroblastoma in bone and/or bone marrow. We intend to conduct additional clinical trials in the United States and Europe. We intend to discuss with the FDA and EMA submission of BLAs for respective approval of DANYELZA and omburtamab as treatments for indications that currently lack FDA-approved treatments.</w:t>
      </w:r>
    </w:p>
    <w:p>
      <w:pPr>
        <w:spacing w:after="0" w:line="18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FDA standard for regular approval of a BLA generally requires two well-controlled Phase 3 studies or one large and robust, well-controlled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The FDA may not agree with our accelerated approval strategy with respect to omburtamab. The FDA may ultimately require one or multiple Phase 3 clinical trials prior to approval of omburtamab or other product candidates.</w:t>
      </w:r>
    </w:p>
    <w:p>
      <w:pPr>
        <w:spacing w:after="0" w:line="19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have some, but only limited, experience in completing a submission of a BLA to the FDA, or similar approval submissions to comparable foreign authorities. A BLA must include extensive pre-clinical and clinical data and supporting information to establish that the product candidate is safe, pure, and potent for each desired indication. The BLA must also include significant information regarding the chemistry, manufacturing, and controls for the product, and the manufacturing facilities must complete a successful pre-license inspection. We expect the novel nature of our product candidates to create further challenges in obtaining regulatory approval from the FDA and other regulatory authorities. 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Accordingly, the regulatory approval pathway for our product candidates may be uncertain, complex, expensive, and lengthy, and approval may not be obtained.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process of obtaining marketing approvals, both in the United States and abroad,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have substantial discretion and may determine that our product candidates are not safe and effective, only moderately effective 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have undesirable or unintended side effects, toxicities or other characteristics that preclude our obtaining marketing approval or prevent or limit commercial use.</w:t>
      </w:r>
    </w:p>
    <w:p>
      <w:pPr>
        <w:spacing w:after="0" w:line="157"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color w:val="auto"/>
        </w:rPr>
        <w:t>Any marketing approval we ultimately obtain may be limited or subject to restrictions or post-approval commitments that render the approved product not commercially viable.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addition, clinical trials can be delayed or terminated for a variety of reasons, including delays or failures related to:</w:t>
      </w:r>
    </w:p>
    <w:p>
      <w:pPr>
        <w:spacing w:after="0" w:line="212"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regulatory approval to begin a trial, if applicable;</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financial resources to begin and complete the planned trials;</w:t>
      </w:r>
    </w:p>
    <w:p>
      <w:pPr>
        <w:spacing w:after="0" w:line="198" w:lineRule="exact"/>
        <w:rPr>
          <w:rFonts w:ascii="Arial" w:cs="Arial" w:eastAsia="Arial" w:hAnsi="Arial"/>
          <w:sz w:val="18"/>
          <w:szCs w:val="18"/>
          <w:color w:val="auto"/>
        </w:rPr>
      </w:pPr>
    </w:p>
    <w:p>
      <w:pPr>
        <w:ind w:left="540" w:right="300" w:hanging="532"/>
        <w:spacing w:after="0" w:line="26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Institutional Review Board or IRB;</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not complying with GCPs, or dropping out of a trial;</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addressing any conflicts with new or existing laws or regulations;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manufacturing qualified materials under cGMPs for use in clinical trials;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impact of the COVID-19 pandemic; or</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inspection of clinical trial sites and manufacturing facilities by regulatory authorities.</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See the risk factor above "—The market opportunities for DANYELZA and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 Also, the market opportunity for DANYELZA and our product candidates may be smaller than we expect." for additional information on risks related to patient enrollment. Further, a clinical trial may be suspended or terminated by us, the IRBs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potential future product revenue will be delayed. In addition, any delays in completing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80"/>
        <w:spacing w:after="0" w:line="269" w:lineRule="auto"/>
        <w:rPr>
          <w:sz w:val="20"/>
          <w:szCs w:val="20"/>
          <w:color w:val="auto"/>
        </w:rPr>
      </w:pPr>
      <w:r>
        <w:rPr>
          <w:rFonts w:ascii="Arial" w:cs="Arial" w:eastAsia="Arial" w:hAnsi="Arial"/>
          <w:sz w:val="18"/>
          <w:szCs w:val="18"/>
          <w:color w:val="auto"/>
        </w:rPr>
        <w:t>our clinical trials will increase our costs, slow down our product development and approval process and jeopardize our ability to commence product sales and generate revenue.</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third-party research institution collaborators may also experience similar difficulties in completing ongoing clinical trials and conducting future clinical trials of product candidates. Many of the factors that cause, or lead to, a delay in the commencement or completion of clinical trials may also ultimately lead to the denial of regulatory approval of our product candidates.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including omburtamab, could fail to receive marketing approval for many reasons, including the following:</w:t>
      </w:r>
    </w:p>
    <w:p>
      <w:pPr>
        <w:spacing w:after="0" w:line="212"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11" w:lineRule="exact"/>
        <w:rPr>
          <w:rFonts w:ascii="Arial" w:cs="Arial" w:eastAsia="Arial" w:hAnsi="Arial"/>
          <w:sz w:val="18"/>
          <w:szCs w:val="18"/>
          <w:color w:val="auto"/>
        </w:rPr>
      </w:pPr>
    </w:p>
    <w:p>
      <w:pPr>
        <w:ind w:left="540" w:right="200" w:hanging="532"/>
        <w:spacing w:after="0" w:line="26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43" w:lineRule="exact"/>
        <w:rPr>
          <w:rFonts w:ascii="Arial" w:cs="Arial" w:eastAsia="Arial" w:hAnsi="Arial"/>
          <w:sz w:val="18"/>
          <w:szCs w:val="18"/>
          <w:color w:val="auto"/>
        </w:rPr>
      </w:pPr>
    </w:p>
    <w:p>
      <w:pPr>
        <w:ind w:left="540" w:right="740" w:hanging="532"/>
        <w:spacing w:after="0" w:line="26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221" w:lineRule="exact"/>
        <w:rPr>
          <w:rFonts w:ascii="Arial" w:cs="Arial" w:eastAsia="Arial" w:hAnsi="Arial"/>
          <w:sz w:val="16"/>
          <w:szCs w:val="16"/>
          <w:color w:val="auto"/>
        </w:rPr>
      </w:pPr>
    </w:p>
    <w:p>
      <w:pPr>
        <w:ind w:left="540" w:right="820" w:hanging="532"/>
        <w:spacing w:after="0" w:line="26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marketing approval in the United States or elsewhere;</w:t>
      </w:r>
    </w:p>
    <w:p>
      <w:pPr>
        <w:spacing w:after="0" w:line="143" w:lineRule="exact"/>
        <w:rPr>
          <w:rFonts w:ascii="Arial" w:cs="Arial" w:eastAsia="Arial" w:hAnsi="Arial"/>
          <w:sz w:val="18"/>
          <w:szCs w:val="18"/>
          <w:color w:val="auto"/>
        </w:rPr>
      </w:pPr>
    </w:p>
    <w:p>
      <w:pPr>
        <w:ind w:left="540" w:right="860" w:hanging="532"/>
        <w:spacing w:after="0" w:line="26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w:t>
      </w:r>
    </w:p>
    <w:p>
      <w:pPr>
        <w:spacing w:after="0" w:line="157" w:lineRule="exact"/>
        <w:rPr>
          <w:rFonts w:ascii="Arial" w:cs="Arial" w:eastAsia="Arial" w:hAnsi="Arial"/>
          <w:sz w:val="18"/>
          <w:szCs w:val="18"/>
          <w:color w:val="auto"/>
        </w:rPr>
      </w:pPr>
    </w:p>
    <w:p>
      <w:pPr>
        <w:ind w:left="540" w:right="160" w:hanging="532"/>
        <w:spacing w:after="0" w:line="26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any companion diagnostics that may be required in connection with approval of our therapeutic product candidates; and</w:t>
      </w:r>
    </w:p>
    <w:p>
      <w:pPr>
        <w:spacing w:after="0" w:line="143" w:lineRule="exact"/>
        <w:rPr>
          <w:rFonts w:ascii="Arial" w:cs="Arial" w:eastAsia="Arial" w:hAnsi="Arial"/>
          <w:sz w:val="18"/>
          <w:szCs w:val="18"/>
          <w:color w:val="auto"/>
        </w:rPr>
      </w:pPr>
    </w:p>
    <w:p>
      <w:pPr>
        <w:ind w:left="540" w:right="720" w:hanging="532"/>
        <w:spacing w:after="0" w:line="26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5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lengthy approval process as well as the unpredictability of clinical trial results may result in our failing to obtain marketing approval to market omburtamab or any of our other product candidates, which would significantly harm our business, results of operations and prospects. 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studies, clinical trials, toxicology or other in vivo or in vitro data to support the initiation of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post-approval commitments that render the approved drug not commercially viable.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172"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b w:val="1"/>
          <w:bCs w:val="1"/>
          <w:i w:val="1"/>
          <w:iCs w:val="1"/>
          <w:color w:val="auto"/>
        </w:rPr>
        <w:t>The European Medicines Agency, or the EMA, or comparable foreign regulatory authorities, may disagree with our regulatory plans, including our plans to seek conditional marketing authorization, and we may fail to obtain regulatory approval of our DANYELZA or our product candidates, which would prevent DANYELZA or our product candidates from being marketed abroad. Any approval we are granted for our product candidates in the United States, such as the approval of DANYELZA, would not assure approval of our product candidates in foreign jurisdictions.</w:t>
      </w:r>
    </w:p>
    <w:p>
      <w:pPr>
        <w:spacing w:after="0" w:line="17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order to market and sell our drugs in the European Union and many other jurisdictions, we, and any collaborators we may have in the future,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such as the approval of DANYELZA for relapsed/refractory high-risk neuroblastoma in bone and/or bone marrow,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8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diseases or life-threatening diseases and those designated as orphan medicinal products.</w:t>
      </w:r>
    </w:p>
    <w:p>
      <w:pPr>
        <w:spacing w:after="0" w:line="185"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57"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the comprehensive clinical data;</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198" w:lineRule="exact"/>
        <w:rPr>
          <w:rFonts w:ascii="Arial" w:cs="Arial" w:eastAsia="Arial" w:hAnsi="Arial"/>
          <w:sz w:val="18"/>
          <w:szCs w:val="18"/>
          <w:color w:val="auto"/>
        </w:rPr>
      </w:pPr>
    </w:p>
    <w:p>
      <w:pPr>
        <w:ind w:left="540" w:right="220" w:hanging="532"/>
        <w:spacing w:after="0" w:line="269"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are still required.</w:t>
      </w:r>
    </w:p>
    <w:p>
      <w:pPr>
        <w:spacing w:after="0" w:line="157" w:lineRule="exact"/>
        <w:rPr>
          <w:sz w:val="20"/>
          <w:szCs w:val="20"/>
          <w:color w:val="auto"/>
        </w:rPr>
      </w:pPr>
    </w:p>
    <w:p>
      <w:pPr>
        <w:ind w:right="460"/>
        <w:spacing w:after="0" w:line="269" w:lineRule="auto"/>
        <w:rPr>
          <w:sz w:val="20"/>
          <w:szCs w:val="20"/>
          <w:color w:val="auto"/>
        </w:rPr>
      </w:pPr>
      <w:r>
        <w:rPr>
          <w:rFonts w:ascii="Arial" w:cs="Arial" w:eastAsia="Arial" w:hAnsi="Arial"/>
          <w:sz w:val="18"/>
          <w:szCs w:val="18"/>
          <w:color w:val="auto"/>
        </w:rPr>
        <w:t>The granting of a conditional marketing authorization is restricted to situations in which only the clinical part of the application is not yet fully complete. Incomplete non-clinical or quality data may only be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accepted if duly justified and only in the case of a product intended to be used in emergency situations in response to public-health threats.</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w:t>
      </w:r>
    </w:p>
    <w:p>
      <w:pPr>
        <w:spacing w:after="0" w:line="17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granting of a conditional marketing authorization will allow medicines to reach patients with unmet medical needs earlier than might otherwise be the case and will ensure that additional data on a product are generated, submitted, assessed and acted upon. Although we may seek a conditional marketing authorization for one or more of our product candidates by the EMA, the EMA or CHMP may ultimately not agree that the requirements for such conditional marketing authorization have been satisfied.</w:t>
      </w:r>
    </w:p>
    <w:p>
      <w:pPr>
        <w:spacing w:after="0" w:line="17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Our clinical trial results may also not support approval, whether accelerated approval, conditional marketing authorizations, or regular approval. The results of pre-clinical and clinical studies may not be predictive of the results of later-stage clinical trials, and product candidates in later stages of clinical trials may fail to show the desired safety and efficacy despite having progressed through pre-clinical studies and initial clinical trials. In addition, our product candidates could fail to receive regulatory approval for many reasons, including the following:</w:t>
      </w:r>
    </w:p>
    <w:p>
      <w:pPr>
        <w:spacing w:after="0" w:line="146"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11" w:lineRule="exact"/>
        <w:rPr>
          <w:rFonts w:ascii="Arial" w:cs="Arial" w:eastAsia="Arial" w:hAnsi="Arial"/>
          <w:sz w:val="18"/>
          <w:szCs w:val="18"/>
          <w:color w:val="auto"/>
        </w:rPr>
      </w:pPr>
    </w:p>
    <w:p>
      <w:pPr>
        <w:ind w:left="540" w:right="380" w:hanging="532"/>
        <w:spacing w:after="0" w:line="269"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risk-benefit ratios for their proposed indications are acceptable;</w:t>
      </w:r>
    </w:p>
    <w:p>
      <w:pPr>
        <w:spacing w:after="0" w:line="198" w:lineRule="exact"/>
        <w:rPr>
          <w:rFonts w:ascii="Arial" w:cs="Arial" w:eastAsia="Arial" w:hAnsi="Arial"/>
          <w:sz w:val="18"/>
          <w:szCs w:val="18"/>
          <w:color w:val="auto"/>
        </w:rPr>
      </w:pPr>
    </w:p>
    <w:p>
      <w:pPr>
        <w:ind w:left="540" w:right="700" w:hanging="532"/>
        <w:spacing w:after="0" w:line="269"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57"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demonstrate that the clinical and other benefits of our product candidates outweigh their safety risks;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221" w:lineRule="exact"/>
        <w:rPr>
          <w:rFonts w:ascii="Arial" w:cs="Arial" w:eastAsia="Arial" w:hAnsi="Arial"/>
          <w:sz w:val="16"/>
          <w:szCs w:val="16"/>
          <w:color w:val="auto"/>
        </w:rPr>
      </w:pPr>
    </w:p>
    <w:p>
      <w:pPr>
        <w:ind w:left="540" w:right="140" w:hanging="532"/>
        <w:spacing w:after="0" w:line="252"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171" w:lineRule="exact"/>
        <w:rPr>
          <w:rFonts w:ascii="Arial" w:cs="Arial" w:eastAsia="Arial" w:hAnsi="Arial"/>
          <w:sz w:val="18"/>
          <w:szCs w:val="18"/>
          <w:color w:val="auto"/>
        </w:rPr>
      </w:pPr>
    </w:p>
    <w:p>
      <w:pPr>
        <w:ind w:left="540" w:right="120" w:hanging="532"/>
        <w:spacing w:after="0" w:line="269"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our own manufacturing facilities, or a third-party manufacturer's facilities with which we contract for clinical and commercial supplies; and</w:t>
      </w:r>
    </w:p>
    <w:p>
      <w:pPr>
        <w:spacing w:after="0" w:line="143" w:lineRule="exact"/>
        <w:rPr>
          <w:rFonts w:ascii="Arial" w:cs="Arial" w:eastAsia="Arial" w:hAnsi="Arial"/>
          <w:sz w:val="18"/>
          <w:szCs w:val="18"/>
          <w:color w:val="auto"/>
        </w:rPr>
      </w:pPr>
    </w:p>
    <w:p>
      <w:pPr>
        <w:ind w:left="540" w:right="680" w:hanging="532"/>
        <w:spacing w:after="0" w:line="269"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Failure to obtain regulatory approval to market any of our product candidates would significantly harm our business, results of operations, and prospects.</w:t>
      </w:r>
    </w:p>
    <w:p>
      <w:pPr>
        <w:spacing w:after="0" w:line="157" w:lineRule="exact"/>
        <w:rPr>
          <w:sz w:val="20"/>
          <w:szCs w:val="20"/>
          <w:color w:val="auto"/>
        </w:rPr>
      </w:pPr>
    </w:p>
    <w:p>
      <w:pPr>
        <w:ind w:right="500"/>
        <w:spacing w:after="0" w:line="343" w:lineRule="auto"/>
        <w:rPr>
          <w:sz w:val="20"/>
          <w:szCs w:val="20"/>
          <w:color w:val="auto"/>
        </w:rPr>
      </w:pPr>
      <w:r>
        <w:rPr>
          <w:rFonts w:ascii="Arial" w:cs="Arial" w:eastAsia="Arial" w:hAnsi="Arial"/>
          <w:sz w:val="16"/>
          <w:szCs w:val="16"/>
          <w:b w:val="1"/>
          <w:bCs w:val="1"/>
          <w:i w:val="1"/>
          <w:iCs w:val="1"/>
          <w:color w:val="auto"/>
        </w:rPr>
        <w:t>We may seek Breakthrough Therapy Designation, or BTD, for one or more of our product candidates. We may not receive such designation, and even if we do, such designation may not lead to a faster development or regulatory review or approval process.</w:t>
      </w:r>
    </w:p>
    <w:p>
      <w:pPr>
        <w:spacing w:after="0" w:line="95"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BTD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spacing w:after="0" w:line="161" w:lineRule="exact"/>
        <w:rPr>
          <w:sz w:val="20"/>
          <w:szCs w:val="20"/>
          <w:color w:val="auto"/>
        </w:rPr>
      </w:pPr>
    </w:p>
    <w:p>
      <w:pPr>
        <w:ind w:right="400"/>
        <w:spacing w:after="0" w:line="217" w:lineRule="auto"/>
        <w:rPr>
          <w:sz w:val="20"/>
          <w:szCs w:val="20"/>
          <w:color w:val="auto"/>
        </w:rPr>
      </w:pPr>
      <w:r>
        <w:rPr>
          <w:rFonts w:ascii="Arial" w:cs="Arial" w:eastAsia="Arial" w:hAnsi="Arial"/>
          <w:sz w:val="18"/>
          <w:szCs w:val="18"/>
          <w:color w:val="auto"/>
        </w:rPr>
        <w:t xml:space="preserve">In June 2017, </w:t>
      </w:r>
      <w:r>
        <w:rPr>
          <w:rFonts w:ascii="Arial" w:cs="Arial" w:eastAsia="Arial" w:hAnsi="Arial"/>
          <w:sz w:val="29"/>
          <w:szCs w:val="29"/>
          <w:color w:val="auto"/>
          <w:vertAlign w:val="superscript"/>
        </w:rPr>
        <w:t>131</w:t>
      </w:r>
      <w:r>
        <w:rPr>
          <w:rFonts w:ascii="Arial" w:cs="Arial" w:eastAsia="Arial" w:hAnsi="Arial"/>
          <w:sz w:val="18"/>
          <w:szCs w:val="18"/>
          <w:color w:val="auto"/>
        </w:rPr>
        <w:t>I-omburtamab received BTD for the treatment of pediatric patients with R/R NB who have CNS/LM from NB. We may seek BTD for some or all of our other product candidates, but we may never receive such BTD, or, if received, the development of our product candidates may not be expedited or benefited by such designation. BTD does not change the standards for product approval.</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BTD,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57" w:lineRule="exact"/>
        <w:rPr>
          <w:sz w:val="20"/>
          <w:szCs w:val="20"/>
          <w:color w:val="auto"/>
        </w:rPr>
      </w:pPr>
    </w:p>
    <w:p>
      <w:pPr>
        <w:ind w:right="980"/>
        <w:spacing w:after="0" w:line="278" w:lineRule="auto"/>
        <w:rPr>
          <w:sz w:val="20"/>
          <w:szCs w:val="20"/>
          <w:color w:val="auto"/>
        </w:rPr>
      </w:pPr>
      <w:r>
        <w:rPr>
          <w:rFonts w:ascii="Arial" w:cs="Arial" w:eastAsia="Arial" w:hAnsi="Arial"/>
          <w:sz w:val="18"/>
          <w:szCs w:val="18"/>
          <w:b w:val="1"/>
          <w:bCs w:val="1"/>
          <w:i w:val="1"/>
          <w:iCs w:val="1"/>
          <w:color w:val="auto"/>
        </w:rPr>
        <w:t>Our product candidates may not be able to obtain or maintain Orphan Drug Designation, or ODD, or Rare Pediatric Disease Designation, or RPDD.</w:t>
      </w:r>
    </w:p>
    <w:p>
      <w:pPr>
        <w:spacing w:after="0" w:line="14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September 2020, the FDA granted ODD and RPDD to nivatrotamab for the treatment of neuroblastoma. In November 2018, the European Commission granted OMPD for naxitamab for the treatment of NB. In February 2017, the European Commission granted orphan medicinal product designation, or OMPD, to omburtamab for the treatment of NB. In August 2016, the FDA granted ODD to </w:t>
      </w:r>
      <w:r>
        <w:rPr>
          <w:rFonts w:ascii="Arial" w:cs="Arial" w:eastAsia="Arial" w:hAnsi="Arial"/>
          <w:sz w:val="28"/>
          <w:szCs w:val="28"/>
          <w:color w:val="auto"/>
          <w:vertAlign w:val="superscript"/>
        </w:rPr>
        <w:t>131</w:t>
      </w:r>
      <w:r>
        <w:rPr>
          <w:rFonts w:ascii="Arial" w:cs="Arial" w:eastAsia="Arial" w:hAnsi="Arial"/>
          <w:sz w:val="17"/>
          <w:szCs w:val="17"/>
          <w:color w:val="auto"/>
        </w:rPr>
        <w:t>I-omburtamab for the treatment of NB. In 2013, the FDA granted ODD to DANYELZA for the treatment of NB.</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disease for which it has such designation, the product may be entitled to orphan drug exclusivity. Orphan drug exclusivity in the United States provides that the FDA may not approve any other applications, including a full BLA, to market the same drug for the same indication for seven years, except in limited circumstances.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8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Rare Pediatric Disease Priority Review Voucher Program, or PRV Program, is intended to incentivize pharmaceutical sponsors to develop drugs for rare pediatric diseases. A sponsor who obtains approval of a BLA for a rare pediatric disease may be eligible for a PRV, under this program, which may be redeemed by the owner of such PRV to obtain priority review for a marketing application. A PRV is fully transferrable and can be sold to any sponsor, who in turn can redeem the PRV for priority review of a marketing application in six months, compared to the standard timeframe of approximately 10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conjunction with the approval by the FDA of DANYELZA, for the treatment of refractory/relapsed high-risk neuroblastoma, we received a PRV which we subsequently sold to United Therapeutics Corporation based on an agreed valuation of $105 million. Pursuant to the agreement with MSK, we were entitled to retain 60% of the net proceeds from monetization of the PRV, and the remaining 40% was due to MSK. We received our portion of the net proceeds of from the sale of the PRV in the amount of approximately $62.0 million when the transaction was consummated in January 2021. The terms of the MSK License provide that MSK is entitled to receive 40% of any income generated from the sale of first such PRV, and 33% of any income generated from the sale of any subsequent PRV or the sale of other comparable incentives provided by any non-U.S. jurisdiction.</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Additionally, the terms of the MSK CD33 License provide that MSK is entitled to receive 25% of any income generated from the sale of any PRV or the sale of other comparable incentives provided by any non-U.S. jurisdiction. Additionally, the SAAA stipulates that, if we are granted a PRV from the FDA covering a licensed product under the MabVax/Y-mAbs Sublicense and the PRV is subsequently sold, we will pay directly to MabVax and to MSK, respectively a total of 20% of the income generated thereof in order that MabVax and MSK each receive the same amount therefrom as envisaged under the MabVax/MSK License Agreement. Finally, the terms of the SADA License provide that MSK is entitled to receive 25% of any income generated from the sale of any PRV or the sale of other comparable incentives provided by any non-U.S. jurisdiction.</w:t>
      </w:r>
    </w:p>
    <w:p>
      <w:pPr>
        <w:spacing w:after="0" w:line="157" w:lineRule="exact"/>
        <w:rPr>
          <w:sz w:val="20"/>
          <w:szCs w:val="20"/>
          <w:color w:val="auto"/>
        </w:rPr>
      </w:pPr>
    </w:p>
    <w:p>
      <w:pPr>
        <w:ind w:right="780"/>
        <w:spacing w:after="0" w:line="269" w:lineRule="auto"/>
        <w:rPr>
          <w:sz w:val="20"/>
          <w:szCs w:val="20"/>
          <w:color w:val="auto"/>
        </w:rPr>
      </w:pPr>
      <w:r>
        <w:rPr>
          <w:rFonts w:ascii="Arial" w:cs="Arial" w:eastAsia="Arial" w:hAnsi="Arial"/>
          <w:sz w:val="18"/>
          <w:szCs w:val="18"/>
          <w:color w:val="auto"/>
        </w:rPr>
        <w:t>A drug that receives RPDD before September 30, 2024, will continue to be eligible for a PRV if the drug is approved by the FDA before September 30, 2026.</w:t>
      </w:r>
    </w:p>
    <w:p>
      <w:pPr>
        <w:spacing w:after="0" w:line="15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Even if our other product candidates obtain ODD or RPDD in the future, they may not be able to obtain or maintain orphan drug exclusivity, priority review or expedited regulatory approval for that product candidate. We may not be the first to obtain marketing approval of any product candidate that has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ODD neither shortens the development time or regulatory review time of a drug nor gives the drug any advantage in the regulatory review or approval process.</w:t>
      </w:r>
    </w:p>
    <w:p>
      <w:pPr>
        <w:spacing w:after="0" w:line="181"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b w:val="1"/>
          <w:bCs w:val="1"/>
          <w:i w:val="1"/>
          <w:iCs w:val="1"/>
          <w:color w:val="auto"/>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spacing w:after="0" w:line="1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Once marketing approval has been granted, such as for DANYELZA in the Unites States, an approved drug and its manufacturer and marketer are subject to ongoing review and extensive regulation. The accelerated approval of DANYELZA is subject to certain postmarketing requirements and commitments, including completion of a confirmatory postmarketing trial of clinical benefit, that must be completed in order to convert the BLA to full approval and prevent withdrawal of the license by FDA. The confirmatory postmarketing clinical trial required by the FDA to verify and to further characterize the clinical benefit is our ongoing Study 201, which will enroll a minimum of 80 patients and report ORR, DOR, PFS or OS. The ORR is the primary endpoint for the study, DOR is the secondary endpoint, PFS and OS are secondary endpoints in long-term follow up. As of February 1, 2021 we have enrolled 54 patients and we anticipate completing the study no later than March 31, 2027. Other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spacing w:after="0" w:line="18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Risk Evaluation and Mitigation Strategy, which could include requirements for a restricted distribution system. Manufacturers of approved drugs and those manufacturers' facilities are also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to monitor and ensure compliance with cGMPs. Accordingly, assuming we, or our potential future collaborators, receive marketing approval for one or more of our product candidates, we, and our potential future collaborators, and our and their contract manufacturers will continue to expend time, money and effort in all areas of regulatory compliance, including manufacturing, production, product surveillance and quality control.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If we, and our future potential collaborators, are not able to comply with post-approval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 sustain profitability. Further, the cost of compliance with post-approval regulations may have a negative effect on our operating results and financial condition.</w:t>
      </w:r>
    </w:p>
    <w:p>
      <w:pPr>
        <w:spacing w:after="0" w:line="177" w:lineRule="exact"/>
        <w:rPr>
          <w:sz w:val="20"/>
          <w:szCs w:val="20"/>
          <w:color w:val="auto"/>
        </w:rPr>
      </w:pPr>
    </w:p>
    <w:p>
      <w:pPr>
        <w:ind w:right="60"/>
        <w:spacing w:after="0" w:line="343" w:lineRule="auto"/>
        <w:rPr>
          <w:sz w:val="20"/>
          <w:szCs w:val="20"/>
          <w:color w:val="auto"/>
        </w:rPr>
      </w:pPr>
      <w:r>
        <w:rPr>
          <w:rFonts w:ascii="Arial" w:cs="Arial" w:eastAsia="Arial" w:hAnsi="Arial"/>
          <w:sz w:val="16"/>
          <w:szCs w:val="16"/>
          <w:b w:val="1"/>
          <w:bCs w:val="1"/>
          <w:i w:val="1"/>
          <w:iCs w:val="1"/>
          <w:color w:val="auto"/>
        </w:rPr>
        <w:t>The FDA's and other regulatory authorities' policies may change, and additional government regulations may be enacted, in a manner that could prevent, limit or delay regulatory approval of our product candidates, which would impact our ability to generate revenue.</w:t>
      </w:r>
    </w:p>
    <w:p>
      <w:pPr>
        <w:spacing w:after="0" w:line="95"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or if we are not able to maintain regulatory compliance, we may lose any marketing approval that we may have obtained, such as for DANYELZA, and we may not achieve or sustain profitability, which would adversely affect our business, prospects, financial condition and results of operations. We also cannot predict the likelihood, nature or extent of government regulation that may arise from future legislation or administrative or executive action, either in the United States or abroad.</w:t>
      </w:r>
    </w:p>
    <w:p>
      <w:pPr>
        <w:spacing w:after="0" w:line="181"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b w:val="1"/>
          <w:bCs w:val="1"/>
          <w:i w:val="1"/>
          <w:iCs w:val="1"/>
          <w:color w:val="auto"/>
        </w:rPr>
        <w:t>DANYELZA and 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spacing w:after="0" w:line="161"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DANYELZA and any of our product candidates for which we, or our potential future collaborators, obtain marketing approval in the future, will be subject to continual review by the FDA and other regulatory authorities.</w:t>
      </w:r>
    </w:p>
    <w:p>
      <w:pPr>
        <w:spacing w:after="0" w:line="15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FDA and other agencies, including the Department of Justice, or the DOJ, closely 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 communications regarding off-label use and if we, or our potential future collaborators, do not market any of our product candidates for which we, or they, receive marketing approval for only their approved indications, we, or they, may be subject to warnings or enforcement action for off-label marketing. Violation of the Federal Food, Drug and Cosmetic Act, or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58" w:lineRule="exact"/>
        <w:rPr>
          <w:sz w:val="20"/>
          <w:szCs w:val="20"/>
          <w:color w:val="auto"/>
        </w:rPr>
      </w:pPr>
    </w:p>
    <w:p>
      <w:pPr>
        <w:ind w:right="440"/>
        <w:spacing w:after="0" w:line="269" w:lineRule="auto"/>
        <w:rPr>
          <w:sz w:val="20"/>
          <w:szCs w:val="20"/>
          <w:color w:val="auto"/>
        </w:rPr>
      </w:pPr>
      <w:r>
        <w:rPr>
          <w:rFonts w:ascii="Arial" w:cs="Arial" w:eastAsia="Arial" w:hAnsi="Arial"/>
          <w:sz w:val="18"/>
          <w:szCs w:val="18"/>
          <w:color w:val="auto"/>
        </w:rPr>
        <w:t>In addition, later discovery of previously unknown adverse events or other problems with our drugs or their manufacturers or manufacturing processes, or failure to comply with regulatory requirements, may yield various results, including:</w:t>
      </w:r>
    </w:p>
    <w:p>
      <w:pPr>
        <w:spacing w:after="0" w:line="157"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litigation involving patients taking our drug;</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the drugs from the market;</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recall of drugs;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permit the import or export of drugs;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drug seizure; or</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Current and future legislation, and a change in existing government regulations and policies, may increase the difficulty and cost for us and our potential future collaborators to obtain marketing approval of and commercialize our product candidates and affect the prices we, or they, may obtain.</w:t>
      </w:r>
    </w:p>
    <w:p>
      <w:pPr>
        <w:spacing w:after="0" w:line="16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w:t>
      </w:r>
    </w:p>
    <w:p>
      <w:pPr>
        <w:spacing w:after="0" w:line="184"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In the United States, the Patient Protection and Affordable Care Act, as amended by the Health Care and Education Reconciliation Act, or collectively the Affordable Care Act, or ACA, substantially changed the way healthcare is financed by both governmental and private insurers. The provisions of the Affordable Care Act of potential importance to our product candidates are the following:</w:t>
      </w:r>
    </w:p>
    <w:p>
      <w:pPr>
        <w:spacing w:after="0" w:line="171"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211" w:lineRule="exact"/>
        <w:rPr>
          <w:rFonts w:ascii="Arial" w:cs="Arial" w:eastAsia="Arial" w:hAnsi="Arial"/>
          <w:sz w:val="18"/>
          <w:szCs w:val="18"/>
          <w:color w:val="auto"/>
        </w:rPr>
      </w:pPr>
    </w:p>
    <w:p>
      <w:pPr>
        <w:ind w:left="540" w:hanging="532"/>
        <w:spacing w:after="0" w:line="269"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in the statutory minimum Medicaid rebates a manufacturer must pay under the Medicaid Drug Rebate Program and extension of the rebate program to individuals enrolled in Medicaid managed care organizations;</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11" w:lineRule="exact"/>
        <w:rPr>
          <w:rFonts w:ascii="Arial" w:cs="Arial" w:eastAsia="Arial" w:hAnsi="Arial"/>
          <w:sz w:val="18"/>
          <w:szCs w:val="18"/>
          <w:color w:val="auto"/>
        </w:rPr>
      </w:pPr>
    </w:p>
    <w:p>
      <w:pPr>
        <w:ind w:left="540" w:right="420" w:hanging="532"/>
        <w:spacing w:after="0" w:line="269"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400" w:hanging="532"/>
        <w:spacing w:after="0" w:line="269"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Independent Payment Advisory Board, which has authority to recommend certain changes to the Medicare program to reduce expenditures by the program that could result in reduced payments for prescription drugs.</w:t>
      </w:r>
    </w:p>
    <w:p>
      <w:pPr>
        <w:spacing w:after="0" w:line="15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the Budget Control Act of 2011, which, among other things, led to aggregate reductions to Medicare payments to providers of up to 2% per fiscal year that started in 2013 and, due to subsequent legislative amendments to the statute, will stay in effect through 2024 unless additional Congressional action is taken.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151"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We cannot predict whether these challenges will continue or other proposals will be made or adopted, or what impact these efforts may have on us. Further, there has been heightened governmental scrutiny over the 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6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84"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Some of the provisions of the ACA have yet to be implemented, and there have been legal and political challenges to certain aspects of the ACA. We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third-party payors to keep healthcare costs down while expanding individual healthcare benefits.</w:t>
      </w:r>
    </w:p>
    <w:p>
      <w:pPr>
        <w:spacing w:after="0" w:line="18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This focus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May 2018 "Blueprint" to lower drug prices and reduce out of pocket costs of drugs contained additional proposals to increase drug manufacturer competition, increase the negotiating power of certain federal healthcare programs, incentivize manufacturers to lower the list price of their products, and reduce the out of pocket costs of drug products paid by consumers. HHS has started the process of soliciting feedback on some of these measures and, at the same time, is immediately implementing others under its existing authority.</w:t>
      </w:r>
    </w:p>
    <w:p>
      <w:pPr>
        <w:spacing w:after="0" w:line="177"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expect that these and other healthcare reform measures that may be adopted in the future may result in more rigorous coverage criteria and in additional downward pressure on the price that we receive for DANYELZA and any other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 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16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DANYELZA or our other approved products, if any, may be. In addition, increased scrutiny by the Congress of the FDA's approval process may significantly delay or prevent marketing approval, as well as subject us and any future collaborators to more stringent drug labeling and post-marketing testing and other requirements.</w:t>
      </w:r>
    </w:p>
    <w:p>
      <w:pPr>
        <w:spacing w:after="0" w:line="18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Government price controls or other changes in pricing regulation could restrict the amount that we are able to charge for DANYELZA and omburtamab, if approved, or any of our other product candidates that may be approved in the future, which would adversely affect our revenue and results of operations.</w:t>
      </w:r>
    </w:p>
    <w:p>
      <w:pPr>
        <w:spacing w:after="0" w:line="16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 companies has come under increased scrutiny and continues to be subject to intense political and public debate in the U.S. and abroad. Government and private third-party payors have proposed health care reforms and cost reductions. A number of federal and state proposals to control the cost of health care, including the cost of drug treatments, have been made in the U.S. Specifically, there have been several recent U.S. Congressional inquiries and proposed bills designed to, among other things, bring more transparency to drug pricing, review the relationship between pricing and manufacturer patient programs and reform government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40"/>
        <w:spacing w:after="0" w:line="269" w:lineRule="auto"/>
        <w:rPr>
          <w:sz w:val="20"/>
          <w:szCs w:val="20"/>
          <w:color w:val="auto"/>
        </w:rPr>
      </w:pPr>
      <w:r>
        <w:rPr>
          <w:rFonts w:ascii="Arial" w:cs="Arial" w:eastAsia="Arial" w:hAnsi="Arial"/>
          <w:sz w:val="18"/>
          <w:szCs w:val="18"/>
          <w:color w:val="auto"/>
        </w:rPr>
        <w:t>program reimbursement methodologies for drugs. In some international markets, the government controls the pricing, which can affect the profitability of drugs.</w:t>
      </w:r>
    </w:p>
    <w:p>
      <w:pPr>
        <w:spacing w:after="0" w:line="157"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Current government regulations and possible future legislation regarding health care may affect coverage and reimbursement for medical treatment by third-party payors, which may render DANYELZA or our other product candidates, if approved, not commercially viable or may adversely affect our anticipated future revenues and gross margins.</w:t>
      </w:r>
    </w:p>
    <w:p>
      <w:pPr>
        <w:spacing w:after="0" w:line="17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cannot predict the extent to which our business may be affected by these or other potential future legislative or regulatory developments. However, future price controls or other changes in pricing regulation or negative publicity related to the pricing of pharmaceutical drugs generally could restrict the amount that we are able to charge for any our future products, which would adversely affect our anticipated revenue and results of operations.</w:t>
      </w:r>
    </w:p>
    <w:p>
      <w:pPr>
        <w:spacing w:after="0" w:line="17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are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61"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Our relationships with healthcare providers, physicians and third-party payors are subject to additional healthcare statutory and regulatory requirements and enforcement by the federal government and the states and foreign governments in which we conduct our business. Our current and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DANYELZA and other our products for which we obtain marketing approval. Restrictions under applicable federal and state healthcare laws and regulations include the following:</w:t>
      </w:r>
    </w:p>
    <w:p>
      <w:pPr>
        <w:spacing w:after="0" w:line="184" w:lineRule="exact"/>
        <w:rPr>
          <w:sz w:val="20"/>
          <w:szCs w:val="20"/>
          <w:color w:val="auto"/>
        </w:rPr>
      </w:pPr>
    </w:p>
    <w:p>
      <w:pPr>
        <w:ind w:left="540" w:right="40" w:hanging="532"/>
        <w:spacing w:after="0" w:line="243"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—the federal healthcare anti-kickback statute prohibits, among other things, persons from knowingly and willfully</w:t>
      </w:r>
      <w:r>
        <w:rPr>
          <w:rFonts w:ascii="Arial" w:cs="Arial" w:eastAsia="Arial" w:hAnsi="Arial"/>
          <w:sz w:val="18"/>
          <w:szCs w:val="18"/>
          <w:i w:val="1"/>
          <w:iCs w:val="1"/>
          <w:color w:val="auto"/>
        </w:rPr>
        <w:t xml:space="preserve"> </w:t>
      </w:r>
      <w:r>
        <w:rPr>
          <w:rFonts w:ascii="Arial" w:cs="Arial" w:eastAsia="Arial" w:hAnsi="Arial"/>
          <w:sz w:val="18"/>
          <w:szCs w:val="18"/>
          <w:color w:val="auto"/>
        </w:rPr>
        <w:t>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80" w:lineRule="exact"/>
        <w:rPr>
          <w:rFonts w:ascii="Arial" w:cs="Arial" w:eastAsia="Arial" w:hAnsi="Arial"/>
          <w:sz w:val="18"/>
          <w:szCs w:val="18"/>
          <w:color w:val="auto"/>
        </w:rPr>
      </w:pPr>
    </w:p>
    <w:p>
      <w:pPr>
        <w:ind w:left="540" w:right="480" w:hanging="532"/>
        <w:spacing w:after="0" w:line="243"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False Claims Act</w:t>
      </w:r>
      <w:r>
        <w:rPr>
          <w:rFonts w:ascii="Arial" w:cs="Arial" w:eastAsia="Arial" w:hAnsi="Arial"/>
          <w:sz w:val="18"/>
          <w:szCs w:val="18"/>
          <w:color w:val="auto"/>
        </w:rPr>
        <w:t>—the federal False Claims Act imposes criminal and civil penalties, including through civil whistleblower or qui tam</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167" w:lineRule="exact"/>
        <w:rPr>
          <w:rFonts w:ascii="Arial" w:cs="Arial" w:eastAsia="Arial" w:hAnsi="Arial"/>
          <w:sz w:val="18"/>
          <w:szCs w:val="18"/>
          <w:color w:val="auto"/>
        </w:rPr>
      </w:pPr>
    </w:p>
    <w:p>
      <w:pPr>
        <w:ind w:left="540" w:right="40" w:hanging="532"/>
        <w:spacing w:after="0" w:line="243"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HIPAA</w:t>
      </w:r>
      <w:r>
        <w:rPr>
          <w:rFonts w:ascii="Arial" w:cs="Arial" w:eastAsia="Arial" w:hAnsi="Arial"/>
          <w:sz w:val="18"/>
          <w:szCs w:val="18"/>
          <w:color w:val="auto"/>
        </w:rPr>
        <w:t>—the federal Health Insurance Portability and Accountability Act of 1996, or HIPAA, imposes criminal and civil liability for executing</w:t>
      </w:r>
      <w:r>
        <w:rPr>
          <w:rFonts w:ascii="Arial" w:cs="Arial" w:eastAsia="Arial" w:hAnsi="Arial"/>
          <w:sz w:val="18"/>
          <w:szCs w:val="18"/>
          <w:i w:val="1"/>
          <w:iCs w:val="1"/>
          <w:color w:val="auto"/>
        </w:rPr>
        <w:t xml:space="preserve"> </w:t>
      </w:r>
      <w:r>
        <w:rPr>
          <w:rFonts w:ascii="Arial" w:cs="Arial" w:eastAsia="Arial" w:hAnsi="Arial"/>
          <w:sz w:val="18"/>
          <w:szCs w:val="18"/>
          <w:color w:val="auto"/>
        </w:rPr>
        <w:t>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HIPAA, as amended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80"/>
        <w:spacing w:after="0" w:line="241" w:lineRule="auto"/>
        <w:rPr>
          <w:sz w:val="20"/>
          <w:szCs w:val="20"/>
          <w:color w:val="auto"/>
        </w:rPr>
      </w:pPr>
      <w:r>
        <w:rPr>
          <w:rFonts w:ascii="Arial" w:cs="Arial" w:eastAsia="Arial" w:hAnsi="Arial"/>
          <w:sz w:val="18"/>
          <w:szCs w:val="18"/>
          <w:color w:val="auto"/>
        </w:rPr>
        <w:t>by the Health Information Technology for Economic and Clinical Health Act of 2009, or HITECH, and its implementing regulations, also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84" w:lineRule="exact"/>
        <w:rPr>
          <w:sz w:val="20"/>
          <w:szCs w:val="20"/>
          <w:color w:val="auto"/>
        </w:rPr>
      </w:pPr>
    </w:p>
    <w:p>
      <w:pPr>
        <w:ind w:left="540" w:right="40" w:hanging="532"/>
        <w:spacing w:after="0" w:line="241"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HIPAA Privacy Provisions</w:t>
      </w:r>
      <w:r>
        <w:rPr>
          <w:rFonts w:ascii="Arial" w:cs="Arial" w:eastAsia="Arial" w:hAnsi="Arial"/>
          <w:sz w:val="18"/>
          <w:szCs w:val="18"/>
          <w:color w:val="auto"/>
        </w:rPr>
        <w:t>—as amended by HITECH and its implementing regulations, HIPAA also imposes obligations on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HIPAA, as amended, requires notification to affected individuals and regulatory authorities of certain breaches of security of individually identifiable health information;</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Transparency Requirements</w:t>
      </w:r>
      <w:r>
        <w:rPr>
          <w:rFonts w:ascii="Arial" w:cs="Arial" w:eastAsia="Arial" w:hAnsi="Arial"/>
          <w:sz w:val="18"/>
          <w:szCs w:val="18"/>
          <w:color w:val="auto"/>
        </w:rPr>
        <w:t>—the federal legislation commonly referred to as the Physician Payments Sunshine Act, enacted as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Affordable Care Act, and its implementing regulations, which requires certain manufacturers of drugs, devices, therapeutic biologics and medical supplies reimbursable under Medicare, Medicaid, and Children's Health Insurance Programs to report annually to the Department of Health and Human Services information related to certain payments and other transfers of value, including consulting fees, travel reimbursements, research grants, and other payments or gifts with values over $10 made to physicians, other healthcare providers and teaching hospitals, as well as ownership and investment interests held by physicians and other healthcare providers and their immediate family members;</w:t>
      </w:r>
    </w:p>
    <w:p>
      <w:pPr>
        <w:spacing w:after="0" w:line="171" w:lineRule="exact"/>
        <w:rPr>
          <w:rFonts w:ascii="Arial" w:cs="Arial" w:eastAsia="Arial" w:hAnsi="Arial"/>
          <w:sz w:val="18"/>
          <w:szCs w:val="18"/>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FDCA</w:t>
      </w:r>
      <w:r>
        <w:rPr>
          <w:rFonts w:ascii="Arial" w:cs="Arial" w:eastAsia="Arial" w:hAnsi="Arial"/>
          <w:sz w:val="18"/>
          <w:szCs w:val="18"/>
          <w:color w:val="auto"/>
        </w:rPr>
        <w:t>—the FDCA, which prohibits, among other things, the adulteration or misbranding of drugs, biologics and medical devices; and</w:t>
      </w:r>
    </w:p>
    <w:p>
      <w:pPr>
        <w:spacing w:after="0" w:line="198" w:lineRule="exact"/>
        <w:rPr>
          <w:rFonts w:ascii="Arial" w:cs="Arial" w:eastAsia="Arial" w:hAnsi="Arial"/>
          <w:sz w:val="18"/>
          <w:szCs w:val="18"/>
          <w:color w:val="auto"/>
        </w:rPr>
      </w:pPr>
    </w:p>
    <w:p>
      <w:pPr>
        <w:ind w:left="540" w:right="100" w:hanging="532"/>
        <w:spacing w:after="0" w:line="252"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Analogous State and Foreign Laws</w:t>
      </w:r>
      <w:r>
        <w:rPr>
          <w:rFonts w:ascii="Arial" w:cs="Arial" w:eastAsia="Arial" w:hAnsi="Arial"/>
          <w:sz w:val="18"/>
          <w:szCs w:val="18"/>
          <w:color w:val="auto"/>
        </w:rPr>
        <w:t>—analogous state and foreign fraud and abuse laws and regulations, such as state anti-kickback and</w:t>
      </w:r>
      <w:r>
        <w:rPr>
          <w:rFonts w:ascii="Arial" w:cs="Arial" w:eastAsia="Arial" w:hAnsi="Arial"/>
          <w:sz w:val="18"/>
          <w:szCs w:val="18"/>
          <w:i w:val="1"/>
          <w:iCs w:val="1"/>
          <w:color w:val="auto"/>
        </w:rPr>
        <w:t xml:space="preserve"> </w:t>
      </w:r>
      <w:r>
        <w:rPr>
          <w:rFonts w:ascii="Arial" w:cs="Arial" w:eastAsia="Arial" w:hAnsi="Arial"/>
          <w:sz w:val="18"/>
          <w:szCs w:val="18"/>
          <w:color w:val="auto"/>
        </w:rPr>
        <w:t>false claims laws that may apply to sales or marketing arrangements and claims involving healthcare items or services reimbursed by non-governmental third-party payors, including private insurers.</w:t>
      </w:r>
    </w:p>
    <w:p>
      <w:pPr>
        <w:spacing w:after="0" w:line="172"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1"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collection and processing of personal data—including health data—is governed by the European Union-wide General Data Protection Regulation, or GDPR, which became applicable on May 25, 2018, replacing the then-current data protection laws of each European Union Member State. GDPR applies to us through the activities of our wholly-owned subsidiary Y-mAbs Therapeutics A/S, and also to most businesses, regardless of location, that provides goods or services to residents in the EU, which includes our clinical trial activities in European Union Member States. The GDPR imposes operational requirements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for processors and controllers of personal data, including, for example, special protections for "sensitive information" which includes health and genetic information of data subjects residing in the EU, expanded disclosures about how personal information is to be used, limitations on retention of information, increased requirements pertaining to health data and pseudonymised (i.e., key-coded) data, mandatory data breach notification requirements and higher standards for controllers to demonstrate that they have obtained valid consent for certain data processing activities.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European Union to the United States or other regions that have not been deemed to offer "adequate" privacy protections. The GDPR provides that European Union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 We are also subject to evolving and strict rules on the transfer of personal data out of the European Union to the United States. Failure to comply with European Union data protection laws may result in fines (for example, of up to €20,000,000 or up to 4% of the total worldwide annual turnover of the preceding financial year (whichever is higher) under the GDPR) and other administrative penalties, which may be onerous and adversely affect our business, financial condition, results of operations and prospects. As a result of the implementation of the GDPR, we may be required to put in place additional mechanisms ensuring compliance with the new data protection rules. There is significant uncertainty related to the manner in which data protection authorities will seek to enforce compliance with GDPR. For example, it is not clear if the authorities will conduct random audits of companies doing business in the EU, or if the authorities will wait for complaints to be filed by individuals who claim their rights have been violated.</w:t>
      </w:r>
    </w:p>
    <w:p>
      <w:pPr>
        <w:spacing w:after="0" w:line="200" w:lineRule="exact"/>
        <w:rPr>
          <w:sz w:val="20"/>
          <w:szCs w:val="20"/>
          <w:color w:val="auto"/>
        </w:rPr>
      </w:pPr>
    </w:p>
    <w:p>
      <w:pPr>
        <w:spacing w:after="0" w:line="37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Efforts to ensure that our business arrangements with third parties comply with applicable healthcare laws and regulations involve substantial costs. It is possible that interpretation of healthcare laws and regulations will vary across jurisdictions, and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drugs from government funded healthcare programs, such as Medicare and Medicaid, and the curtailment or restructuring of our operations. We have established internal policies and procedure to mitigate our compliance risks. However, no assurance can be given that such policies and procedures will be adequate to ensure compliance with applicable laws and regulations. Moreover,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government-funded healthcare programs.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40"/>
        <w:spacing w:after="0" w:line="278"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DANYELZA and our product candidates, which could make it difficult for us to sell DANYELZA and our product candidates profitably.</w:t>
      </w:r>
    </w:p>
    <w:p>
      <w:pPr>
        <w:spacing w:after="0" w:line="141" w:lineRule="exact"/>
        <w:rPr>
          <w:sz w:val="20"/>
          <w:szCs w:val="20"/>
          <w:color w:val="auto"/>
        </w:rPr>
      </w:pPr>
    </w:p>
    <w:p>
      <w:pPr>
        <w:jc w:val="both"/>
        <w:ind w:right="220"/>
        <w:spacing w:after="0" w:line="252" w:lineRule="auto"/>
        <w:rPr>
          <w:sz w:val="20"/>
          <w:szCs w:val="20"/>
          <w:color w:val="auto"/>
        </w:rPr>
      </w:pPr>
      <w:r>
        <w:rPr>
          <w:rFonts w:ascii="Arial" w:cs="Arial" w:eastAsia="Arial" w:hAnsi="Arial"/>
          <w:sz w:val="18"/>
          <w:szCs w:val="18"/>
          <w:color w:val="auto"/>
        </w:rPr>
        <w:t>Successful sales of DANYELZA and our product candidates, if approved, depend on the availability of adequate coverage and reimbursement from third-party payors. In addition, because DANYELZA and our product candidates represent relatively new approaches to the treatment of cancer, we cannot accurately estimate the potential revenue from DANYELZA or our product candidates.</w:t>
      </w:r>
    </w:p>
    <w:p>
      <w:pPr>
        <w:spacing w:after="0" w:line="172" w:lineRule="exact"/>
        <w:rPr>
          <w:sz w:val="20"/>
          <w:szCs w:val="20"/>
          <w:color w:val="auto"/>
        </w:rPr>
      </w:pPr>
    </w:p>
    <w:p>
      <w:pPr>
        <w:jc w:val="both"/>
        <w:ind w:right="680"/>
        <w:spacing w:after="0" w:line="252"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17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172"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To date, no third party provider has established coverage policies or provided reimbursement for DANYELZA or any of our other product candidates. We intend to seek reimbursement for DANYELZA but even if we obtain coverage for DANYELZA or any other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our products, if approved. Patients are unlikely to use our product unless coverage is provided and reimbursement is adequate to cover a significant portion of the cost of our products. Because our products and product candidates have a higher cost of goods than conventional therapies, and may require long-term follow up evaluations, the risk that coverage and reimbursement rates may be inadequate for us to achieve profitability may be greater.</w:t>
      </w:r>
    </w:p>
    <w:p>
      <w:pPr>
        <w:spacing w:after="0" w:line="183"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To date DANYELZA has been approved for sale in the United States only, but we intend to seek approval to market our products in both the United States as well as in selected foreign jurisdictions. If we obtain approval in one or more foreign jurisdictions for our product candidates, we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40"/>
        <w:spacing w:after="0" w:line="333" w:lineRule="auto"/>
        <w:rPr>
          <w:sz w:val="20"/>
          <w:szCs w:val="20"/>
          <w:color w:val="auto"/>
        </w:rPr>
      </w:pPr>
      <w:r>
        <w:rPr>
          <w:rFonts w:ascii="Arial" w:cs="Arial" w:eastAsia="Arial" w:hAnsi="Arial"/>
          <w:sz w:val="16"/>
          <w:szCs w:val="16"/>
          <w:color w:val="auto"/>
        </w:rPr>
        <w:t>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110"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We may incur significant liability if enforcement authorities allege or determine that we are engaging in commercial activities or promoting DANYELZA or another product candidate in a way that violates applicable regulations.</w:t>
      </w:r>
    </w:p>
    <w:p>
      <w:pPr>
        <w:spacing w:after="0" w:line="14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Physicians have the discretion to prescribe drug products for uses that are not described in the product's labeling and that differ from those approved by the FDA or other applicable regulatory agencies. Off-label uses are common across medical specialties. Although the FDA and other regulatory agencies do not regulate a physician's choice of treatments, the FDA and other regulatory agencies regulate a manufacturer's communications regarding off-label use and prohibit off-label promotion, as well as the dissemination of false or misleading labeling or promotional materials. Manufacturers may not promote drugs for off-label uses. Accordingly, we may not promote DANYELZA in the United States for use in any indications other than relapsed/refractory high-risk neuroblastoma in bone and/or bone marrow. The FDA and other regulatory and enforcement authorities actively enforce laws and regulations prohibiting promotion of off-label uses and the promotion of products for which marketing approval has not been obtained. A company that is found to have improperly promoted off-label uses may be subject to significant liability, which may include civil and administrative remedies as well as criminal sanctions.</w:t>
      </w:r>
    </w:p>
    <w:p>
      <w:pPr>
        <w:spacing w:after="0" w:line="18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Notwithstanding regulations related to product promotion, the FDA and other regulatory authorities allow companies to engage in truthful, non-misleading, and non-promotional scientific exchange concerning their products. We intend to engage in medical education activities and communicate with healthcare providers in compliance with all applicable laws and regulatory guidance.</w:t>
      </w:r>
    </w:p>
    <w:p>
      <w:pPr>
        <w:spacing w:after="0" w:line="172"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41"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5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0"/>
        <w:spacing w:after="0" w:line="256"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products or product candidates outside of the United States and require us to develop and implement costly compliance programs.</w:t>
      </w:r>
    </w:p>
    <w:p>
      <w:pPr>
        <w:spacing w:after="0" w:line="16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currently have operations in the United States and Denmark and we maintain relationships with CMOs in other parts of Europe as well as in the United States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No assurance can be given that our compliance policies and procedures are or will be sufficient or that our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spacing w:after="0" w:line="185"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Similar laws in other countries, such as the U.K. Bribery Act 2010, may apply to our operations.</w:t>
      </w:r>
    </w:p>
    <w:p>
      <w:pPr>
        <w:spacing w:after="0" w:line="181"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w:t>
      </w:r>
    </w:p>
    <w:p>
      <w:pPr>
        <w:spacing w:after="0" w:line="18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penalties, including suspension or debarment from government contracting. Violation of the FCPA or other export control, anti-corruption, anti-money laundering and anti-terrorism laws or regulations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intellectual property</w:t>
      </w:r>
    </w:p>
    <w:p>
      <w:pPr>
        <w:spacing w:after="0" w:line="224"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4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commercial success will depend in large part on obtaining and maintaining proprietary rights including patent, trademark and trade secret protection of our products, product candidates and related proprietary technologies, their respective components, formulations, methods used to manufacture them and methods of treatment, as well as successfully defending these patents against third-party challenges. Our ability to stop unauthorized third parties from making, using, selling, offering to sell or importing our products, product candidates and related proprietary technologies is dependent upon the extent to which we have rights under valid and enforceable patents or trade secrets that cover these activities.</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The patenting process is expensive and time-consuming, and we may not be able to file and prosecute all necessary or desirable patent applications at a reasonable cost or in a timely manner. In addition, we may not be able to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or related technologies, in whole or in part. In addition, our existing patents and any future patents we obtain may not be sufficiently broad to prevent others from using our technology or from developing competing product candidates or products and related technologies.</w:t>
      </w:r>
    </w:p>
    <w:p>
      <w:pPr>
        <w:spacing w:after="0" w:line="15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b w:val="1"/>
          <w:bCs w:val="1"/>
          <w:i w:val="1"/>
          <w:iCs w:val="1"/>
          <w:color w:val="auto"/>
        </w:rPr>
        <w:t>We currently depend on proprietary technology licensed from MSK and MIT and may depend on other third-party licensors in the future. If we lose our existing licenses or are unable to acquire or license additional proprietary rights from MSK, MIT or other third parties, we may not be able to continue developing our products.</w:t>
      </w:r>
    </w:p>
    <w:p>
      <w:pPr>
        <w:spacing w:after="0" w:line="16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currently in-license certain intellectual property from MSK and MIT. In the future we may in-license intellectual property from other licensors. 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enforceable or sufficient patents and other intellectual property rights. We have limited control over the manner in which our licensors may initiate an infringement proceeding against a third-party infringer of the intellectual property rights, or defend certain of the intellectual property that is licensed to us. It is possible that the licensors' infringement proceedings or defense activities may be less vigorous than had we conducted them ourselves.</w:t>
      </w:r>
    </w:p>
    <w:p>
      <w:pPr>
        <w:spacing w:after="0" w:line="18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products or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property rights held by others. We may be required by the FDA or comparable foreign regulatory authorities to provide a companion diagnostic test or tests with our products or product candidates. These diagnostic test or tests may be covered by intellectual property rights held by others. We may not own, or may have to share, the intellectual property rights obtained in collaboration with any other party, or intellectual property rights obtained relating to improvements of in-licensed products or processes.</w:t>
      </w:r>
    </w:p>
    <w:p>
      <w:pPr>
        <w:spacing w:after="0" w:line="17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to access the same technologies licensed to us. Additionally, we sometimes collaborate with academic and other institutions, such as MSK,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91"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5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are a party to license agreements with MSK, MIT, and others, pursuant to which we in-license key patent and patent applications for our product candidates, products and related proprietary technologies. These existing licenses impose various diligence, milestone payment, royalty, insurance and other obligations on us. If we fail to comply with these obligations or otherwise materially breach a license agreement, our licensors may have the right to terminate the license, in which event we would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b w:val="1"/>
          <w:bCs w:val="1"/>
          <w:i w:val="1"/>
          <w:iCs w:val="1"/>
          <w:color w:val="auto"/>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spacing w:after="0" w:line="1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and in-licensed patent rights are highly uncertain. Our pending and future patent applications and in-licensed patent applications may not result in patents being issued in the United States or in other jurisdictions which protect our products or product candidates or related technologies or which effectively prevent others from commercializing competitive technologies and products. Changes in either the patent laws or interpretation of the patent laws in the United States and other countries may diminish the value of our and in-licensed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in-licensed patent rights are highly uncertain.</w:t>
      </w:r>
    </w:p>
    <w:p>
      <w:pPr>
        <w:spacing w:after="0" w:line="189"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and in-licensed patent applications and the enforcement or defense of the issued patents. In March 2013, under the Leahy-Smith America Invents Act, or America Invents Act,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During examination of our own as well as our in-licensed patent applications third parties may present observations or submit patents, published patent applications or other prior art which may affect the patentability of the claimed inventions. The costs for obtaining patent protection may be increased significantly by the need for appeal proceedings or oral proceedings, which may also result in a patent not being issued. We may become involved in opposition, interference, derivation, post grant review, inter partes review, ex-parte re-examination or other proceedings challenging our patent rights or the patent rights of others, and the outcome of any proceedings are highly uncertain. An adverse</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determination in any such proceeding could reduce the scope of, or invalidate, our and in-licensed patent rights, allow third parties to commercialize our products, product candidates and related technologies and compete directly with us, without payment to us, or result in our inability to manufacture or commercialize products without infringing third-party patent rights.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products, product candidates and technology. Given the amount of time required for the development, testing and regulatory review of new product candidates, patents protecting such candidates might expire before or shortly after such candidates are commercialized. As a result, our owned and in-licensed patent portfolio may not provide us with sufficient rights to exclude others from commercializing products similar or identical to ours or otherwise provide us with a competitive advantage.</w:t>
      </w:r>
    </w:p>
    <w:p>
      <w:pPr>
        <w:spacing w:after="0" w:line="186"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57" w:lineRule="exact"/>
        <w:rPr>
          <w:sz w:val="20"/>
          <w:szCs w:val="20"/>
          <w:color w:val="auto"/>
        </w:rPr>
      </w:pPr>
    </w:p>
    <w:p>
      <w:pPr>
        <w:ind w:left="540" w:right="660" w:hanging="532"/>
        <w:spacing w:after="0" w:line="269"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pharmaceutical compounds used in our products or product candidates but that are not covered by the claims of our patents;</w:t>
      </w:r>
    </w:p>
    <w:p>
      <w:pPr>
        <w:spacing w:after="0" w:line="157" w:lineRule="exact"/>
        <w:rPr>
          <w:rFonts w:ascii="Arial" w:cs="Arial" w:eastAsia="Arial" w:hAnsi="Arial"/>
          <w:sz w:val="18"/>
          <w:szCs w:val="18"/>
          <w:color w:val="auto"/>
        </w:rPr>
      </w:pPr>
    </w:p>
    <w:p>
      <w:pPr>
        <w:ind w:left="540" w:right="200" w:hanging="532"/>
        <w:spacing w:after="0" w:line="269"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APIs in our current products or product candidates may eventually become commercially available in generic drug products, and no patent protection may be available with regard to formulation, method of manufacture or method of use;</w:t>
      </w:r>
    </w:p>
    <w:p>
      <w:pPr>
        <w:spacing w:after="0" w:line="143" w:lineRule="exact"/>
        <w:rPr>
          <w:rFonts w:ascii="Arial" w:cs="Arial" w:eastAsia="Arial" w:hAnsi="Arial"/>
          <w:sz w:val="18"/>
          <w:szCs w:val="18"/>
          <w:color w:val="auto"/>
        </w:rPr>
      </w:pPr>
    </w:p>
    <w:p>
      <w:pPr>
        <w:ind w:left="540" w:right="420" w:hanging="532"/>
        <w:spacing w:after="0" w:line="269"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be able to prevent parallel importation of products into the U.S., EU member states and/or other jurisdictions, which may reduce our profit margin;</w:t>
      </w:r>
    </w:p>
    <w:p>
      <w:pPr>
        <w:spacing w:after="0" w:line="143" w:lineRule="exact"/>
        <w:rPr>
          <w:rFonts w:ascii="Arial" w:cs="Arial" w:eastAsia="Arial" w:hAnsi="Arial"/>
          <w:sz w:val="18"/>
          <w:szCs w:val="18"/>
          <w:color w:val="auto"/>
        </w:rPr>
      </w:pPr>
    </w:p>
    <w:p>
      <w:pPr>
        <w:ind w:left="540" w:hanging="532"/>
        <w:spacing w:after="0" w:line="269"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57" w:lineRule="exact"/>
        <w:rPr>
          <w:rFonts w:ascii="Arial" w:cs="Arial" w:eastAsia="Arial" w:hAnsi="Arial"/>
          <w:sz w:val="18"/>
          <w:szCs w:val="18"/>
          <w:color w:val="auto"/>
        </w:rPr>
      </w:pP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98" w:lineRule="exact"/>
        <w:rPr>
          <w:rFonts w:ascii="Arial" w:cs="Arial" w:eastAsia="Arial" w:hAnsi="Arial"/>
          <w:sz w:val="18"/>
          <w:szCs w:val="18"/>
          <w:color w:val="auto"/>
        </w:rPr>
      </w:pPr>
    </w:p>
    <w:p>
      <w:pPr>
        <w:ind w:left="540" w:right="760" w:hanging="532"/>
        <w:spacing w:after="0" w:line="269"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products or product candidates and proprietary technologies;</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our owned or in-licensed pending patent applications will not result in issued patents;</w:t>
      </w:r>
    </w:p>
    <w:p>
      <w:pPr>
        <w:spacing w:after="0" w:line="211" w:lineRule="exact"/>
        <w:rPr>
          <w:rFonts w:ascii="Arial" w:cs="Arial" w:eastAsia="Arial" w:hAnsi="Arial"/>
          <w:sz w:val="18"/>
          <w:szCs w:val="18"/>
          <w:color w:val="auto"/>
        </w:rPr>
      </w:pPr>
    </w:p>
    <w:p>
      <w:pPr>
        <w:ind w:left="540" w:right="180" w:hanging="532"/>
        <w:spacing w:after="0" w:line="269"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line="269"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products or technologies similar to ours;</w:t>
      </w:r>
    </w:p>
    <w:p>
      <w:pPr>
        <w:spacing w:after="0" w:line="157" w:lineRule="exact"/>
        <w:rPr>
          <w:rFonts w:ascii="Arial" w:cs="Arial" w:eastAsia="Arial" w:hAnsi="Arial"/>
          <w:sz w:val="18"/>
          <w:szCs w:val="18"/>
          <w:color w:val="auto"/>
        </w:rPr>
      </w:pPr>
    </w:p>
    <w:p>
      <w:pPr>
        <w:ind w:left="540" w:hanging="532"/>
        <w:spacing w:after="0" w:line="269"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143" w:lineRule="exact"/>
        <w:rPr>
          <w:rFonts w:ascii="Arial" w:cs="Arial" w:eastAsia="Arial" w:hAnsi="Arial"/>
          <w:sz w:val="18"/>
          <w:szCs w:val="18"/>
          <w:color w:val="auto"/>
        </w:rPr>
      </w:pPr>
    </w:p>
    <w:p>
      <w:pPr>
        <w:ind w:left="540" w:right="40" w:hanging="532"/>
        <w:spacing w:after="0" w:line="269"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claims of our owned or in-licensed issued patents or patent applications, if and when issued, may not cover our product candidates or products;</w:t>
      </w:r>
    </w:p>
    <w:p>
      <w:pPr>
        <w:spacing w:after="0" w:line="143" w:lineRule="exact"/>
        <w:rPr>
          <w:rFonts w:ascii="Arial" w:cs="Arial" w:eastAsia="Arial" w:hAnsi="Arial"/>
          <w:sz w:val="18"/>
          <w:szCs w:val="18"/>
          <w:color w:val="auto"/>
        </w:rPr>
      </w:pPr>
    </w:p>
    <w:p>
      <w:pPr>
        <w:ind w:left="540" w:right="420" w:hanging="532"/>
        <w:spacing w:after="0" w:line="269"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57" w:lineRule="exact"/>
        <w:rPr>
          <w:rFonts w:ascii="Arial" w:cs="Arial" w:eastAsia="Arial" w:hAnsi="Arial"/>
          <w:sz w:val="18"/>
          <w:szCs w:val="18"/>
          <w:color w:val="auto"/>
        </w:rPr>
      </w:pPr>
    </w:p>
    <w:p>
      <w:pPr>
        <w:ind w:left="540" w:right="300" w:hanging="532"/>
        <w:spacing w:after="0" w:line="252"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58" w:lineRule="exact"/>
        <w:rPr>
          <w:rFonts w:ascii="Arial" w:cs="Arial" w:eastAsia="Arial" w:hAnsi="Arial"/>
          <w:sz w:val="18"/>
          <w:szCs w:val="18"/>
          <w:color w:val="auto"/>
        </w:rPr>
      </w:pPr>
    </w:p>
    <w:p>
      <w:pPr>
        <w:jc w:val="both"/>
        <w:ind w:left="540" w:right="280" w:hanging="532"/>
        <w:spacing w:after="0" w:line="252"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collaboration/agreement with such third party;</w:t>
      </w:r>
    </w:p>
    <w:p>
      <w:pPr>
        <w:spacing w:after="0" w:line="158" w:lineRule="exact"/>
        <w:rPr>
          <w:rFonts w:ascii="Arial" w:cs="Arial" w:eastAsia="Arial" w:hAnsi="Arial"/>
          <w:sz w:val="18"/>
          <w:szCs w:val="18"/>
          <w:color w:val="auto"/>
        </w:rPr>
      </w:pPr>
    </w:p>
    <w:p>
      <w:pPr>
        <w:ind w:left="540" w:hanging="53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211" w:lineRule="exact"/>
        <w:rPr>
          <w:rFonts w:ascii="Arial" w:cs="Arial" w:eastAsia="Arial" w:hAnsi="Arial"/>
          <w:sz w:val="18"/>
          <w:szCs w:val="18"/>
          <w:color w:val="auto"/>
        </w:rPr>
      </w:pPr>
    </w:p>
    <w:p>
      <w:pPr>
        <w:ind w:left="540" w:right="860" w:hanging="532"/>
        <w:spacing w:after="0" w:line="269"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products, product candidates or diagnostic tests we develop may be covered by third parties' patents or other proprietary rights; or</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addition, during the course of business we have decided not to pursue certain products or processes and we may do so again in the future. If it is later determined that our activities, product or product candidates infringed the intellectual property of any third party, we may be liable for damages, enhanced damages or subjected to an injunction, any of which could have a material adverse effect on our business.</w:t>
      </w:r>
    </w:p>
    <w:p>
      <w:pPr>
        <w:spacing w:after="0" w:line="17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harmed and this would have a material adverse effect on our business.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If any of our owned or in-licensed patents are found to be invalid or unenforceable, or if we are otherwise unable to adequately protect our rights, it could have a material adverse impact on our business and our ability to commercialize or license our technology products and product candidates. Likewise, our current owned patents and patents in-licensed from MSK relating to our proprietary technologies and our product candidates comprise patents that are expected to expire on various dates from 2021 through 2039, without taking into account any possible patent term adjustments, extensions or supplementary protection. Our earliest patents in-licensed from MSK of relevance for our products may expire before, or soon after, our first product achieves marketing approval in the United States. Upon the expiration of our current patents,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may lose the right to exclude others from practicing the relevant inventions. The expiration of these patents could also have a similar material adverse effect on our business, results of operations, financial condition and prospects. We own or in-license pending patent applications from MSK covering our proprietary technologies or our product candidates that if issued as patents are expected to expire from 2028 through 2039, without taking into account any possible patent term adjustments, extensions or supplementary protections. However, no assurance can be given that the USPTO or relevant foreign patent offices will grant any of these patent applications.</w:t>
      </w:r>
    </w:p>
    <w:p>
      <w:pPr>
        <w:spacing w:after="0" w:line="181"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we may be unable to protect our rights to our product candidates, products and technologies.</w:t>
      </w:r>
    </w:p>
    <w:p>
      <w:pPr>
        <w:spacing w:after="0" w:line="14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8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There is also the risk that, even if the validity of these patents is upheld, the court will refuse to stop the third party on the ground that such third party's activities do not infringe our owned or in-licensed patents. In addition, the U.S. Supreme Court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Similar considerations pertain to patents granted outside of the United States, for which the validity, enforceability and/or scope of protection may be influenced by changing national and/or international legal principles.</w:t>
      </w:r>
    </w:p>
    <w:p>
      <w:pPr>
        <w:spacing w:after="0" w:line="18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If another party questions the patentability of any of our claims in our owned or in-licensed U.S. patents, the third party can request that the USPTO review the patent claims such as in an inter partes review, ex parte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in-licensed foreign patents are challenged. The costs of these opposition or similar proceedings could be substantial, and such oppositions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intellectual property rights other than patents, and we may be unable to protect our rights to our product candidates, products and technologies.</w:t>
      </w:r>
    </w:p>
    <w:p>
      <w:pPr>
        <w:spacing w:after="0" w:line="14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may rely on trade secrets and confidentiality or nondisclosure agreements to protect our proprietary technology and know-how, especially where we do not believe patent protection is appropriate or obtainable. Where we enter into agreements imposing confidentiality or nondisclosure obligations upon employees or third parties to protect our proprietary technology and know-how, these confidentiality obligations may be breached or may not provide meaningful protection for our trade secrets or proprietary technology and know-how. Furthermore, despite the existence of such confidentiality and nondisclosure agreements, or other contractual restrictions, we may not be able to prevent the unauthorized disclosure or use of our confidential proprietary information or trade secrets by consultants, vendors, former employees or current employees. In addition, adequate remedies may not be available in the event of an unauthorized access, use, or disclosure of our trade secrets or know-how.</w:t>
      </w:r>
    </w:p>
    <w:p>
      <w:pPr>
        <w:spacing w:after="0" w:line="18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Enforcing a claim that a third party illegally obtained and is using any of our trade secrets is expensive and time consuming, and the outcome is unpredictable. In addition, courts outside the United States may be less willing to protect trade secrets effectively or to the same extent as the laws of the United States. If we choose to go to court to stop a third party from using any of our trade secrets, we may incur substantial costs. These lawsuits may consume our time and other resources even if we are successful.</w:t>
      </w:r>
    </w:p>
    <w:p>
      <w:pPr>
        <w:spacing w:after="0" w:line="17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spacing w:after="0" w:line="172"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If we are sued for infringing patents or other intellectual property rights of third parties, it will be costly and time consuming, and an unfavorable outcome in that litigation may have a material adverse effect on our business.</w:t>
      </w:r>
    </w:p>
    <w:p>
      <w:pPr>
        <w:spacing w:after="0" w:line="14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Our commercial success depends upon our ability to develop, manufacture, market and sell our products or product candidates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 issued, the risk increases that others may assert that our products or product candidates infringe others' patent rights.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spacing w:after="0" w:line="15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related to our products or product candidates,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affect technology covered by our owned and in-licensed patent applications or patents, which could require us to obtain rights to issued patents covering such technologies. If another party has filed a U.S. patent application on inventions similar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pharmaceutical industries generally. We may be subject to, or threatened with litigation by third parties having patent or other intellectual property rights alleging that our product candidates or products and/or proprietary technologies infringe, misappropriate or violate their intellectual property rights.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w:t>
      </w:r>
    </w:p>
    <w:p>
      <w:pPr>
        <w:spacing w:after="0" w:line="212" w:lineRule="exact"/>
        <w:rPr>
          <w:sz w:val="20"/>
          <w:szCs w:val="20"/>
          <w:color w:val="auto"/>
        </w:rPr>
      </w:pPr>
    </w:p>
    <w:p>
      <w:pPr>
        <w:ind w:left="540" w:right="100" w:hanging="532"/>
        <w:spacing w:after="0" w:line="269"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which, regardless of merit, may be expensive and time-consuming to litigate and may divert our management's attention from our core business;</w:t>
      </w:r>
    </w:p>
    <w:p>
      <w:pPr>
        <w:spacing w:after="0" w:line="157" w:lineRule="exact"/>
        <w:rPr>
          <w:rFonts w:ascii="Arial" w:cs="Arial" w:eastAsia="Arial" w:hAnsi="Arial"/>
          <w:sz w:val="18"/>
          <w:szCs w:val="18"/>
          <w:color w:val="auto"/>
        </w:rPr>
      </w:pPr>
    </w:p>
    <w:p>
      <w:pPr>
        <w:ind w:left="540" w:right="300" w:hanging="532"/>
        <w:spacing w:after="0" w:line="252"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158" w:lineRule="exact"/>
        <w:rPr>
          <w:rFonts w:ascii="Arial" w:cs="Arial" w:eastAsia="Arial" w:hAnsi="Arial"/>
          <w:sz w:val="18"/>
          <w:szCs w:val="18"/>
          <w:color w:val="auto"/>
        </w:rPr>
      </w:pPr>
    </w:p>
    <w:p>
      <w:pPr>
        <w:ind w:left="540" w:right="760" w:hanging="532"/>
        <w:spacing w:after="0" w:line="269"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products, or from using our proprietary technologies, unless the third party licenses its product rights to us, which it is not required to do;</w:t>
      </w:r>
    </w:p>
    <w:p>
      <w:pPr>
        <w:spacing w:after="0" w:line="143" w:lineRule="exact"/>
        <w:rPr>
          <w:rFonts w:ascii="Arial" w:cs="Arial" w:eastAsia="Arial" w:hAnsi="Arial"/>
          <w:sz w:val="18"/>
          <w:szCs w:val="18"/>
          <w:color w:val="auto"/>
        </w:rPr>
      </w:pPr>
    </w:p>
    <w:p>
      <w:pPr>
        <w:ind w:left="540" w:right="340" w:hanging="532"/>
        <w:spacing w:after="0" w:line="269"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 license is available from a third party, it may not be offered on reasonable terms and may require that we pay substantial royalties, upfront fees and other amounts, and/or grant cross-licenses to intellectual property rights for our products; and</w:t>
      </w:r>
    </w:p>
    <w:p>
      <w:pPr>
        <w:spacing w:after="0" w:line="157" w:lineRule="exact"/>
        <w:rPr>
          <w:rFonts w:ascii="Arial" w:cs="Arial" w:eastAsia="Arial" w:hAnsi="Arial"/>
          <w:sz w:val="18"/>
          <w:szCs w:val="18"/>
          <w:color w:val="auto"/>
        </w:rPr>
      </w:pPr>
    </w:p>
    <w:p>
      <w:pPr>
        <w:ind w:left="540" w:right="860" w:hanging="532"/>
        <w:spacing w:after="0" w:line="269"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redesigning our products or product candidates or processes so they do not infringe, which may not be possible or may require substantial monetary expenditures and time.</w:t>
      </w:r>
    </w:p>
    <w:p>
      <w:pPr>
        <w:spacing w:after="0" w:line="15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7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may choose to challenge the patentability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such proceedings may consume our time or other resources. If we fail to obtain a favorable result at the USPTO, EPO or other patent office then we may be exposed to litigation by a third party alleging that the patent may be infringed by our product candidates or products or proprietary technologies.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with patents throughout the world.</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Filing, prosecuting and defending patents on all of our products or product candidates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products or product candidates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6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secure trademark registrations could adversely affect our business.</w:t>
      </w:r>
    </w:p>
    <w:p>
      <w:pPr>
        <w:spacing w:after="0" w:line="21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If we do not successfully register our trademarks, we may encounter difficulty in enforcing, or be unable to enforce, our trademark rights against third parties, which could adversely affect our business and our ability to effectively compete in the marketplace. When we file registration applications for trademarks relating to our products or product candidates, those applications may be rejected, and registered trademarks may not be obtained, maintained or enforced. During trademark registration proceedings in the United States and 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spacing w:after="0" w:line="18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addition, any proprietary name we use, such as DANYELZA, or propose to use with any of our products or product candidates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would qualify under applicable trademark laws, not infringe the existing rights of third parties and be acceptable to the FDA.</w:t>
      </w:r>
    </w:p>
    <w:p>
      <w:pPr>
        <w:spacing w:after="0" w:line="212"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which may have a material adverse effect on our business.</w:t>
      </w:r>
    </w:p>
    <w:p>
      <w:pPr>
        <w:spacing w:after="0" w:line="141"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We rely on our trademarks, trade names, service marks, domain names and logos, as appropriate, to market our brands and to build and maintain brand recognition. We rely on trademark protections to protect our business and our 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 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 term, if we are unable to establish name recognition based on our trademarks, trade names, service marks and domain names, then we may not be able to compete effectively, resulting in a material adverse effect on our business.</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employee matters and managing growth</w:t>
      </w:r>
    </w:p>
    <w:p>
      <w:pPr>
        <w:spacing w:after="0" w:line="224"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b w:val="1"/>
          <w:bCs w:val="1"/>
          <w:i w:val="1"/>
          <w:iCs w:val="1"/>
          <w:color w:val="auto"/>
        </w:rPr>
        <w:t>We have a limited number of employees and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16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are highly dependent on the members of our executive management as well as the other principal members of our management and scientific teams. Our agreements with any of them do not prevent them from terminating their employment with us at any time. We do not maintain "key person" insurance for any of our executives or other employees. The loss of the services of any of these persons could impede the achievement of our research, development and commercialization objectives.</w:t>
      </w:r>
    </w:p>
    <w:p>
      <w:pPr>
        <w:spacing w:after="0" w:line="177"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We intend to conduct our operations in the New York City metropolitan area,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our region, and doing so may be costly and difficult.</w:t>
      </w:r>
    </w:p>
    <w:p>
      <w:pPr>
        <w:spacing w:after="0" w:line="18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 lucrative offers from other companies. Although we have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employment agreements with our key employees, these employment agreements provide for at-will employment, which means that any of our employees could leave our employment at any time, with or without notice.</w:t>
      </w:r>
    </w:p>
    <w:p>
      <w:pPr>
        <w:spacing w:after="0" w:line="157" w:lineRule="exact"/>
        <w:rPr>
          <w:sz w:val="20"/>
          <w:szCs w:val="20"/>
          <w:color w:val="auto"/>
        </w:rPr>
      </w:pPr>
    </w:p>
    <w:p>
      <w:pPr>
        <w:ind w:right="660"/>
        <w:spacing w:after="0" w:line="252"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72" w:lineRule="exact"/>
        <w:rPr>
          <w:sz w:val="20"/>
          <w:szCs w:val="20"/>
          <w:color w:val="auto"/>
        </w:rPr>
      </w:pPr>
    </w:p>
    <w:p>
      <w:pPr>
        <w:ind w:right="660"/>
        <w:spacing w:after="0" w:line="343" w:lineRule="auto"/>
        <w:rPr>
          <w:sz w:val="20"/>
          <w:szCs w:val="20"/>
          <w:color w:val="auto"/>
        </w:rPr>
      </w:pPr>
      <w:r>
        <w:rPr>
          <w:rFonts w:ascii="Arial" w:cs="Arial" w:eastAsia="Arial" w:hAnsi="Arial"/>
          <w:sz w:val="16"/>
          <w:szCs w:val="16"/>
          <w:b w:val="1"/>
          <w:bCs w:val="1"/>
          <w:i w:val="1"/>
          <w:iCs w:val="1"/>
          <w:color w:val="auto"/>
        </w:rPr>
        <w:t>We have expanded and expect to continue to expand our development and regulatory capabilities and our sales and marketing capabilities, and as a result, we may encounter difficulties in managing our growth, which could disrupt our operations.</w:t>
      </w:r>
    </w:p>
    <w:p>
      <w:pPr>
        <w:spacing w:after="0" w:line="95"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We have expanded and continue to expect to experience significant growth in the number of our employees and the scope of our operations, particularly in the areas of sales and marketing, clinical operations, regulatory affairs and, drug development.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common stock</w:t>
      </w:r>
    </w:p>
    <w:p>
      <w:pPr>
        <w:spacing w:after="0" w:line="224"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have ownership of a significant percentage of our stock and will be able to exercise significant influence over matters subject to stockholder approval.</w:t>
      </w:r>
    </w:p>
    <w:p>
      <w:pPr>
        <w:spacing w:after="0" w:line="14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As of December 31, 2020, our executive officers, directors and our stockholders, which own more than 5% of our outstanding common stock beneficially own shares representing approximately 41.3% of our common stock. As a result, if these stockholders were to choose to act together, they would be able to exert significant influence over all matters submitted to our stockholders for approval, as well as our management and affairs. For example, these persons, if they choose to act together, would have significant influence over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8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 or members of our board of directors.</w:t>
      </w:r>
    </w:p>
    <w:p>
      <w:pPr>
        <w:spacing w:after="0" w:line="16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management by making it more difficult for stockholders to replace members of our board of directors. Among other things, these provisions:</w:t>
      </w:r>
    </w:p>
    <w:p>
      <w:pPr>
        <w:spacing w:after="0" w:line="212"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98" w:lineRule="exact"/>
        <w:rPr>
          <w:rFonts w:ascii="Arial" w:cs="Arial" w:eastAsia="Arial" w:hAnsi="Arial"/>
          <w:sz w:val="18"/>
          <w:szCs w:val="18"/>
          <w:color w:val="auto"/>
        </w:rPr>
      </w:pPr>
    </w:p>
    <w:p>
      <w:pPr>
        <w:ind w:left="540" w:right="300" w:hanging="532"/>
        <w:spacing w:after="0" w:line="269"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57" w:lineRule="exact"/>
        <w:rPr>
          <w:rFonts w:ascii="Arial" w:cs="Arial" w:eastAsia="Arial" w:hAnsi="Arial"/>
          <w:sz w:val="18"/>
          <w:szCs w:val="18"/>
          <w:color w:val="auto"/>
        </w:rPr>
      </w:pPr>
    </w:p>
    <w:p>
      <w:pPr>
        <w:ind w:left="540" w:right="120" w:hanging="532"/>
        <w:spacing w:after="0" w:line="269"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98" w:lineRule="exact"/>
        <w:rPr>
          <w:rFonts w:ascii="Arial" w:cs="Arial" w:eastAsia="Arial" w:hAnsi="Arial"/>
          <w:sz w:val="18"/>
          <w:szCs w:val="18"/>
          <w:color w:val="auto"/>
        </w:rPr>
      </w:pPr>
    </w:p>
    <w:p>
      <w:pPr>
        <w:ind w:left="540" w:right="20" w:hanging="532"/>
        <w:spacing w:after="0" w:line="252"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71" w:lineRule="exact"/>
        <w:rPr>
          <w:rFonts w:ascii="Arial" w:cs="Arial" w:eastAsia="Arial" w:hAnsi="Arial"/>
          <w:sz w:val="18"/>
          <w:szCs w:val="18"/>
          <w:color w:val="auto"/>
        </w:rPr>
      </w:pPr>
    </w:p>
    <w:p>
      <w:pPr>
        <w:ind w:left="540" w:right="480" w:hanging="532"/>
        <w:spacing w:after="0" w:line="269"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5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7"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as a result, it may be difficult for you to sell your shares of our common stock.</w:t>
      </w:r>
    </w:p>
    <w:p>
      <w:pPr>
        <w:spacing w:after="0" w:line="141" w:lineRule="exact"/>
        <w:rPr>
          <w:sz w:val="20"/>
          <w:szCs w:val="20"/>
          <w:color w:val="auto"/>
        </w:rPr>
      </w:pPr>
    </w:p>
    <w:p>
      <w:pPr>
        <w:jc w:val="both"/>
        <w:ind w:right="160"/>
        <w:spacing w:after="0" w:line="252" w:lineRule="auto"/>
        <w:rPr>
          <w:sz w:val="20"/>
          <w:szCs w:val="20"/>
          <w:color w:val="auto"/>
        </w:rPr>
      </w:pPr>
      <w:r>
        <w:rPr>
          <w:rFonts w:ascii="Arial" w:cs="Arial" w:eastAsia="Arial" w:hAnsi="Arial"/>
          <w:sz w:val="18"/>
          <w:szCs w:val="18"/>
          <w:color w:val="auto"/>
        </w:rPr>
        <w:t>Our shares of common stock began trading on The NASDAQ Global Select Market on September 21, 2018. Given the limited trading history of our common stock, there is a risk that an active trading market for our shares will not be sustained, which could put downward pressure on the market price of our common stock and thereby affect the ability of our stockholders to sell their shares.</w:t>
      </w:r>
    </w:p>
    <w:p>
      <w:pPr>
        <w:spacing w:after="0" w:line="171"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Effective as of December 31, 2020, we became a large accelerated filer and were no longer an emerging growth company. We are not able to take advantage of the reduced disclosure requirements applicable to emerging growth companies.</w:t>
      </w:r>
    </w:p>
    <w:p>
      <w:pPr>
        <w:spacing w:after="0" w:line="14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As a result of our public float (the market value of our common shares held by non-affiliates) as of June 30, 2020, we became a large accelerated filer as of December 31, 2020 and therefore no longer qualified as an "emerging growth company," as defined in the JOBS Act. Additionally, due to our public float as of June 30, 2020, we no longer qualified as a "smaller reporting company" as defined in the Exchange Act. However, we are not required to reflect the change in our smaller reporting company status, and comply with the associated increased disclosure obligations, until our quarterly report for the three-month period ended March 31, 2021.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As a large accelerated filer, we are subject to certain disclosure and compliance requirements that apply to other public companies but did not previously apply to us due to our status as an emerging growth company. These requirements include, but are not limited to:</w:t>
      </w:r>
    </w:p>
    <w:p>
      <w:pPr>
        <w:spacing w:after="0" w:line="157" w:lineRule="exact"/>
        <w:rPr>
          <w:sz w:val="20"/>
          <w:szCs w:val="20"/>
          <w:color w:val="auto"/>
        </w:rPr>
      </w:pPr>
    </w:p>
    <w:p>
      <w:pPr>
        <w:ind w:left="540" w:right="400" w:hanging="532"/>
        <w:spacing w:after="0" w:line="269"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requirement that our independent registered public accounting firm attest to the effectiveness of our internal control over financial reporting under Section 404(b) of the Sarbanes-Oxley Act of 2002;</w:t>
      </w:r>
    </w:p>
    <w:p>
      <w:pPr>
        <w:spacing w:after="0" w:line="157" w:lineRule="exact"/>
        <w:rPr>
          <w:rFonts w:ascii="Arial" w:cs="Arial" w:eastAsia="Arial" w:hAnsi="Arial"/>
          <w:sz w:val="18"/>
          <w:szCs w:val="18"/>
          <w:color w:val="auto"/>
        </w:rPr>
      </w:pPr>
    </w:p>
    <w:p>
      <w:pPr>
        <w:ind w:left="540" w:right="280" w:hanging="532"/>
        <w:spacing w:after="0" w:line="269"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compliance with any requirement that may be adopted by the Public Company Accounting Oversight Board regarding mandatory audit firm rotation;</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requirement that we provide full and more detailed disclosures regarding executive compensation; and</w:t>
      </w:r>
    </w:p>
    <w:p>
      <w:pPr>
        <w:spacing w:after="0" w:line="198" w:lineRule="exact"/>
        <w:rPr>
          <w:rFonts w:ascii="Arial" w:cs="Arial" w:eastAsia="Arial" w:hAnsi="Arial"/>
          <w:sz w:val="18"/>
          <w:szCs w:val="18"/>
          <w:color w:val="auto"/>
        </w:rPr>
      </w:pPr>
    </w:p>
    <w:p>
      <w:pPr>
        <w:ind w:left="540" w:right="440" w:hanging="532"/>
        <w:spacing w:after="0" w:line="269"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requirement that we hold a non-binding advisory vote on executive compensation and obtain stockholder approval of any golden parachute payments not previously approved.</w:t>
      </w:r>
    </w:p>
    <w:p>
      <w:pPr>
        <w:spacing w:after="0" w:line="15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expect that compliance with the additional requirements of being a large accelerated filer will increase our legal and financial compliance costs and cause management and other personnel to divert attention from operational and other business matters to devote substantial time to public company reporting requirements. In addition, if we are not able to comply with changing requirements in a timely manner, the market price of our stock could decline and we could be subject to sanctions or investigations by the stock exchange on which our common stock is listed, the SEC, or other regulatory authorities, which would require additional financial and management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Utilization of net operating loss carry forwards depends on many factors, including our future income, which cannot be assured, and the impact</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of the Tax Reform Bill. Under Sections 382 and 383 of the Internal Revenue Code of 1986, as amended, or the Code, if a corporation undergoes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 "ownership change" (generally defined as a greater than 50 percentage point cumulative change (by value) in the equity ownership of certain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stockholders over a rolling three year period), the corporation's ability to use its pre-change net operating loss carryforwards and other pre-</w:t>
      </w:r>
    </w:p>
    <w:p>
      <w:pPr>
        <w:spacing w:after="0" w:line="234" w:lineRule="auto"/>
        <w:rPr>
          <w:sz w:val="20"/>
          <w:szCs w:val="20"/>
          <w:color w:val="auto"/>
        </w:rPr>
      </w:pPr>
      <w:r>
        <w:rPr>
          <w:rFonts w:ascii="Arial" w:cs="Arial" w:eastAsia="Arial" w:hAnsi="Arial"/>
          <w:sz w:val="18"/>
          <w:szCs w:val="18"/>
          <w:color w:val="auto"/>
        </w:rPr>
        <w:t>change tax attributes to offset its post-change taxable income or taxes may be limited. The Company has performed an analysis of its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Section 382 ownership changes through December 31, 2019. Due to the large annual limitation, the Company believes that it is more likely than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 that none of the net operating loss carryforwards will expire as a result of the limitation from the ownership change under Section 382.</w:t>
      </w:r>
    </w:p>
    <w:p>
      <w:pPr>
        <w:spacing w:after="0" w:line="190"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for the foreseeable future, capital appreciation, if any, of our common stock will be your sole source of gain.</w:t>
      </w:r>
    </w:p>
    <w:p>
      <w:pPr>
        <w:spacing w:after="0" w:line="14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of common stock by stockholders may have an adverse effect on the then prevailing market price of our common stock.</w:t>
      </w:r>
    </w:p>
    <w:p>
      <w:pPr>
        <w:spacing w:after="0" w:line="235"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Sales of our common stock may be made by holders of our public float or by holders of restricted securities in compliance with the provisions of Rule 144 of the Securities Act of 1933, or the Securities Act. There were 40,668,447 shares of common stock outstanding as of December 31, 2020. Of these shares of our common stock, 6,900,000 shares sold in our initial public offering in 2018 and 5,134,750 shares sold in our public offering in 2019 are freely tradable, without restriction, in the public market. As of December 31, 2020 holders of approximately 2,744,000 shares of our common stock have rights, subject to certain conditions, to require us to file registration statements covering their shares or to include their shares in registration statements that we may file for ourselves or other stockholders. Once we register these shares, they can be freely sold in the public market upon issuance, subject to volume limitations applicable to affiliates. We have also registered 6,200,000 shares of our common stock that we may issue under our equity compensation plans. This financial data for the year ended December 31, 2020 is preliminary and is subject to change upon completion of our financial statement closing procedures. There can be no assurance that such financial data for the year ended December 31, 2020 will not differ from these estimates, including as a result of review adjustments, and any such changes could be material. The preliminary financial data included in this prospectus supplement has been prepared by and is the responsibility of our management. See the section "Prospectus Supplement Summary—Financial Update" for more information. PricewaterhouseCoopers LLP has not audited, reviewed, compiled, or applied agreed-upon procedures with respect to the preliminary financial data. Accordingly, PricewaterhouseCoopers LLP does not express an opinion or any other form of assurance with respect thereto. These results could change as a result of further review. Complete financial results for the year ended December 31, 2020 will be included in our Annual Report on Form 10-K.</w:t>
      </w:r>
    </w:p>
    <w:p>
      <w:pPr>
        <w:spacing w:after="0" w:line="366"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Also, in general under Rule 144, a non-affiliated person who has satisfied a six-month holding period in a company registered under the Exchange Act, as amended, may, sell their restricted common stock without volume limitation, so long as the issuer is current with all reports under the Exchange Act in order for there to be adequate common public information.</w:t>
      </w:r>
    </w:p>
    <w:p>
      <w:pPr>
        <w:spacing w:after="0" w:line="17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Affiliated persons may also sell their common shares held for at least six months, but affiliated persons will be required to meet certain other requirements, including manner of sale, notice requirements and volume limitations. Non-affiliated persons who hold their common shares for at least one year will be able to sell their common stock without the need for there to be current public information in the hands of the public. Future sales of shares of our public float or by restricted common stock made in compliance with Rule 144 may have an adverse effect on the then prevailing market price, if any, of our common stock.</w:t>
      </w:r>
    </w:p>
    <w:p>
      <w:pPr>
        <w:spacing w:after="0" w:line="18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may issue additional shares of our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171"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spacing w:after="0" w:line="167" w:lineRule="exact"/>
        <w:rPr>
          <w:sz w:val="20"/>
          <w:szCs w:val="20"/>
          <w:color w:val="auto"/>
        </w:rPr>
      </w:pPr>
    </w:p>
    <w:p>
      <w:pPr>
        <w:jc w:val="both"/>
        <w:ind w:right="360"/>
        <w:spacing w:after="0" w:line="298"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is the sole and exclusive forum for any derivative action or proceeding brought on our behalf, any action asserting a claim</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of breach of a fiduciary duty owed by any of our directors, officers or employees to our company or our stockholders, any action asserting a claim against us arising pursuant to any provision of the DGCL or our amended and restated certificate of incorporation or amended and restated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sales of our common stock by us, our insiders or other 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risk factors</w:t>
      </w:r>
    </w:p>
    <w:p>
      <w:pPr>
        <w:spacing w:after="0" w:line="224"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if we issue equity securities, cause us to incur debt or assume contingent liabilities, and subject us to other risks.</w:t>
      </w:r>
    </w:p>
    <w:p>
      <w:pPr>
        <w:spacing w:after="0" w:line="141"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57" w:lineRule="exact"/>
        <w:rPr>
          <w:sz w:val="20"/>
          <w:szCs w:val="20"/>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integration;</w:t>
      </w:r>
    </w:p>
    <w:p>
      <w:pPr>
        <w:spacing w:after="0" w:line="211" w:lineRule="exact"/>
        <w:rPr>
          <w:rFonts w:ascii="Arial" w:cs="Arial" w:eastAsia="Arial" w:hAnsi="Arial"/>
          <w:sz w:val="18"/>
          <w:szCs w:val="18"/>
          <w:color w:val="auto"/>
        </w:rPr>
      </w:pPr>
    </w:p>
    <w:p>
      <w:pPr>
        <w:ind w:left="540" w:right="340" w:hanging="532"/>
        <w:spacing w:after="0" w:line="269"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98" w:lineRule="exact"/>
        <w:rPr>
          <w:rFonts w:ascii="Arial" w:cs="Arial" w:eastAsia="Arial" w:hAnsi="Arial"/>
          <w:sz w:val="18"/>
          <w:szCs w:val="18"/>
          <w:color w:val="auto"/>
        </w:rPr>
      </w:pPr>
    </w:p>
    <w:p>
      <w:pPr>
        <w:ind w:left="540" w:right="540" w:hanging="532"/>
        <w:spacing w:after="0" w:line="269"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57" w:lineRule="exact"/>
        <w:rPr>
          <w:rFonts w:ascii="Arial" w:cs="Arial" w:eastAsia="Arial" w:hAnsi="Arial"/>
          <w:sz w:val="18"/>
          <w:szCs w:val="18"/>
          <w:color w:val="auto"/>
        </w:rPr>
      </w:pPr>
    </w:p>
    <w:p>
      <w:pPr>
        <w:ind w:left="540" w:right="20" w:hanging="532"/>
        <w:spacing w:after="0" w:line="269"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5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operating results to fluctuate in future periods, which may adversely affect our stock price.</w:t>
      </w:r>
    </w:p>
    <w:p>
      <w:pPr>
        <w:spacing w:after="0" w:line="21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quarterly operating results have fluctuated in the past, and we believe they will continue to do so in the future. Our operating results may fluctuate due to the level of success of our commercial efforts, as well as the variable nature of our operating expenses as a result of the timing and magnitude of</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expenditures. In one or more future periods, our results of operations may fall below the expectations of securities analysts and investors. In that event, the market price of our common stock could decline.</w:t>
      </w:r>
    </w:p>
    <w:p>
      <w:pPr>
        <w:spacing w:after="0" w:line="157"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i w:val="1"/>
          <w:iCs w:val="1"/>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17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complete pre-clinical development and then conduct extensive clinical trials to demonstrate the safety and efficacy of our product candidates. Clinical testing is expensive, difficult to design and implement, can take many years to complete and is uncertain as to outcome. Failure of one or more clinical trials can occur at any stage of testing. The outcome of pre-clinical studies and early stage clinical trials may not be predictive of the success of later clinical trials, and interim results of a clinical trial, such as the results of our ongoing clinical trials of our lead product candidates,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8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No assurance can be given that any clinical studies will be conducted as planned or completed on schedule, if at all. In addition, we cannot be sure that we will be able to submit INDs for any of our product candidates in the future and we cannot be sure that submission of an IND will result in the FDA allowing clinical trials to begin. Moreover, even if these clinical studies begin, issues may arise that could suspend or terminate such clinical trials. A failure of one or more clinical studies can occur at any stage of testing, and our future clinical studies may not be successful.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our business internationally could materially adversely affect our business.</w:t>
      </w:r>
    </w:p>
    <w:p>
      <w:pPr>
        <w:spacing w:after="0" w:line="212" w:lineRule="exact"/>
        <w:rPr>
          <w:sz w:val="20"/>
          <w:szCs w:val="20"/>
          <w:color w:val="auto"/>
        </w:rPr>
      </w:pPr>
    </w:p>
    <w:p>
      <w:pPr>
        <w:ind w:right="640"/>
        <w:spacing w:after="0" w:line="269" w:lineRule="auto"/>
        <w:rPr>
          <w:sz w:val="20"/>
          <w:szCs w:val="20"/>
          <w:color w:val="auto"/>
        </w:rPr>
      </w:pPr>
      <w:r>
        <w:rPr>
          <w:rFonts w:ascii="Arial" w:cs="Arial" w:eastAsia="Arial" w:hAnsi="Arial"/>
          <w:sz w:val="18"/>
          <w:szCs w:val="18"/>
          <w:color w:val="auto"/>
        </w:rPr>
        <w:t>We plan to seek regulatory approval of our product candidates outside of the United States and, accordingly, we expect that we, and any potential collaborators in those jurisdictions, will be subject to additional risks related to operating in foreign countries, including:</w:t>
      </w:r>
    </w:p>
    <w:p>
      <w:pPr>
        <w:spacing w:after="0" w:line="157"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98" w:lineRule="exact"/>
        <w:rPr>
          <w:rFonts w:ascii="Arial" w:cs="Arial" w:eastAsia="Arial" w:hAnsi="Arial"/>
          <w:sz w:val="18"/>
          <w:szCs w:val="18"/>
          <w:color w:val="auto"/>
        </w:rPr>
      </w:pPr>
    </w:p>
    <w:p>
      <w:pPr>
        <w:ind w:left="540" w:right="120" w:hanging="532"/>
        <w:spacing w:after="0" w:line="269"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11" w:lineRule="exact"/>
        <w:rPr>
          <w:rFonts w:ascii="Arial" w:cs="Arial" w:eastAsia="Arial" w:hAnsi="Arial"/>
          <w:sz w:val="18"/>
          <w:szCs w:val="18"/>
          <w:color w:val="auto"/>
        </w:rPr>
      </w:pPr>
    </w:p>
    <w:p>
      <w:pPr>
        <w:ind w:left="540" w:right="560" w:hanging="532"/>
        <w:spacing w:after="0" w:line="333" w:lineRule="auto"/>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potential liability under the Foreign Corrupt Practices Act of 1977, or FCPA, Office of Foreign Assets Control, or OFAC, Anti-Money Laundering Program as required by the Bank Secrecy Act and its implementing regulations, or comparable foreign laws;</w:t>
      </w:r>
    </w:p>
    <w:p>
      <w:pPr>
        <w:spacing w:after="0" w:line="96" w:lineRule="exact"/>
        <w:rPr>
          <w:rFonts w:ascii="Arial" w:cs="Arial" w:eastAsia="Arial" w:hAnsi="Arial"/>
          <w:sz w:val="16"/>
          <w:szCs w:val="16"/>
          <w:color w:val="auto"/>
        </w:rPr>
      </w:pPr>
    </w:p>
    <w:p>
      <w:pPr>
        <w:ind w:left="540" w:right="160" w:hanging="532"/>
        <w:spacing w:after="0" w:line="269"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12" w:lineRule="exact"/>
        <w:rPr>
          <w:sz w:val="20"/>
          <w:szCs w:val="20"/>
          <w:color w:val="auto"/>
        </w:rPr>
      </w:pPr>
    </w:p>
    <w:p>
      <w:pPr>
        <w:ind w:right="580"/>
        <w:spacing w:after="0" w:line="269"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or maintain profitable operations.</w:t>
      </w:r>
    </w:p>
    <w:p>
      <w:pPr>
        <w:spacing w:after="0" w:line="157"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CMOs, other contractors or consultants, may fail or suffer security breaches.</w:t>
      </w:r>
    </w:p>
    <w:p>
      <w:pPr>
        <w:spacing w:after="0" w:line="14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Despite the implementation of security measures, our internal computer systems and those of our current and future CROs, CMOs, other contractors and consultants are vulnerable to damage from computer viruses, cyber-attack, malicious intrusion, breakdown or other significant disruption and unauthorized access.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operations, and those of our third-party research institution collaborators, CROs, CMOs, suppliers, other contractors and consultants, could be subject to earthquakes, power shortages, telecommunications failures, water shortages, floods, hurricanes, typhoons, fires, extreme weather conditions, medical epidemics, terrorist activities, other natural or man-made disasters or business interruptions, for which we are predominantly self-insured, and other severe hazards or global health crises, such as an outbreak of Ebola or the ongoing global COVID-19 pandemic, or other actual or threatened epidemic, pandemic, outbreak and spread of a communicable disease or virus, in the countries where we operate or plan to sell our products, if approved, could adversely affect our operations and financial performance.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third-party manufacturers to produce and process our DANYELZA and our product candidates. Our ability to obtain clinical supplies of our product candidates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could be disrupted if the operations of these suppliers are affected by a man-made or natural disaster or other business interruption. Damage or extended periods of interruption to our third-party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 The ultimate extent of the impact of any epidemic, pandemic or other global health crisis on our business, financial condition and results of operations will depend on future developments which are highly uncertain and cannot be predicted, including new information that may emerge concerning the duration and severity of such epidemic, pandemic or other global health crisis, actions taken to contain or prevent their further spread and the pace of global economic recovery following containment of the spread.</w:t>
      </w:r>
    </w:p>
    <w:p>
      <w:pPr>
        <w:spacing w:after="0" w:line="183"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4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face an inherent risk of product liability as a result of the sale of DANYELZA and clinical testing of our product candidates and will face an even greater risk if we commercialize more products. For example, we may be sued if our product candidates cause or are perceived to cause injury or are found to be otherwise unsuitable during use,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7" w:lineRule="exact"/>
        <w:rPr>
          <w:sz w:val="20"/>
          <w:szCs w:val="20"/>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loss of any potential future revenue;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12"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DANYELZA or any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product candidates we develop, alone or with collaborators. The amount of clinical trial and product liability insurance coverage that we may obtain,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Brexit may affect our operations.</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On January 31, 2020 the United Kingdom withdrew from and ceased to be part of the European Union, commonly referred to as Brexit. Trade between European Union member states and the United Kingdom is now governed by the EU-UK Trade and Cooperation Agreement, which took effect after the Brexit transition period expired on December 31, 2020. The EU-UK Trade and Cooperation Agreement contains a number of general provisions on regulation and regulatory practice that are intended to facilitate exchange of goods and services between the European Union and the United Kingdom. However, since a significant proportion of the regulatory framework in the United Kingdom is derived from European Union directives and regulations, Brexit could materially impact the regulatory regime with respect to the approval and/or sale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The unavoidable uncertainties and events related to Brexit could cause volatility in currency exchange rates, interest rates, and European, United Kingdom or worldwide political, regulatory, economic or market conditions and contribute to instability in political institutions, regulatory agencies and financial markets. If any of these outcomes occur, we may be forced to restrict or delay efforts to seek regulatory approval in the United Kingdom and/or European Union for our product candidates, which could significantly and materially harm our business. Brexit is likely to lead to legal uncertainty and potentially divergent national laws and regulations as the United Kingdom determines which EU laws to replace or replicate. Any of these effects of Brexit, and others we cannot anticipate, could adversely affect our business, financial condition, and results of operations.</w:t>
      </w:r>
    </w:p>
    <w:p>
      <w:pPr>
        <w:spacing w:after="0" w:line="366" w:lineRule="exact"/>
        <w:rPr>
          <w:sz w:val="20"/>
          <w:szCs w:val="20"/>
          <w:color w:val="auto"/>
        </w:rPr>
      </w:pPr>
    </w:p>
    <w:p>
      <w:pPr>
        <w:ind w:right="760"/>
        <w:spacing w:after="0" w:line="278"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4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As we have obtained FDA approval of DANYELZA and have begun commercializing DANYELZA in the United States, our exposure under such laws has increased significantly, and our costs associated with compliance with such laws have increased significantly and are likely to continue to increase. These laws impact, among other things, our current activities with principal investigators and research patients, as well as proposed and future sales, marketing and education programs. In particular, the promotion, sales and marketing of</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2"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our licensors, employees, consultants or advisors have wrongfully used or disclosed alleged trade secrets of their former employers or their clients.</w:t>
      </w:r>
    </w:p>
    <w:p>
      <w:pPr>
        <w:spacing w:after="0" w:line="14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21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Social media is increasingly being used to communicate about our drug, clinical development programs, and the diseases our drug and drug candidates are being developed to treat, and we are utilizing what we believe is appropriate social media in connection with our commercialization efforts for DANYELZA and we intend to do the same for our future products, if approved.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blinded clinical study or to report an alleged adverse event, or AE. When such disclosures occur, there is a risk that we fail to monitor and comply with applicable AE reporting obligations or we may not be able to defend our business or the public's legitimate interests in the face of the political and market pressures generated by social media due to restrictions on what we may say about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investigational products.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172"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4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7"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14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Our stock price is likely to be volatile. The stock market in general and the market for pharmaceutical and biotechnology companies in particular have experienced extreme volatility that has often been unrelated to the operating performance of particular companies. Since our common stock began trading on The NASDAQ Global Select Market on September 21, 2018, our stock has traded at prices as low as $14.16 per share and as high as $55.22 per share through February 12, 2021. As a result of this volatility, you may not be able to sell your common stock at or above the price your paid for 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for our common stock may be influenced by many factors, including:</w:t>
      </w:r>
    </w:p>
    <w:p>
      <w:pPr>
        <w:spacing w:after="0" w:line="212" w:lineRule="exact"/>
        <w:rPr>
          <w:sz w:val="20"/>
          <w:szCs w:val="20"/>
          <w:color w:val="auto"/>
        </w:rPr>
      </w:pPr>
    </w:p>
    <w:p>
      <w:pPr>
        <w:ind w:left="540" w:hanging="532"/>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successfully launch and commercialize DANYELZA and any other product candidates, if approved;</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and results of clinical trials of any of our product candidates;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product candidates or our competitors' products and product candidates;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11" w:lineRule="exact"/>
        <w:rPr>
          <w:rFonts w:ascii="Arial" w:cs="Arial" w:eastAsia="Arial" w:hAnsi="Arial"/>
          <w:sz w:val="18"/>
          <w:szCs w:val="18"/>
          <w:color w:val="auto"/>
        </w:rPr>
      </w:pPr>
    </w:p>
    <w:p>
      <w:pPr>
        <w:ind w:left="540" w:right="600" w:hanging="532"/>
        <w:spacing w:after="0" w:line="269"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establishment or termination of collaborations for our products and product candidates or development programs;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level of revenues and expenses related to any of our products, product candidates or development programs;</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211" w:lineRule="exact"/>
        <w:rPr>
          <w:rFonts w:ascii="Arial" w:cs="Arial" w:eastAsia="Arial" w:hAnsi="Arial"/>
          <w:sz w:val="18"/>
          <w:szCs w:val="18"/>
          <w:color w:val="auto"/>
        </w:rPr>
      </w:pPr>
    </w:p>
    <w:p>
      <w:pPr>
        <w:ind w:left="540" w:right="40" w:hanging="532"/>
        <w:spacing w:after="0" w:line="269"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actual or anticipated changes in forecasts of financial performance, or changes in development timelines;</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1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pacing w:after="0" w:line="1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161"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Pursuant to Section 404 of the Sarbanes-Oxley Act, or Section 404, our independent registered public accounting firm will be required to attest to the effectiveness of our internal control over financial reporting for the year ended December 31, 2020. We will no longer be an "emerging growth company" as of December 31, 2020 as the market value of our common stock held by non-affiliates exceeded $700.0 million as of June 30, 2020. Preparing such attestation report and the cost of compliance with reporting requirements that we have not previously implemented will increase our expenses and require significant management time.</w:t>
      </w:r>
    </w:p>
    <w:p>
      <w:pPr>
        <w:spacing w:after="0" w:line="18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of the date of this offering, our independent registered public accounting firm has not finalized its work with respect to its audit or our financial statements and when that work is finalized, there is no assurance that they may not issue a report on internal control over financial reporting that is adverse in the event our controls are determined to not be effectively designed, implemented or operating. Our remediation efforts may not enable us to avoid material weaknesses in our internal control over financial reporting in the future. An adverse report on the effectiveness of our internal control over financial reporting pursuant to Section 404(b) of the Sarbanes-Oxley Act for the year ended December 31, 2020, by our independent registered public accounting firm could have a material adverse impact on our company and financial statements and we may not be able to accurately or timely report our financial condition or results of operations, which may adversely affect investor confidence in us and, as a result, the value of our common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rules governing the standards that must be met for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may need to upgrade systems, including information technology, implement additional financial and management controls, reporting systems, and procedures, and hire additional accounting and finance staff.</w:t>
      </w:r>
    </w:p>
    <w:p>
      <w:pPr>
        <w:spacing w:after="0" w:line="18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Any failure to implement required new or improved controls, or difficulties encountered in their implementation, could cause us to fail to meet our reporting obligations. In addition, any testing by us or our independent registered public accounting firm conducted in connection with</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Section 404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 Internal control deficiencies could also result in a restatement of our financial results in the future. We could become subject to stockholder or other third-party litigation, as well as investigations by the SEC, the Nasdaq Global Select Market, or other regulatory authorities, which could require additional financial and management resources and could result in fines, trading suspensions, payment of damages or other remedies. Further, any delay in compliance with the auditor attestation provisions of Section 404 could subject us to a variety of administrative sanctions, including ineligibility for short-form resale registration, action by the SEC and the suspension or delisting of our common stock, which could reduce the trading price of our common stock and could harm our business.</w:t>
      </w:r>
    </w:p>
    <w:p>
      <w:pPr>
        <w:spacing w:after="0" w:line="185"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We will continue to incur costs associated with satisfying our obligations as public company, and our management is required to devote substantial time to new compliance initiatives.</w:t>
      </w:r>
    </w:p>
    <w:p>
      <w:pPr>
        <w:spacing w:after="0" w:line="141"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As a public company, and as a large accelerated filer we will incur significant legal, accounting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Use of proceeds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net proceeds from the sale of shares of common stock to the underwriters in this offering will be approximately</w:t>
      </w:r>
    </w:p>
    <w:p>
      <w:pPr>
        <w:spacing w:after="0" w:line="18"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 million (approximately $ million if the underwriters' option to purchase additional shares is exercised in full), after deducting estimated offering expenses payable by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currently anticipate that we will use the net proceeds from this offering, together with our existing cash and cash equivalents, to</w:t>
      </w:r>
    </w:p>
    <w:p>
      <w:pPr>
        <w:spacing w:after="0" w:line="212" w:lineRule="exact"/>
        <w:rPr>
          <w:sz w:val="20"/>
          <w:szCs w:val="20"/>
          <w:color w:val="auto"/>
        </w:rPr>
      </w:pPr>
    </w:p>
    <w:p>
      <w:pPr>
        <w:ind w:left="400" w:hanging="392"/>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fund clinical development in additional pediatric and adult indications for DANYELZA;</w:t>
      </w:r>
    </w:p>
    <w:p>
      <w:pPr>
        <w:spacing w:after="0" w:line="211" w:lineRule="exact"/>
        <w:rPr>
          <w:rFonts w:ascii="Arial" w:cs="Arial" w:eastAsia="Arial" w:hAnsi="Arial"/>
          <w:sz w:val="18"/>
          <w:szCs w:val="18"/>
          <w:color w:val="auto"/>
        </w:rPr>
      </w:pPr>
    </w:p>
    <w:p>
      <w:pPr>
        <w:ind w:left="400" w:hanging="392"/>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fund clinical development in additional pediatric indications and expansion into adult B7-H3 positive cancers for omburtamab;</w:t>
      </w:r>
    </w:p>
    <w:p>
      <w:pPr>
        <w:spacing w:after="0" w:line="211" w:lineRule="exact"/>
        <w:rPr>
          <w:rFonts w:ascii="Arial" w:cs="Arial" w:eastAsia="Arial" w:hAnsi="Arial"/>
          <w:sz w:val="18"/>
          <w:szCs w:val="18"/>
          <w:color w:val="auto"/>
        </w:rPr>
      </w:pPr>
    </w:p>
    <w:p>
      <w:pPr>
        <w:ind w:left="380" w:hanging="372"/>
        <w:spacing w:after="0"/>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fund our SADA technology programs, currently in pre-clinical development, into clinical testing in a range of indications;</w:t>
      </w:r>
    </w:p>
    <w:p>
      <w:pPr>
        <w:spacing w:after="0" w:line="215" w:lineRule="exact"/>
        <w:rPr>
          <w:rFonts w:ascii="Arial" w:cs="Arial" w:eastAsia="Arial" w:hAnsi="Arial"/>
          <w:sz w:val="18"/>
          <w:szCs w:val="18"/>
          <w:color w:val="auto"/>
        </w:rPr>
      </w:pPr>
    </w:p>
    <w:p>
      <w:pPr>
        <w:ind w:right="760" w:firstLine="8"/>
        <w:spacing w:after="0" w:line="211" w:lineRule="auto"/>
        <w:tabs>
          <w:tab w:leader="none" w:pos="39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fund our lutetium-labeled B7-H3 antibody,</w:t>
      </w:r>
      <w:r>
        <w:rPr>
          <w:rFonts w:ascii="Arial" w:cs="Arial" w:eastAsia="Arial" w:hAnsi="Arial"/>
          <w:sz w:val="29"/>
          <w:szCs w:val="29"/>
          <w:color w:val="auto"/>
          <w:vertAlign w:val="superscript"/>
        </w:rPr>
        <w:t>177</w:t>
      </w:r>
      <w:r>
        <w:rPr>
          <w:rFonts w:ascii="Arial" w:cs="Arial" w:eastAsia="Arial" w:hAnsi="Arial"/>
          <w:sz w:val="18"/>
          <w:szCs w:val="18"/>
          <w:color w:val="auto"/>
        </w:rPr>
        <w:t>Lu omburtamab-DTPA, into late-stage clinical testing in a range of pediatric and adult indications, including medulloblastoma and B7-H3 positive adult brain cancers;</w:t>
      </w:r>
    </w:p>
    <w:p>
      <w:pPr>
        <w:spacing w:after="0" w:line="182" w:lineRule="exact"/>
        <w:rPr>
          <w:rFonts w:ascii="Arial" w:cs="Arial" w:eastAsia="Arial" w:hAnsi="Arial"/>
          <w:sz w:val="18"/>
          <w:szCs w:val="18"/>
          <w:color w:val="auto"/>
        </w:rPr>
      </w:pPr>
    </w:p>
    <w:p>
      <w:pPr>
        <w:ind w:right="680" w:firstLine="8"/>
        <w:spacing w:after="0" w:line="333" w:lineRule="auto"/>
        <w:tabs>
          <w:tab w:leader="none" w:pos="4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fund clinical development of the nivatrotamab, our bi-specific GD2 antibody, currently in Phase 2 for SCLC and take our portfolio of additional BsAb product candidates, including huCD33-BsAb for pediatric acute myeloid leukemia (AML) into clinical testing;</w:t>
      </w:r>
    </w:p>
    <w:p>
      <w:pPr>
        <w:spacing w:after="0" w:line="110" w:lineRule="exact"/>
        <w:rPr>
          <w:rFonts w:ascii="Arial" w:cs="Arial" w:eastAsia="Arial" w:hAnsi="Arial"/>
          <w:sz w:val="16"/>
          <w:szCs w:val="16"/>
          <w:color w:val="auto"/>
        </w:rPr>
      </w:pPr>
    </w:p>
    <w:p>
      <w:pPr>
        <w:ind w:left="400" w:hanging="392"/>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fund ongoing and expanding clinical development through regulatory submission of our GD2-GD3 Vaccine program;</w:t>
      </w:r>
    </w:p>
    <w:p>
      <w:pPr>
        <w:spacing w:after="0" w:line="211" w:lineRule="exact"/>
        <w:rPr>
          <w:rFonts w:ascii="Arial" w:cs="Arial" w:eastAsia="Arial" w:hAnsi="Arial"/>
          <w:sz w:val="18"/>
          <w:szCs w:val="18"/>
          <w:color w:val="auto"/>
        </w:rPr>
      </w:pPr>
    </w:p>
    <w:p>
      <w:pPr>
        <w:ind w:left="380" w:hanging="372"/>
        <w:spacing w:after="0"/>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fund commercial infrastructure build-out for launch and other commercial activities for both DANYELZA and omburtamab, if approved;</w:t>
      </w:r>
    </w:p>
    <w:p>
      <w:pPr>
        <w:spacing w:after="0" w:line="211" w:lineRule="exact"/>
        <w:rPr>
          <w:rFonts w:ascii="Arial" w:cs="Arial" w:eastAsia="Arial" w:hAnsi="Arial"/>
          <w:sz w:val="18"/>
          <w:szCs w:val="18"/>
          <w:color w:val="auto"/>
        </w:rPr>
      </w:pPr>
    </w:p>
    <w:p>
      <w:pPr>
        <w:ind w:right="20" w:firstLine="8"/>
        <w:spacing w:after="0" w:line="269" w:lineRule="auto"/>
        <w:tabs>
          <w:tab w:leader="none" w:pos="37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fund translational science, pre-clinical research and clinical development activities related to our other product candidates, programs and in-licensing of new technologies; and</w:t>
      </w:r>
    </w:p>
    <w:p>
      <w:pPr>
        <w:spacing w:after="0" w:line="157" w:lineRule="exact"/>
        <w:rPr>
          <w:rFonts w:ascii="Arial" w:cs="Arial" w:eastAsia="Arial" w:hAnsi="Arial"/>
          <w:sz w:val="18"/>
          <w:szCs w:val="18"/>
          <w:color w:val="auto"/>
        </w:rPr>
      </w:pPr>
    </w:p>
    <w:p>
      <w:pPr>
        <w:ind w:left="400" w:hanging="392"/>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This expected use of the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and commercialization efforts, the status of and results from clinical trials, any collaboration that we may enter into with third parties for our product candidates and any unforeseen cash needs. Moreover, our estimates of the costs to fund our clinical trials are based on the current designs of the trials. If we were to modify the design of any of these clinical trials, for instance, to increase the number of patients in the clinical trials, our costs to fund the clinical trials could increase.</w:t>
      </w:r>
    </w:p>
    <w:p>
      <w:pPr>
        <w:spacing w:after="0" w:line="185"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As a result, our management will retain broad discretion over the allocation of the net proceeds from this offering. Pending any use described above, we may invest the net proceeds of the global offering in short-and intermediate-term interest-bearing obligations, investment-grade instruments, certificates of deposit or direct or guaranteed obligations of the U.S. government.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Based on our current operating plan, we expect that the net proceeds from this offering and our existing cash and cash equivalents, and assumed sale of PRV from omburtamab, if approved by the FDA, will be sufficient to enable us to fund our planned operating expenses and capital expenditures through approximately the end of 2023 and significantly advance our ongoing and planned clinical trials and launch activities for DANYELZA, and potential launch activities for our product candidate omburtamab, and advance the earlier stage product candidates in our pipeline. We have based this estimate on current assumptions that may change depending on numerous factors, and we could use our available capital resources sooner than we currently expect. However, we do not expect that the net proceeds from this offering and our existing cash and cash equivalents will be sufficient to enable us to complete the development of all additional indications for DANYELZA and omburtamab or to otherwise conduct and complete the development of our other product candidates. It is difficult to predict the cost and timing required to complete development and obtain regulatory approval of, and commercialize, DANYELZA and omburtamab and our other product candidate due to, among other factors, the relatively short history of our experience with initiating, conducting and completing clinical trials, obtaining regulatory approval and commercializing our product candidates, the rate of subject enrollment in our clinical trials, filing requirements with various regulatory agencies, clinical trial results and the actual costs of manufacturing and supplying our product candidate. Accordingly, we might need to raise substantial additional funds for these purposes. We do not currently have any committed external sources of funds.</w:t>
      </w:r>
    </w:p>
    <w:p>
      <w:pPr>
        <w:spacing w:after="0" w:line="365" w:lineRule="exact"/>
        <w:rPr>
          <w:sz w:val="20"/>
          <w:szCs w:val="20"/>
          <w:color w:val="auto"/>
        </w:rPr>
      </w:pPr>
    </w:p>
    <w:p>
      <w:pPr>
        <w:ind w:right="420"/>
        <w:spacing w:after="0" w:line="269"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Dilution</w:t>
      </w:r>
    </w:p>
    <w:p>
      <w:pPr>
        <w:spacing w:after="0" w:line="24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If you invest in this offering, your ownership interest will be diluted immediately to the extent of the difference between the public offering price per share and the as-adjusted net tangible book value per share of our common stock after giving effect to this offering. We calculate net tangible book value per share by dividing the net tangible book value, which is tangible assets less total liabilities, by the number of outstanding shares of our common stock. Dilution represents the difference between the portion of the amount per share paid by purchasers of shares in this offering and the as adjusted net tangible book value per share of our common stock immediately after giving effect to this offering.</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Our historical net tangible book value as of September 30, 2020 was approximately $116.5 million, or $2.88 per share. After giving effect to the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sale of</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9"/>
          </w:tcPr>
          <w:p>
            <w:pPr>
              <w:jc w:val="right"/>
              <w:ind w:right="20"/>
              <w:spacing w:after="0"/>
              <w:rPr>
                <w:sz w:val="20"/>
                <w:szCs w:val="20"/>
                <w:color w:val="auto"/>
              </w:rPr>
            </w:pPr>
            <w:r>
              <w:rPr>
                <w:rFonts w:ascii="Arial" w:cs="Arial" w:eastAsia="Arial" w:hAnsi="Arial"/>
                <w:sz w:val="18"/>
                <w:szCs w:val="18"/>
                <w:color w:val="auto"/>
              </w:rPr>
              <w:t>shares of our common stock pursuant to this prospectus supplement and accompanying prospectus at an offering price</w:t>
            </w: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of $</w:t>
            </w:r>
          </w:p>
        </w:tc>
        <w:tc>
          <w:tcPr>
            <w:tcW w:w="10340" w:type="dxa"/>
            <w:vAlign w:val="bottom"/>
            <w:gridSpan w:val="11"/>
          </w:tcPr>
          <w:p>
            <w:pPr>
              <w:jc w:val="right"/>
              <w:spacing w:after="0" w:line="202" w:lineRule="exact"/>
              <w:rPr>
                <w:sz w:val="20"/>
                <w:szCs w:val="20"/>
                <w:color w:val="auto"/>
              </w:rPr>
            </w:pPr>
            <w:r>
              <w:rPr>
                <w:rFonts w:ascii="Arial" w:cs="Arial" w:eastAsia="Arial" w:hAnsi="Arial"/>
                <w:sz w:val="18"/>
                <w:szCs w:val="18"/>
                <w:color w:val="auto"/>
                <w:w w:val="99"/>
              </w:rPr>
              <w:t>per share and after deducting commissions and estimated aggregate offering expenses payable by us, our net tangible book value</w:t>
            </w:r>
          </w:p>
        </w:tc>
      </w:tr>
      <w:tr>
        <w:trPr>
          <w:trHeight w:val="203"/>
        </w:trPr>
        <w:tc>
          <w:tcPr>
            <w:tcW w:w="4780" w:type="dxa"/>
            <w:vAlign w:val="bottom"/>
            <w:gridSpan w:val="5"/>
          </w:tcPr>
          <w:p>
            <w:pPr>
              <w:spacing w:after="0" w:line="202" w:lineRule="exact"/>
              <w:rPr>
                <w:sz w:val="20"/>
                <w:szCs w:val="20"/>
                <w:color w:val="auto"/>
              </w:rPr>
            </w:pPr>
            <w:r>
              <w:rPr>
                <w:rFonts w:ascii="Arial" w:cs="Arial" w:eastAsia="Arial" w:hAnsi="Arial"/>
                <w:sz w:val="18"/>
                <w:szCs w:val="18"/>
                <w:color w:val="auto"/>
                <w:w w:val="99"/>
              </w:rPr>
              <w:t>as of September 30, 2020 would have been approximately $</w:t>
            </w:r>
          </w:p>
        </w:tc>
        <w:tc>
          <w:tcPr>
            <w:tcW w:w="520" w:type="dxa"/>
            <w:vAlign w:val="bottom"/>
          </w:tcPr>
          <w:p>
            <w:pPr>
              <w:spacing w:after="0"/>
              <w:rPr>
                <w:sz w:val="17"/>
                <w:szCs w:val="17"/>
                <w:color w:val="auto"/>
              </w:rPr>
            </w:pPr>
          </w:p>
        </w:tc>
        <w:tc>
          <w:tcPr>
            <w:tcW w:w="1640" w:type="dxa"/>
            <w:vAlign w:val="bottom"/>
          </w:tcPr>
          <w:p>
            <w:pPr>
              <w:ind w:left="120"/>
              <w:spacing w:after="0" w:line="202" w:lineRule="exact"/>
              <w:rPr>
                <w:sz w:val="20"/>
                <w:szCs w:val="20"/>
                <w:color w:val="auto"/>
              </w:rPr>
            </w:pPr>
            <w:r>
              <w:rPr>
                <w:rFonts w:ascii="Arial" w:cs="Arial" w:eastAsia="Arial" w:hAnsi="Arial"/>
                <w:sz w:val="18"/>
                <w:szCs w:val="18"/>
                <w:color w:val="auto"/>
              </w:rPr>
              <w:t>million, or $</w:t>
            </w:r>
          </w:p>
        </w:tc>
        <w:tc>
          <w:tcPr>
            <w:tcW w:w="4160" w:type="dxa"/>
            <w:vAlign w:val="bottom"/>
            <w:gridSpan w:val="5"/>
          </w:tcPr>
          <w:p>
            <w:pPr>
              <w:jc w:val="right"/>
              <w:ind w:right="420"/>
              <w:spacing w:after="0" w:line="202" w:lineRule="exact"/>
              <w:rPr>
                <w:sz w:val="20"/>
                <w:szCs w:val="20"/>
                <w:color w:val="auto"/>
              </w:rPr>
            </w:pPr>
            <w:r>
              <w:rPr>
                <w:rFonts w:ascii="Arial" w:cs="Arial" w:eastAsia="Arial" w:hAnsi="Arial"/>
                <w:sz w:val="18"/>
                <w:szCs w:val="18"/>
                <w:color w:val="auto"/>
                <w:w w:val="98"/>
              </w:rPr>
              <w:t>per share of common stock. This represents an</w:t>
            </w:r>
          </w:p>
        </w:tc>
      </w:tr>
      <w:tr>
        <w:trPr>
          <w:trHeight w:val="203"/>
        </w:trPr>
        <w:tc>
          <w:tcPr>
            <w:tcW w:w="4780" w:type="dxa"/>
            <w:vAlign w:val="bottom"/>
            <w:gridSpan w:val="5"/>
          </w:tcPr>
          <w:p>
            <w:pPr>
              <w:spacing w:after="0" w:line="202" w:lineRule="exact"/>
              <w:rPr>
                <w:sz w:val="20"/>
                <w:szCs w:val="20"/>
                <w:color w:val="auto"/>
              </w:rPr>
            </w:pPr>
            <w:r>
              <w:rPr>
                <w:rFonts w:ascii="Arial" w:cs="Arial" w:eastAsia="Arial" w:hAnsi="Arial"/>
                <w:sz w:val="18"/>
                <w:szCs w:val="18"/>
                <w:color w:val="auto"/>
              </w:rPr>
              <w:t>immediate increase in the net tangible book value of $</w:t>
            </w:r>
          </w:p>
        </w:tc>
        <w:tc>
          <w:tcPr>
            <w:tcW w:w="6320" w:type="dxa"/>
            <w:vAlign w:val="bottom"/>
            <w:gridSpan w:val="7"/>
          </w:tcPr>
          <w:p>
            <w:pPr>
              <w:jc w:val="right"/>
              <w:ind w:right="100"/>
              <w:spacing w:after="0" w:line="202" w:lineRule="exact"/>
              <w:rPr>
                <w:sz w:val="20"/>
                <w:szCs w:val="20"/>
                <w:color w:val="auto"/>
              </w:rPr>
            </w:pPr>
            <w:r>
              <w:rPr>
                <w:rFonts w:ascii="Arial" w:cs="Arial" w:eastAsia="Arial" w:hAnsi="Arial"/>
                <w:sz w:val="18"/>
                <w:szCs w:val="18"/>
                <w:color w:val="auto"/>
                <w:w w:val="98"/>
              </w:rPr>
              <w:t>per share to our existing stockholders and an immediate dilution in net tangible</w:t>
            </w:r>
          </w:p>
        </w:tc>
      </w:tr>
      <w:tr>
        <w:trPr>
          <w:trHeight w:val="237"/>
        </w:trPr>
        <w:tc>
          <w:tcPr>
            <w:tcW w:w="1260" w:type="dxa"/>
            <w:vAlign w:val="bottom"/>
            <w:gridSpan w:val="3"/>
          </w:tcPr>
          <w:p>
            <w:pPr>
              <w:spacing w:after="0"/>
              <w:rPr>
                <w:sz w:val="20"/>
                <w:szCs w:val="20"/>
                <w:color w:val="auto"/>
              </w:rPr>
            </w:pPr>
            <w:r>
              <w:rPr>
                <w:rFonts w:ascii="Arial" w:cs="Arial" w:eastAsia="Arial" w:hAnsi="Arial"/>
                <w:sz w:val="18"/>
                <w:szCs w:val="18"/>
                <w:color w:val="auto"/>
              </w:rPr>
              <w:t>book value of $</w:t>
            </w:r>
          </w:p>
        </w:tc>
        <w:tc>
          <w:tcPr>
            <w:tcW w:w="7980" w:type="dxa"/>
            <w:vAlign w:val="bottom"/>
            <w:gridSpan w:val="6"/>
          </w:tcPr>
          <w:p>
            <w:pPr>
              <w:ind w:left="620"/>
              <w:spacing w:after="0"/>
              <w:rPr>
                <w:sz w:val="20"/>
                <w:szCs w:val="20"/>
                <w:color w:val="auto"/>
              </w:rPr>
            </w:pPr>
            <w:r>
              <w:rPr>
                <w:rFonts w:ascii="Arial" w:cs="Arial" w:eastAsia="Arial" w:hAnsi="Arial"/>
                <w:sz w:val="18"/>
                <w:szCs w:val="18"/>
                <w:color w:val="auto"/>
              </w:rPr>
              <w:t>per share to new investors. The following table illustrates this per share dilution:</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1"/>
        </w:trPr>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60" w:type="dxa"/>
            <w:vAlign w:val="bottom"/>
            <w:tcBorders>
              <w:bottom w:val="single" w:sz="8" w:color="auto"/>
            </w:tcBorders>
            <w:gridSpan w:val="2"/>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3"/>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Public offering price per share</w:t>
            </w: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8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Net tangible book value per share as of September 30, 2020</w:t>
            </w:r>
          </w:p>
        </w:tc>
        <w:tc>
          <w:tcPr>
            <w:tcW w:w="2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  2.88</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80" w:type="dxa"/>
            <w:vAlign w:val="bottom"/>
            <w:gridSpan w:val="4"/>
            <w:shd w:val="clear" w:color="auto" w:fill="CCEEFF"/>
          </w:tcPr>
          <w:p>
            <w:pPr>
              <w:ind w:left="60"/>
              <w:spacing w:after="0" w:line="202" w:lineRule="exact"/>
              <w:rPr>
                <w:sz w:val="20"/>
                <w:szCs w:val="20"/>
                <w:color w:val="auto"/>
              </w:rPr>
            </w:pPr>
            <w:r>
              <w:rPr>
                <w:rFonts w:ascii="Arial" w:cs="Arial" w:eastAsia="Arial" w:hAnsi="Arial"/>
                <w:sz w:val="18"/>
                <w:szCs w:val="18"/>
                <w:color w:val="auto"/>
                <w:w w:val="98"/>
              </w:rPr>
              <w:t>Increase in net tangible book value per share attributable to this offering</w:t>
            </w:r>
          </w:p>
        </w:tc>
        <w:tc>
          <w:tcPr>
            <w:tcW w:w="16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r>
      <w:tr>
        <w:trPr>
          <w:trHeight w:val="177"/>
        </w:trPr>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40" w:type="dxa"/>
            <w:vAlign w:val="bottom"/>
            <w:gridSpan w:val="6"/>
          </w:tcPr>
          <w:p>
            <w:pPr>
              <w:ind w:left="20"/>
              <w:spacing w:after="0" w:line="177" w:lineRule="exact"/>
              <w:rPr>
                <w:sz w:val="20"/>
                <w:szCs w:val="20"/>
                <w:color w:val="auto"/>
              </w:rPr>
            </w:pPr>
            <w:r>
              <w:rPr>
                <w:rFonts w:ascii="Arial" w:cs="Arial" w:eastAsia="Arial" w:hAnsi="Arial"/>
                <w:sz w:val="18"/>
                <w:szCs w:val="18"/>
                <w:color w:val="auto"/>
              </w:rPr>
              <w:t>As adjusted net tangible book value per share as of September 30, 2020 after giving effect to</w:t>
            </w: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1"/>
        </w:trPr>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20" w:type="dxa"/>
            <w:vAlign w:val="bottom"/>
          </w:tcPr>
          <w:p>
            <w:pPr>
              <w:ind w:left="60"/>
              <w:spacing w:after="0"/>
              <w:rPr>
                <w:sz w:val="20"/>
                <w:szCs w:val="20"/>
                <w:color w:val="auto"/>
              </w:rPr>
            </w:pPr>
            <w:r>
              <w:rPr>
                <w:rFonts w:ascii="Arial" w:cs="Arial" w:eastAsia="Arial" w:hAnsi="Arial"/>
                <w:sz w:val="18"/>
                <w:szCs w:val="18"/>
                <w:color w:val="auto"/>
              </w:rPr>
              <w:t>this offering</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96"/>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20" w:type="dxa"/>
            <w:vAlign w:val="bottom"/>
            <w:tcBorders>
              <w:bottom w:val="single" w:sz="8" w:color="auto"/>
            </w:tcBorders>
            <w:gridSpan w:val="5"/>
            <w:shd w:val="clear" w:color="auto" w:fill="CCEEFF"/>
          </w:tcPr>
          <w:p>
            <w:pPr>
              <w:ind w:left="20"/>
              <w:spacing w:after="0" w:line="196" w:lineRule="exact"/>
              <w:rPr>
                <w:sz w:val="20"/>
                <w:szCs w:val="20"/>
                <w:color w:val="auto"/>
              </w:rPr>
            </w:pPr>
            <w:r>
              <w:rPr>
                <w:rFonts w:ascii="Arial" w:cs="Arial" w:eastAsia="Arial" w:hAnsi="Arial"/>
                <w:sz w:val="18"/>
                <w:szCs w:val="18"/>
                <w:color w:val="auto"/>
              </w:rPr>
              <w:t>Dilution per share to new investors purchasing shares in this offering</w:t>
            </w:r>
          </w:p>
        </w:tc>
        <w:tc>
          <w:tcPr>
            <w:tcW w:w="16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32"/>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r>
      <w:tr>
        <w:trPr>
          <w:trHeight w:val="393"/>
        </w:trPr>
        <w:tc>
          <w:tcPr>
            <w:tcW w:w="4780" w:type="dxa"/>
            <w:vAlign w:val="bottom"/>
            <w:gridSpan w:val="5"/>
          </w:tcPr>
          <w:p>
            <w:pPr>
              <w:spacing w:after="0"/>
              <w:rPr>
                <w:sz w:val="20"/>
                <w:szCs w:val="20"/>
                <w:color w:val="auto"/>
              </w:rPr>
            </w:pPr>
            <w:r>
              <w:rPr>
                <w:rFonts w:ascii="Arial" w:cs="Arial" w:eastAsia="Arial" w:hAnsi="Arial"/>
                <w:sz w:val="18"/>
                <w:szCs w:val="18"/>
                <w:color w:val="auto"/>
              </w:rPr>
              <w:t>If the underwriters exercise in full their option to purchase</w:t>
            </w:r>
          </w:p>
        </w:tc>
        <w:tc>
          <w:tcPr>
            <w:tcW w:w="6320" w:type="dxa"/>
            <w:vAlign w:val="bottom"/>
            <w:gridSpan w:val="7"/>
          </w:tcPr>
          <w:p>
            <w:pPr>
              <w:jc w:val="right"/>
              <w:ind w:right="40"/>
              <w:spacing w:after="0"/>
              <w:rPr>
                <w:sz w:val="20"/>
                <w:szCs w:val="20"/>
                <w:color w:val="auto"/>
              </w:rPr>
            </w:pPr>
            <w:r>
              <w:rPr>
                <w:rFonts w:ascii="Arial" w:cs="Arial" w:eastAsia="Arial" w:hAnsi="Arial"/>
                <w:sz w:val="18"/>
                <w:szCs w:val="18"/>
                <w:color w:val="auto"/>
              </w:rPr>
              <w:t>additional shares of our common stock, our adjusted net tangible book value</w:t>
            </w:r>
          </w:p>
        </w:tc>
      </w:tr>
      <w:tr>
        <w:trPr>
          <w:trHeight w:val="203"/>
        </w:trPr>
        <w:tc>
          <w:tcPr>
            <w:tcW w:w="3680" w:type="dxa"/>
            <w:vAlign w:val="bottom"/>
            <w:gridSpan w:val="4"/>
          </w:tcPr>
          <w:p>
            <w:pPr>
              <w:spacing w:after="0" w:line="202" w:lineRule="exact"/>
              <w:rPr>
                <w:sz w:val="20"/>
                <w:szCs w:val="20"/>
                <w:color w:val="auto"/>
              </w:rPr>
            </w:pPr>
            <w:r>
              <w:rPr>
                <w:rFonts w:ascii="Arial" w:cs="Arial" w:eastAsia="Arial" w:hAnsi="Arial"/>
                <w:sz w:val="18"/>
                <w:szCs w:val="18"/>
                <w:color w:val="auto"/>
              </w:rPr>
              <w:t>as of September 30, 2020 would have been $</w:t>
            </w:r>
          </w:p>
        </w:tc>
        <w:tc>
          <w:tcPr>
            <w:tcW w:w="162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million, or $</w:t>
            </w:r>
          </w:p>
        </w:tc>
        <w:tc>
          <w:tcPr>
            <w:tcW w:w="580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per share of common stock. This represents an immediate increase</w:t>
            </w:r>
          </w:p>
        </w:tc>
      </w:tr>
      <w:tr>
        <w:trPr>
          <w:trHeight w:val="203"/>
        </w:trPr>
        <w:tc>
          <w:tcPr>
            <w:tcW w:w="3680" w:type="dxa"/>
            <w:vAlign w:val="bottom"/>
            <w:gridSpan w:val="4"/>
          </w:tcPr>
          <w:p>
            <w:pPr>
              <w:spacing w:after="0" w:line="202" w:lineRule="exact"/>
              <w:rPr>
                <w:sz w:val="20"/>
                <w:szCs w:val="20"/>
                <w:color w:val="auto"/>
              </w:rPr>
            </w:pPr>
            <w:r>
              <w:rPr>
                <w:rFonts w:ascii="Arial" w:cs="Arial" w:eastAsia="Arial" w:hAnsi="Arial"/>
                <w:sz w:val="18"/>
                <w:szCs w:val="18"/>
                <w:color w:val="auto"/>
              </w:rPr>
              <w:t>in net tangible book value per share of $</w:t>
            </w:r>
          </w:p>
        </w:tc>
        <w:tc>
          <w:tcPr>
            <w:tcW w:w="556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w w:val="99"/>
              </w:rPr>
              <w:t>per share to existing shareholders, and an immediate dilution of $</w:t>
            </w:r>
          </w:p>
        </w:tc>
        <w:tc>
          <w:tcPr>
            <w:tcW w:w="186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per share to</w:t>
            </w:r>
          </w:p>
        </w:tc>
      </w:tr>
      <w:tr>
        <w:trPr>
          <w:trHeight w:val="237"/>
        </w:trPr>
        <w:tc>
          <w:tcPr>
            <w:tcW w:w="3680" w:type="dxa"/>
            <w:vAlign w:val="bottom"/>
            <w:gridSpan w:val="4"/>
          </w:tcPr>
          <w:p>
            <w:pPr>
              <w:spacing w:after="0"/>
              <w:rPr>
                <w:sz w:val="20"/>
                <w:szCs w:val="20"/>
                <w:color w:val="auto"/>
              </w:rPr>
            </w:pPr>
            <w:r>
              <w:rPr>
                <w:rFonts w:ascii="Arial" w:cs="Arial" w:eastAsia="Arial" w:hAnsi="Arial"/>
                <w:sz w:val="18"/>
                <w:szCs w:val="18"/>
                <w:color w:val="auto"/>
              </w:rPr>
              <w:t>investors participating in this offering.</w:t>
            </w: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above discussion and table are based on offering is based on 40,472,435 shares of our common stock issued and outstanding as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excludes the following:</w:t>
      </w:r>
    </w:p>
    <w:p>
      <w:pPr>
        <w:spacing w:after="0" w:line="190" w:lineRule="exact"/>
        <w:rPr>
          <w:sz w:val="20"/>
          <w:szCs w:val="20"/>
          <w:color w:val="auto"/>
        </w:rPr>
      </w:pPr>
    </w:p>
    <w:p>
      <w:pPr>
        <w:jc w:val="both"/>
        <w:ind w:left="540" w:hanging="532"/>
        <w:spacing w:after="0" w:line="252"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5,028,512 shares of our common stock issuable upon the exercise of stock options outstanding and expected to vest as of September 30, 2020 under our 2015 Equity Incentive Plan, or the 2015 Plan, and our 2018 Equity Incentive Plan, or the 2018 Plan, in the aggregate, at a weighted average exercise price of $16.50 per share;</w:t>
      </w:r>
    </w:p>
    <w:p>
      <w:pPr>
        <w:spacing w:after="0" w:line="171" w:lineRule="exact"/>
        <w:rPr>
          <w:rFonts w:ascii="Arial" w:cs="Arial" w:eastAsia="Arial" w:hAnsi="Arial"/>
          <w:sz w:val="18"/>
          <w:szCs w:val="18"/>
          <w:color w:val="auto"/>
        </w:rPr>
      </w:pPr>
    </w:p>
    <w:p>
      <w:pPr>
        <w:ind w:left="540" w:right="160" w:hanging="532"/>
        <w:spacing w:after="0" w:line="269"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27,776 shares of our common stock issuable upon the settlement of unvested restricted stock units outstanding and expected to vest as of September 30, 2020 under our 2018 Plan;</w:t>
      </w:r>
    </w:p>
    <w:p>
      <w:pPr>
        <w:spacing w:after="0" w:line="143" w:lineRule="exact"/>
        <w:rPr>
          <w:rFonts w:ascii="Arial" w:cs="Arial" w:eastAsia="Arial" w:hAnsi="Arial"/>
          <w:sz w:val="18"/>
          <w:szCs w:val="18"/>
          <w:color w:val="auto"/>
        </w:rPr>
      </w:pPr>
    </w:p>
    <w:p>
      <w:pPr>
        <w:ind w:left="540" w:right="80" w:hanging="532"/>
        <w:spacing w:after="0" w:line="269"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3,098,419 shares of our common stock available for future issuance under our 2018 Plan (no shares remain available for issuance under the 2015 Plan); and</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700,000 shares of our common stock reserved for issuance under our 2018 Employee Stock Purchase Plan.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80"/>
        <w:spacing w:after="0" w:line="269" w:lineRule="auto"/>
        <w:rPr>
          <w:sz w:val="20"/>
          <w:szCs w:val="20"/>
          <w:color w:val="auto"/>
        </w:rPr>
      </w:pPr>
      <w:r>
        <w:rPr>
          <w:rFonts w:ascii="Arial" w:cs="Arial" w:eastAsia="Arial" w:hAnsi="Arial"/>
          <w:sz w:val="18"/>
          <w:szCs w:val="18"/>
          <w:color w:val="auto"/>
        </w:rPr>
        <w:t>To the extent that any stock options are exercised, new equity awards are granted under our equity incentive plans, or we otherwise issue additional shares of common stock in the future, there will be further dilution to new investors.</w:t>
      </w:r>
    </w:p>
    <w:p>
      <w:pPr>
        <w:spacing w:after="0" w:line="15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5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Dividend policy</w:t>
      </w:r>
    </w:p>
    <w:p>
      <w:pPr>
        <w:spacing w:after="0" w:line="24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have not declared or paid any cash dividends on our capital stock since our inception. We currently intend to retain future earnings, if any, to finance the operation and expansion of our business and do not anticipate paying any cash dividends on our common stock in the foreseeable future. Any future determination related to our dividend policy will be made at the discretion of our board of directors and will depend on our financial condition, results of operations, capital requirements, restrictions contained in current or future financing instruments, provisions of applicable law and other factors the board deems relevant.</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Our business</w:t>
      </w:r>
    </w:p>
    <w:p>
      <w:pPr>
        <w:spacing w:after="0" w:line="243" w:lineRule="exact"/>
        <w:rPr>
          <w:sz w:val="20"/>
          <w:szCs w:val="20"/>
          <w:color w:val="auto"/>
        </w:rPr>
      </w:pPr>
    </w:p>
    <w:p>
      <w:pPr>
        <w:jc w:val="both"/>
        <w:ind w:right="760"/>
        <w:spacing w:after="0" w:line="252" w:lineRule="auto"/>
        <w:rPr>
          <w:sz w:val="20"/>
          <w:szCs w:val="20"/>
          <w:color w:val="auto"/>
        </w:rPr>
      </w:pPr>
      <w:r>
        <w:rPr>
          <w:rFonts w:ascii="Arial" w:cs="Arial" w:eastAsia="Arial" w:hAnsi="Arial"/>
          <w:sz w:val="18"/>
          <w:szCs w:val="18"/>
          <w:color w:val="auto"/>
        </w:rPr>
        <w:t>We are a commercial-stage biopharmaceutical company focused on the development and commercialization of novel, antibody based therapeutic products for the treatment of cancer. We are leveraging our proprietary antibody platforms and deep expertise in the field of antibodies to develop a broad portfolio of innovative medicines.</w:t>
      </w:r>
    </w:p>
    <w:p>
      <w:pPr>
        <w:spacing w:after="0" w:line="17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On November 25, 2020, DANYELZA® (naxitamab-gqgk) was approved by the United States Food and Drug Administration, or the FDA, for the treatment, in combination with Granulocyte-Macrophage Colony-Stimulating Factor, or GM-CSF, of pediatric patients one year of age and older and adult patients with relapsed or refractory, or R/R, high-risk neuroblastoma, or NB, in the bone or bone marrow who have demonstrated a partial response, minor response, or stable disease to prior therapy. We are commercializing DANYELZA in the United States and began shipping small quantities of product in February 2021.</w:t>
      </w:r>
    </w:p>
    <w:p>
      <w:pPr>
        <w:spacing w:after="0" w:line="18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DANYELZA is also currently being investigated in three Phase 2 clinical studies for the treatment of patients with first-line NB, third-line NB, and in relapsed osteosarcoma. In addition, we have an ongoing Phase 2 trial at Memorial Sloan Kettering Cancer Center, or MSK, with our GD2-GD3 Vaccine for the treatment of Stage 4 high-risk NB. We believe the GD2-GD3 Vaccine can potentially serve as an add-on treatment to DANYELZA.</w:t>
      </w:r>
    </w:p>
    <w:p>
      <w:pPr>
        <w:spacing w:after="0" w:line="17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submitted a Biologics License Application, or BLA, to the FDA for radiolabeled 131I-omburtamab for central nervous system, or CNS, leptomeningeal metastases, or LM, from NB in August 2020, and received a Refusal to File letter from the FDA in October 2020. We are in the process of preparing a resubmission of the BLA and we plan to continue to discuss our resubmission plans with the FDA, including a meeting in March 2021 in order to amend the BLA. Assuming a positive outcome of these discussions, we expect to resubmit our BLA for omburtamab by the end of the second quarter of 2021 or the third quarter of 2021. The reason for the FDA's decision to issue the Refusal to File letter was that upon preliminary review, the FDA determined that certain parts of the Chemistry, Manufacturing and Control (CMC) Module and the Clinical Module of the BLA required further detail. Among other things, the FDA requested that detailed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validation data be included in the CMC Module, that clinical study data and external control data be reanalyzed using a propensity score adjusted analysis for important baseline characteristics, such as prior receipt of irradiation, and that further supportive evidence in the form of direct anti-tumor effect be included in the Clinical Module. We have been working closely with the FDA to resolve these issues and have a meeting with the FDA scheduled for March 26, 2021, to discuss adequacy of the external control reanalysis and supporting data to demonstrate direct anti-tumor effect for a BLA resubmission. Assuming a positive outcome of these discussions, we expect to resubmit our BLA for omburtamab by the end of the second quarter of 2021 or the third quarter of 2021. However, we can provide no assurance that the FDA will agree with our proposal or that we will be successful in resubmitting our BLA for omburtamab in this timeline.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 are conducting clinical studies with omburtamab in diffuse intrinsic pontine glioma, or DIPG, and desmoplastic small round cell</w:t>
      </w:r>
    </w:p>
    <w:p>
      <w:pPr>
        <w:spacing w:after="0" w:line="40" w:lineRule="exact"/>
        <w:rPr>
          <w:sz w:val="20"/>
          <w:szCs w:val="20"/>
          <w:color w:val="auto"/>
        </w:rPr>
      </w:pPr>
    </w:p>
    <w:p>
      <w:pPr>
        <w:ind w:right="760"/>
        <w:spacing w:after="0" w:line="203" w:lineRule="auto"/>
        <w:rPr>
          <w:sz w:val="20"/>
          <w:szCs w:val="20"/>
          <w:color w:val="auto"/>
        </w:rPr>
      </w:pPr>
      <w:r>
        <w:rPr>
          <w:rFonts w:ascii="Arial" w:cs="Arial" w:eastAsia="Arial" w:hAnsi="Arial"/>
          <w:sz w:val="18"/>
          <w:szCs w:val="18"/>
          <w:color w:val="auto"/>
        </w:rPr>
        <w:t>tumor, or DSRCT. We also have an omburtamab follow-on product candidate,</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in Phase 1 for the treatment of medulloblastoma, and in Phase I in adults targeting B7-H3 positive CNS/LM tumors.</w:t>
      </w:r>
    </w:p>
    <w:p>
      <w:pPr>
        <w:spacing w:after="0" w:line="183"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color w:val="auto"/>
        </w:rPr>
        <w:t>We are advancing a new generation of T cell engaging bispecific antibodies, or BsAbs, that may destroy tumor cells by recruitment of host T cells. Our Y-BiClone format contains two binding arms for the tumor target and two binding arms for T cells. This format was designed to have the small binding affinity necessary to recruit T cells. We have successfully opened an investigational new drug application, or IND, for our</w:t>
      </w:r>
    </w:p>
    <w:p>
      <w:pPr>
        <w:spacing w:after="0" w:line="1"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 xml:space="preserve">Phase 2 trial with nivatrotamab, our GD2 BsAb product candidate, in Small Cell Lung Cancer, or SCLC. In addition a Phase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trial with nivatrotamab, for the treatment of refractory GD2 positive adult and pediatric solid tumors is ongoing. We are also advancing a CD33 BsAb for the treatment of hematological cancers expressing CD33, a transmembrane receptor expressed on cells of myeloid lineage, which we expect to enter clinical trials in 2021. We are advancing a pipeline of other novel BsAbs through late pre-clinical development. We believe our BsAbs have the potential to result in improved tumor binding, longer serum half-life and significantly greater T cell mediated killing of tumor cells without the need for continuous infusion.</w:t>
      </w:r>
    </w:p>
    <w:p>
      <w:pPr>
        <w:spacing w:after="0" w:line="18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Based on the SADA technology, we are using our proprietary radioimmunotherapy SADA platform to advance a series of antibody constructs, where bispecific antibody fragments bind to the tumor before a radioactive payload is injected in a two-step approach. We also refer to the SADA</w:t>
      </w:r>
    </w:p>
    <w:p>
      <w:pPr>
        <w:ind w:right="20"/>
        <w:spacing w:after="0" w:line="217" w:lineRule="auto"/>
        <w:rPr>
          <w:sz w:val="20"/>
          <w:szCs w:val="20"/>
          <w:color w:val="auto"/>
        </w:rPr>
      </w:pPr>
      <w:r>
        <w:rPr>
          <w:rFonts w:ascii="Arial" w:cs="Arial" w:eastAsia="Arial" w:hAnsi="Arial"/>
          <w:sz w:val="18"/>
          <w:szCs w:val="18"/>
          <w:color w:val="auto"/>
        </w:rPr>
        <w:t>technology as Liquid Radiation</w:t>
      </w:r>
      <w:r>
        <w:rPr>
          <w:rFonts w:ascii="Arial" w:cs="Arial" w:eastAsia="Arial" w:hAnsi="Arial"/>
          <w:sz w:val="29"/>
          <w:szCs w:val="29"/>
          <w:color w:val="auto"/>
          <w:vertAlign w:val="superscript"/>
        </w:rPr>
        <w:t>TM</w:t>
      </w:r>
      <w:r>
        <w:rPr>
          <w:rFonts w:ascii="Arial" w:cs="Arial" w:eastAsia="Arial" w:hAnsi="Arial"/>
          <w:sz w:val="18"/>
          <w:szCs w:val="18"/>
          <w:color w:val="auto"/>
        </w:rPr>
        <w:t>. We have designated GD2-SADA for potential use in GD2 positive solid tumors, B7-H3-SADA for potential use in prostate cancer, GPA33-SADA for potential use in colon cancer, and HER2-SADA for potential use in breast cancer as our first SADA constructs and expect to file an IND for GD2-SADA in 2021. We believe the SADA technology could potentially improve the efficacy of radiolabeled therapeutics in tumors that have not historically demonstrated meaningful responses to radiolabeled agents.</w:t>
      </w:r>
    </w:p>
    <w:p>
      <w:pPr>
        <w:spacing w:after="0" w:line="18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DANYELZA</w:t>
      </w:r>
    </w:p>
    <w:p>
      <w:pPr>
        <w:spacing w:after="0" w:line="21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DANYELZA, our first FDA-approved product is a recombinant humanized immunoglobulin G, subtype 1k, or IgG1</w:t>
      </w:r>
      <w:r>
        <w:rPr>
          <w:rFonts w:ascii="Times New Roman" w:cs="Times New Roman" w:eastAsia="Times New Roman" w:hAnsi="Times New Roman"/>
          <w:sz w:val="16"/>
          <w:szCs w:val="16"/>
          <w:color w:val="auto"/>
        </w:rPr>
        <w:t>k</w:t>
      </w:r>
      <w:r>
        <w:rPr>
          <w:rFonts w:ascii="Arial" w:cs="Arial" w:eastAsia="Arial" w:hAnsi="Arial"/>
          <w:sz w:val="16"/>
          <w:szCs w:val="16"/>
          <w:color w:val="auto"/>
        </w:rPr>
        <w:t>, monoclonal antibody or mAb that targets ganglioside GD2, which is highly expressed in various neuroectoderm-derived tumors and sarcomas. DANYELZA received regulatory approval by the FDA on November 25, 2020 for the treatment, in combination with GM-CSF, of pediatric patients 1 year of age and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older and adult patients with R/R high-risk NB in the bone or bone marrow who have demonstrated a partial response, minor response, or stable disease to prior therapy.</w:t>
      </w:r>
    </w:p>
    <w:p>
      <w:pPr>
        <w:spacing w:after="0" w:line="15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DANYELZA is currently being studied in several clinical trials, including a pivotal-stage multicenter trial (Study 201) which is also designed to satisfy the confirmatory study and post-marketing requirements by the FDA, a Phase 2 clinical trial (Study 16-1643) in front-line NB, a pilot study (Study 17-251) of chemoimmunotherapy for high-risk NB and a Phase 2 clinical trial (Study 15-096) for relapsed osteosarcoma.</w:t>
      </w:r>
    </w:p>
    <w:p>
      <w:pPr>
        <w:spacing w:after="0" w:line="17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We believe DANYELZA has multiple potential advantages over other GD2-targeting antibody-based therapies. In particular, its toxicity profile allows for doses two-and-a-half times greater than existing GD2-targeting antibody-based therapies. Unlike currently approved GD2-targeting therapies for NB, which require 10 to 20 hours of infusion and hospitalization for several days, DANYELZA is administered in approximately 30 to 60 minutes in an outpatient setting. We believe this significantly shorter administration time is an important advantage considering the overall pain associated with treatment.</w:t>
      </w:r>
    </w:p>
    <w:p>
      <w:pPr>
        <w:spacing w:after="0" w:line="18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DANYELZA has been administered to more than 400 patients to date, which formed the safety portion of our BLA submission. Other than DANYELZA, there are no FDA-approved therapies for primary refractory or second-line pediatric NB patients. DANYELZA has also received orphan drug designation, or ODD, and rare pediatric disease designation, or RPDD, from the FDA for the treatment of NB. In addition, on August 20, 2018, DANYELZA received breakthrough therapy designation, or BTD, in combination with GM-CSF, for the treatment of high-risk NB refractory to initial therapy or with incomplete response to salvage therapy in patients greater than 12 months of age with persistent, refractory disease limited to bone marrow with or without evidence of concurrent bone involvement. Finally, in November 2018, the European Commission granted orphan medicinal product designation, or OMPD, for naxitamab for the treatment of NB. While our current clinical efforts for DANYELZA are focused on rare pediatric cancers, we believe that we can potentially expand its application to the treatment of adults with cancers that express GD2. We estimate that there were more than 200,000 new adult patients diagnosed with GD2-positive cancers in the United States in 2017.</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Omburtamab</w:t>
      </w:r>
    </w:p>
    <w:p>
      <w:pPr>
        <w:spacing w:after="0" w:line="214" w:lineRule="exact"/>
        <w:rPr>
          <w:sz w:val="20"/>
          <w:szCs w:val="20"/>
          <w:color w:val="auto"/>
        </w:rPr>
      </w:pPr>
    </w:p>
    <w:p>
      <w:pPr>
        <w:ind w:right="20"/>
        <w:spacing w:after="0" w:line="211" w:lineRule="auto"/>
        <w:rPr>
          <w:sz w:val="20"/>
          <w:szCs w:val="20"/>
          <w:color w:val="auto"/>
        </w:rPr>
      </w:pPr>
      <w:r>
        <w:rPr>
          <w:rFonts w:ascii="Arial" w:cs="Arial" w:eastAsia="Arial" w:hAnsi="Arial"/>
          <w:sz w:val="17"/>
          <w:szCs w:val="17"/>
          <w:color w:val="auto"/>
        </w:rPr>
        <w:t xml:space="preserve">Omburtamab, our lead product candidate, is a murine monoclonal antibody that targets B7-H3, an immune checkpoint molecule that is widely expressed in tumor cells of several cancer types. </w:t>
      </w:r>
      <w:r>
        <w:rPr>
          <w:rFonts w:ascii="Arial" w:cs="Arial" w:eastAsia="Arial" w:hAnsi="Arial"/>
          <w:sz w:val="28"/>
          <w:szCs w:val="28"/>
          <w:color w:val="auto"/>
          <w:vertAlign w:val="superscript"/>
        </w:rPr>
        <w:t>131</w:t>
      </w:r>
      <w:r>
        <w:rPr>
          <w:rFonts w:ascii="Arial" w:cs="Arial" w:eastAsia="Arial" w:hAnsi="Arial"/>
          <w:sz w:val="17"/>
          <w:szCs w:val="17"/>
          <w:color w:val="auto"/>
        </w:rPr>
        <w:t xml:space="preserve">I-omburtamab, which is omburtamab radiolabeled with Iodine-131, is currently being studied in several clinical trials including pivotal-stage development Study 101 and Study 03-133 for the treatment of pediatric patients who have CNS/LM from NB. An analysis of 107 patients with pediatric CNS/LM from NB who were treated with </w:t>
      </w:r>
      <w:r>
        <w:rPr>
          <w:rFonts w:ascii="Arial" w:cs="Arial" w:eastAsia="Arial" w:hAnsi="Arial"/>
          <w:sz w:val="28"/>
          <w:szCs w:val="28"/>
          <w:color w:val="auto"/>
          <w:vertAlign w:val="superscript"/>
        </w:rPr>
        <w:t>131</w:t>
      </w:r>
      <w:r>
        <w:rPr>
          <w:rFonts w:ascii="Arial" w:cs="Arial" w:eastAsia="Arial" w:hAnsi="Arial"/>
          <w:sz w:val="17"/>
          <w:szCs w:val="17"/>
          <w:color w:val="auto"/>
        </w:rPr>
        <w:t>I-omburtamab in Study 03-133</w:t>
      </w:r>
    </w:p>
    <w:p>
      <w:pPr>
        <w:spacing w:after="0" w:line="3" w:lineRule="exact"/>
        <w:rPr>
          <w:sz w:val="20"/>
          <w:szCs w:val="20"/>
          <w:color w:val="auto"/>
        </w:rPr>
      </w:pPr>
    </w:p>
    <w:p>
      <w:pPr>
        <w:ind w:right="140"/>
        <w:spacing w:after="0" w:line="206" w:lineRule="auto"/>
        <w:rPr>
          <w:sz w:val="20"/>
          <w:szCs w:val="20"/>
          <w:color w:val="auto"/>
        </w:rPr>
      </w:pPr>
      <w:r>
        <w:rPr>
          <w:rFonts w:ascii="Arial" w:cs="Arial" w:eastAsia="Arial" w:hAnsi="Arial"/>
          <w:sz w:val="17"/>
          <w:szCs w:val="17"/>
          <w:color w:val="auto"/>
        </w:rPr>
        <w:t xml:space="preserve">demonstrated a median overall survival, or OS, of 50.8 months, as compared to historical median OS of approximately six to nine months. </w:t>
      </w:r>
      <w:r>
        <w:rPr>
          <w:rFonts w:ascii="Arial" w:cs="Arial" w:eastAsia="Arial" w:hAnsi="Arial"/>
          <w:sz w:val="28"/>
          <w:szCs w:val="28"/>
          <w:color w:val="auto"/>
          <w:vertAlign w:val="superscript"/>
        </w:rPr>
        <w:t>131</w:t>
      </w:r>
      <w:r>
        <w:rPr>
          <w:rFonts w:ascii="Arial" w:cs="Arial" w:eastAsia="Arial" w:hAnsi="Arial"/>
          <w:sz w:val="17"/>
          <w:szCs w:val="17"/>
          <w:color w:val="auto"/>
        </w:rPr>
        <w:t>I-omburtamab has received ODD and RPDD from the FDA for the treatment of NB, and BTD for the treatment of pediatric patients who have</w:t>
      </w:r>
    </w:p>
    <w:p>
      <w:pPr>
        <w:spacing w:after="0" w:line="1"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 xml:space="preserve">CNS/LM from NB. We submitted a BLA to the FDA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CNS/LM from NB in August 2020 and received a Refusal to File letter from the FDA in October 2020.. The reason for the FDA's decision to issue the Refusal to File letter was that upon preliminary review, the FDA determined that certain parts of the Chemistry, Manufacturing and Control (CMC) Module and the Clinical Module of the BLA required further detail. Among other things, the FDA requested that detailed validation data be included in the CMC Module, that clinical study data and external control data be reanalyzed using a propensity score adjusted analysis for important baseline characteristics, such as prior receipt of irradiation, and that further supportive evidence in the form of direct anti-tumor effect be included in the Clinical Module. We have been working closely with the FDA to resolve these issues and have a meeting with the FDA scheduled for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March 26, 2021, to discuss adequacy of the external control reanalysis and supporting data to demonstrate direct anti-tumor effect for a BLA resubmission. Assuming a positive outcome of these discussions, we expect to resubmit our BLA for omburtamab by the end of the second quarter of 2021 or the third quarter of 2021. However, we can provide no assurance that the FDA will agree with our proposal or that we will be successful in resubmitting our BLA for omburtamab in this timeline.</w:t>
      </w:r>
    </w:p>
    <w:p>
      <w:pPr>
        <w:spacing w:after="0" w:line="181" w:lineRule="exact"/>
        <w:rPr>
          <w:sz w:val="20"/>
          <w:szCs w:val="20"/>
          <w:color w:val="auto"/>
        </w:rPr>
      </w:pPr>
    </w:p>
    <w:p>
      <w:pPr>
        <w:spacing w:after="0" w:line="213" w:lineRule="auto"/>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 xml:space="preserve">I-omburtamab, which is omburtamab radiolabeled with Iodine-124, is currently being studied for the treatment of Diffuse Intrinsic Pontine Glioma, or DIPG. </w:t>
      </w:r>
      <w:r>
        <w:rPr>
          <w:rFonts w:ascii="Arial" w:cs="Arial" w:eastAsia="Arial" w:hAnsi="Arial"/>
          <w:sz w:val="29"/>
          <w:szCs w:val="29"/>
          <w:color w:val="auto"/>
          <w:vertAlign w:val="superscript"/>
        </w:rPr>
        <w:t>131</w:t>
      </w:r>
      <w:r>
        <w:rPr>
          <w:rFonts w:ascii="Arial" w:cs="Arial" w:eastAsia="Arial" w:hAnsi="Arial"/>
          <w:sz w:val="18"/>
          <w:szCs w:val="18"/>
          <w:color w:val="auto"/>
        </w:rPr>
        <w:t>I-omburtamab is currently also being studied for the treatment of Desmoplastic Small Round Cell Tumors, or DSRCT. Both DIPG and DSRCT are rare, and often fatal, cancers. While our current clinical efforts are focused on rare pediatric cancers, we believe we can potentially expand omburtamab's application to the treatment of CNS/LM resulting from other adult and pediatric solid tumors expressing B7-H3. We estimate that, in the United States and the EU in 2019, there were more than 30,000 new patients diagnosed with cancer that has metastasized to the CNS/LM, of which the vast majority express B7-H3.</w:t>
      </w:r>
    </w:p>
    <w:p>
      <w:pPr>
        <w:spacing w:after="0" w:line="185" w:lineRule="exact"/>
        <w:rPr>
          <w:sz w:val="20"/>
          <w:szCs w:val="20"/>
          <w:color w:val="auto"/>
        </w:rPr>
      </w:pPr>
    </w:p>
    <w:p>
      <w:pPr>
        <w:ind w:right="300"/>
        <w:spacing w:after="0" w:line="214" w:lineRule="auto"/>
        <w:rPr>
          <w:sz w:val="20"/>
          <w:szCs w:val="20"/>
          <w:color w:val="auto"/>
        </w:rPr>
      </w:pPr>
      <w:r>
        <w:rPr>
          <w:rFonts w:ascii="Arial" w:cs="Arial" w:eastAsia="Arial" w:hAnsi="Arial"/>
          <w:sz w:val="17"/>
          <w:szCs w:val="17"/>
          <w:color w:val="auto"/>
        </w:rPr>
        <w:t xml:space="preserve">On December 31, 2019, we submitted an Investigational New Drug application, or IND, for </w:t>
      </w:r>
      <w:r>
        <w:rPr>
          <w:rFonts w:ascii="Arial" w:cs="Arial" w:eastAsia="Arial" w:hAnsi="Arial"/>
          <w:sz w:val="28"/>
          <w:szCs w:val="28"/>
          <w:color w:val="auto"/>
          <w:vertAlign w:val="superscript"/>
        </w:rPr>
        <w:t>177</w:t>
      </w:r>
      <w:r>
        <w:rPr>
          <w:rFonts w:ascii="Arial" w:cs="Arial" w:eastAsia="Arial" w:hAnsi="Arial"/>
          <w:sz w:val="17"/>
          <w:szCs w:val="17"/>
          <w:color w:val="auto"/>
        </w:rPr>
        <w:t>Lu-omburtamab-DTPA, for the treatment of medulloblastoma and we opened the IND for patients in October 2020. We expect to enroll the first patients in this trial before the end of first</w:t>
      </w:r>
    </w:p>
    <w:p>
      <w:pPr>
        <w:spacing w:after="0" w:line="2" w:lineRule="exact"/>
        <w:rPr>
          <w:sz w:val="20"/>
          <w:szCs w:val="20"/>
          <w:color w:val="auto"/>
        </w:rPr>
      </w:pPr>
    </w:p>
    <w:p>
      <w:pPr>
        <w:ind w:right="200"/>
        <w:spacing w:after="0" w:line="203" w:lineRule="auto"/>
        <w:rPr>
          <w:sz w:val="20"/>
          <w:szCs w:val="20"/>
          <w:color w:val="auto"/>
        </w:rPr>
      </w:pPr>
      <w:r>
        <w:rPr>
          <w:rFonts w:ascii="Arial" w:cs="Arial" w:eastAsia="Arial" w:hAnsi="Arial"/>
          <w:sz w:val="18"/>
          <w:szCs w:val="18"/>
          <w:color w:val="auto"/>
        </w:rPr>
        <w:t xml:space="preserve">quarter of 2021. We have also opened a Phase 1 study with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targeting B7-H3 positive CNS/LM tumors in adults. We expect to enroll the first patients in this trial in the first quarter of 2021.</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Y-BiClone platform</w:t>
      </w:r>
    </w:p>
    <w:p>
      <w:pPr>
        <w:spacing w:after="0" w:line="214"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We are advancing a new generation of T cell engaging bispecific antibodies, or BsAbs, that may destroy tumor cells by recruitment of host T cells. The Y-BiClone format contains two binding arms for the tumor target and two binding arms for T cells. This format was designed to have the minimal binding affinity necessary to recruit T cells. We have successfully opened an IND for our Phase 2 trial with nivatrotamab, our GD2</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 xml:space="preserve">BsAb product candidate, in Small Cell Lung Cancer, or SCLC. In addition a Phase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trial with nivatrotamab, for the treatment of refractory GD2 positive adult and pediatric solid tumors is ongoing. Our nivatrotamab program thus addresses large patient populations. In pre-clinical studies, nivatrotamab demonstrated the potential for improved tumor-binding, longer serum half-life and significantly greater T-cell mediated killing compared to existing bispecific constructs. In addition, we are advancing a CD33 BsAb for the treatment of hematological cancers expressing CD33, a transmembrane receptor expressed on cells of myeloid lineage, which we expect to enter clinical testing in 2021. We are also advancing a pipeline of other novel BsAbs through late pre-clinical development. We believe our BsAbs have the potential to result in improved tumor binding, longer serum half-life and significantly greater T cell mediated killing of tumor cells without the need for continuous infusion.</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 of active INDs</w:t>
      </w:r>
    </w:p>
    <w:p>
      <w:pPr>
        <w:spacing w:after="0" w:line="214" w:lineRule="exact"/>
        <w:rPr>
          <w:sz w:val="20"/>
          <w:szCs w:val="20"/>
          <w:color w:val="auto"/>
        </w:rPr>
      </w:pPr>
    </w:p>
    <w:p>
      <w:pPr>
        <w:ind w:right="600"/>
        <w:spacing w:after="0" w:line="269" w:lineRule="auto"/>
        <w:rPr>
          <w:sz w:val="20"/>
          <w:szCs w:val="20"/>
          <w:color w:val="auto"/>
        </w:rPr>
      </w:pPr>
      <w:r>
        <w:rPr>
          <w:rFonts w:ascii="Arial" w:cs="Arial" w:eastAsia="Arial" w:hAnsi="Arial"/>
          <w:sz w:val="18"/>
          <w:szCs w:val="18"/>
          <w:color w:val="auto"/>
        </w:rPr>
        <w:t>We currently have eight active INDs related to our product candidates. The table below sets forth the product candidate, date of the initial submission of the IND to the FDA, as well as the current sponsor, the subject matter and the current status of each such IND.</w:t>
      </w:r>
    </w:p>
    <w:p>
      <w:pPr>
        <w:spacing w:after="0" w:line="156" w:lineRule="exact"/>
        <w:rPr>
          <w:sz w:val="20"/>
          <w:szCs w:val="20"/>
          <w:color w:val="auto"/>
        </w:rPr>
      </w:pPr>
    </w:p>
    <w:tbl>
      <w:tblPr>
        <w:tblLayout w:type="fixed"/>
        <w:tblInd w:w="1120" w:type="dxa"/>
        <w:tblCellMar>
          <w:top w:w="0" w:type="dxa"/>
          <w:left w:w="0" w:type="dxa"/>
          <w:bottom w:w="0" w:type="dxa"/>
          <w:right w:w="0" w:type="dxa"/>
        </w:tblCellMar>
      </w:tblPr>
      <w:tr>
        <w:trPr>
          <w:trHeight w:val="187"/>
        </w:trPr>
        <w:tc>
          <w:tcPr>
            <w:tcW w:w="164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Date of initial</w:t>
            </w:r>
          </w:p>
        </w:tc>
        <w:tc>
          <w:tcPr>
            <w:tcW w:w="186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 candidate</w:t>
            </w:r>
          </w:p>
        </w:tc>
        <w:tc>
          <w:tcPr>
            <w:tcW w:w="1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submission</w:t>
            </w:r>
          </w:p>
        </w:tc>
        <w:tc>
          <w:tcPr>
            <w:tcW w:w="18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Current sponsor</w:t>
            </w:r>
          </w:p>
        </w:tc>
        <w:tc>
          <w:tcPr>
            <w:tcW w:w="18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Subject matter of IND</w:t>
            </w:r>
          </w:p>
        </w:tc>
        <w:tc>
          <w:tcPr>
            <w:tcW w:w="16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Current status</w:t>
            </w:r>
          </w:p>
        </w:tc>
        <w:tc>
          <w:tcPr>
            <w:tcW w:w="0" w:type="dxa"/>
            <w:vAlign w:val="bottom"/>
          </w:tcPr>
          <w:p>
            <w:pPr>
              <w:spacing w:after="0"/>
              <w:rPr>
                <w:sz w:val="1"/>
                <w:szCs w:val="1"/>
                <w:color w:val="auto"/>
              </w:rPr>
            </w:pPr>
          </w:p>
        </w:tc>
      </w:tr>
      <w:tr>
        <w:trPr>
          <w:trHeight w:val="142"/>
        </w:trPr>
        <w:tc>
          <w:tcPr>
            <w:tcW w:w="16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DANYELZA</w:t>
            </w:r>
          </w:p>
        </w:tc>
        <w:tc>
          <w:tcPr>
            <w:tcW w:w="1940" w:type="dxa"/>
            <w:vAlign w:val="bottom"/>
            <w:shd w:val="clear" w:color="auto" w:fill="CCEEFF"/>
          </w:tcPr>
          <w:p>
            <w:pPr>
              <w:ind w:left="240"/>
              <w:spacing w:after="0" w:line="143" w:lineRule="exact"/>
              <w:rPr>
                <w:sz w:val="20"/>
                <w:szCs w:val="20"/>
                <w:color w:val="auto"/>
              </w:rPr>
            </w:pPr>
            <w:r>
              <w:rPr>
                <w:rFonts w:ascii="Arial" w:cs="Arial" w:eastAsia="Arial" w:hAnsi="Arial"/>
                <w:sz w:val="14"/>
                <w:szCs w:val="14"/>
                <w:color w:val="auto"/>
              </w:rPr>
              <w:t>June 14, 2011</w:t>
            </w:r>
          </w:p>
        </w:tc>
        <w:tc>
          <w:tcPr>
            <w:tcW w:w="1860" w:type="dxa"/>
            <w:vAlign w:val="bottom"/>
            <w:shd w:val="clear" w:color="auto" w:fill="CCEEFF"/>
          </w:tcPr>
          <w:p>
            <w:pPr>
              <w:ind w:left="160"/>
              <w:spacing w:after="0" w:line="143" w:lineRule="exact"/>
              <w:rPr>
                <w:sz w:val="20"/>
                <w:szCs w:val="20"/>
                <w:color w:val="auto"/>
              </w:rPr>
            </w:pPr>
            <w:r>
              <w:rPr>
                <w:rFonts w:ascii="Arial" w:cs="Arial" w:eastAsia="Arial" w:hAnsi="Arial"/>
                <w:sz w:val="14"/>
                <w:szCs w:val="14"/>
                <w:color w:val="auto"/>
              </w:rPr>
              <w:t>MSK</w:t>
            </w:r>
          </w:p>
        </w:tc>
        <w:tc>
          <w:tcPr>
            <w:tcW w:w="1860" w:type="dxa"/>
            <w:vAlign w:val="bottom"/>
            <w:shd w:val="clear" w:color="auto" w:fill="CCEEFF"/>
          </w:tcPr>
          <w:p>
            <w:pPr>
              <w:ind w:left="160"/>
              <w:spacing w:after="0" w:line="143" w:lineRule="exact"/>
              <w:rPr>
                <w:sz w:val="20"/>
                <w:szCs w:val="20"/>
                <w:color w:val="auto"/>
              </w:rPr>
            </w:pPr>
            <w:r>
              <w:rPr>
                <w:rFonts w:ascii="Arial" w:cs="Arial" w:eastAsia="Arial" w:hAnsi="Arial"/>
                <w:sz w:val="14"/>
                <w:szCs w:val="14"/>
                <w:color w:val="auto"/>
              </w:rPr>
              <w:t>NB and other GD2</w:t>
            </w:r>
          </w:p>
        </w:tc>
        <w:tc>
          <w:tcPr>
            <w:tcW w:w="1680" w:type="dxa"/>
            <w:vAlign w:val="bottom"/>
            <w:shd w:val="clear" w:color="auto" w:fill="CCEEFF"/>
          </w:tcPr>
          <w:p>
            <w:pPr>
              <w:ind w:left="160"/>
              <w:spacing w:after="0" w:line="143" w:lineRule="exact"/>
              <w:rPr>
                <w:sz w:val="20"/>
                <w:szCs w:val="20"/>
                <w:color w:val="auto"/>
              </w:rPr>
            </w:pPr>
            <w:r>
              <w:rPr>
                <w:rFonts w:ascii="Arial" w:cs="Arial" w:eastAsia="Arial" w:hAnsi="Arial"/>
                <w:sz w:val="14"/>
                <w:szCs w:val="14"/>
                <w:color w:val="auto"/>
              </w:rPr>
              <w:t>Clinical trials ongoing</w:t>
            </w:r>
          </w:p>
        </w:tc>
        <w:tc>
          <w:tcPr>
            <w:tcW w:w="0" w:type="dxa"/>
            <w:vAlign w:val="bottom"/>
          </w:tcPr>
          <w:p>
            <w:pPr>
              <w:spacing w:after="0"/>
              <w:rPr>
                <w:sz w:val="1"/>
                <w:szCs w:val="1"/>
                <w:color w:val="auto"/>
              </w:rPr>
            </w:pPr>
          </w:p>
        </w:tc>
      </w:tr>
      <w:tr>
        <w:trPr>
          <w:trHeight w:val="175"/>
        </w:trPr>
        <w:tc>
          <w:tcPr>
            <w:tcW w:w="16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positive tumors</w:t>
            </w: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1640" w:type="dxa"/>
            <w:vAlign w:val="bottom"/>
          </w:tcPr>
          <w:p>
            <w:pPr>
              <w:ind w:left="20"/>
              <w:spacing w:after="0"/>
              <w:rPr>
                <w:sz w:val="20"/>
                <w:szCs w:val="20"/>
                <w:color w:val="auto"/>
              </w:rPr>
            </w:pPr>
            <w:r>
              <w:rPr>
                <w:rFonts w:ascii="Arial" w:cs="Arial" w:eastAsia="Arial" w:hAnsi="Arial"/>
                <w:sz w:val="14"/>
                <w:szCs w:val="14"/>
                <w:color w:val="auto"/>
              </w:rPr>
              <w:t>Omburtamab (</w:t>
            </w:r>
            <w:r>
              <w:rPr>
                <w:rFonts w:ascii="Arial" w:cs="Arial" w:eastAsia="Arial" w:hAnsi="Arial"/>
                <w:sz w:val="21"/>
                <w:szCs w:val="21"/>
                <w:color w:val="auto"/>
                <w:vertAlign w:val="superscript"/>
              </w:rPr>
              <w:t>131</w:t>
            </w:r>
            <w:r>
              <w:rPr>
                <w:rFonts w:ascii="Arial" w:cs="Arial" w:eastAsia="Arial" w:hAnsi="Arial"/>
                <w:sz w:val="14"/>
                <w:szCs w:val="14"/>
                <w:color w:val="auto"/>
              </w:rPr>
              <w:t>I-</w:t>
            </w:r>
          </w:p>
        </w:tc>
        <w:tc>
          <w:tcPr>
            <w:tcW w:w="1940" w:type="dxa"/>
            <w:vAlign w:val="bottom"/>
          </w:tcPr>
          <w:p>
            <w:pPr>
              <w:ind w:left="240"/>
              <w:spacing w:after="0"/>
              <w:rPr>
                <w:sz w:val="20"/>
                <w:szCs w:val="20"/>
                <w:color w:val="auto"/>
              </w:rPr>
            </w:pPr>
            <w:r>
              <w:rPr>
                <w:rFonts w:ascii="Arial" w:cs="Arial" w:eastAsia="Arial" w:hAnsi="Arial"/>
                <w:sz w:val="14"/>
                <w:szCs w:val="14"/>
                <w:color w:val="auto"/>
              </w:rPr>
              <w:t>September 22, 2000</w:t>
            </w:r>
          </w:p>
        </w:tc>
        <w:tc>
          <w:tcPr>
            <w:tcW w:w="1860" w:type="dxa"/>
            <w:vAlign w:val="bottom"/>
          </w:tcPr>
          <w:p>
            <w:pPr>
              <w:ind w:left="160"/>
              <w:spacing w:after="0"/>
              <w:rPr>
                <w:sz w:val="20"/>
                <w:szCs w:val="20"/>
                <w:color w:val="auto"/>
              </w:rPr>
            </w:pPr>
            <w:r>
              <w:rPr>
                <w:rFonts w:ascii="Arial" w:cs="Arial" w:eastAsia="Arial" w:hAnsi="Arial"/>
                <w:sz w:val="14"/>
                <w:szCs w:val="14"/>
                <w:color w:val="auto"/>
              </w:rPr>
              <w:t>Y-mAbs (MSK original</w:t>
            </w:r>
          </w:p>
        </w:tc>
        <w:tc>
          <w:tcPr>
            <w:tcW w:w="1860" w:type="dxa"/>
            <w:vAlign w:val="bottom"/>
          </w:tcPr>
          <w:p>
            <w:pPr>
              <w:ind w:left="160"/>
              <w:spacing w:after="0"/>
              <w:rPr>
                <w:sz w:val="20"/>
                <w:szCs w:val="20"/>
                <w:color w:val="auto"/>
              </w:rPr>
            </w:pPr>
            <w:r>
              <w:rPr>
                <w:rFonts w:ascii="Arial" w:cs="Arial" w:eastAsia="Arial" w:hAnsi="Arial"/>
                <w:sz w:val="14"/>
                <w:szCs w:val="14"/>
                <w:color w:val="auto"/>
              </w:rPr>
              <w:t>CNS/LM from NB,</w:t>
            </w:r>
          </w:p>
        </w:tc>
        <w:tc>
          <w:tcPr>
            <w:tcW w:w="1680" w:type="dxa"/>
            <w:vAlign w:val="bottom"/>
          </w:tcPr>
          <w:p>
            <w:pPr>
              <w:ind w:left="160"/>
              <w:spacing w:after="0"/>
              <w:rPr>
                <w:sz w:val="20"/>
                <w:szCs w:val="20"/>
                <w:color w:val="auto"/>
              </w:rPr>
            </w:pPr>
            <w:r>
              <w:rPr>
                <w:rFonts w:ascii="Arial" w:cs="Arial" w:eastAsia="Arial" w:hAnsi="Arial"/>
                <w:sz w:val="14"/>
                <w:szCs w:val="14"/>
                <w:color w:val="auto"/>
              </w:rPr>
              <w:t>Clinical trials ongoing</w:t>
            </w: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omburtamab and </w:t>
            </w:r>
            <w:r>
              <w:rPr>
                <w:rFonts w:ascii="Arial" w:cs="Arial" w:eastAsia="Arial" w:hAnsi="Arial"/>
                <w:sz w:val="20"/>
                <w:szCs w:val="20"/>
                <w:color w:val="auto"/>
                <w:vertAlign w:val="superscript"/>
              </w:rPr>
              <w:t>124</w:t>
            </w:r>
            <w:r>
              <w:rPr>
                <w:rFonts w:ascii="Arial" w:cs="Arial" w:eastAsia="Arial" w:hAnsi="Arial"/>
                <w:sz w:val="14"/>
                <w:szCs w:val="14"/>
                <w:color w:val="auto"/>
              </w:rPr>
              <w:t>I-</w:t>
            </w:r>
          </w:p>
        </w:tc>
        <w:tc>
          <w:tcPr>
            <w:tcW w:w="1940" w:type="dxa"/>
            <w:vAlign w:val="bottom"/>
          </w:tcPr>
          <w:p>
            <w:pPr>
              <w:spacing w:after="0"/>
              <w:rPr>
                <w:sz w:val="15"/>
                <w:szCs w:val="15"/>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sponsor)</w:t>
            </w:r>
          </w:p>
        </w:tc>
        <w:tc>
          <w:tcPr>
            <w:tcW w:w="1860" w:type="dxa"/>
            <w:vAlign w:val="bottom"/>
          </w:tcPr>
          <w:p>
            <w:pPr>
              <w:ind w:left="160"/>
              <w:spacing w:after="0"/>
              <w:rPr>
                <w:sz w:val="20"/>
                <w:szCs w:val="20"/>
                <w:color w:val="auto"/>
              </w:rPr>
            </w:pPr>
            <w:r>
              <w:rPr>
                <w:rFonts w:ascii="Arial" w:cs="Arial" w:eastAsia="Arial" w:hAnsi="Arial"/>
                <w:sz w:val="14"/>
                <w:szCs w:val="14"/>
                <w:color w:val="auto"/>
              </w:rPr>
              <w:t>DSRCT, DIPG and</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40" w:type="dxa"/>
            <w:vAlign w:val="bottom"/>
            <w:vMerge w:val="restart"/>
          </w:tcPr>
          <w:p>
            <w:pPr>
              <w:ind w:left="20"/>
              <w:spacing w:after="0"/>
              <w:rPr>
                <w:sz w:val="20"/>
                <w:szCs w:val="20"/>
                <w:color w:val="auto"/>
              </w:rPr>
            </w:pPr>
            <w:r>
              <w:rPr>
                <w:rFonts w:ascii="Arial" w:cs="Arial" w:eastAsia="Arial" w:hAnsi="Arial"/>
                <w:sz w:val="14"/>
                <w:szCs w:val="14"/>
                <w:color w:val="auto"/>
              </w:rPr>
              <w:t>omburtamab)</w:t>
            </w: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60" w:type="dxa"/>
            <w:vAlign w:val="bottom"/>
          </w:tcPr>
          <w:p>
            <w:pPr>
              <w:ind w:left="160"/>
              <w:spacing w:after="0" w:line="149" w:lineRule="exact"/>
              <w:rPr>
                <w:sz w:val="20"/>
                <w:szCs w:val="20"/>
                <w:color w:val="auto"/>
              </w:rPr>
            </w:pPr>
            <w:r>
              <w:rPr>
                <w:rFonts w:ascii="Arial" w:cs="Arial" w:eastAsia="Arial" w:hAnsi="Arial"/>
                <w:sz w:val="14"/>
                <w:szCs w:val="14"/>
                <w:color w:val="auto"/>
              </w:rPr>
              <w:t>other B7-H3 positive</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64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860" w:type="dxa"/>
            <w:vAlign w:val="bottom"/>
            <w:vMerge w:val="restart"/>
          </w:tcPr>
          <w:p>
            <w:pPr>
              <w:ind w:left="160"/>
              <w:spacing w:after="0"/>
              <w:rPr>
                <w:sz w:val="20"/>
                <w:szCs w:val="20"/>
                <w:color w:val="auto"/>
              </w:rPr>
            </w:pPr>
            <w:r>
              <w:rPr>
                <w:rFonts w:ascii="Arial" w:cs="Arial" w:eastAsia="Arial" w:hAnsi="Arial"/>
                <w:sz w:val="14"/>
                <w:szCs w:val="14"/>
                <w:color w:val="auto"/>
              </w:rPr>
              <w:t>tumors</w:t>
            </w: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DANYELZA</w:t>
            </w:r>
          </w:p>
        </w:tc>
        <w:tc>
          <w:tcPr>
            <w:tcW w:w="1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September 5, 2017</w:t>
            </w: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Y-mAbs</w:t>
            </w: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Pediatric NB</w:t>
            </w:r>
          </w:p>
        </w:tc>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Clinical trials ongoing</w:t>
            </w:r>
          </w:p>
        </w:tc>
        <w:tc>
          <w:tcPr>
            <w:tcW w:w="0" w:type="dxa"/>
            <w:vAlign w:val="bottom"/>
          </w:tcPr>
          <w:p>
            <w:pPr>
              <w:spacing w:after="0"/>
              <w:rPr>
                <w:sz w:val="1"/>
                <w:szCs w:val="1"/>
                <w:color w:val="auto"/>
              </w:rPr>
            </w:pPr>
          </w:p>
        </w:tc>
      </w:tr>
      <w:tr>
        <w:trPr>
          <w:trHeight w:val="392"/>
        </w:trPr>
        <w:tc>
          <w:tcPr>
            <w:tcW w:w="1640" w:type="dxa"/>
            <w:vAlign w:val="bottom"/>
          </w:tcPr>
          <w:p>
            <w:pPr>
              <w:ind w:left="20"/>
              <w:spacing w:after="0"/>
              <w:rPr>
                <w:sz w:val="20"/>
                <w:szCs w:val="20"/>
                <w:color w:val="auto"/>
              </w:rPr>
            </w:pPr>
            <w:r>
              <w:rPr>
                <w:rFonts w:ascii="Arial" w:cs="Arial" w:eastAsia="Arial" w:hAnsi="Arial"/>
                <w:sz w:val="14"/>
                <w:szCs w:val="14"/>
                <w:color w:val="auto"/>
              </w:rPr>
              <w:t>Nivatrotamab</w:t>
            </w:r>
          </w:p>
        </w:tc>
        <w:tc>
          <w:tcPr>
            <w:tcW w:w="1940" w:type="dxa"/>
            <w:vAlign w:val="bottom"/>
          </w:tcPr>
          <w:p>
            <w:pPr>
              <w:ind w:left="240"/>
              <w:spacing w:after="0"/>
              <w:rPr>
                <w:sz w:val="20"/>
                <w:szCs w:val="20"/>
                <w:color w:val="auto"/>
              </w:rPr>
            </w:pPr>
            <w:r>
              <w:rPr>
                <w:rFonts w:ascii="Arial" w:cs="Arial" w:eastAsia="Arial" w:hAnsi="Arial"/>
                <w:sz w:val="14"/>
                <w:szCs w:val="14"/>
                <w:color w:val="auto"/>
              </w:rPr>
              <w:t>April 20, 2018</w:t>
            </w:r>
          </w:p>
        </w:tc>
        <w:tc>
          <w:tcPr>
            <w:tcW w:w="1860" w:type="dxa"/>
            <w:vAlign w:val="bottom"/>
          </w:tcPr>
          <w:p>
            <w:pPr>
              <w:ind w:left="160"/>
              <w:spacing w:after="0"/>
              <w:rPr>
                <w:sz w:val="20"/>
                <w:szCs w:val="20"/>
                <w:color w:val="auto"/>
              </w:rPr>
            </w:pPr>
            <w:r>
              <w:rPr>
                <w:rFonts w:ascii="Arial" w:cs="Arial" w:eastAsia="Arial" w:hAnsi="Arial"/>
                <w:sz w:val="14"/>
                <w:szCs w:val="14"/>
                <w:color w:val="auto"/>
              </w:rPr>
              <w:t>Y-mAbs (MSK original</w:t>
            </w:r>
          </w:p>
        </w:tc>
        <w:tc>
          <w:tcPr>
            <w:tcW w:w="1860" w:type="dxa"/>
            <w:vAlign w:val="bottom"/>
          </w:tcPr>
          <w:p>
            <w:pPr>
              <w:ind w:left="160"/>
              <w:spacing w:after="0"/>
              <w:rPr>
                <w:sz w:val="20"/>
                <w:szCs w:val="20"/>
                <w:color w:val="auto"/>
              </w:rPr>
            </w:pPr>
            <w:r>
              <w:rPr>
                <w:rFonts w:ascii="Arial" w:cs="Arial" w:eastAsia="Arial" w:hAnsi="Arial"/>
                <w:sz w:val="14"/>
                <w:szCs w:val="14"/>
                <w:color w:val="auto"/>
              </w:rPr>
              <w:t>GD2 positive solid</w:t>
            </w:r>
          </w:p>
        </w:tc>
        <w:tc>
          <w:tcPr>
            <w:tcW w:w="1680" w:type="dxa"/>
            <w:vAlign w:val="bottom"/>
          </w:tcPr>
          <w:p>
            <w:pPr>
              <w:ind w:left="160"/>
              <w:spacing w:after="0"/>
              <w:rPr>
                <w:sz w:val="20"/>
                <w:szCs w:val="20"/>
                <w:color w:val="auto"/>
              </w:rPr>
            </w:pPr>
            <w:r>
              <w:rPr>
                <w:rFonts w:ascii="Arial" w:cs="Arial" w:eastAsia="Arial" w:hAnsi="Arial"/>
                <w:sz w:val="14"/>
                <w:szCs w:val="14"/>
                <w:color w:val="auto"/>
              </w:rPr>
              <w:t>Clinical trial ongoing</w:t>
            </w:r>
          </w:p>
        </w:tc>
        <w:tc>
          <w:tcPr>
            <w:tcW w:w="0" w:type="dxa"/>
            <w:vAlign w:val="bottom"/>
          </w:tcPr>
          <w:p>
            <w:pPr>
              <w:spacing w:after="0"/>
              <w:rPr>
                <w:sz w:val="1"/>
                <w:szCs w:val="1"/>
                <w:color w:val="auto"/>
              </w:rPr>
            </w:pPr>
          </w:p>
        </w:tc>
      </w:tr>
      <w:tr>
        <w:trPr>
          <w:trHeight w:val="175"/>
        </w:trPr>
        <w:tc>
          <w:tcPr>
            <w:tcW w:w="16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sponsor)</w:t>
            </w:r>
          </w:p>
        </w:tc>
        <w:tc>
          <w:tcPr>
            <w:tcW w:w="1860" w:type="dxa"/>
            <w:vAlign w:val="bottom"/>
          </w:tcPr>
          <w:p>
            <w:pPr>
              <w:ind w:left="160"/>
              <w:spacing w:after="0"/>
              <w:rPr>
                <w:sz w:val="20"/>
                <w:szCs w:val="20"/>
                <w:color w:val="auto"/>
              </w:rPr>
            </w:pPr>
            <w:r>
              <w:rPr>
                <w:rFonts w:ascii="Arial" w:cs="Arial" w:eastAsia="Arial" w:hAnsi="Arial"/>
                <w:sz w:val="14"/>
                <w:szCs w:val="14"/>
                <w:color w:val="auto"/>
              </w:rPr>
              <w:t>tumors</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Nivatrotamab</w:t>
            </w:r>
          </w:p>
        </w:tc>
        <w:tc>
          <w:tcPr>
            <w:tcW w:w="1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December 18, 2020</w:t>
            </w: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Y-mAbs</w:t>
            </w: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SCLC</w:t>
            </w:r>
          </w:p>
        </w:tc>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Obtained IND in</w:t>
            </w:r>
          </w:p>
        </w:tc>
        <w:tc>
          <w:tcPr>
            <w:tcW w:w="0" w:type="dxa"/>
            <w:vAlign w:val="bottom"/>
          </w:tcPr>
          <w:p>
            <w:pPr>
              <w:spacing w:after="0"/>
              <w:rPr>
                <w:sz w:val="1"/>
                <w:szCs w:val="1"/>
                <w:color w:val="auto"/>
              </w:rPr>
            </w:pPr>
          </w:p>
        </w:tc>
      </w:tr>
      <w:tr>
        <w:trPr>
          <w:trHeight w:val="175"/>
        </w:trPr>
        <w:tc>
          <w:tcPr>
            <w:tcW w:w="16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January 2021</w:t>
            </w:r>
          </w:p>
        </w:tc>
        <w:tc>
          <w:tcPr>
            <w:tcW w:w="0" w:type="dxa"/>
            <w:vAlign w:val="bottom"/>
          </w:tcPr>
          <w:p>
            <w:pPr>
              <w:spacing w:after="0"/>
              <w:rPr>
                <w:sz w:val="1"/>
                <w:szCs w:val="1"/>
                <w:color w:val="auto"/>
              </w:rPr>
            </w:pPr>
          </w:p>
        </w:tc>
      </w:tr>
      <w:tr>
        <w:trPr>
          <w:trHeight w:val="392"/>
        </w:trPr>
        <w:tc>
          <w:tcPr>
            <w:tcW w:w="1640" w:type="dxa"/>
            <w:vAlign w:val="bottom"/>
          </w:tcPr>
          <w:p>
            <w:pPr>
              <w:ind w:left="20"/>
              <w:spacing w:after="0"/>
              <w:rPr>
                <w:sz w:val="20"/>
                <w:szCs w:val="20"/>
                <w:color w:val="auto"/>
              </w:rPr>
            </w:pPr>
            <w:r>
              <w:rPr>
                <w:rFonts w:ascii="Arial" w:cs="Arial" w:eastAsia="Arial" w:hAnsi="Arial"/>
                <w:sz w:val="21"/>
                <w:szCs w:val="21"/>
                <w:color w:val="auto"/>
                <w:vertAlign w:val="superscript"/>
              </w:rPr>
              <w:t>177</w:t>
            </w:r>
            <w:r>
              <w:rPr>
                <w:rFonts w:ascii="Arial" w:cs="Arial" w:eastAsia="Arial" w:hAnsi="Arial"/>
                <w:sz w:val="14"/>
                <w:szCs w:val="14"/>
                <w:color w:val="auto"/>
              </w:rPr>
              <w:t>Lu-omburtamab-</w:t>
            </w:r>
          </w:p>
        </w:tc>
        <w:tc>
          <w:tcPr>
            <w:tcW w:w="1940" w:type="dxa"/>
            <w:vAlign w:val="bottom"/>
          </w:tcPr>
          <w:p>
            <w:pPr>
              <w:ind w:left="240"/>
              <w:spacing w:after="0"/>
              <w:rPr>
                <w:sz w:val="20"/>
                <w:szCs w:val="20"/>
                <w:color w:val="auto"/>
              </w:rPr>
            </w:pPr>
            <w:r>
              <w:rPr>
                <w:rFonts w:ascii="Arial" w:cs="Arial" w:eastAsia="Arial" w:hAnsi="Arial"/>
                <w:sz w:val="14"/>
                <w:szCs w:val="14"/>
                <w:color w:val="auto"/>
              </w:rPr>
              <w:t>December 31, 2019</w:t>
            </w:r>
          </w:p>
        </w:tc>
        <w:tc>
          <w:tcPr>
            <w:tcW w:w="1860" w:type="dxa"/>
            <w:vAlign w:val="bottom"/>
          </w:tcPr>
          <w:p>
            <w:pPr>
              <w:ind w:left="160"/>
              <w:spacing w:after="0"/>
              <w:rPr>
                <w:sz w:val="20"/>
                <w:szCs w:val="20"/>
                <w:color w:val="auto"/>
              </w:rPr>
            </w:pPr>
            <w:r>
              <w:rPr>
                <w:rFonts w:ascii="Arial" w:cs="Arial" w:eastAsia="Arial" w:hAnsi="Arial"/>
                <w:sz w:val="14"/>
                <w:szCs w:val="14"/>
                <w:color w:val="auto"/>
              </w:rPr>
              <w:t>Y-mAbs</w:t>
            </w:r>
          </w:p>
        </w:tc>
        <w:tc>
          <w:tcPr>
            <w:tcW w:w="1860" w:type="dxa"/>
            <w:vAlign w:val="bottom"/>
          </w:tcPr>
          <w:p>
            <w:pPr>
              <w:ind w:left="160"/>
              <w:spacing w:after="0"/>
              <w:rPr>
                <w:sz w:val="20"/>
                <w:szCs w:val="20"/>
                <w:color w:val="auto"/>
              </w:rPr>
            </w:pPr>
            <w:r>
              <w:rPr>
                <w:rFonts w:ascii="Arial" w:cs="Arial" w:eastAsia="Arial" w:hAnsi="Arial"/>
                <w:sz w:val="14"/>
                <w:szCs w:val="14"/>
                <w:color w:val="auto"/>
              </w:rPr>
              <w:t>Medulloblastoma</w:t>
            </w:r>
          </w:p>
        </w:tc>
        <w:tc>
          <w:tcPr>
            <w:tcW w:w="1680" w:type="dxa"/>
            <w:vAlign w:val="bottom"/>
          </w:tcPr>
          <w:p>
            <w:pPr>
              <w:ind w:left="160"/>
              <w:spacing w:after="0"/>
              <w:rPr>
                <w:sz w:val="20"/>
                <w:szCs w:val="20"/>
                <w:color w:val="auto"/>
              </w:rPr>
            </w:pPr>
            <w:r>
              <w:rPr>
                <w:rFonts w:ascii="Arial" w:cs="Arial" w:eastAsia="Arial" w:hAnsi="Arial"/>
                <w:sz w:val="14"/>
                <w:szCs w:val="14"/>
                <w:color w:val="auto"/>
              </w:rPr>
              <w:t>Obtained IND in</w:t>
            </w:r>
          </w:p>
        </w:tc>
        <w:tc>
          <w:tcPr>
            <w:tcW w:w="0" w:type="dxa"/>
            <w:vAlign w:val="bottom"/>
          </w:tcPr>
          <w:p>
            <w:pPr>
              <w:spacing w:after="0"/>
              <w:rPr>
                <w:sz w:val="1"/>
                <w:szCs w:val="1"/>
                <w:color w:val="auto"/>
              </w:rPr>
            </w:pPr>
          </w:p>
        </w:tc>
      </w:tr>
      <w:tr>
        <w:trPr>
          <w:trHeight w:val="202"/>
        </w:trPr>
        <w:tc>
          <w:tcPr>
            <w:tcW w:w="1640" w:type="dxa"/>
            <w:vAlign w:val="bottom"/>
          </w:tcPr>
          <w:p>
            <w:pPr>
              <w:ind w:left="20"/>
              <w:spacing w:after="0"/>
              <w:rPr>
                <w:sz w:val="20"/>
                <w:szCs w:val="20"/>
                <w:color w:val="auto"/>
              </w:rPr>
            </w:pPr>
            <w:r>
              <w:rPr>
                <w:rFonts w:ascii="Arial" w:cs="Arial" w:eastAsia="Arial" w:hAnsi="Arial"/>
                <w:sz w:val="14"/>
                <w:szCs w:val="14"/>
                <w:color w:val="auto"/>
              </w:rPr>
              <w:t>DTPA</w:t>
            </w:r>
          </w:p>
        </w:tc>
        <w:tc>
          <w:tcPr>
            <w:tcW w:w="19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80" w:type="dxa"/>
            <w:vAlign w:val="bottom"/>
          </w:tcPr>
          <w:p>
            <w:pPr>
              <w:ind w:left="160"/>
              <w:spacing w:after="0"/>
              <w:rPr>
                <w:sz w:val="20"/>
                <w:szCs w:val="20"/>
                <w:color w:val="auto"/>
              </w:rPr>
            </w:pPr>
            <w:r>
              <w:rPr>
                <w:rFonts w:ascii="Arial" w:cs="Arial" w:eastAsia="Arial" w:hAnsi="Arial"/>
                <w:sz w:val="14"/>
                <w:szCs w:val="14"/>
                <w:color w:val="auto"/>
              </w:rPr>
              <w:t>October 2020</w:t>
            </w:r>
          </w:p>
        </w:tc>
        <w:tc>
          <w:tcPr>
            <w:tcW w:w="0" w:type="dxa"/>
            <w:vAlign w:val="bottom"/>
          </w:tcPr>
          <w:p>
            <w:pPr>
              <w:spacing w:after="0"/>
              <w:rPr>
                <w:sz w:val="1"/>
                <w:szCs w:val="1"/>
                <w:color w:val="auto"/>
              </w:rPr>
            </w:pPr>
          </w:p>
        </w:tc>
      </w:tr>
      <w:tr>
        <w:trPr>
          <w:trHeight w:val="392"/>
        </w:trPr>
        <w:tc>
          <w:tcPr>
            <w:tcW w:w="1640" w:type="dxa"/>
            <w:vAlign w:val="bottom"/>
            <w:shd w:val="clear" w:color="auto" w:fill="CCEEFF"/>
          </w:tcPr>
          <w:p>
            <w:pPr>
              <w:ind w:left="20"/>
              <w:spacing w:after="0"/>
              <w:rPr>
                <w:sz w:val="20"/>
                <w:szCs w:val="20"/>
                <w:color w:val="auto"/>
              </w:rPr>
            </w:pPr>
            <w:r>
              <w:rPr>
                <w:rFonts w:ascii="Arial" w:cs="Arial" w:eastAsia="Arial" w:hAnsi="Arial"/>
                <w:sz w:val="21"/>
                <w:szCs w:val="21"/>
                <w:color w:val="auto"/>
                <w:vertAlign w:val="superscript"/>
              </w:rPr>
              <w:t>177</w:t>
            </w:r>
            <w:r>
              <w:rPr>
                <w:rFonts w:ascii="Arial" w:cs="Arial" w:eastAsia="Arial" w:hAnsi="Arial"/>
                <w:sz w:val="14"/>
                <w:szCs w:val="14"/>
                <w:color w:val="auto"/>
              </w:rPr>
              <w:t>Lu-omburtamab-</w:t>
            </w:r>
          </w:p>
        </w:tc>
        <w:tc>
          <w:tcPr>
            <w:tcW w:w="1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September 25, 2020</w:t>
            </w: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Y-mAbs</w:t>
            </w: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B7-H3 positive CNS/LM</w:t>
            </w:r>
          </w:p>
        </w:tc>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Obtained IND in</w:t>
            </w:r>
          </w:p>
        </w:tc>
        <w:tc>
          <w:tcPr>
            <w:tcW w:w="0" w:type="dxa"/>
            <w:vAlign w:val="bottom"/>
          </w:tcPr>
          <w:p>
            <w:pPr>
              <w:spacing w:after="0"/>
              <w:rPr>
                <w:sz w:val="1"/>
                <w:szCs w:val="1"/>
                <w:color w:val="auto"/>
              </w:rPr>
            </w:pPr>
          </w:p>
        </w:tc>
      </w:tr>
      <w:tr>
        <w:trPr>
          <w:trHeight w:val="175"/>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DTPA</w:t>
            </w:r>
          </w:p>
        </w:tc>
        <w:tc>
          <w:tcPr>
            <w:tcW w:w="19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tumors in adults</w:t>
            </w:r>
          </w:p>
        </w:tc>
        <w:tc>
          <w:tcPr>
            <w:tcW w:w="1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October 2020</w:t>
            </w:r>
          </w:p>
        </w:tc>
        <w:tc>
          <w:tcPr>
            <w:tcW w:w="0" w:type="dxa"/>
            <w:vAlign w:val="bottom"/>
          </w:tcPr>
          <w:p>
            <w:pPr>
              <w:spacing w:after="0"/>
              <w:rPr>
                <w:sz w:val="1"/>
                <w:szCs w:val="1"/>
                <w:color w:val="auto"/>
              </w:rPr>
            </w:pPr>
          </w:p>
        </w:tc>
      </w:tr>
      <w:tr>
        <w:trPr>
          <w:trHeight w:val="162"/>
        </w:trPr>
        <w:tc>
          <w:tcPr>
            <w:tcW w:w="16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patients</w:t>
            </w: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GD2-GD3 Vaccine</w:t>
            </w:r>
          </w:p>
        </w:tc>
        <w:tc>
          <w:tcPr>
            <w:tcW w:w="19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July 29, 2008</w:t>
            </w:r>
          </w:p>
        </w:tc>
        <w:tc>
          <w:tcPr>
            <w:tcW w:w="18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MSK</w:t>
            </w:r>
          </w:p>
        </w:tc>
        <w:tc>
          <w:tcPr>
            <w:tcW w:w="18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Pediatric NB</w:t>
            </w:r>
          </w:p>
        </w:tc>
        <w:tc>
          <w:tcPr>
            <w:tcW w:w="1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Clinical trial ongoing</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SADA Technology</w:t>
      </w:r>
    </w:p>
    <w:p>
      <w:pPr>
        <w:spacing w:after="0" w:line="21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On April 15, 2020, we entered into a license agreement, or the SADA License Agreement, with MSK and Massachusetts Institute of Technology, or MIT, that grants us an exclusive, worldwide, sublicensable license to certain patent and intellectual property rights developed by MSK and MIT to develop, make, and commercialize licensed products and to perform services for all therapeutic and diagnostic uses in the field of cancer diagnostics and cancer treatments using SADA-BiDE (2-step Self-Assembly and DisAssembly-Bispecific DOTA-Engaging antibody system) Pre-</w:t>
      </w:r>
    </w:p>
    <w:p>
      <w:pPr>
        <w:spacing w:after="0" w:line="1" w:lineRule="exact"/>
        <w:rPr>
          <w:sz w:val="20"/>
          <w:szCs w:val="20"/>
          <w:color w:val="auto"/>
        </w:rPr>
      </w:pPr>
    </w:p>
    <w:p>
      <w:pPr>
        <w:ind w:right="220"/>
        <w:spacing w:after="0" w:line="212" w:lineRule="auto"/>
        <w:rPr>
          <w:sz w:val="20"/>
          <w:szCs w:val="20"/>
          <w:color w:val="auto"/>
        </w:rPr>
      </w:pPr>
      <w:r>
        <w:rPr>
          <w:rFonts w:ascii="Arial" w:cs="Arial" w:eastAsia="Arial" w:hAnsi="Arial"/>
          <w:sz w:val="18"/>
          <w:szCs w:val="18"/>
          <w:color w:val="auto"/>
        </w:rPr>
        <w:t>targeted Radioimmunotherapy Platform, or the SADA Technology, a concept we also refer to as Liquid Radiation</w:t>
      </w:r>
      <w:r>
        <w:rPr>
          <w:rFonts w:ascii="Arial" w:cs="Arial" w:eastAsia="Arial" w:hAnsi="Arial"/>
          <w:sz w:val="29"/>
          <w:szCs w:val="29"/>
          <w:color w:val="auto"/>
          <w:vertAlign w:val="superscript"/>
        </w:rPr>
        <w:t>TM</w:t>
      </w:r>
      <w:r>
        <w:rPr>
          <w:rFonts w:ascii="Arial" w:cs="Arial" w:eastAsia="Arial" w:hAnsi="Arial"/>
          <w:sz w:val="18"/>
          <w:szCs w:val="18"/>
          <w:color w:val="auto"/>
        </w:rPr>
        <w:t>. The patents and patent applications covered by the SADA License Agreement are directed, in part, to the SADA Technology, as well as a number of SADA constructs developed by MSK.</w:t>
      </w:r>
    </w:p>
    <w:p>
      <w:pPr>
        <w:spacing w:after="0" w:line="182" w:lineRule="exact"/>
        <w:rPr>
          <w:sz w:val="20"/>
          <w:szCs w:val="20"/>
          <w:color w:val="auto"/>
        </w:rPr>
      </w:pPr>
    </w:p>
    <w:p>
      <w:pPr>
        <w:ind w:right="360"/>
        <w:spacing w:after="0" w:line="278" w:lineRule="auto"/>
        <w:rPr>
          <w:sz w:val="20"/>
          <w:szCs w:val="20"/>
          <w:color w:val="auto"/>
        </w:rPr>
      </w:pPr>
      <w:r>
        <w:rPr>
          <w:rFonts w:ascii="Arial" w:cs="Arial" w:eastAsia="Arial" w:hAnsi="Arial"/>
          <w:sz w:val="16"/>
          <w:szCs w:val="16"/>
          <w:color w:val="auto"/>
        </w:rPr>
        <w:t>We are using the SADA Technology to advance a series of antibody constructs based on the SADA technology, where bispecific antibody fragments bind to the tumor before a radioactive payload is injected in a two-step approach. We also refer to the SADA technology as Liquid</w:t>
      </w:r>
    </w:p>
    <w:p>
      <w:pPr>
        <w:ind w:right="360"/>
        <w:spacing w:after="0" w:line="212" w:lineRule="auto"/>
        <w:rPr>
          <w:sz w:val="20"/>
          <w:szCs w:val="20"/>
          <w:color w:val="auto"/>
        </w:rPr>
      </w:pPr>
      <w:r>
        <w:rPr>
          <w:rFonts w:ascii="Arial" w:cs="Arial" w:eastAsia="Arial" w:hAnsi="Arial"/>
          <w:sz w:val="18"/>
          <w:szCs w:val="18"/>
          <w:color w:val="auto"/>
        </w:rPr>
        <w:t>Radiation</w:t>
      </w:r>
      <w:r>
        <w:rPr>
          <w:rFonts w:ascii="Arial" w:cs="Arial" w:eastAsia="Arial" w:hAnsi="Arial"/>
          <w:sz w:val="29"/>
          <w:szCs w:val="29"/>
          <w:color w:val="auto"/>
          <w:vertAlign w:val="superscript"/>
        </w:rPr>
        <w:t>TM</w:t>
      </w:r>
      <w:r>
        <w:rPr>
          <w:rFonts w:ascii="Arial" w:cs="Arial" w:eastAsia="Arial" w:hAnsi="Arial"/>
          <w:sz w:val="18"/>
          <w:szCs w:val="18"/>
          <w:color w:val="auto"/>
        </w:rPr>
        <w:t>. We have designated GD2-SADA for potential use in GD2 positive solid tumors, B7-H3-SADA for potential use in prostate cancer, GPA33-SADA for potential use in colon cancer, and HER2-SADA for potential use in breast cancer as our first SADA constructs and expect to file an IND for GD2-SADA in 2021. We believe the SADA technology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color w:val="auto"/>
        </w:rPr>
        <w:t>could potentially improve the efficacy of radiolabeled therapeutics in tumors that have not historically demonstrated meaningful responses to radiolabeled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111760</wp:posOffset>
            </wp:positionV>
            <wp:extent cx="5615305" cy="34975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5615305"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MSK license agreements</w:t>
      </w:r>
    </w:p>
    <w:p>
      <w:pPr>
        <w:spacing w:after="0" w:line="22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have exclusive rights to MSK's rights in all of our current product candidates under our 2015 license agreement, or the MSK License, with MSK. The MSK License also provides us with non-exclusive access to technology that involves the creation of a novel human protein tag that can potentially dimerize, or link together, bispecific T-cell engagers, or BiTEs. We refer to this technology as the MULTI-TAG technology. We plan to create a broad platform of dimerized BiTEs using the MULTI-TAG technology. We believe that our strong relationship with MSK, one of the world's leading cancer treatment centers, and our access to certain of MSK's technologies and substantial research capabilities affords us several competitive advantages. In addition, we believe that our relationship with MSK may help us with respect to patient recruitment for clinical trials. Under a separate 2017 CD33 license agreement with MSK, or the MSK CD33 License, we have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in connection with certain CD33 antibodies developed in the laboratory of a specific principal investigator at MSK and constructs thereof.</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funding activities</w:t>
      </w:r>
    </w:p>
    <w:p>
      <w:pPr>
        <w:spacing w:after="0" w:line="22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Since our inception in April 2015, we have raised approximately $373.8 million through private placements of our securities, our initial public offering in September 2018 and our public offering in November 2019. As of December 31, 2020, we had cash and cash equivalents of $114.6 million. We have not yet completed our year-end financial close process for the year ended December 31, 2020. This estimate of our cash and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cash equivalents as of December 31, 2020 is preliminary and is subject to change upon completion of our financial statement closing procedures. This preliminary estimate does not include any proceeds from the sale of our PRV to United Therapeutics, which we received upon FDA approval of DANYELZA and sold for $105 million. Pursuant to the agreement with MSK, we were entitled to retain 60% of the net proceeds from monetization of the PRV, and the remaining 40% was due to MSK. We received our portion of the net proceeds of from the sale of the PRV in the amount of approximatly $62.0 million when the transaction was consummated in January 2021. There can be no assurance that our final cash position as of December 31, 2020 will not differ from these estimates, including as a result of review adjustments and any such changes could be material. This financial data for the year ended December 31, 2020 is preliminary and is subject to change upon completion of our financial statement closing procedures. There can be no assurance that such financial data for the year ended December 31, 2020 will not differ from these estimates, including as a result of review adjustments, and any such changes could be material. The preliminary financial data included in this prospectus supplement has been prepared by and is the responsibility of our management. See the section "Prospectus Supplement Summary—Financial Update" for more information. PricewaterhouseCoopers LLP has not audited, reviewed, compiled, or applied agreed-upon procedures with respect to the preliminary financial data. Accordingly, PricewaterhouseCoopers LLP does not express an opinion or any other form of assurance with respect thereto. These results could change as a result of further review. Complete financial results for the year ended December 31, 2020 will be included in our Annual Report on Form 10-K.</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pipeline</w:t>
      </w:r>
    </w:p>
    <w:p>
      <w:pPr>
        <w:spacing w:after="0" w:line="224"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following table sets forth DANYELZA and our product candidates and their current development stages, estimated development timelines and anticipated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6206490" cy="52381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6206490" cy="523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8"/>
        <w:spacing w:after="0" w:line="266" w:lineRule="auto"/>
        <w:tabs>
          <w:tab w:leader="none" w:pos="296" w:val="left"/>
        </w:tabs>
        <w:numPr>
          <w:ilvl w:val="0"/>
          <w:numId w:val="58"/>
        </w:numPr>
        <w:rPr>
          <w:rFonts w:ascii="Arial" w:cs="Arial" w:eastAsia="Arial" w:hAnsi="Arial"/>
          <w:sz w:val="14"/>
          <w:szCs w:val="14"/>
          <w:color w:val="auto"/>
        </w:rPr>
      </w:pPr>
      <w:r>
        <w:rPr>
          <w:rFonts w:ascii="Arial" w:cs="Arial" w:eastAsia="Arial" w:hAnsi="Arial"/>
          <w:sz w:val="14"/>
          <w:szCs w:val="14"/>
          <w:color w:val="auto"/>
        </w:rPr>
        <w:t>DANYELZA was approved by the FDA in November 2020. Pivotal registration studies supporting the BLA submission, comprised of Study 12-230 measuring pharmacokinetic, toxicity and efficacy and an additional pivotal multicenter Phase 2 study, Study 201, designed to prove comparability between study sites using a current good manufacturing practices, or cGMP, commercial manufacturer. Study 201 has also been designed to satisfy the confirmatory study and post-marketing requirements by the FDA.</w:t>
      </w:r>
    </w:p>
    <w:p>
      <w:pPr>
        <w:spacing w:after="0" w:line="166" w:lineRule="exact"/>
        <w:rPr>
          <w:rFonts w:ascii="Arial" w:cs="Arial" w:eastAsia="Arial" w:hAnsi="Arial"/>
          <w:sz w:val="14"/>
          <w:szCs w:val="14"/>
          <w:color w:val="auto"/>
        </w:rPr>
      </w:pPr>
    </w:p>
    <w:p>
      <w:pPr>
        <w:ind w:left="300" w:hanging="292"/>
        <w:spacing w:after="0"/>
        <w:tabs>
          <w:tab w:leader="none" w:pos="3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Initial study represents pediatric and young adult patients.</w:t>
      </w:r>
    </w:p>
    <w:p>
      <w:pPr>
        <w:spacing w:after="0" w:line="217" w:lineRule="exact"/>
        <w:rPr>
          <w:rFonts w:ascii="Arial" w:cs="Arial" w:eastAsia="Arial" w:hAnsi="Arial"/>
          <w:sz w:val="14"/>
          <w:szCs w:val="14"/>
          <w:color w:val="auto"/>
        </w:rPr>
      </w:pPr>
    </w:p>
    <w:p>
      <w:pPr>
        <w:ind w:left="300" w:hanging="292"/>
        <w:spacing w:after="0"/>
        <w:tabs>
          <w:tab w:leader="none" w:pos="3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radioactive isotope of iodine used to radiolabel omburtamab.</w:t>
      </w:r>
    </w:p>
    <w:p>
      <w:pPr>
        <w:spacing w:after="0" w:line="217" w:lineRule="exact"/>
        <w:rPr>
          <w:rFonts w:ascii="Arial" w:cs="Arial" w:eastAsia="Arial" w:hAnsi="Arial"/>
          <w:sz w:val="14"/>
          <w:szCs w:val="14"/>
          <w:color w:val="auto"/>
        </w:rPr>
      </w:pPr>
    </w:p>
    <w:p>
      <w:pPr>
        <w:jc w:val="both"/>
        <w:ind w:firstLine="8"/>
        <w:spacing w:after="0" w:line="266" w:lineRule="auto"/>
        <w:tabs>
          <w:tab w:leader="none" w:pos="296" w:val="left"/>
        </w:tabs>
        <w:numPr>
          <w:ilvl w:val="0"/>
          <w:numId w:val="58"/>
        </w:numPr>
        <w:rPr>
          <w:rFonts w:ascii="Arial" w:cs="Arial" w:eastAsia="Arial" w:hAnsi="Arial"/>
          <w:sz w:val="14"/>
          <w:szCs w:val="14"/>
          <w:color w:val="auto"/>
        </w:rPr>
      </w:pPr>
      <w:r>
        <w:rPr>
          <w:rFonts w:ascii="Arial" w:cs="Arial" w:eastAsia="Arial" w:hAnsi="Arial"/>
          <w:sz w:val="14"/>
          <w:szCs w:val="14"/>
          <w:color w:val="auto"/>
        </w:rPr>
        <w:t>Pivotal registration study designed to support a BLA submission to the FDA, comprised of Study 03-133 measuring pharmacokinetic, toxicity and efficacy and an additional pivotal multicenter Phase 2 study, Study 101, designed to prove comparability between study sites using a cGMP commercial manufacturer. Study 101 has also been designed to satisfy potential confirmatory study and post-marketing requirements by the FDA.</w:t>
      </w:r>
    </w:p>
    <w:p>
      <w:pPr>
        <w:spacing w:after="0" w:line="162" w:lineRule="exact"/>
        <w:rPr>
          <w:rFonts w:ascii="Arial" w:cs="Arial" w:eastAsia="Arial" w:hAnsi="Arial"/>
          <w:sz w:val="14"/>
          <w:szCs w:val="14"/>
          <w:color w:val="auto"/>
        </w:rPr>
      </w:pPr>
    </w:p>
    <w:p>
      <w:pPr>
        <w:ind w:left="300" w:hanging="292"/>
        <w:spacing w:after="0"/>
        <w:tabs>
          <w:tab w:leader="none" w:pos="300" w:val="left"/>
        </w:tabs>
        <w:numPr>
          <w:ilvl w:val="0"/>
          <w:numId w:val="58"/>
        </w:numPr>
        <w:rPr>
          <w:rFonts w:ascii="Arial" w:cs="Arial" w:eastAsia="Arial" w:hAnsi="Arial"/>
          <w:sz w:val="14"/>
          <w:szCs w:val="14"/>
          <w:color w:val="auto"/>
        </w:rPr>
      </w:pPr>
      <w:r>
        <w:rPr>
          <w:rFonts w:ascii="Arial" w:cs="Arial" w:eastAsia="Arial" w:hAnsi="Arial"/>
          <w:sz w:val="21"/>
          <w:szCs w:val="21"/>
          <w:color w:val="auto"/>
          <w:vertAlign w:val="superscript"/>
        </w:rPr>
        <w:t>177</w:t>
      </w:r>
      <w:r>
        <w:rPr>
          <w:rFonts w:ascii="Arial" w:cs="Arial" w:eastAsia="Arial" w:hAnsi="Arial"/>
          <w:sz w:val="14"/>
          <w:szCs w:val="14"/>
          <w:color w:val="auto"/>
        </w:rPr>
        <w:t>Lu-omburtamab-DTPA is a DTPA-conjugated omburtamab labeled with Lutetium-177.</w:t>
      </w:r>
    </w:p>
    <w:p>
      <w:pPr>
        <w:spacing w:after="0" w:line="167" w:lineRule="exact"/>
        <w:rPr>
          <w:rFonts w:ascii="Arial" w:cs="Arial" w:eastAsia="Arial" w:hAnsi="Arial"/>
          <w:sz w:val="14"/>
          <w:szCs w:val="14"/>
          <w:color w:val="auto"/>
        </w:rPr>
      </w:pPr>
    </w:p>
    <w:p>
      <w:pPr>
        <w:ind w:left="300" w:hanging="292"/>
        <w:spacing w:after="0"/>
        <w:tabs>
          <w:tab w:leader="none" w:pos="3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These studies are being planned for potential indication expansion for frontline and in combination with chemotherapy.</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 strategy</w:t>
      </w:r>
    </w:p>
    <w:p>
      <w:pPr>
        <w:spacing w:after="0" w:line="22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strategy to achieve this goal are:</w:t>
      </w:r>
    </w:p>
    <w:p>
      <w:pPr>
        <w:spacing w:after="0" w:line="210" w:lineRule="exact"/>
        <w:rPr>
          <w:sz w:val="20"/>
          <w:szCs w:val="20"/>
          <w:color w:val="auto"/>
        </w:rPr>
      </w:pPr>
    </w:p>
    <w:p>
      <w:pPr>
        <w:ind w:left="540" w:right="120" w:hanging="532"/>
        <w:spacing w:after="0" w:line="239"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Independently commercialize DANYELZA in indications and territories where we believe we can maximize the value. </w:t>
      </w:r>
      <w:r>
        <w:rPr>
          <w:rFonts w:ascii="Arial" w:cs="Arial" w:eastAsia="Arial" w:hAnsi="Arial"/>
          <w:sz w:val="18"/>
          <w:szCs w:val="18"/>
          <w:color w:val="auto"/>
        </w:rPr>
        <w:t>On</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25, 2020, DANYELZA received approval by the FDA following an expedited regulatory pathway and priority review under the BTD granted in 2018. We initiated commercialization of DANYELZA in the United States following the FDA approval. We plan to independently commercialize DANYELZA focusing on already-identified key treatment centers such as MSK, as well as educating doctors, patients and payors about DANYELZA and its current and future indication to drive acceptance and uptake. We believe that we will need to engage a small number of physician specialists for training regarding the appropriate administration and use of DANYELZA. The sales call points for DANYELZA in the United States and the European Union are highly concentrated and generally addressable by a relatively small commercial organization, which we believe will allow us the flexibility to cost-effectively build our own commercial capability. Finally, we have already and we intend to form in the future commercial and development collaborations for indications and in territories that are better served by the resources of larger biopharmaceutical companies.</w:t>
      </w:r>
    </w:p>
    <w:p>
      <w:pPr>
        <w:spacing w:after="0" w:line="179" w:lineRule="exact"/>
        <w:rPr>
          <w:rFonts w:ascii="Arial" w:cs="Arial" w:eastAsia="Arial" w:hAnsi="Arial"/>
          <w:sz w:val="18"/>
          <w:szCs w:val="18"/>
          <w:color w:val="auto"/>
        </w:rPr>
      </w:pPr>
    </w:p>
    <w:p>
      <w:pPr>
        <w:ind w:left="540" w:right="20" w:hanging="532"/>
        <w:spacing w:after="0" w:line="213"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Rapidly and concurrently advance our lead product candidate, omburtamab, to regulatory approval. </w:t>
      </w:r>
      <w:r>
        <w:rPr>
          <w:rFonts w:ascii="Arial" w:cs="Arial" w:eastAsia="Arial" w:hAnsi="Arial"/>
          <w:sz w:val="18"/>
          <w:szCs w:val="18"/>
          <w:color w:val="auto"/>
        </w:rPr>
        <w:t>We are currently in pivotal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stage development for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for the treatment of pediatric CNS/LM from NB and we are advancing this lead product candidate through an expedited regulatory pathway and we expect that it will be eligible for priority review under the BTD granted in 2017. We expect to resubmit the BLA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the treatment of pediatric CNS/LM from NB via a rolling submission by the end of the second quarter of 2021 or the third quarter of 2021. We intend to commercialize omburtamab in the United States as soon as possible after obtaining FDA approval, if such approval occurs.</w:t>
      </w:r>
    </w:p>
    <w:p>
      <w:pPr>
        <w:spacing w:after="0" w:line="171" w:lineRule="exact"/>
        <w:rPr>
          <w:rFonts w:ascii="Arial" w:cs="Arial" w:eastAsia="Arial" w:hAnsi="Arial"/>
          <w:sz w:val="18"/>
          <w:szCs w:val="18"/>
          <w:color w:val="auto"/>
        </w:rPr>
      </w:pPr>
    </w:p>
    <w:p>
      <w:pPr>
        <w:ind w:left="540" w:right="80" w:hanging="532"/>
        <w:spacing w:after="0" w:line="228"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Expand the indications and target patient populations for our existing product candidates. </w:t>
      </w:r>
      <w:r>
        <w:rPr>
          <w:rFonts w:ascii="Arial" w:cs="Arial" w:eastAsia="Arial" w:hAnsi="Arial"/>
          <w:sz w:val="18"/>
          <w:szCs w:val="18"/>
          <w:color w:val="auto"/>
        </w:rPr>
        <w:t>Our goal is to maximize the potential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our existing product candidates in areas where there is a significant unmet medical need by exploring additional indications, as well as expanding the target population within existing indications. For example, we are developing DANYELZA for the treatment of front-line NB and relapsed osteosarcoma and we intend to discuss our BLA strategy in these indications with the FDA. We are also currently developing radiolabeled omburtamab in clinical trials for the treatment of pediatric patients with DIPG, currently in Phase 1 and DSRCT, currently in Phase 2. After completing our BLA resubmission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pediatric CNS/LM from NB, we intend to discuss with the FDA the protocol for the continuation and expansion of the ongoing DIPG and DSRCT clinical trials. We believe that we may qualify for a supplemental BLA, or sBLA, in each of these indications assuming positive pivotal data.</w:t>
      </w:r>
    </w:p>
    <w:p>
      <w:pPr>
        <w:spacing w:after="0" w:line="169" w:lineRule="exact"/>
        <w:rPr>
          <w:rFonts w:ascii="Arial" w:cs="Arial" w:eastAsia="Arial" w:hAnsi="Arial"/>
          <w:sz w:val="18"/>
          <w:szCs w:val="18"/>
          <w:color w:val="auto"/>
        </w:rPr>
      </w:pPr>
    </w:p>
    <w:p>
      <w:pPr>
        <w:ind w:left="540" w:hanging="532"/>
        <w:spacing w:after="0" w:line="247"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Advance our novel BsAb product candidates that we believe may offer potential substantial benefits over existing bispecific constructs. </w:t>
      </w:r>
      <w:r>
        <w:rPr>
          <w:rFonts w:ascii="Arial" w:cs="Arial" w:eastAsia="Arial" w:hAnsi="Arial"/>
          <w:sz w:val="18"/>
          <w:szCs w:val="18"/>
          <w:color w:val="auto"/>
        </w:rPr>
        <w:t>We are also advancing a promising pipeline of BsAbs that we believe have the potential to overcome limitations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existing BsAb constructs. Nivatrotamab, our first BsAb product candidate that has entered the clinic is a bivalent humanized anti-GD2 and anti-CD3 BsAb. We are also advancing our CD33-BsAb product candidate for the treatment of hematological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80"/>
        <w:spacing w:after="0" w:line="269" w:lineRule="auto"/>
        <w:rPr>
          <w:sz w:val="20"/>
          <w:szCs w:val="20"/>
          <w:color w:val="auto"/>
        </w:rPr>
      </w:pPr>
      <w:r>
        <w:rPr>
          <w:rFonts w:ascii="Arial" w:cs="Arial" w:eastAsia="Arial" w:hAnsi="Arial"/>
          <w:sz w:val="18"/>
          <w:szCs w:val="18"/>
          <w:color w:val="auto"/>
        </w:rPr>
        <w:t>cancers expressing CD33 and expect to file an IND in 2021. Further, we plan to utilize our access to the MULTI-TAG technology platform to create a diverse platform of dimerized BiTEs.</w:t>
      </w:r>
    </w:p>
    <w:p>
      <w:pPr>
        <w:spacing w:after="0" w:line="155" w:lineRule="exact"/>
        <w:rPr>
          <w:sz w:val="20"/>
          <w:szCs w:val="20"/>
          <w:color w:val="auto"/>
        </w:rPr>
      </w:pPr>
    </w:p>
    <w:p>
      <w:pPr>
        <w:ind w:left="540" w:right="60" w:hanging="532"/>
        <w:spacing w:after="0" w:line="272"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Leverage our relationships with leading academic and clinical institutions to develop additional product candidates. </w:t>
      </w:r>
      <w:r>
        <w:rPr>
          <w:rFonts w:ascii="Arial" w:cs="Arial" w:eastAsia="Arial" w:hAnsi="Arial"/>
          <w:sz w:val="16"/>
          <w:szCs w:val="16"/>
          <w:color w:val="auto"/>
        </w:rPr>
        <w:t>We intend</w:t>
      </w:r>
      <w:r>
        <w:rPr>
          <w:rFonts w:ascii="Arial" w:cs="Arial" w:eastAsia="Arial" w:hAnsi="Arial"/>
          <w:sz w:val="16"/>
          <w:szCs w:val="16"/>
          <w:b w:val="1"/>
          <w:bCs w:val="1"/>
          <w:color w:val="auto"/>
        </w:rPr>
        <w:t xml:space="preserve"> </w:t>
      </w:r>
      <w:r>
        <w:rPr>
          <w:rFonts w:ascii="Arial" w:cs="Arial" w:eastAsia="Arial" w:hAnsi="Arial"/>
          <w:sz w:val="16"/>
          <w:szCs w:val="16"/>
          <w:color w:val="auto"/>
        </w:rPr>
        <w:t>to continue to partner with leading centers, such as MSK, for cancer treatments worldwide, to identify and develop additional product candidates. We believe that our relationship with MSK, our access to several of their technologies and MSK's significant expertise in pediatric cancer care provides us with significant competitive advantages. For example, our Investigator-Sponsored Master Clinical Trial Agreement, or the MCTA, with MSK provides us with ready access to patients for clinical trial enrollment, which is a significant advantage in rare disease drug development where patients are often hard to locate and recruit. Our Sponsored Research Agreement, or the SRA, with MSK, pursuant to which we agreed to provide research funding to MSK, grants us a first option to negotiate an exclusive license to MSK's rights in any new joint inventions discovered under the SRA. We plan to leverage our strong relationship with institutions such as MSK and their expertise and research capabilities to augment our own capabilities in order to identify new product candidates for the treatment of cancers where there is a significant unmet medical need and no effective therapy currently available.</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Current approaches to the treatment of cancer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overview</w:t>
      </w:r>
    </w:p>
    <w:p>
      <w:pPr>
        <w:spacing w:after="0" w:line="212" w:lineRule="exact"/>
        <w:rPr>
          <w:sz w:val="20"/>
          <w:szCs w:val="20"/>
          <w:color w:val="auto"/>
        </w:rPr>
      </w:pPr>
    </w:p>
    <w:p>
      <w:pPr>
        <w:jc w:val="both"/>
        <w:ind w:right="100"/>
        <w:spacing w:after="0" w:line="246" w:lineRule="auto"/>
        <w:rPr>
          <w:sz w:val="20"/>
          <w:szCs w:val="20"/>
          <w:color w:val="auto"/>
        </w:rPr>
      </w:pPr>
      <w:r>
        <w:rPr>
          <w:rFonts w:ascii="Arial" w:cs="Arial" w:eastAsia="Arial" w:hAnsi="Arial"/>
          <w:sz w:val="18"/>
          <w:szCs w:val="18"/>
          <w:color w:val="auto"/>
        </w:rPr>
        <w:t>Cancer is a broad group of diseases in which cells divide and grow in an uncontrolled fashion, forming malignancies that can invade other parts of the body. Cancers can subsequently spread throughout the body by processes known as invasion and metastases. Cancer cells that arise in the lymphatic system and bone marrow, or BM, are referred to as hematological malignancies. Cancer cells that arise in other tissues or organs are referred to as solid tumors.</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Cancer is a major public health problem in the United States and worldwide. The American Cancer Society, or ACS, estimated that approximately 40% of all men and women in the United States will be diagnosed with cancer during their lifetime (based on 2011-2013 data). According to the U.S. Centers for Disease Control, cancer is currently the second leading cause of death in the United States and is expected to surpass heart disease as the leading cause of death in the next several years. Although progress has been made in the diagnosis and treatment of cancer, the ACS estimates that an estimated 1.8 million new cancer cases will be diagnosed in the United States and over 600,000 people will have died from cancer in 2020. Thus, there remains a significant need for novel and improved treatment options for cancer patients.</w:t>
      </w:r>
    </w:p>
    <w:p>
      <w:pPr>
        <w:spacing w:after="0" w:line="15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Cancer treatment has traditionally included chemotherapy, radiation, hormone therapy, surgery or a combination of these approaches. While small molecule chemotherapy agents and cytotoxic agents have demonstrated efficacy in treating certain types of cancers, they can also cause toxicities that may lead to life-threatening consequences, lower quality of life or untimely termination of treatment. Furthermore, these treatments are only partially effective in solid tumors, in part because the maximal achievable doses are limited by systemic toxicity, which consequently hinders the prospects of long-term remission in patients. Over a course of more than 20 years, cancer research and treatment has shifted to more targeted therapies, such as monoclonal antibodies, and immuno-oncology, a new field of cancer therapy focused on enhancing antitumor immune responses.</w:t>
      </w:r>
    </w:p>
    <w:p>
      <w:pPr>
        <w:spacing w:after="0" w:line="18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Advances in understanding the immune system's role in treating cancer have established immunotherapy, or the practice of harnessing immune system functions to combat malignant cell growth, as an important treatment approach. Cancer immunotherapy began with treatments that nonspecifically activated the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immune system and had limited efficacy and/or significant toxicity. In contrast, new immunotherapy treatments can activate specific, key immune cells, leading to improved targeting of cancer cells, efficacy, and safety.</w:t>
      </w:r>
    </w:p>
    <w:p>
      <w:pPr>
        <w:spacing w:after="0" w:line="15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Cancer therapies are sometimes characterized as front-line, second-line, or third-line, and the FDA often approves new therapies initially only for third-line use. When cancer is detected early enough, front-line therapy is sometimes adequate to effectively treat the cancer or prolong life. Whenever front-line therapy, usually chemotherapy, radiation therapy, surgery, or a combination of these, proves unsuccessful, second-line therapy may be administered. Second-line therapies often consist of more chemotherapy, surgery, antibody drugs, tumor-targeted therapies such as monoclonal antibodies and small molecule inhibitors, or a combination of these. Third-line therapies can include bone marrow transplantation, antibody and small molecule targeted therapies, more invasive forms of surgery, and new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Immune system and introduction to antibodies</w:t>
      </w:r>
    </w:p>
    <w:p>
      <w:pPr>
        <w:spacing w:after="0" w:line="22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immune system is often described as having two main branches—innate (non-specific) and adaptive (acquired) immunity. It defends against invading pathogens such as viruses, parasites, and bacteria, and provides surveillance against cancers. The innate immune system is the initial response to an infection, and the response is the same every time regardless of prior exposure to the infectious agent. The adaptive immune system includes B cells, which secrete antibodies and T cells, which can be either helper T cells, suppressor T-cells or cytotoxic T cells.</w:t>
      </w:r>
    </w:p>
    <w:p>
      <w:pPr>
        <w:spacing w:after="0" w:line="146"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An antibody, also known as an IgG, is a large, Y-shaped protein produced mainly by plasma cells in response to foreign substances, such as viruses or cancer cells. Antibodies circulating in the bloodstream function by binding to the target or antigen they are generated to fight. The binding process involves a lock-and-key mechanism in which the paratope region of the antibody, analogous to a lock, binds to one particular epitope of a specific antigen, analogous to a key. This allows the antibody to bind to a specific antigen with precision, thereby attacking only its intended target.</w:t>
      </w:r>
    </w:p>
    <w:p>
      <w:pPr>
        <w:spacing w:after="0" w:line="18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Different types of antibodies include: (i) Monoclonal Antibodies—laboratory-made antibodies typically derived from immune cells of mammals that have been immunized with a desired antigen and are all clones of a unique parent; (ii) Humanized/Chimeric Antibodies—antibodies with both mouse and human antibody proteins that are humanized (i.e., engineered to replace mouse components with more human components) to reduce the immune system response against antibodies identified as foreign (i.e., from a different species) in nature; (iii) Naked Monoclonal Antibodies—antibodies without any drug or radioactive material attached and which are the most common type of antibodies in treating cancer;</w:t>
      </w:r>
    </w:p>
    <w:p>
      <w:pPr>
        <w:spacing w:after="0" w:line="3" w:lineRule="exact"/>
        <w:rPr>
          <w:sz w:val="20"/>
          <w:szCs w:val="20"/>
          <w:color w:val="auto"/>
        </w:rPr>
      </w:pPr>
    </w:p>
    <w:p>
      <w:pPr>
        <w:ind w:right="340" w:firstLine="8"/>
        <w:spacing w:after="0" w:line="264" w:lineRule="auto"/>
        <w:tabs>
          <w:tab w:leader="none" w:pos="283"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Antibody Drug Conjugates, or ADCs—monoclonal antibodies that are joined to a chemotherapy drug, a radioactive particle or cancer cell killing agent, in which the monoclonal antibody is used as a homing device to deliver these substances directly to the cancer cell; and</w:t>
      </w:r>
    </w:p>
    <w:p>
      <w:pPr>
        <w:ind w:right="80" w:firstLine="8"/>
        <w:spacing w:after="0" w:line="243" w:lineRule="auto"/>
        <w:tabs>
          <w:tab w:leader="none" w:pos="2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Bispecific antibodies comprised of two different monoclonal antibody constructs, which allows the antibody to bind to two specific therapeutic targets at the same time, typically one target on the tumor cell and one target on an immune system cell.</w:t>
      </w:r>
    </w:p>
    <w:p>
      <w:pPr>
        <w:spacing w:after="0" w:line="18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Antibodies may function through multiple mechanisms simultaneously, including binding to cancer cells and flagging for B cells and T cells to more easily detect the target, or delivering radiation treatment by acting as a vehicle to transfer small radioactive particles directly to the cancer cells and to minimize the effect of radiation on normal cells. Other mechanisms include triggering cell-membrane destruction, preventing cell growth or blood vessel growth, blocking immune system inhibitors, directly attacking cancer cells and delivering chemotherapy or binding cancer cells and immune cells simultaneously.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Studies have shown that, as a drug class, antibodies have transformed oncology treatment and include some of the best-selling therapies on the biopharmaceutical market. Drugs derived from antibodies were the fastest growing subsegment of the global biopharmaceutical market in 2016 with $81.9 billion in sales, representing approximately 42% of total biopharmaceutical sales and 10% of the global market for prescription drugs.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product and product candidates</w:t>
      </w:r>
    </w:p>
    <w:p>
      <w:pPr>
        <w:spacing w:after="0" w:line="224"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We have one FDA-approved product and a broad and advanced product pipeline including late-stage and clinically validated product candidates primarily targeting tumors that express GD2 and B7-H3, respectively.</w:t>
      </w:r>
    </w:p>
    <w:p>
      <w:pPr>
        <w:spacing w:after="0" w:line="157"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On November 25, 2020, DANYELZA, was approved by the United States Food and Drug Administration, or the FDA, in combination with granulocyte-macrophage colony-stimulating factor, or GM-CSF, for the treatment of pediatric patients 1 year of age and older and adult patients with relapsed or refractory high-risk neuroblastoma in the bone or bone marrow who have demonstrated a partial response, minor response, or stable disease to prior therapy. Our lead product candidate omburtamab is currently in pivotal stage development for pediatric CNS/LM from NB —a rare and life-threatening pediatric cancer for which no FDA approved products currently exist. We expect to resubmit the BLA for omburtamab via a rolling submission in the end of the second quarter of 2021 or the third quarter of 2021.</w:t>
      </w:r>
    </w:p>
    <w:p>
      <w:pPr>
        <w:spacing w:after="0" w:line="184" w:lineRule="exact"/>
        <w:rPr>
          <w:sz w:val="20"/>
          <w:szCs w:val="20"/>
          <w:color w:val="auto"/>
        </w:rPr>
      </w:pPr>
    </w:p>
    <w:p>
      <w:pPr>
        <w:ind w:right="320"/>
        <w:spacing w:after="0" w:line="273" w:lineRule="auto"/>
        <w:rPr>
          <w:sz w:val="20"/>
          <w:szCs w:val="20"/>
          <w:color w:val="auto"/>
        </w:rPr>
      </w:pPr>
      <w:r>
        <w:rPr>
          <w:rFonts w:ascii="Arial" w:cs="Arial" w:eastAsia="Arial" w:hAnsi="Arial"/>
          <w:sz w:val="16"/>
          <w:szCs w:val="16"/>
          <w:color w:val="auto"/>
        </w:rPr>
        <w:t>We began to commercialize DANYELZA in the United States upon receipt of FDA approval in November 2020 and we plan to also commercialize omburtamab in the United States as soon as possible after obtaining FDA approval, if such approval occurs. DANYELZA and omburtamab are also in mid-stage clinical development for additional cancers, and we have initiated clinical development for both product</w:t>
      </w:r>
    </w:p>
    <w:p>
      <w:pPr>
        <w:spacing w:after="0" w:line="1" w:lineRule="exact"/>
        <w:rPr>
          <w:sz w:val="20"/>
          <w:szCs w:val="20"/>
          <w:color w:val="auto"/>
        </w:rPr>
      </w:pPr>
    </w:p>
    <w:p>
      <w:pPr>
        <w:ind w:right="80"/>
        <w:spacing w:after="0" w:line="217" w:lineRule="auto"/>
        <w:rPr>
          <w:sz w:val="20"/>
          <w:szCs w:val="20"/>
          <w:color w:val="auto"/>
        </w:rPr>
      </w:pPr>
      <w:r>
        <w:rPr>
          <w:rFonts w:ascii="Arial" w:cs="Arial" w:eastAsia="Arial" w:hAnsi="Arial"/>
          <w:sz w:val="18"/>
          <w:szCs w:val="18"/>
          <w:color w:val="auto"/>
        </w:rPr>
        <w:t xml:space="preserve">candidates in several other indications. Furthermore, we have two omburtamab follow-on product candidates, firstly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for which the INDs for patients with medulloblastoma and adult patients with B7-H3 positive CNS/LM tumors were cleared in October 2020, and secondly, huB7-H3, a humanized version of omburtamab, which is in pre-clinical development. Both product candidates are targeting pediatric oncology as well as larger indications within adult patient populations.</w:t>
      </w:r>
    </w:p>
    <w:p>
      <w:pPr>
        <w:spacing w:after="0" w:line="182"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 xml:space="preserve">We have successfully opened an IND for our Phase 2 trial with nivatrotamab, our GD2 BsAb product candidate, in Small Cell Lung Cancer. In addition a Phase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trial with nivatrotamab, for the treatment of refractory GD2 positive adult and pediatric solid tumors is ongoing. Our nivatrotamab program thus addresses large patient populations. In pre-clinical studies, nivatrotamab demonstrated the potential for improved tumor-binding and significantly greater T cell mediated killing compared to existing bispecific constructs. Furthermore, the IgG format exhibits longer halflife as compared to e.g. BITE's hence allowing for weekly or even more sparce dosing. We are also advancing a pipeline of novel BsAbs through late pre-clinical development, including our CD33-BsAb product candidate for the treatment of hematological cancers expressing CD33, a transmembrane receptor expressed on cells of myeloid lineage.</w:t>
      </w:r>
    </w:p>
    <w:p>
      <w:pPr>
        <w:spacing w:after="0" w:line="184"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In addition, we have an ongoing Phase 2 trial at MSK, with our GD2-GD3 Vaccine for the treatment of Stage 4 high-risk NB. We believe that the GD2-GD3 Vaccine can potentially serve as an add-on treatment to DANYELZA.</w:t>
      </w:r>
    </w:p>
    <w:p>
      <w:pPr>
        <w:spacing w:after="0" w:line="15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exclusive worldwide commercial rights to all of our current product candidates and we have granted commercialization partners certain exclusive rights to develop and commercialize DANYELZA and omburtamab in select jurisdictions, including Greater China, Israel and certain Eastern European countries.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DANYELZA overview</w:t>
      </w:r>
    </w:p>
    <w:p>
      <w:pPr>
        <w:spacing w:after="0" w:line="22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DANYELZA is a humanized monoclonal antibody approved by the FDA in combination with granulocyte-macrophage colony-stimulating factor, or GM-CSF, for the treatment of pediatric patients 1 year of age and older and adult patients with relapsed or refractory high-risk neuroblastoma in the bone or bone marrow who have demonstrated a partial response, minor response, or stable disease to prior therapy, and being evaluated for the treatment of other GD2-positive tumors, including osteosarcoma. DANYELZA targets GD2, which, based on our research, is expressed on almost all of NB cancer cells regardless of disease stage and in almost all osteosarcomas. DANYELZA was granted BTD for treatment of patients with pediatric R/R high-risk NB in 2018.</w:t>
      </w:r>
    </w:p>
    <w:p>
      <w:pPr>
        <w:spacing w:after="0" w:line="18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 clinical studies, DANYELZA has been shown to cause serious infusion reactions including anaphylaxis, cardiac arrest, bronchospasm, stridor, and hypotension. The most common adverse events were mainly mild and moderate and included infusion-related reaction, pain, tachycardia, vomiting, cough, nausea, diarrhea, decreased appetite, hypertension, fatigue, erythema multiforme, peripheral neuropathy, urticaria, pyrexia, headache, edema, anxiety, localized edema and irritability. DANYELZA has been approved with a boxed warning for serious infusion reactions and neurotoxicity.</w:t>
      </w:r>
    </w:p>
    <w:p>
      <w:pPr>
        <w:spacing w:after="0" w:line="18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In November 2018, the European Commission granted orphan medicinal product designation, or OMPD, for naxitamab for the treatment of NB. DANYELZA also received ODD and RPDD from the FDA for the treatment of NB in 2013 and 2017, respectively. The RPDD qualified us for receipt of a PRV upon approval of DANYELZA for treatment of NB, and we did receive such PRV in November 2020. DANYELZA has been administered to more than 400 patients in clinical trials to date.</w:t>
      </w:r>
    </w:p>
    <w:p>
      <w:pPr>
        <w:spacing w:after="0" w:line="17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pediatric R/R high-risk NB, we believe that DANYELZA has multiple potential advantages over other GD2 targeting antibody-based therapies. In particular, the modest toxicity it exhibits allows for doses 2.5 times greater than the other GD2 targeting antibody-based therapies. DANYELZA also has a significantly shorter infusion time (approximately 30 to 60 minutes compared to 10 to 20 hours for other GD2 targeting antibody-based therapies being used in front-line therapy), which we believe is important given the pain associated with the therapy and the ability to be administered in an outpatient setting.</w:t>
      </w:r>
    </w:p>
    <w:p>
      <w:pPr>
        <w:spacing w:after="0" w:line="181"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In addition, DANYELZA is currently being evaluated in a Phase 2 clinical study (Study 16-1643) in front-line NB, a pilot study (Study 17-251) of chemoimmunotherapy for high-risk NB and a Phase 2 clinical study (Study 15-096) in second-line relapsed osteosarcoma patients.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GD2 overview</w:t>
      </w:r>
    </w:p>
    <w:p>
      <w:pPr>
        <w:spacing w:after="0" w:line="224" w:lineRule="exact"/>
        <w:rPr>
          <w:sz w:val="20"/>
          <w:szCs w:val="20"/>
          <w:color w:val="auto"/>
        </w:rPr>
      </w:pPr>
    </w:p>
    <w:p>
      <w:pPr>
        <w:jc w:val="both"/>
        <w:ind w:right="220"/>
        <w:spacing w:after="0" w:line="252" w:lineRule="auto"/>
        <w:rPr>
          <w:sz w:val="20"/>
          <w:szCs w:val="20"/>
          <w:color w:val="auto"/>
        </w:rPr>
      </w:pPr>
      <w:r>
        <w:rPr>
          <w:rFonts w:ascii="Arial" w:cs="Arial" w:eastAsia="Arial" w:hAnsi="Arial"/>
          <w:sz w:val="18"/>
          <w:szCs w:val="18"/>
          <w:color w:val="auto"/>
        </w:rPr>
        <w:t>We believe that monoclonal antibodies such as DANYELZA that target ganglioside GD2 are one of the most promising cancer immunotherapy approaches. Gangliosides, including GD2, GM2, GD3, NGcGM3 and OAcGD2, have been shown to be expressed at very high levels in tumor cells of several types of cancers.</w:t>
      </w:r>
    </w:p>
    <w:p>
      <w:pPr>
        <w:spacing w:after="0" w:line="172"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As a potential target molecule for anti-tumor therapy, GD2 has certain advantages when compared to other tumor-associated gangliosides because it is highly expressed in tumor cells of several types of cancers and is not expressed at all, or expressed at very low levels, in normal cells. The National Cancer Institute pilot program for the prioritization of the most important cancer antigens ranks GD2 as number 12 out of 75 potential targets for cancer therapy based on therapeutic function, immunogenicity, role of the antigen in oncogenicity, specificity, expression level and percent of antigen-positive cells, stem cell expression, number of patients with antigen-positive cancers, number of antigenic epitopes, and cellular location of antigen expression. GD2 ranks as number six when compared to antigens that are directly targetable 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the cell surface. Antibodies directed against GD2 have been shown to effectively induce cell death through a combination of both apoptosis and tumor cell necrosis in GD2-positive tumors.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GD2 expression in various cancer types</w:t>
      </w:r>
    </w:p>
    <w:p>
      <w:pPr>
        <w:spacing w:after="0" w:line="22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Studies have shown that GD2 is highly expressed on neuroectoderm-derived tumors and sarcomas, including NB, retinoblastoma, melanoma, small cell lung cancer, brain tumors, osteosarcoma, rhabdomyosarcoma, Ewing's sarcoma in children and adolescents, as well as liposarcoma, fibrosarcoma, leiomyosarcoma and other soft-tissue sarcomas in adults. These cancers have a high mortality rate ranging from 20-80% depending on the tumor type.</w:t>
      </w:r>
    </w:p>
    <w:p>
      <w:pPr>
        <w:spacing w:after="0" w:line="177"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believe there is a large market opportunity for the treatment of solid tumors that express GD2. Based on our own research and our review of published research, we believe GD2 expression occurs in approximately 60-100% of tumor samples from various cancer types, and in substantially all NB and osteosarcoma tumor samples. We estimate that there were more than 200,000 new patients diagnosed with GD2-positive cancer in the United States in 2017. While our clinical development efforts for DANYELZA are currently focused on rare pediatric cancers, we believe we have the potential to expand DANYELZA's application beyond pediatric cancers to the treatment of adults with cancers that express GD2.</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DANYELZA—mechanism of action</w:t>
      </w:r>
    </w:p>
    <w:p>
      <w:pPr>
        <w:spacing w:after="0" w:line="22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pre-clinical studies have shown that DANYELZA binds to GD2 molecules on tumor cells with high affinity and a slow off-rate, which indicates DANYELZA's strong binding ability. In mice that have been transplanted with human NB tissue, DANYELZA demonstrated dose-dependent inhibition of tumor growth (i.e., the effect of DANYELZA varied with dosage) and generally increased survival. In vitro studies show that when DANYELZA binds to tumor cells, it induces tumor cell death through antibody-dependent cell-mediated cytotoxicity and complement-dependent cytotoxicity. DANYELZA may also inhibit tumor cell migration through its inhibitory effect on GD2 molecules, which are involved in tumor cell adhesion and migration. In vitro studies also show that Granulocyte-Macrophage Colony Stimulating Factor, or GM-CSF, enhances the activity of DANYELZA in a dose-dependent manner and is therefore generally combined with DANYELZA in our clinical trials.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DANYELZA for the treatment of pediatric relapsed or refractory high-risk neuroblastoma</w:t>
      </w:r>
    </w:p>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On November 25, 2020 DANYELZA® received regulatory approval by the FDA in the United States for treatment in combination with GM-CSF of high-risk R/R NB. This approval was based primarily on interim data from the Study 201 and Study 12-230. In order to meet certain postmarketing commitments issued by the FDA, Study 201 with DANYELZA is currently still ongoing for pediatric R/R high-risk NB. DANYELZA was granted BTD in this indication in 2018. In November 2018, the European Commission granted orphan medicinal product designation, or OMPD, for naxitamab for the treatment of NB. DANYELZA has also received ODD and RPDD from the FDA for the treatment of NB in 2013 and 2017, respectively. The RPDD qualified us for receipt of a PRV upon approval of DANYELZA for treatment of NB by the FDA. The FDA has issued a post-marketing commitment to provide data on PFS, supporting the efficacy of the product. As of February 1, 2021 we have enrolled</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54 patients and we anticipate completing the study no later than March 31, 2027. We believe DANYELZA has multiple potential advantages over other GD2 targeting antibodies such as higher doses and administion on an outpatient basis.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our studies to date, DANYELZA has demonstrated a manageable safety profile, which allows for 2.5 times greater dosing as compared to other GD2 targeting antibody-based therapies. This results in fewer doses per cycle and a significantly shorter infusion time (approximately 30 to 60 minutes versus 10 to 20 hours for dinutuximab). Notably, since severe pain is one of the most common side effects of treatment with GD2 targeting antibody-based therapies, we believe that the ability to reduce infusion time to approximately 30 to 60 minutes is very important for patients and may result in a significant reduction in demand for pain medication such as morphine. These factors allow DANYELZA to be administered in an outpatient setting whereas other GD2 targeting antibody-based therapies require hospitalization which usually lasts for four days or more.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 of neuroblastoma</w:t>
      </w:r>
    </w:p>
    <w:p>
      <w:pPr>
        <w:spacing w:after="0" w:line="22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NB is a rare and almost exclusively a pediatric cancer that develops in the sympathetic nervous system, a network of nerves that carries messages from the brain throughout the body. It is the third most common childhood cancer, after leukemia and brain tumors, and is the most common solid extracranial tumor in children. NB is a life-threatening disease associated with poor long-term survival. It accounts for approximately six percent of all childhood cancers and approximately 15% of pediatric cancer deaths. Nearly 90% of patients with NB are diagnosed by age five and NB is very rare in people over the age of 10 years. The average age of children when they are diagnosed with NB is one to two years.</w:t>
      </w:r>
    </w:p>
    <w:p>
      <w:pPr>
        <w:spacing w:after="0" w:line="18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stage of NB, which describes how far the cancer has spread, is based on results of physical exams, imaging tests, and biopsies. The International Neuroblastoma Staging System stages the disease from Stage 1 to Stage 4. Other factors that also affect prognosis of NB include age and amplification of MYCN oncogene.</w:t>
      </w:r>
    </w:p>
    <w:p>
      <w:pPr>
        <w:spacing w:after="0" w:line="172" w:lineRule="exact"/>
        <w:rPr>
          <w:sz w:val="20"/>
          <w:szCs w:val="20"/>
          <w:color w:val="auto"/>
        </w:rPr>
      </w:pPr>
    </w:p>
    <w:p>
      <w:pPr>
        <w:jc w:val="both"/>
        <w:ind w:right="140"/>
        <w:spacing w:after="0" w:line="252" w:lineRule="auto"/>
        <w:rPr>
          <w:sz w:val="20"/>
          <w:szCs w:val="20"/>
          <w:color w:val="auto"/>
        </w:rPr>
      </w:pPr>
      <w:r>
        <w:rPr>
          <w:rFonts w:ascii="Arial" w:cs="Arial" w:eastAsia="Arial" w:hAnsi="Arial"/>
          <w:sz w:val="18"/>
          <w:szCs w:val="18"/>
          <w:color w:val="auto"/>
        </w:rPr>
        <w:t>NB patients can also be placed into different risk groups from low, intermediate to high based on the stage and other prognostic factors. High-risk NB is defined as MYCN amplified Stage 2, 3, 4S and 4 in patients of any age and MYCN non-amplified Stage 4 in patients over 18 months of age.</w:t>
      </w:r>
    </w:p>
    <w:p>
      <w:pPr>
        <w:spacing w:after="0" w:line="17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There are approximately 700 children diagnosed with high-risk NB in the United States each year. We believe the European market is at least one and a half times the size of the U.S. market and that there are approximately 1,050 patients diagnosed with high-risk NB in Europe each year. We believe the current addressable market for DANYELZA consists of approximately 960 new front-line high-risk NB patients each year and 675 primary or second-line eligible R/R NB pediatric patients each year, representing approximately 40% of all pediatric patients diagnosed with NB in the United States and Europe, combined. Moreover, based on the protocol we have developed with MSK, between treatment and maintenance therapy, we believe that typically patients will receive five to ten treatment cycles of DANYELZA, each cycle consisting of three doses.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DANYELZA for pediatric relapsed or refractory high-risk neuroblastoma—current treatment landscape and associated limitations</w:t>
      </w:r>
    </w:p>
    <w:p>
      <w:pPr>
        <w:spacing w:after="0" w:line="21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Currently, front-line treatment for pediatric NB patients usually occurs in three stages: induction, consolidation, and maintenance. During the induction phase, patients receive chemotherapy, radiotherapy and possibly surgery to eliminate as much tumor tissue and as many tumor cells as possible. Commonly used agents for induction treatment include cisplatin, etoposide, doxorubicin, cyclophosphamide, and vincristine. Following surgery and/or radiotherapy, most patients enter into consolidation therapy with the goal of eliminating any residual tumor usually with single dose myeloablative agents (e.g. carboplatin-etoposide-melphalan) with stem cell support or an autologous stem cell transplant or repeated transplants with thiotepa-cyclophosphamide followed by cyclophosphamide, etoposide, and ranimustine. Many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treatment centers also use immunotherapy as part of the consolidation stage of treatment. Relapse is a frequent occurrence after consolidation.</w:t>
      </w:r>
    </w:p>
    <w:p>
      <w:pPr>
        <w:spacing w:after="0" w:line="235" w:lineRule="exact"/>
        <w:rPr>
          <w:sz w:val="20"/>
          <w:szCs w:val="20"/>
          <w:color w:val="auto"/>
        </w:rPr>
      </w:pPr>
    </w:p>
    <w:p>
      <w:pPr>
        <w:ind w:right="1000"/>
        <w:spacing w:after="0" w:line="269" w:lineRule="auto"/>
        <w:rPr>
          <w:sz w:val="20"/>
          <w:szCs w:val="20"/>
          <w:color w:val="auto"/>
        </w:rPr>
      </w:pPr>
      <w:r>
        <w:rPr>
          <w:rFonts w:ascii="Arial" w:cs="Arial" w:eastAsia="Arial" w:hAnsi="Arial"/>
          <w:sz w:val="18"/>
          <w:szCs w:val="18"/>
          <w:color w:val="auto"/>
        </w:rPr>
        <w:t>Other than DANYELZA, there are no approved therapies in the United States for R/R NB patients. Other treatments typically include chemotherapy, radiotherapy and other experimental therapies.</w:t>
      </w:r>
    </w:p>
    <w:p>
      <w:pPr>
        <w:spacing w:after="0" w:line="15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2015, the FDA and the EMA, approved Unituxin (dinutuximab), a monoclonal GD2 targeting antibody developed by United Therapeutics Corporation, or United Therapeutics, and administered in combination with GM-CSF, interleukin-2, or IL-2, and isotretinoin, also known as 13-cis-retinoic acid, for the treatment of pediatric patients with high-risk NB who achieve at least a partial response, or PR, to prior front-line multiagent, multimodality therapy. The marketing authorization for Unituxin was voluntarily withdrawn by United Therapeutics in the European Union in 2017. In 2017 the EMA approved Dinutuximab beta Apeiron (also known as dinutuximab beta, ch14.18/CHO, Isqette and currently being commercialized under the name Qarziba® in Europe), a monoclonal GD2 targeting antibody, for the treatment of high-risk NB in patients aged 12 months and older, who have had some improvement with previous treatments or patients whose NB has not improved with other cancer treatments or has relapsed.</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DANYELZA for pediatric relapsed or refractory high-risk neuroblastoma—clinical development program</w:t>
      </w:r>
    </w:p>
    <w:p>
      <w:pPr>
        <w:spacing w:after="0" w:line="210"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An earlier murine version of DANYELZA was studied in 17 clinical trials at MSK with a total of more than 800 patients over the last 25 years. DANYELZA has been studied in several clinical trials for the treatment of pediatric R/R NB and other diseases, of which Study 201, Study 15-096, Study 16-1643 and Study 17-251 are currently ongoing. The accelerated approval of DANYELZA by the FDA was based primarily on interim data from Study 201 and Study 12-230.</w:t>
      </w:r>
    </w:p>
    <w:p>
      <w:pPr>
        <w:spacing w:after="0" w:line="181" w:lineRule="exact"/>
        <w:rPr>
          <w:sz w:val="20"/>
          <w:szCs w:val="20"/>
          <w:color w:val="auto"/>
        </w:rPr>
      </w:pPr>
    </w:p>
    <w:p>
      <w:pPr>
        <w:ind w:right="200"/>
        <w:spacing w:after="0" w:line="211" w:lineRule="auto"/>
        <w:rPr>
          <w:sz w:val="20"/>
          <w:szCs w:val="20"/>
          <w:color w:val="auto"/>
        </w:rPr>
      </w:pPr>
      <w:r>
        <w:rPr>
          <w:rFonts w:ascii="Arial" w:cs="Arial" w:eastAsia="Arial" w:hAnsi="Arial"/>
          <w:sz w:val="18"/>
          <w:szCs w:val="18"/>
          <w:color w:val="auto"/>
        </w:rPr>
        <w:t xml:space="preserve">Study 12-230: Phase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Study of Combination Therapy of Antibody Naxitamab with Granulocyte-Macrophage Colony Stimulating Factor (GM-CSF) in Patients with Relapsed/Refractory High-Risk Neuroblastoma</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Phase 1 portion of study 12-230</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objective</w:t>
      </w:r>
    </w:p>
    <w:p>
      <w:pPr>
        <w:spacing w:after="0" w:line="210" w:lineRule="exact"/>
        <w:rPr>
          <w:sz w:val="20"/>
          <w:szCs w:val="20"/>
          <w:color w:val="auto"/>
        </w:rPr>
      </w:pPr>
    </w:p>
    <w:p>
      <w:pPr>
        <w:ind w:left="540" w:hanging="532"/>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establish the maximum tolerated dosage, or MTD, of naxitamab when combined with GM-CSF.</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Objectives</w:t>
      </w:r>
    </w:p>
    <w:p>
      <w:pPr>
        <w:spacing w:after="0" w:line="223" w:lineRule="exact"/>
        <w:rPr>
          <w:sz w:val="20"/>
          <w:szCs w:val="20"/>
          <w:color w:val="auto"/>
        </w:rPr>
      </w:pPr>
    </w:p>
    <w:p>
      <w:pPr>
        <w:ind w:left="540" w:hanging="532"/>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study the pharmacokinetics of naxitamab when combined with GM-CSF.</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assess activity of naxitamab plus GM-CSF against NB.</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quantitate pain during naxitamab and GM-CSF treatment.</w:t>
      </w:r>
    </w:p>
    <w:p>
      <w:pPr>
        <w:spacing w:after="0" w:line="211" w:lineRule="exact"/>
        <w:rPr>
          <w:rFonts w:ascii="Arial" w:cs="Arial" w:eastAsia="Arial" w:hAnsi="Arial"/>
          <w:sz w:val="18"/>
          <w:szCs w:val="18"/>
          <w:color w:val="auto"/>
        </w:rPr>
      </w:pPr>
    </w:p>
    <w:p>
      <w:pPr>
        <w:ind w:left="540" w:right="240" w:hanging="532"/>
        <w:spacing w:after="0" w:line="269"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study markers of granulocyte-mediated cytotoxicity and NK-mediated cytotoxicity, anti-naxitamab immunity, and anti-tumor immunity before and after treatment with naxitamab/GM-CSF.</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quantitate the response of NB in BM by quantitative reverse-transcription-polymerase chain reaction, or RT-PCR.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satisfying certain other criteria, patients must be over one year of age and must have been diagnosed with NB as defined by</w:t>
      </w:r>
    </w:p>
    <w:p>
      <w:pPr>
        <w:spacing w:after="0" w:line="18" w:lineRule="exact"/>
        <w:rPr>
          <w:sz w:val="20"/>
          <w:szCs w:val="20"/>
          <w:color w:val="auto"/>
        </w:rPr>
      </w:pPr>
    </w:p>
    <w:p>
      <w:pPr>
        <w:ind w:left="5400" w:right="1100" w:hanging="5392"/>
        <w:spacing w:after="0" w:line="494" w:lineRule="auto"/>
        <w:tabs>
          <w:tab w:leader="none" w:pos="216"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histopathology, or b) BM metastases or Meta-iodobenzylguanidine, or MIBG, avid lesion(s) plus high urine catecholamine levels. S-114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3613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40"/>
        <w:spacing w:after="0" w:line="252" w:lineRule="auto"/>
        <w:rPr>
          <w:sz w:val="20"/>
          <w:szCs w:val="20"/>
          <w:color w:val="auto"/>
        </w:rPr>
      </w:pPr>
      <w:r>
        <w:rPr>
          <w:rFonts w:ascii="Arial" w:cs="Arial" w:eastAsia="Arial" w:hAnsi="Arial"/>
          <w:sz w:val="18"/>
          <w:szCs w:val="18"/>
          <w:color w:val="auto"/>
        </w:rPr>
        <w:t>Patients must have R/R high-risk NB (including MYCN-amplified Stage 2, 3, 4, or 4S of any age and MYCN-non amplified Stage 4 in patients over 18 months of age) resistant to standard therapy. Standard therapy for these types of patients includes intensive induction chemotherapy, followed by a variety of consolidation or salvage therapies, depending on response.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Patients will be mainly children and adolescents.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1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Phase 1 portion of Study 12-230 assessed dose escalation of intravenous, or IV, naxitamab (days one, three, five) in the presence of subcutaneous GM-CSF (days minus four through five). These three doses of naxitamab and 10 days of GM-CSF constituted a single treatment cycle. Patients who completed 4 cycles without PD were eligible to continue treatment for up to 24 months. For the Phase 2 part of study, patient were eligible to continue treatment for up to 4 cycles after major clinical response was obtained again with a maximum treatment period of 24 months. The diagram below depicts the treatment schedule per cycle in Study 12-230: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126365</wp:posOffset>
            </wp:positionV>
            <wp:extent cx="5194935" cy="14490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519493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Phase 2 portion of study 12-230</w:t>
      </w:r>
    </w:p>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Study 12-230 protocol was amended in May 2016 to include an expansion Phase 2 portion. In October 2020, topline results from the first 71 patients (including 29 NED patients) in this Phase 2 study were presented, which continued to show response rates at the same levels as in the dose escalation part of the study with 13 of 15 evaluable, or 87% of, primary refractory patients responding and 7 of 23 evaluable, or 30% of, secondary refractory patients responding.</w:t>
      </w:r>
    </w:p>
    <w:p>
      <w:pPr>
        <w:spacing w:after="0" w:line="177"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 expansion Phase 2 single-arm portion of Study 12-230 was designed to assess the anti-NB activity of naxitamab and GM-CSF in patients who presented with lesions that could be objectively measured and/or monitored by 123I-MIBG scans and who were deemed to have measurable disease and be eligible for response classification by the INRC classification incorporating 123I-MIBG scans. These patients were classified as having evaluable disease and consisted of patients that were primary refractory patients or secondary refractory patients. Another group of patients included those with NED but with a high-risk of relapse.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satisfying certain other criteria, patients must be over one year of age and will be mainly children and adolescents.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objectives</w:t>
      </w:r>
    </w:p>
    <w:p>
      <w:pPr>
        <w:spacing w:after="0" w:line="210" w:lineRule="exact"/>
        <w:rPr>
          <w:sz w:val="20"/>
          <w:szCs w:val="20"/>
          <w:color w:val="auto"/>
        </w:rPr>
      </w:pPr>
    </w:p>
    <w:p>
      <w:pPr>
        <w:ind w:left="540" w:right="460" w:hanging="532"/>
        <w:spacing w:after="0" w:line="269"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Group 1: (NED patients) To assess the impact of naxitamab and GM-CSF on PFS in patients in greater than or equal to second CR/very good partial response, or VGPR, but at high-risk of another relapse.</w:t>
      </w:r>
    </w:p>
    <w:p>
      <w:pPr>
        <w:spacing w:after="0" w:line="157" w:lineRule="exact"/>
        <w:rPr>
          <w:rFonts w:ascii="Arial" w:cs="Arial" w:eastAsia="Arial" w:hAnsi="Arial"/>
          <w:sz w:val="18"/>
          <w:szCs w:val="18"/>
          <w:color w:val="auto"/>
        </w:rPr>
      </w:pPr>
    </w:p>
    <w:p>
      <w:pPr>
        <w:ind w:left="540" w:right="260" w:hanging="532"/>
        <w:spacing w:after="0" w:line="269"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Group 2: To assess the activity of naxitamab and GM-CSF in patients who have primary refractory disease in the bone and BM by measuring response and by calculating PFS.</w:t>
      </w:r>
    </w:p>
    <w:p>
      <w:pPr>
        <w:spacing w:after="0" w:line="143" w:lineRule="exact"/>
        <w:rPr>
          <w:rFonts w:ascii="Arial" w:cs="Arial" w:eastAsia="Arial" w:hAnsi="Arial"/>
          <w:sz w:val="18"/>
          <w:szCs w:val="18"/>
          <w:color w:val="auto"/>
        </w:rPr>
      </w:pPr>
    </w:p>
    <w:p>
      <w:pPr>
        <w:ind w:left="540" w:right="40" w:hanging="532"/>
        <w:spacing w:after="0" w:line="269"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Group 3: To assess the activity of naxitamab and GM-CSF in patients who have secondary refractory disease in the bone and BM by measuring response and by calculating PFS.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objectives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 patients with primary refractory or relapsed disease (groups 1 and 3):</w:t>
      </w:r>
    </w:p>
    <w:p>
      <w:pPr>
        <w:spacing w:after="0" w:line="212" w:lineRule="exact"/>
        <w:rPr>
          <w:sz w:val="20"/>
          <w:szCs w:val="20"/>
          <w:color w:val="auto"/>
        </w:rPr>
      </w:pPr>
    </w:p>
    <w:p>
      <w:pPr>
        <w:ind w:left="540" w:hanging="532"/>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evaluate the PFS from the start of hu3F8+GM-CSF treatment.</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evaluate human anti-human antibody (HAHA).</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patients in &gt;2nd CR (Group 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evaluate PFS from the start of hu3F8+GM-CSF treatment.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Evaluate event free survival (EFS) from the start of hu3F8+GM-CSF treatment.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all patients: To evaluate the safety of naxitamab</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Study 12-230 is now closed for recruitment.</w:t>
      </w:r>
    </w:p>
    <w:p>
      <w:pPr>
        <w:spacing w:after="0" w:line="214" w:lineRule="exact"/>
        <w:rPr>
          <w:sz w:val="20"/>
          <w:szCs w:val="20"/>
          <w:color w:val="auto"/>
        </w:rPr>
      </w:pPr>
    </w:p>
    <w:p>
      <w:pPr>
        <w:ind w:left="720" w:right="340" w:hanging="179"/>
        <w:spacing w:after="0" w:line="267" w:lineRule="auto"/>
        <w:rPr>
          <w:sz w:val="20"/>
          <w:szCs w:val="20"/>
          <w:color w:val="auto"/>
        </w:rPr>
      </w:pPr>
      <w:r>
        <w:rPr>
          <w:rFonts w:ascii="Arial" w:cs="Arial" w:eastAsia="Arial" w:hAnsi="Arial"/>
          <w:sz w:val="18"/>
          <w:szCs w:val="18"/>
          <w:i w:val="1"/>
          <w:iCs w:val="1"/>
          <w:color w:val="auto"/>
        </w:rPr>
        <w:t>Study 201: A Phase 2 Trial of Antibody Naxitamab and Granulocyte-Macrophage Colony Stimulating Factor (GM-CSF) in High-Risk Neuroblastoma Patients with Primary or Secondary Refractory Osteomedullary Disease</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Study 201 is a single-arm multi-center pivotal study using current Good Manufacturing Practices, or cGMP, manufactured naxitamab, which commenced recruitment in the second quarter of 2018. We have completed the initial enrollment target of 37 patients and continue recruitment at all sites outside the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1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 addition to satisfying certain other criteria, patients must have high-risk NB with primary or secondary refractory osteomedullary disease. Primary refractory disease is defined as no prior relapse but incomplete response to treatment in BM as documented by histology and/or 123I-MIBG scan. Secondary refractory disease is defined as prior relapse and incomplete response to salvage therapy in BM as documented by histology and/or 123I-MIBG scan. Patients must be older than one year of age.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Study 201 follows the same treatment protocol as previously described for Study 12-230 above.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Objective</w:t>
      </w:r>
    </w:p>
    <w:p>
      <w:pPr>
        <w:spacing w:after="0" w:line="210" w:lineRule="exact"/>
        <w:rPr>
          <w:sz w:val="20"/>
          <w:szCs w:val="20"/>
          <w:color w:val="auto"/>
        </w:rPr>
      </w:pPr>
    </w:p>
    <w:p>
      <w:pPr>
        <w:ind w:left="540" w:hanging="532"/>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evaluate the efficacy of IV naxitamab and GM-CSF.</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Objectives</w:t>
      </w:r>
    </w:p>
    <w:p>
      <w:pPr>
        <w:spacing w:after="0" w:line="223" w:lineRule="exact"/>
        <w:rPr>
          <w:sz w:val="20"/>
          <w:szCs w:val="20"/>
          <w:color w:val="auto"/>
        </w:rPr>
      </w:pPr>
    </w:p>
    <w:p>
      <w:pPr>
        <w:ind w:left="540" w:hanging="532"/>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evaluate the safety of IV naxitamab and GM-CSF.</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40" w:hanging="532"/>
        <w:spacing w:after="0" w:line="269"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evaluate the duration of response from the start of naxitamab and GM-CSF. Duration of response is defined as the length of time from patient response to PD.</w:t>
      </w:r>
    </w:p>
    <w:p>
      <w:pPr>
        <w:spacing w:after="0" w:line="157" w:lineRule="exact"/>
        <w:rPr>
          <w:rFonts w:ascii="Arial" w:cs="Arial" w:eastAsia="Arial" w:hAnsi="Arial"/>
          <w:sz w:val="18"/>
          <w:szCs w:val="18"/>
          <w:color w:val="auto"/>
        </w:rPr>
      </w:pPr>
    </w:p>
    <w:p>
      <w:pPr>
        <w:ind w:left="540" w:hanging="532"/>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evaluate PFS of naxitamab and GM-CSF.</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evaluate median OS at two years following naxitamab and GM-CSF.</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evaluate the pharmacokinetics of naxitamab and investigate the formation of HAHAs.</w:t>
      </w:r>
    </w:p>
    <w:p>
      <w:pPr>
        <w:spacing w:after="0" w:line="21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initiated Study 201 to form the primary basis for our BLA, to establish comparability of study population with Study 12-230 and to satisfy the confirmatory study and post-marketing requirements by the FDA. The FDA granted approval under the accelerated approval regulation. The postmarketing clinical trial required by the FDA to verify and to further characterize the clinical benefit of our ongoing Study 201, which will enroll a minimum of 80 patients and report ORR, DOR, PFS or OS. The ORR is the primary endpoint for the study, DOR is the secondary endpoint, PFS and OS are secondary endpoints in long-term follow up. As of February 1, 2021 we have enrolled 54 patients and we anticipate completing the study no later than March 31, 2027.</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Study 16-1643: Naxitamab/GM-CSF Immunotherapy Plus Isotretinoin for Consolidation of First Remission of Patients with High-Risk</w:t>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Neuroblastoma: A Phase 2 Study</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Study 16-1643 is a Phase 2 single-arm clinical trial where patients with high-risk NB in first CR/VGPR undergo consolidation with naxitamab and GM-CSF for five cycles and isotretinoin for six cycles. The primary objective of the study is to determine relapse-free survival following treatment with naxitamab combined with GM-CSF and isotretinoin.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2021, 59 patients had completed enrollment in the study which constituted full accrual.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1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In addition to satisfying certain other criteria, patients must have a diagnosis of NB as defined by a) histopathology, or b) BM metastases or MIBG-avid lesion(s) plus high urine catecholamine levels. Patients must have high-risk NB (MYCN-amplified Stage 2, 3, 4, and 4S of any age and MYCN-nonamplified Stage 4 in patients above 18 months of age). Patients must be in first CR/VGPR.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Patients will mainly be children and adolescents.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1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dosing and regimen for naxitamab and GM-CSF is similar to the protocol in Study 12-230. Naxitamab and GM-CSF is given for five cycles and isotretinoin for six cycles. In addition to naxitamab and GM-CSF, isotretinoin, which has been shown to decrease the risk of relapse in patients treated in CR, is administered at 160mg/m2/d, divided into two doses, for 14 days. This treatment can be repeated after a minimum rest period of 14 days, for a total of six cycles starting after two cycles of naxitamab and GM-CSF unless HAHA develops and precludes timely administration of cycle 2 of naxitamab and GM-CSF. The interval between the end of a treatment cycle of naxitamab and GM-CSF and start of next treatment cycle is two to four weeks through cycle 4, then the interval is up to six to eight weeks until cycle 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Objective</w:t>
      </w:r>
    </w:p>
    <w:p>
      <w:pPr>
        <w:spacing w:after="0" w:line="223" w:lineRule="exact"/>
        <w:rPr>
          <w:sz w:val="20"/>
          <w:szCs w:val="20"/>
          <w:color w:val="auto"/>
        </w:rPr>
      </w:pPr>
    </w:p>
    <w:p>
      <w:pPr>
        <w:ind w:left="540" w:hanging="532"/>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determine two years relapse-free survival.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Objective</w:t>
      </w:r>
    </w:p>
    <w:p>
      <w:pPr>
        <w:spacing w:after="0" w:line="210" w:lineRule="exact"/>
        <w:rPr>
          <w:sz w:val="20"/>
          <w:szCs w:val="20"/>
          <w:color w:val="auto"/>
        </w:rPr>
      </w:pPr>
    </w:p>
    <w:p>
      <w:pPr>
        <w:ind w:left="540" w:hanging="532"/>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determine MRD by using BM specimens.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results</w:t>
      </w:r>
    </w:p>
    <w:p>
      <w:pPr>
        <w:spacing w:after="0" w:line="212"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One patient was reported with an unexpected neuropathic event. The patient suffered from short-term lower limb paralysis that resolved upon hospitalization treatment. The investigator described the event as myelitis.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Study 11-009: Phase 1 Study of Naxitamab Monoclonal Antibody in Patients with High-Risk Neuroblastoma and GD2-Positive Tumors</w:t>
      </w:r>
    </w:p>
    <w:p>
      <w:pPr>
        <w:spacing w:after="0" w:line="21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Study 11-009 is a Phase 1 clinical dose escalation study with IV naxitamab given as monotherapy in patients with high-risk NB or other GD2-positive tumors. Safety data from this study was used to support our BLA submission for naxitamab in pediatric R/R high-risk NB. The study closed accrual with 68 patients enrolled. The primary objective of the study is to establish the MTD of naxitamab. The secondary objectives are to study the pharmacokinetics, to assess activity of naxitamab against NB and other GD2-positive tumors, and to quantitate pain during naxitamab treatment.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Two patients experienced reversible DLT of elevated transaminases.</w:t>
      </w:r>
    </w:p>
    <w:p>
      <w:pPr>
        <w:spacing w:after="0" w:line="214" w:lineRule="exact"/>
        <w:rPr>
          <w:sz w:val="20"/>
          <w:szCs w:val="20"/>
          <w:color w:val="auto"/>
        </w:rPr>
      </w:pPr>
    </w:p>
    <w:p>
      <w:pPr>
        <w:ind w:left="720" w:right="600" w:hanging="179"/>
        <w:spacing w:after="0" w:line="267" w:lineRule="auto"/>
        <w:rPr>
          <w:sz w:val="20"/>
          <w:szCs w:val="20"/>
          <w:color w:val="auto"/>
        </w:rPr>
      </w:pPr>
      <w:r>
        <w:rPr>
          <w:rFonts w:ascii="Arial" w:cs="Arial" w:eastAsia="Arial" w:hAnsi="Arial"/>
          <w:sz w:val="18"/>
          <w:szCs w:val="18"/>
          <w:i w:val="1"/>
          <w:iCs w:val="1"/>
          <w:color w:val="auto"/>
        </w:rPr>
        <w:t>Study 17-251: Pilot Study of Naxitamab, Irinotecan/Temozolomide and Sargramostim (HITS) Chemoimmunotherapy for High-Risk Neuroblastoma</w:t>
      </w:r>
    </w:p>
    <w:p>
      <w:pPr>
        <w:spacing w:after="0" w:line="15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Study 17-251 is a ongoing single arm pilot, Phase 2 study at MSK in high-risk R/R NB patients with soft tissue disease. Patients will be treated with naxitamab in combination with irinotecan, temozolomide and sargramostim, or HITS. As of January 2021, 46 patients have been enrolled in the study. If the regimen is found to be acceptable, then we plan to initiate a multicenter Phase 2 study.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12" w:lineRule="exact"/>
        <w:rPr>
          <w:sz w:val="20"/>
          <w:szCs w:val="20"/>
          <w:color w:val="auto"/>
        </w:rPr>
      </w:pPr>
    </w:p>
    <w:p>
      <w:pPr>
        <w:ind w:right="1060"/>
        <w:spacing w:after="0" w:line="269" w:lineRule="auto"/>
        <w:rPr>
          <w:sz w:val="20"/>
          <w:szCs w:val="20"/>
          <w:color w:val="auto"/>
        </w:rPr>
      </w:pPr>
      <w:r>
        <w:rPr>
          <w:rFonts w:ascii="Arial" w:cs="Arial" w:eastAsia="Arial" w:hAnsi="Arial"/>
          <w:sz w:val="18"/>
          <w:szCs w:val="18"/>
          <w:color w:val="auto"/>
        </w:rPr>
        <w:t>In addition to satisfying certain other criteria, the patients must have a diagnosis of NB as defined by international criteria, including histopathology or bone marrow metastases plus high urine catecholamine levels.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High-risk NB is defined as any of the following:</w:t>
      </w:r>
    </w:p>
    <w:p>
      <w:pPr>
        <w:spacing w:after="0" w:line="212" w:lineRule="exact"/>
        <w:rPr>
          <w:sz w:val="20"/>
          <w:szCs w:val="20"/>
          <w:color w:val="auto"/>
        </w:rPr>
      </w:pPr>
    </w:p>
    <w:p>
      <w:pPr>
        <w:ind w:left="540" w:hanging="532"/>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Stage 4 with MYCN amplification (any age)</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Stage 4 without MYCN amplification (greater than one and a half years of age)</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Stage 3 with MYCN amplification (unresectable; any age)</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Stage 4S with MYCN amplification (any age)</w:t>
      </w:r>
    </w:p>
    <w:p>
      <w:pPr>
        <w:spacing w:after="0" w:line="212" w:lineRule="exact"/>
        <w:rPr>
          <w:sz w:val="20"/>
          <w:szCs w:val="20"/>
          <w:color w:val="auto"/>
        </w:rPr>
      </w:pPr>
    </w:p>
    <w:p>
      <w:pPr>
        <w:ind w:right="580"/>
        <w:spacing w:after="0" w:line="269" w:lineRule="auto"/>
        <w:rPr>
          <w:sz w:val="20"/>
          <w:szCs w:val="20"/>
          <w:color w:val="auto"/>
        </w:rPr>
      </w:pPr>
      <w:r>
        <w:rPr>
          <w:rFonts w:ascii="Arial" w:cs="Arial" w:eastAsia="Arial" w:hAnsi="Arial"/>
          <w:sz w:val="18"/>
          <w:szCs w:val="18"/>
          <w:color w:val="auto"/>
        </w:rPr>
        <w:t>Patients must have a history of tumor progression or relapse or failure to achieve CR following standard therapy. Patients must also have evaluable disease documented after completion of prior systemic therapy.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Each cycle consists of four doses of naxitamab, five doses each of irinotecan and temozolomide and five doses of sargramostim. Irinotecan 50mg/m2/day IV will be administered from day one through five concurrently with temozolomide 150mg/m2/day orally. Naxitamab 2.25mg/kg IV will be administered on days two, four, eight and 10. Sargramostim 250mg/m2/day subcutaneous will be administered from day six through 10. If patients do not experience significant toxicity they will commence a second cycle four to six</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color w:val="auto"/>
        </w:rPr>
        <w:t>weeks after the first cycle. If there is no progressive disease and patients do not experience significant toxicity they may receive combination therapy up to two years.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objective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evaluate the safety of HITS in patients with NB</w:t>
      </w:r>
    </w:p>
    <w:p>
      <w:pPr>
        <w:spacing w:after="0" w:line="200" w:lineRule="exact"/>
        <w:rPr>
          <w:sz w:val="20"/>
          <w:szCs w:val="20"/>
          <w:color w:val="auto"/>
        </w:rPr>
      </w:pPr>
    </w:p>
    <w:p>
      <w:pPr>
        <w:sectPr>
          <w:pgSz w:w="11900" w:h="16838" w:orient="portrait"/>
          <w:cols w:equalWidth="0" w:num="2">
            <w:col w:w="200" w:space="340"/>
            <w:col w:w="10680"/>
          </w:cols>
          <w:pgMar w:left="320" w:top="121" w:right="35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SecondaryObjective</w:t>
      </w:r>
    </w:p>
    <w:p>
      <w:pPr>
        <w:sectPr>
          <w:pgSz w:w="11900" w:h="16838" w:orient="portrait"/>
          <w:cols w:equalWidth="0" w:num="1">
            <w:col w:w="11220"/>
          </w:cols>
          <w:pgMar w:left="320" w:top="121" w:right="359" w:bottom="1440" w:gutter="0" w:footer="0" w:header="0"/>
          <w:type w:val="continuous"/>
        </w:sect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evaluate tumor responses to HITS in patients with NB</w:t>
      </w:r>
    </w:p>
    <w:p>
      <w:pPr>
        <w:spacing w:after="0" w:line="200" w:lineRule="exact"/>
        <w:rPr>
          <w:sz w:val="20"/>
          <w:szCs w:val="20"/>
          <w:color w:val="auto"/>
        </w:rPr>
      </w:pPr>
    </w:p>
    <w:p>
      <w:pPr>
        <w:sectPr>
          <w:pgSz w:w="11900" w:h="16838" w:orient="portrait"/>
          <w:cols w:equalWidth="0" w:num="2">
            <w:col w:w="200" w:space="340"/>
            <w:col w:w="10680"/>
          </w:cols>
          <w:pgMar w:left="320" w:top="121" w:right="35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Currently, no published safety data is available for this study.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DANYELZA for the treatment of relapsed osteosarcoma</w:t>
      </w:r>
    </w:p>
    <w:p>
      <w:pPr>
        <w:spacing w:after="0" w:line="21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DANYELZA is currently being evaluated in an ongoing Phase 2 clinical study (Study 15-096) for the treatment of patients with relapsed osteosarcoma that have been rendered surgically free of evident disease. As of January 2021, 33 patients had been enrolled and we expect to enroll a total of 39 patients. The trial is designed to distinguish between 12-month EFS of 30% versus 50%.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osteosarcoma</w:t>
      </w:r>
    </w:p>
    <w:p>
      <w:pPr>
        <w:spacing w:after="0" w:line="21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Osteosarcoma is the most commonly diagnosed primary malignancy of bone, particularly among children and adolescents. It is relatively rare and represents less than one percent of all cancers diagnosed in the United States. According to the ACS, most osteosarcomas occur in children and adolescents between the ages of 10 and 30. In young patients, it most often arises in the metaphyses of long bones, such as the distal femur, proximal tibia, and proximal humerus.</w:t>
      </w:r>
    </w:p>
    <w:p>
      <w:pPr>
        <w:spacing w:after="0" w:line="17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Each year, approximately 1,000 new patients are diagnosed with osteosarcoma in the United States. Assuming similar prevalence as in the United States, we estimate approximately 1,500 patients diagnosed with osteosarcoma per year in Europe. If approved, we would expect to treat approximately 300 patients per year in the United States and Europe, combined.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DANYELZA for relapsed osteosarcoma—current treatment landscape and associated limitations</w:t>
      </w:r>
    </w:p>
    <w:p>
      <w:pPr>
        <w:spacing w:after="0" w:line="21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Current treatment options for front-line and relapsed osteosarcoma consist of surgery, chemotherapy, radiotherapy, or a combination of the three. Multimodality treatment is increasingly recognized as an important approach for increasing a patient's chance of prolonged survival. Approximately 50% to 70% of patients treated with aggressive surgical resection and systemic therapy (combination methotrexate, doxorubicin, and cisplatin chemotherapy) achieve long-term EFS if they have localized disease at diagnosis. However, as discussed below, the prognosis for patients with metastatic disease at diagnosis or those with relapsed disease is very poor. Over the past three decades, several attempts at improving the prognosis for these patients have achieved little success. Strategies that incorporated dose-intensification of existing agents or addition of other conventional chemotherapeutic agents as well as biological agents, have not achieved long-term benefit in patients with relapsed osteosarcoma. We believe that at present, there are no novel compounds that have demonstrated activity in relapsed osteosarcoma and few therapeutic options exist for patients with relapsed disease.</w:t>
      </w:r>
    </w:p>
    <w:p>
      <w:pPr>
        <w:spacing w:after="0" w:line="18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poor prognosis in relapsed osteosarcoma has been confirmed in several reports. A study from the Cooperative Osteosarcoma Study Group reported that while only one of 205 patients with recurrence survived past five years without surgical resection, the five-year OS and EFS rates were 32% and 18% for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second recurrence, 26% and 0% for third recurrence, 28% and 13% for fourth recurrence, and 53% and 0% for fifth recurrence, respectively, in which a renewed surgical remission was achieved.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DANYELZA for relapsed osteosarcoma—clinical development program</w:t>
      </w:r>
    </w:p>
    <w:p>
      <w:pPr>
        <w:spacing w:after="0" w:line="21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Currently, DANYELZA is being evaluated in an ongoing Phase 2 clinical trial (Study 15-096) for the treatment of relapsed osteosarcoma. This Phase 2 clinical trial is designed to assess the efficacy of DANYELZA when combined with GM-CSF in patients with relapsed osteosarcoma who have been rendered surgically free of evident disease. The study commenced in July 2015, and as of January 2021, 33 patients had been enrolled. We expect to recruit a total of 39 patients at a total of three US sites. This trial is designed to distinguish between a 12-month EFS of 30% versus 50%.</w:t>
      </w:r>
    </w:p>
    <w:p>
      <w:pPr>
        <w:spacing w:after="0" w:line="181"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Study 15-096: A Phase 2 Study of Monoclonal Antibody Naxitamab with Granulocyte-Macrophage Colony Stimulating Factor (GM-CSF) in the Treatment of Recurrent Osteosarcoma</w:t>
      </w:r>
    </w:p>
    <w:p>
      <w:pPr>
        <w:spacing w:after="0" w:line="159" w:lineRule="exact"/>
        <w:rPr>
          <w:sz w:val="20"/>
          <w:szCs w:val="20"/>
          <w:color w:val="auto"/>
        </w:rPr>
      </w:pPr>
    </w:p>
    <w:p>
      <w:pPr>
        <w:ind w:left="720" w:right="140" w:hanging="179"/>
        <w:spacing w:after="0" w:line="267" w:lineRule="auto"/>
        <w:rPr>
          <w:sz w:val="20"/>
          <w:szCs w:val="20"/>
          <w:color w:val="auto"/>
        </w:rPr>
      </w:pPr>
      <w:r>
        <w:rPr>
          <w:rFonts w:ascii="Arial" w:cs="Arial" w:eastAsia="Arial" w:hAnsi="Arial"/>
          <w:sz w:val="18"/>
          <w:szCs w:val="18"/>
          <w:i w:val="1"/>
          <w:iCs w:val="1"/>
          <w:color w:val="auto"/>
        </w:rPr>
        <w:t>Study 15-096 is a Phase 2 clinical trial to assess the efficacy of the humanized anti-GD2 antibody, naxitamab, when combined with GM-CSF, in patients with recurrent osteosarcoma who have been rendered surgically free of evident disease.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12"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color w:val="auto"/>
        </w:rPr>
        <w:t>In addition to satisfying certain other criteria, patients must be older than one year and up to 40 years of age. To enroll, patients must have a diagnosis of relapsed osteosarcoma. Patients must also be in or beyond their second CR.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1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Each cycle of therapy is 10 days. The treatment protocol defined one cycle of treatment with IV naxitamab at a dose of 2.4 mg/kg/dose for three days (days one, three, and five) in the presence of subcutaneous GM-CSF (administered on day minus four before dose one of naxitamab). These three doses of naxitamab with GM-CSF administered subcutaneously before dose one of naxitamab constitute a treatment cycle. Cycles can be repeated at two to four week intervals between first days of naxitamab, through five cycles. A maximum of five cycles were administered on protocol. No simultaneous anti-cancer therapy was permitted while on study.</w:t>
      </w:r>
    </w:p>
    <w:p>
      <w:pPr>
        <w:spacing w:after="0" w:line="181"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The primary objective of the study is to evaluate EFS at 12 months and secondary objectives are to evaluate time to recurrence, OS and toxicity associated with naxitamab and GM-CSF.</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Omburtamab overview</w:t>
      </w:r>
    </w:p>
    <w:p>
      <w:pPr>
        <w:spacing w:after="0" w:line="224" w:lineRule="exact"/>
        <w:rPr>
          <w:sz w:val="20"/>
          <w:szCs w:val="20"/>
          <w:color w:val="auto"/>
        </w:rPr>
      </w:pPr>
    </w:p>
    <w:p>
      <w:pPr>
        <w:ind w:right="540"/>
        <w:spacing w:after="0" w:line="278" w:lineRule="auto"/>
        <w:rPr>
          <w:sz w:val="20"/>
          <w:szCs w:val="20"/>
          <w:color w:val="auto"/>
        </w:rPr>
      </w:pPr>
      <w:r>
        <w:rPr>
          <w:rFonts w:ascii="Arial" w:cs="Arial" w:eastAsia="Arial" w:hAnsi="Arial"/>
          <w:sz w:val="16"/>
          <w:szCs w:val="16"/>
          <w:color w:val="auto"/>
        </w:rPr>
        <w:t>Omburtamab is a novel murine monoclonal antibody currently designed for compartmental immunotherapy, for example in the CNS. Omburtamab targets B7-H3, an immune checkpoint molecule that is widely expressed in tumor cells of several types of cancers. We have</w:t>
      </w:r>
    </w:p>
    <w:p>
      <w:pPr>
        <w:ind w:right="140"/>
        <w:spacing w:after="0" w:line="215" w:lineRule="auto"/>
        <w:rPr>
          <w:sz w:val="20"/>
          <w:szCs w:val="20"/>
          <w:color w:val="auto"/>
        </w:rPr>
      </w:pPr>
      <w:r>
        <w:rPr>
          <w:rFonts w:ascii="Arial" w:cs="Arial" w:eastAsia="Arial" w:hAnsi="Arial"/>
          <w:sz w:val="17"/>
          <w:szCs w:val="17"/>
          <w:color w:val="auto"/>
        </w:rPr>
        <w:t>radiolabeled omburtamab with either Iodine-131 (</w:t>
      </w:r>
      <w:r>
        <w:rPr>
          <w:rFonts w:ascii="Arial" w:cs="Arial" w:eastAsia="Arial" w:hAnsi="Arial"/>
          <w:sz w:val="28"/>
          <w:szCs w:val="28"/>
          <w:color w:val="auto"/>
          <w:vertAlign w:val="superscript"/>
        </w:rPr>
        <w:t>131</w:t>
      </w:r>
      <w:r>
        <w:rPr>
          <w:rFonts w:ascii="Arial" w:cs="Arial" w:eastAsia="Arial" w:hAnsi="Arial"/>
          <w:sz w:val="17"/>
          <w:szCs w:val="17"/>
          <w:color w:val="auto"/>
        </w:rPr>
        <w:t>I-omburtamab) or Iodine-124 (</w:t>
      </w:r>
      <w:r>
        <w:rPr>
          <w:rFonts w:ascii="Arial" w:cs="Arial" w:eastAsia="Arial" w:hAnsi="Arial"/>
          <w:sz w:val="28"/>
          <w:szCs w:val="28"/>
          <w:color w:val="auto"/>
          <w:vertAlign w:val="superscript"/>
        </w:rPr>
        <w:t>124</w:t>
      </w:r>
      <w:r>
        <w:rPr>
          <w:rFonts w:ascii="Arial" w:cs="Arial" w:eastAsia="Arial" w:hAnsi="Arial"/>
          <w:sz w:val="17"/>
          <w:szCs w:val="17"/>
          <w:color w:val="auto"/>
        </w:rPr>
        <w:t xml:space="preserve">I-omburtamab). </w:t>
      </w:r>
      <w:r>
        <w:rPr>
          <w:rFonts w:ascii="Arial" w:cs="Arial" w:eastAsia="Arial" w:hAnsi="Arial"/>
          <w:sz w:val="28"/>
          <w:szCs w:val="28"/>
          <w:color w:val="auto"/>
          <w:vertAlign w:val="superscript"/>
        </w:rPr>
        <w:t>131</w:t>
      </w:r>
      <w:r>
        <w:rPr>
          <w:rFonts w:ascii="Arial" w:cs="Arial" w:eastAsia="Arial" w:hAnsi="Arial"/>
          <w:sz w:val="17"/>
          <w:szCs w:val="17"/>
          <w:color w:val="auto"/>
        </w:rPr>
        <w:t xml:space="preserve">I-omburtamab is currently in pivotal stage development for the treatment of pediatric CNS/LM from NB and was granted BTD in this indication in 2017. In 2016, </w:t>
      </w:r>
      <w:r>
        <w:rPr>
          <w:rFonts w:ascii="Arial" w:cs="Arial" w:eastAsia="Arial" w:hAnsi="Arial"/>
          <w:sz w:val="28"/>
          <w:szCs w:val="28"/>
          <w:color w:val="auto"/>
          <w:vertAlign w:val="superscript"/>
        </w:rPr>
        <w:t>131</w:t>
      </w:r>
      <w:r>
        <w:rPr>
          <w:rFonts w:ascii="Arial" w:cs="Arial" w:eastAsia="Arial" w:hAnsi="Arial"/>
          <w:sz w:val="17"/>
          <w:szCs w:val="17"/>
          <w:color w:val="auto"/>
        </w:rPr>
        <w:t>I-omburtamab was granted ODD and RPDD, in each case, for the treatment of NB. The RPDD qualifies us for receipt of a PRV upon approval of omburtamab for treatment of NB, if such approval occurs. An analysis of 107 patients treated through June 2019 demonstrated median OS of 50.8 months (including a five-year median OS of approximately 44%), as compared to historical median OS of approximately six to nine months.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5"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 xml:space="preserve">We submitted a BLA to the FDA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CNS/LM from NB in August 2020 and received a Refusal to File from the FDA in October 2020. The reason for the FDA's decision to issue the Refusal to File letter was that upon preliminary review, the FDA determined that certain parts of the Chemistry, Manufacturing and Control (CMC) Module and the Clinical Module of the BLA required further detail. We are in the process of preparing a resubmission of the BLA and we plan to continue to discuss our resubmission plans with the FDA, including a meeting in March 2021 in order to amend the BLA. We have been working closely with the FDA to resolve these issues and have a meeting with the FDA scheduled for March 26, 2021, to discuss the adequacy of the external control reanalysis and supporting data to demonstrate direct anti-tumor effect for a BLA resubmission. Assuming a positive outcome of these discussions, we expect to resubmit our BLA for omburtamab by the end of the second quarter of 2021 or the third quarter of 2021. However, we can provide no assurance that the FDA will agree with our proposal or that we will be successful in resubmitting our BLA for omburtamab in this timeline. In addition, radiolabeled omburtamab is in clinical development for two additional rare pediatric cancers, DSRCT, currently in Phase 2 and DIPG, currently in Phase 1. The most recent set of DSRCT data was presented in November 2019. We believe that we are well positioned to submit sBLAs in each of these two indications, assuming positive results in the respective Phase 2 clinical trials, after the potential approval of our BLA for 131I omburtamab for CNS/LM from NB. Further, we believe that omburtamab has the potential to address CNS/LM metastasis from several other tumors in children and adults that express B7 H3 such as prostate, ovarian, breast, colon, renal, non small cell lung, pancreatic, head and neck cancers, as well as melanoma, glioblastoma, and NB and other small round blue cell tumors of childhood.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B7-H3 overview</w:t>
      </w:r>
    </w:p>
    <w:p>
      <w:pPr>
        <w:spacing w:after="0" w:line="21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B7-H3 is a member of the B7 family of immune-regulatory ligands. The family includes B7-1, B7-2, PD-L1, PD-L2, B7-H3, B7-H4, B7-H6 and their ligands on T-cells PD-1, CD28, CTLA-4 and ICOS. B7-H3 is highly expressed on many solid cancers and displays high tumor-versus-normal tissue binding differential. In mice, studies have shown that members of the B7 family have the capability to regulate the immune system through both stimulatory and inhibitory signals. Inhibition of certain members of the B7 family has been shown to have significant anti-tumor effects in several solid tumor types. As such, we believe that B7-H3 is a promising target for designing targeted therapeutics with a range of modalities.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B7-H3 expression in various cancer types</w:t>
      </w:r>
    </w:p>
    <w:p>
      <w:pPr>
        <w:spacing w:after="0" w:line="210"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Studies have shown that B7-H3 is highly expressed on a variety of solid cancer tumors, including prostate, ovarian, breast, colon, renal, non-small cell lung, pancreatic, head and neck cancers, as well as melanoma, glioblastoma, and NB and other small round blue cell tumors of childhood. In addition, a high degree of B7-H3 expression on solid tumors has been correlated with greater disease severity, poor outcomes and worse median OS in a number of these cancer types.</w:t>
      </w:r>
    </w:p>
    <w:p>
      <w:pPr>
        <w:spacing w:after="0" w:line="177"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We believe there is a large market opportunity for the treatment of solid tumors that express B7-H3, with hundreds of thousands of new cases estimated in the United States each year. Based on our review of published research, we believe that B7-H3 expression occurs in a range of 70% to 100% of tumor samples for various cancer types, which makes B7-H3 a promising immunotherapy target. Our literature review also revealed that B7-H3 expression on the systemic tumor is replicated in the metastasized tumor. While our clinical development efforts for omburtamab are currently focused on rare pediatric cancers, we believe we have the potential to expand omburtamab's application to both the treatment of CNS/LM from solid tumors that express B7-H3 and the underlying solid systemic tumor. As part of Study 03-133, we have also</w:t>
      </w:r>
    </w:p>
    <w:p>
      <w:pPr>
        <w:spacing w:after="0" w:line="4" w:lineRule="exact"/>
        <w:rPr>
          <w:sz w:val="20"/>
          <w:szCs w:val="20"/>
          <w:color w:val="auto"/>
        </w:rPr>
      </w:pPr>
    </w:p>
    <w:p>
      <w:pPr>
        <w:ind w:right="560"/>
        <w:spacing w:after="0" w:line="203" w:lineRule="auto"/>
        <w:rPr>
          <w:sz w:val="20"/>
          <w:szCs w:val="20"/>
          <w:color w:val="auto"/>
        </w:rPr>
      </w:pPr>
      <w:r>
        <w:rPr>
          <w:rFonts w:ascii="Arial" w:cs="Arial" w:eastAsia="Arial" w:hAnsi="Arial"/>
          <w:sz w:val="18"/>
          <w:szCs w:val="18"/>
          <w:color w:val="auto"/>
        </w:rPr>
        <w:t xml:space="preserve">treated a small number of adult patients with solid tumors that have metastasized to the CNS/LM compartment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and preliminary indications potentially suggest promising results.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vertAlign w:val="superscript"/>
        </w:rPr>
        <w:t>131</w:t>
      </w:r>
      <w:r>
        <w:rPr>
          <w:rFonts w:ascii="Arial" w:cs="Arial" w:eastAsia="Arial" w:hAnsi="Arial"/>
          <w:sz w:val="18"/>
          <w:szCs w:val="18"/>
          <w:b w:val="1"/>
          <w:bCs w:val="1"/>
          <w:i w:val="1"/>
          <w:iCs w:val="1"/>
          <w:color w:val="auto"/>
        </w:rPr>
        <w:t xml:space="preserve">I-Omburtamab and </w:t>
      </w:r>
      <w:r>
        <w:rPr>
          <w:rFonts w:ascii="Arial" w:cs="Arial" w:eastAsia="Arial" w:hAnsi="Arial"/>
          <w:sz w:val="29"/>
          <w:szCs w:val="29"/>
          <w:b w:val="1"/>
          <w:bCs w:val="1"/>
          <w:i w:val="1"/>
          <w:iCs w:val="1"/>
          <w:color w:val="auto"/>
          <w:vertAlign w:val="superscript"/>
        </w:rPr>
        <w:t>124</w:t>
      </w:r>
      <w:r>
        <w:rPr>
          <w:rFonts w:ascii="Arial" w:cs="Arial" w:eastAsia="Arial" w:hAnsi="Arial"/>
          <w:sz w:val="18"/>
          <w:szCs w:val="18"/>
          <w:b w:val="1"/>
          <w:bCs w:val="1"/>
          <w:i w:val="1"/>
          <w:iCs w:val="1"/>
          <w:color w:val="auto"/>
        </w:rPr>
        <w:t>i-omburtamab—mechanism of action</w:t>
      </w:r>
    </w:p>
    <w:p>
      <w:pPr>
        <w:spacing w:after="0" w:line="126" w:lineRule="exact"/>
        <w:rPr>
          <w:sz w:val="20"/>
          <w:szCs w:val="20"/>
          <w:color w:val="auto"/>
        </w:rPr>
      </w:pPr>
    </w:p>
    <w:p>
      <w:pPr>
        <w:spacing w:after="0" w:line="227" w:lineRule="auto"/>
        <w:rPr>
          <w:sz w:val="20"/>
          <w:szCs w:val="20"/>
          <w:color w:val="auto"/>
        </w:rPr>
      </w:pP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and </w:t>
      </w:r>
      <w:r>
        <w:rPr>
          <w:rFonts w:ascii="Arial" w:cs="Arial" w:eastAsia="Arial" w:hAnsi="Arial"/>
          <w:sz w:val="29"/>
          <w:szCs w:val="29"/>
          <w:color w:val="auto"/>
          <w:vertAlign w:val="superscript"/>
        </w:rPr>
        <w:t>124</w:t>
      </w:r>
      <w:r>
        <w:rPr>
          <w:rFonts w:ascii="Arial" w:cs="Arial" w:eastAsia="Arial" w:hAnsi="Arial"/>
          <w:sz w:val="18"/>
          <w:szCs w:val="18"/>
          <w:color w:val="auto"/>
        </w:rPr>
        <w:t>I-omburtamab are monoclonal antibodies that are radiolabeled with either Iodine-131 or Iodine-124, respectively, and both target B7-H3. Upon administration, radiolabeled omburtamab binds selectively to B7-H3 ligand that is expressed on the tumor cell surface. Both Iodine-131 and Iodine-124 emit beta radiation, resulting in deoxyribonucleic acid, or DNA, damage and tumor cell death. Beta radiation from both iodine isotopes penetrates 1-3 mm, affecting not only the antibody bound cell but also the neighboring tumor cells. Iodine-131 has a half-life of eight days while Iodine-124 has a half-life of four days. In contrast to Iodine-131, which emits electrons, Iodine-124 is a positron-emitting iodine isotope, enabling measurement of iodine uptake using positron emission tomography, or PET scans. This is important when using radiotherapy in a critical organ such as pons, where overdosing may have serious consequences. Radiolabeling of omburtamab with either Iodine-124 or Iodine-131 takes place at qualified radiopharmacies according to a well-established procedure.</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vertAlign w:val="superscript"/>
        </w:rPr>
        <w:t>131</w:t>
      </w:r>
      <w:r>
        <w:rPr>
          <w:rFonts w:ascii="Arial" w:cs="Arial" w:eastAsia="Arial" w:hAnsi="Arial"/>
          <w:sz w:val="18"/>
          <w:szCs w:val="18"/>
          <w:b w:val="1"/>
          <w:bCs w:val="1"/>
          <w:i w:val="1"/>
          <w:iCs w:val="1"/>
          <w:color w:val="auto"/>
        </w:rPr>
        <w:t>I-Omburtamab for the treatment of pediatric central nervous system/leptomeningeal metastases from neuroblastoma</w:t>
      </w:r>
    </w:p>
    <w:p>
      <w:pPr>
        <w:spacing w:after="0" w:line="126" w:lineRule="exact"/>
        <w:rPr>
          <w:sz w:val="20"/>
          <w:szCs w:val="20"/>
          <w:color w:val="auto"/>
        </w:rPr>
      </w:pPr>
    </w:p>
    <w:p>
      <w:pPr>
        <w:ind w:right="340"/>
        <w:spacing w:after="0" w:line="201" w:lineRule="auto"/>
        <w:rPr>
          <w:sz w:val="20"/>
          <w:szCs w:val="20"/>
          <w:color w:val="auto"/>
        </w:rPr>
      </w:pPr>
      <w:r>
        <w:rPr>
          <w:rFonts w:ascii="Arial" w:cs="Arial" w:eastAsia="Arial" w:hAnsi="Arial"/>
          <w:sz w:val="28"/>
          <w:szCs w:val="28"/>
          <w:color w:val="auto"/>
          <w:vertAlign w:val="superscript"/>
        </w:rPr>
        <w:t>131</w:t>
      </w:r>
      <w:r>
        <w:rPr>
          <w:rFonts w:ascii="Arial" w:cs="Arial" w:eastAsia="Arial" w:hAnsi="Arial"/>
          <w:sz w:val="17"/>
          <w:szCs w:val="17"/>
          <w:color w:val="auto"/>
        </w:rPr>
        <w:t xml:space="preserve">I-omburtamab is currently in pivotal stage development for the treatment of pediatric CNS/LM from NB, and was granted BTD in this indication in 2017. In 2016, </w:t>
      </w:r>
      <w:r>
        <w:rPr>
          <w:rFonts w:ascii="Arial" w:cs="Arial" w:eastAsia="Arial" w:hAnsi="Arial"/>
          <w:sz w:val="28"/>
          <w:szCs w:val="28"/>
          <w:color w:val="auto"/>
          <w:vertAlign w:val="superscript"/>
        </w:rPr>
        <w:t>131</w:t>
      </w:r>
      <w:r>
        <w:rPr>
          <w:rFonts w:ascii="Arial" w:cs="Arial" w:eastAsia="Arial" w:hAnsi="Arial"/>
          <w:sz w:val="17"/>
          <w:szCs w:val="17"/>
          <w:color w:val="auto"/>
        </w:rPr>
        <w:t>I-omburtamab was granted ODD and RPDD, in each case, for the treatment of NB. The RPDD qualifies us for receipt of a PRV upon approval of omburtamab for treatment of NB, if such approval occurs. As of June 2019, 107 patients with pediatric</w:t>
      </w:r>
    </w:p>
    <w:p>
      <w:pPr>
        <w:spacing w:after="0" w:line="3" w:lineRule="exact"/>
        <w:rPr>
          <w:sz w:val="20"/>
          <w:szCs w:val="20"/>
          <w:color w:val="auto"/>
        </w:rPr>
      </w:pPr>
    </w:p>
    <w:p>
      <w:pPr>
        <w:ind w:right="340"/>
        <w:spacing w:after="0" w:line="206" w:lineRule="auto"/>
        <w:rPr>
          <w:sz w:val="20"/>
          <w:szCs w:val="20"/>
          <w:color w:val="auto"/>
        </w:rPr>
      </w:pPr>
      <w:r>
        <w:rPr>
          <w:rFonts w:ascii="Arial" w:cs="Arial" w:eastAsia="Arial" w:hAnsi="Arial"/>
          <w:sz w:val="17"/>
          <w:szCs w:val="17"/>
          <w:color w:val="auto"/>
        </w:rPr>
        <w:t xml:space="preserve">CNS/LM from NB had been treated with </w:t>
      </w:r>
      <w:r>
        <w:rPr>
          <w:rFonts w:ascii="Arial" w:cs="Arial" w:eastAsia="Arial" w:hAnsi="Arial"/>
          <w:sz w:val="28"/>
          <w:szCs w:val="28"/>
          <w:color w:val="auto"/>
          <w:vertAlign w:val="superscript"/>
        </w:rPr>
        <w:t>131</w:t>
      </w:r>
      <w:r>
        <w:rPr>
          <w:rFonts w:ascii="Arial" w:cs="Arial" w:eastAsia="Arial" w:hAnsi="Arial"/>
          <w:sz w:val="17"/>
          <w:szCs w:val="17"/>
          <w:color w:val="auto"/>
        </w:rPr>
        <w:t>I-omburtamab in Study 03-133. An analysis of these 107 patients demonstrated a median OS of 50.8 months (including an estimated five-year OS of approximately 44%), as compared to historical median OS of approximately six months.</w:t>
      </w:r>
    </w:p>
    <w:p>
      <w:pPr>
        <w:spacing w:after="0" w:line="1" w:lineRule="exact"/>
        <w:rPr>
          <w:sz w:val="20"/>
          <w:szCs w:val="20"/>
          <w:color w:val="auto"/>
        </w:rPr>
      </w:pPr>
    </w:p>
    <w:p>
      <w:pPr>
        <w:ind w:right="180"/>
        <w:spacing w:after="0" w:line="192" w:lineRule="auto"/>
        <w:rPr>
          <w:sz w:val="20"/>
          <w:szCs w:val="20"/>
          <w:color w:val="auto"/>
        </w:rPr>
      </w:pP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can be administered as a push injection in an outpatient setting. We expect to resubmit the BLA for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for CNS/LM from NB via a rolling submission by the end of the second quarter of 2021 or the third quarter of 2021. We plan to commercialize </w:t>
      </w:r>
      <w:r>
        <w:rPr>
          <w:rFonts w:ascii="Arial" w:cs="Arial" w:eastAsia="Arial" w:hAnsi="Arial"/>
          <w:sz w:val="29"/>
          <w:szCs w:val="29"/>
          <w:color w:val="auto"/>
          <w:vertAlign w:val="superscript"/>
        </w:rPr>
        <w:t>131</w:t>
      </w:r>
      <w:r>
        <w:rPr>
          <w:rFonts w:ascii="Arial" w:cs="Arial" w:eastAsia="Arial" w:hAnsi="Arial"/>
          <w:sz w:val="18"/>
          <w:szCs w:val="18"/>
          <w:color w:val="auto"/>
        </w:rPr>
        <w:t>I-omburtamab in the United States as soon as possible after obtaining FDA approval, if such approval occurs.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central nervous system/leptomeningeal metastases from neuroblastoma</w:t>
      </w:r>
    </w:p>
    <w:p>
      <w:pPr>
        <w:spacing w:after="0" w:line="21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CNS/LM is a rare and usually fatal complication of NB in which the disease spreads to the membranes, or meninges, surrounding the brain and spinal cord in the CNS. In CNS/LM from NB, the CNS has emerged as a sanctuary site for NB tumor cells leading to relapse with an incidence of CNS/LM from NB of approximately 6% to 10%. It is expected that the incidence of CNS/LM from NB disease will increase concurrently with better treatment options for systemic NB, as more patients achieve longer systemic remissions allowing for more CNS relapses. Relapsed metastatic NB is difficult to treat particularly in patients with R/R NB who have CNS/LM from NB. The median OS after detection of the CNS/LM from NB is approximately six months even with early detection and intervention.</w:t>
      </w:r>
    </w:p>
    <w:p>
      <w:pPr>
        <w:spacing w:after="0" w:line="18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Omburtamab is currently being evaluated for the treatment of CNS/LM from NB. There are approximately 700 children diagnosed with NB in the United States each year. Of these, approximately 50-60% are high-risk, and of those at high-risk who relapse, we believe approximately 20% will suffer from CNS/LM from NB. A published study analyzing frozen sections from tumors with histologically confirmed diagnosis of NB using immunohistochemistry showed 87 out of 90 sections (or approximately 97%) were B7-H3 positive. We believe the European market is at least one and a half times the size of the U.S. market and that there are approximately 1,050 patients diagnosed with NB in Europe each year. We believe the current addressable market for our product candidate, omburtamab, consists of approximately 200 new patients each year with CNS/LM from NB in the United States and Europe, combined.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left="180" w:right="500" w:hanging="179"/>
        <w:spacing w:after="0" w:line="210" w:lineRule="auto"/>
        <w:rPr>
          <w:sz w:val="20"/>
          <w:szCs w:val="20"/>
          <w:color w:val="auto"/>
        </w:rPr>
      </w:pP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pediatric central nervous system/leptomeningeal metastases from neuroblastoma—current treatment landscape and associated limitations</w:t>
      </w:r>
    </w:p>
    <w:p>
      <w:pPr>
        <w:spacing w:after="0" w:line="18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There are currently no approved products for patients with R/R NB who have CNS/LM from NB. A variety of treatments are used alone and in combination with other treatments. It is widely accepted that no effective treatment regimens for CNS/LM from NB are available, and the goals of treatment are generally palliative. For recurrence in the CNS, the therapeutic approach consists primarily of surgery, radiation therapy and/or chemotherapy. These treatments have had very limited success, with median OS of approximately six months. The current standard of care treatment paradigm typically involves the following:</w:t>
      </w:r>
    </w:p>
    <w:p>
      <w:pPr>
        <w:spacing w:after="0" w:line="181" w:lineRule="exact"/>
        <w:rPr>
          <w:sz w:val="20"/>
          <w:szCs w:val="20"/>
          <w:color w:val="auto"/>
        </w:rPr>
      </w:pPr>
    </w:p>
    <w:p>
      <w:pPr>
        <w:ind w:left="540" w:hanging="532"/>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Surgery—for debulking the tumor prior to irradiation and chemotherapy and to reduce edema and hemorrhage;</w:t>
      </w:r>
    </w:p>
    <w:p>
      <w:pPr>
        <w:spacing w:after="0" w:line="211" w:lineRule="exact"/>
        <w:rPr>
          <w:rFonts w:ascii="Arial" w:cs="Arial" w:eastAsia="Arial" w:hAnsi="Arial"/>
          <w:sz w:val="18"/>
          <w:szCs w:val="18"/>
          <w:color w:val="auto"/>
        </w:rPr>
      </w:pPr>
    </w:p>
    <w:p>
      <w:pPr>
        <w:ind w:left="540" w:right="240" w:hanging="532"/>
        <w:spacing w:after="0" w:line="269"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Radiation—focal, craniospinal or whole brain irradiation used for symptom alleviation, cerebrospinal fluid, or CSF, flow correction or for debulking to facilitate chemotherapy; and/or</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Chemotherapy—standard combinations of chemotherapy such as irinotecan and temozolomide.</w:t>
      </w:r>
    </w:p>
    <w:p>
      <w:pPr>
        <w:spacing w:after="0" w:line="212"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color w:val="auto"/>
        </w:rPr>
        <w:t>The uniformly poor outcomes associated with these different regimens highlight the significant unmet medical need for treatment of CNS/LM from NB:</w:t>
      </w:r>
    </w:p>
    <w:p>
      <w:pPr>
        <w:spacing w:after="0" w:line="157" w:lineRule="exact"/>
        <w:rPr>
          <w:sz w:val="20"/>
          <w:szCs w:val="20"/>
          <w:color w:val="auto"/>
        </w:rPr>
      </w:pPr>
    </w:p>
    <w:p>
      <w:pPr>
        <w:ind w:left="540" w:hanging="532"/>
        <w:spacing w:after="0" w:line="281" w:lineRule="auto"/>
        <w:tabs>
          <w:tab w:leader="none" w:pos="5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Our review of published research representing 83 patients treated between 1979 and 2013 showed a median OS of 5.6 months (95% CI of three to eight months) for patients with R/R NB who have CNS/LM from NB. We also performed a restricted analysis after removing patients who died before receiving therapy for the CNS/LM from NB disease and only received palliative treatment, or who presented with rapidly progressing systemic disease. The restricted analysis comprised of 58 patients with a median OS of 8.7 months (95% CI of 5.8 to 11 months) after diagnosis of CNS/LM from NB. There were only three cases of survival beyond three years.</w:t>
      </w:r>
    </w:p>
    <w:p>
      <w:pPr>
        <w:spacing w:after="0" w:line="151" w:lineRule="exact"/>
        <w:rPr>
          <w:rFonts w:ascii="Arial" w:cs="Arial" w:eastAsia="Arial" w:hAnsi="Arial"/>
          <w:sz w:val="16"/>
          <w:szCs w:val="16"/>
          <w:color w:val="auto"/>
        </w:rPr>
      </w:pPr>
    </w:p>
    <w:p>
      <w:pPr>
        <w:ind w:left="540" w:right="240" w:hanging="532"/>
        <w:spacing w:after="0" w:line="252"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Data from 85 patients sourced from The Central German Childhood Cancer Registry, or CGCCR, showed a median OS of 4.7 months. The data was extracted from patients diagnosed between 1990 and 2010. It is estimated that more than 90% of all German childhood cancer patients are registered in this database.</w:t>
      </w:r>
    </w:p>
    <w:p>
      <w:pPr>
        <w:spacing w:after="0" w:line="161" w:lineRule="exact"/>
        <w:rPr>
          <w:rFonts w:ascii="Arial" w:cs="Arial" w:eastAsia="Arial" w:hAnsi="Arial"/>
          <w:sz w:val="18"/>
          <w:szCs w:val="18"/>
          <w:color w:val="auto"/>
        </w:rPr>
      </w:pPr>
    </w:p>
    <w:p>
      <w:pPr>
        <w:ind w:left="540" w:right="180" w:hanging="532"/>
        <w:spacing w:after="0" w:line="187" w:lineRule="auto"/>
        <w:tabs>
          <w:tab w:leader="none" w:pos="540" w:val="left"/>
        </w:tabs>
        <w:numPr>
          <w:ilvl w:val="0"/>
          <w:numId w:val="74"/>
        </w:numPr>
        <w:rPr>
          <w:rFonts w:ascii="Arial" w:cs="Arial" w:eastAsia="Arial" w:hAnsi="Arial"/>
          <w:sz w:val="35"/>
          <w:szCs w:val="35"/>
          <w:color w:val="auto"/>
          <w:vertAlign w:val="superscript"/>
        </w:rPr>
      </w:pPr>
      <w:r>
        <w:rPr>
          <w:rFonts w:ascii="Arial" w:cs="Arial" w:eastAsia="Arial" w:hAnsi="Arial"/>
          <w:sz w:val="18"/>
          <w:szCs w:val="18"/>
          <w:color w:val="auto"/>
        </w:rPr>
        <w:t xml:space="preserve">Finally, our review of data from 19 patients treated at MSK prior to when </w:t>
      </w:r>
      <w:r>
        <w:rPr>
          <w:rFonts w:ascii="Arial" w:cs="Arial" w:eastAsia="Arial" w:hAnsi="Arial"/>
          <w:sz w:val="29"/>
          <w:szCs w:val="29"/>
          <w:color w:val="auto"/>
          <w:vertAlign w:val="superscript"/>
        </w:rPr>
        <w:t>131</w:t>
      </w:r>
      <w:r>
        <w:rPr>
          <w:rFonts w:ascii="Arial" w:cs="Arial" w:eastAsia="Arial" w:hAnsi="Arial"/>
          <w:sz w:val="18"/>
          <w:szCs w:val="18"/>
          <w:color w:val="auto"/>
        </w:rPr>
        <w:t>I-omburtamab was first introduced in 2004, demonstrated a median OS of 5.5 months.</w:t>
      </w:r>
    </w:p>
    <w:p>
      <w:pPr>
        <w:spacing w:after="0" w:line="189" w:lineRule="exact"/>
        <w:rPr>
          <w:sz w:val="20"/>
          <w:szCs w:val="20"/>
          <w:color w:val="auto"/>
        </w:rPr>
      </w:pPr>
    </w:p>
    <w:p>
      <w:pPr>
        <w:ind w:right="20"/>
        <w:spacing w:after="0" w:line="267" w:lineRule="auto"/>
        <w:rPr>
          <w:sz w:val="20"/>
          <w:szCs w:val="20"/>
          <w:color w:val="auto"/>
        </w:rPr>
      </w:pPr>
      <w:r>
        <w:rPr>
          <w:rFonts w:ascii="Arial" w:cs="Arial" w:eastAsia="Arial" w:hAnsi="Arial"/>
          <w:sz w:val="28"/>
          <w:szCs w:val="28"/>
          <w:i w:val="1"/>
          <w:iCs w:val="1"/>
          <w:color w:val="auto"/>
          <w:vertAlign w:val="superscript"/>
        </w:rPr>
        <w:t>131</w:t>
      </w:r>
      <w:r>
        <w:rPr>
          <w:rFonts w:ascii="Arial" w:cs="Arial" w:eastAsia="Arial" w:hAnsi="Arial"/>
          <w:sz w:val="17"/>
          <w:szCs w:val="17"/>
          <w:i w:val="1"/>
          <w:iCs w:val="1"/>
          <w:color w:val="auto"/>
        </w:rPr>
        <w:t xml:space="preserve">I-omburtamab for pediatric central nervous system/leptomeningeal metastases from neuroblastoma—clinical development program </w:t>
      </w:r>
      <w:r>
        <w:rPr>
          <w:rFonts w:ascii="Arial" w:cs="Arial" w:eastAsia="Arial" w:hAnsi="Arial"/>
          <w:sz w:val="17"/>
          <w:szCs w:val="17"/>
          <w:color w:val="auto"/>
        </w:rPr>
        <w:t xml:space="preserve">Currently, </w:t>
      </w:r>
      <w:r>
        <w:rPr>
          <w:rFonts w:ascii="Arial" w:cs="Arial" w:eastAsia="Arial" w:hAnsi="Arial"/>
          <w:sz w:val="28"/>
          <w:szCs w:val="28"/>
          <w:color w:val="auto"/>
          <w:vertAlign w:val="superscript"/>
        </w:rPr>
        <w:t>131</w:t>
      </w:r>
      <w:r>
        <w:rPr>
          <w:rFonts w:ascii="Arial" w:cs="Arial" w:eastAsia="Arial" w:hAnsi="Arial"/>
          <w:sz w:val="17"/>
          <w:szCs w:val="17"/>
          <w:color w:val="auto"/>
        </w:rPr>
        <w:t>I-omburtamab is in pivotal stage development for the treatment of pediatric CNS/LM from NB as a monotherapy after patients have</w:t>
      </w:r>
    </w:p>
    <w:p>
      <w:pPr>
        <w:spacing w:after="0" w:line="2" w:lineRule="exact"/>
        <w:rPr>
          <w:sz w:val="20"/>
          <w:szCs w:val="20"/>
          <w:color w:val="auto"/>
        </w:rPr>
      </w:pPr>
    </w:p>
    <w:p>
      <w:pPr>
        <w:ind w:right="20"/>
        <w:spacing w:after="0" w:line="206" w:lineRule="auto"/>
        <w:rPr>
          <w:sz w:val="20"/>
          <w:szCs w:val="20"/>
          <w:color w:val="auto"/>
        </w:rPr>
      </w:pPr>
      <w:r>
        <w:rPr>
          <w:rFonts w:ascii="Arial" w:cs="Arial" w:eastAsia="Arial" w:hAnsi="Arial"/>
          <w:sz w:val="17"/>
          <w:szCs w:val="17"/>
          <w:color w:val="auto"/>
        </w:rPr>
        <w:t xml:space="preserve">completed standard of care treatment. As of January 2021, 177 patients with pediatric CNS/LM from NB had been treated with </w:t>
      </w:r>
      <w:r>
        <w:rPr>
          <w:rFonts w:ascii="Arial" w:cs="Arial" w:eastAsia="Arial" w:hAnsi="Arial"/>
          <w:sz w:val="28"/>
          <w:szCs w:val="28"/>
          <w:color w:val="auto"/>
          <w:vertAlign w:val="superscript"/>
        </w:rPr>
        <w:t>131</w:t>
      </w:r>
      <w:r>
        <w:rPr>
          <w:rFonts w:ascii="Arial" w:cs="Arial" w:eastAsia="Arial" w:hAnsi="Arial"/>
          <w:sz w:val="17"/>
          <w:szCs w:val="17"/>
          <w:color w:val="auto"/>
        </w:rPr>
        <w:t>I-omburtamab in Study 03-133. We are planning to treat a total of at least 32 patients in a multi-center pivotal Phase 2 trial (Study 101) with an interim analysis</w:t>
      </w:r>
    </w:p>
    <w:p>
      <w:pPr>
        <w:spacing w:after="0" w:line="1" w:lineRule="exact"/>
        <w:rPr>
          <w:sz w:val="20"/>
          <w:szCs w:val="20"/>
          <w:color w:val="auto"/>
        </w:rPr>
      </w:pPr>
    </w:p>
    <w:p>
      <w:pPr>
        <w:ind w:right="80"/>
        <w:spacing w:after="0" w:line="218" w:lineRule="auto"/>
        <w:rPr>
          <w:sz w:val="20"/>
          <w:szCs w:val="20"/>
          <w:color w:val="auto"/>
        </w:rPr>
      </w:pPr>
      <w:r>
        <w:rPr>
          <w:rFonts w:ascii="Arial" w:cs="Arial" w:eastAsia="Arial" w:hAnsi="Arial"/>
          <w:sz w:val="17"/>
          <w:szCs w:val="17"/>
          <w:color w:val="auto"/>
        </w:rPr>
        <w:t xml:space="preserve">for the purposes of pharmacokinetic and dosimetry comparability between study sites using </w:t>
      </w:r>
      <w:r>
        <w:rPr>
          <w:rFonts w:ascii="Arial" w:cs="Arial" w:eastAsia="Arial" w:hAnsi="Arial"/>
          <w:sz w:val="28"/>
          <w:szCs w:val="28"/>
          <w:color w:val="auto"/>
          <w:vertAlign w:val="superscript"/>
        </w:rPr>
        <w:t>131</w:t>
      </w:r>
      <w:r>
        <w:rPr>
          <w:rFonts w:ascii="Arial" w:cs="Arial" w:eastAsia="Arial" w:hAnsi="Arial"/>
          <w:sz w:val="17"/>
          <w:szCs w:val="17"/>
          <w:color w:val="auto"/>
        </w:rPr>
        <w:t>I-omburtamab from our cGMP commercial manufacturer, versus drug product previously produced by MSK. Study 101 has also been designed to satisfy potential confirmatory study and post-marketing requirement by the FDA, and, as a result, we will continue to recruit a total of at least 32 patients in the study even if we perform</w:t>
      </w:r>
    </w:p>
    <w:p>
      <w:pPr>
        <w:ind w:right="80"/>
        <w:spacing w:after="0" w:line="203" w:lineRule="auto"/>
        <w:rPr>
          <w:sz w:val="20"/>
          <w:szCs w:val="20"/>
          <w:color w:val="auto"/>
        </w:rPr>
      </w:pPr>
      <w:r>
        <w:rPr>
          <w:rFonts w:ascii="Arial" w:cs="Arial" w:eastAsia="Arial" w:hAnsi="Arial"/>
          <w:sz w:val="18"/>
          <w:szCs w:val="18"/>
          <w:color w:val="auto"/>
        </w:rPr>
        <w:t xml:space="preserve">an interim analysis before. We expect a BLA re-submission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CNS/LM from NB via a rolling submission by the end of the second quarter of 2021 or the third quarter of 2021.</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left="180" w:right="680" w:hanging="179"/>
        <w:spacing w:after="0" w:line="210" w:lineRule="auto"/>
        <w:rPr>
          <w:sz w:val="20"/>
          <w:szCs w:val="20"/>
          <w:color w:val="auto"/>
        </w:rPr>
      </w:pPr>
      <w:r>
        <w:rPr>
          <w:rFonts w:ascii="Arial" w:cs="Arial" w:eastAsia="Arial" w:hAnsi="Arial"/>
          <w:sz w:val="18"/>
          <w:szCs w:val="18"/>
          <w:i w:val="1"/>
          <w:iCs w:val="1"/>
          <w:color w:val="auto"/>
        </w:rPr>
        <w:t xml:space="preserve">Study 03-133: Phase </w:t>
      </w:r>
      <w:r>
        <w:rPr>
          <w:rFonts w:ascii="Arial" w:cs="Arial" w:eastAsia="Arial" w:hAnsi="Arial"/>
          <w:sz w:val="29"/>
          <w:szCs w:val="29"/>
          <w:i w:val="1"/>
          <w:iCs w:val="1"/>
          <w:color w:val="auto"/>
          <w:vertAlign w:val="superscript"/>
        </w:rPr>
        <w:t>1</w:t>
      </w:r>
      <w:r>
        <w:rPr>
          <w:rFonts w:ascii="Arial" w:cs="Arial" w:eastAsia="Arial" w:hAnsi="Arial"/>
          <w:sz w:val="18"/>
          <w:szCs w:val="18"/>
          <w:i w:val="1"/>
          <w:iCs w:val="1"/>
          <w:color w:val="auto"/>
        </w:rPr>
        <w:t>/</w:t>
      </w:r>
      <w:r>
        <w:rPr>
          <w:rFonts w:ascii="Arial" w:cs="Arial" w:eastAsia="Arial" w:hAnsi="Arial"/>
          <w:sz w:val="14"/>
          <w:szCs w:val="14"/>
          <w:i w:val="1"/>
          <w:iCs w:val="1"/>
          <w:color w:val="auto"/>
        </w:rPr>
        <w:t>2</w:t>
      </w:r>
      <w:r>
        <w:rPr>
          <w:rFonts w:ascii="Arial" w:cs="Arial" w:eastAsia="Arial" w:hAnsi="Arial"/>
          <w:sz w:val="18"/>
          <w:szCs w:val="18"/>
          <w:i w:val="1"/>
          <w:iCs w:val="1"/>
          <w:color w:val="auto"/>
        </w:rPr>
        <w:t xml:space="preserve"> Study of Intrathecal Radioimmunotherapy using </w:t>
      </w: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Central Nervous System/Leptomeningeal Neoplasms</w:t>
      </w:r>
    </w:p>
    <w:p>
      <w:pPr>
        <w:spacing w:after="0" w:line="187" w:lineRule="exact"/>
        <w:rPr>
          <w:sz w:val="20"/>
          <w:szCs w:val="20"/>
          <w:color w:val="auto"/>
        </w:rPr>
      </w:pPr>
    </w:p>
    <w:p>
      <w:pPr>
        <w:ind w:right="160"/>
        <w:spacing w:after="0" w:line="201" w:lineRule="auto"/>
        <w:rPr>
          <w:sz w:val="20"/>
          <w:szCs w:val="20"/>
          <w:color w:val="auto"/>
        </w:rPr>
      </w:pPr>
      <w:r>
        <w:rPr>
          <w:rFonts w:ascii="Arial" w:cs="Arial" w:eastAsia="Arial" w:hAnsi="Arial"/>
          <w:sz w:val="17"/>
          <w:szCs w:val="17"/>
          <w:color w:val="auto"/>
        </w:rPr>
        <w:t xml:space="preserve">The trial was originally designed as a Phase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clinical dose escalation study followed by cohort expansion at the recommended dose. To determine the MTD, patients received up to 70 millicurie, or mCi, </w:t>
      </w:r>
      <w:r>
        <w:rPr>
          <w:rFonts w:ascii="Arial" w:cs="Arial" w:eastAsia="Arial" w:hAnsi="Arial"/>
          <w:sz w:val="28"/>
          <w:szCs w:val="28"/>
          <w:color w:val="auto"/>
          <w:vertAlign w:val="superscript"/>
        </w:rPr>
        <w:t>131</w:t>
      </w:r>
      <w:r>
        <w:rPr>
          <w:rFonts w:ascii="Arial" w:cs="Arial" w:eastAsia="Arial" w:hAnsi="Arial"/>
          <w:sz w:val="17"/>
          <w:szCs w:val="17"/>
          <w:color w:val="auto"/>
        </w:rPr>
        <w:t>I-omburtamab in an outpatient setting. Based on treatment result of the 50 mCi dose to treat NB with CNS/LM metastasis and since no DLTs were experienced in the dose escalation part; the 50 mCi dose has been</w:t>
      </w:r>
    </w:p>
    <w:p>
      <w:pPr>
        <w:spacing w:after="0" w:line="3" w:lineRule="exact"/>
        <w:rPr>
          <w:sz w:val="20"/>
          <w:szCs w:val="20"/>
          <w:color w:val="auto"/>
        </w:rPr>
      </w:pPr>
    </w:p>
    <w:p>
      <w:pPr>
        <w:ind w:right="20"/>
        <w:spacing w:after="0" w:line="206" w:lineRule="auto"/>
        <w:rPr>
          <w:sz w:val="20"/>
          <w:szCs w:val="20"/>
          <w:color w:val="auto"/>
        </w:rPr>
      </w:pPr>
      <w:r>
        <w:rPr>
          <w:rFonts w:ascii="Arial" w:cs="Arial" w:eastAsia="Arial" w:hAnsi="Arial"/>
          <w:sz w:val="17"/>
          <w:szCs w:val="17"/>
          <w:color w:val="auto"/>
        </w:rPr>
        <w:t xml:space="preserve">expanded as implemented by a protocol amendment. As of January 2021, 177 patients had been treated with </w:t>
      </w:r>
      <w:r>
        <w:rPr>
          <w:rFonts w:ascii="Arial" w:cs="Arial" w:eastAsia="Arial" w:hAnsi="Arial"/>
          <w:sz w:val="28"/>
          <w:szCs w:val="28"/>
          <w:color w:val="auto"/>
          <w:vertAlign w:val="superscript"/>
        </w:rPr>
        <w:t>131</w:t>
      </w:r>
      <w:r>
        <w:rPr>
          <w:rFonts w:ascii="Arial" w:cs="Arial" w:eastAsia="Arial" w:hAnsi="Arial"/>
          <w:sz w:val="17"/>
          <w:szCs w:val="17"/>
          <w:color w:val="auto"/>
        </w:rPr>
        <w:t>I-omburtamab in Study 03-133. Of these, 107 patients were diagnosed with pediatric CNS/LM metastasis from NB. Study 03-133 is now closed for recruitment. We expect that</w:t>
      </w:r>
    </w:p>
    <w:p>
      <w:pPr>
        <w:spacing w:after="0" w:line="1" w:lineRule="exact"/>
        <w:rPr>
          <w:sz w:val="20"/>
          <w:szCs w:val="20"/>
          <w:color w:val="auto"/>
        </w:rPr>
      </w:pPr>
    </w:p>
    <w:p>
      <w:pPr>
        <w:ind w:right="260"/>
        <w:spacing w:after="0" w:line="203" w:lineRule="auto"/>
        <w:rPr>
          <w:sz w:val="20"/>
          <w:szCs w:val="20"/>
          <w:color w:val="auto"/>
        </w:rPr>
      </w:pPr>
      <w:r>
        <w:rPr>
          <w:rFonts w:ascii="Arial" w:cs="Arial" w:eastAsia="Arial" w:hAnsi="Arial"/>
          <w:sz w:val="18"/>
          <w:szCs w:val="18"/>
          <w:color w:val="auto"/>
        </w:rPr>
        <w:t xml:space="preserve">the safety portion of our BLA will be comprised of data from more than 200 patients treated with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or </w:t>
      </w:r>
      <w:r>
        <w:rPr>
          <w:rFonts w:ascii="Arial" w:cs="Arial" w:eastAsia="Arial" w:hAnsi="Arial"/>
          <w:sz w:val="29"/>
          <w:szCs w:val="29"/>
          <w:color w:val="auto"/>
          <w:vertAlign w:val="superscript"/>
        </w:rPr>
        <w:t>124</w:t>
      </w:r>
      <w:r>
        <w:rPr>
          <w:rFonts w:ascii="Arial" w:cs="Arial" w:eastAsia="Arial" w:hAnsi="Arial"/>
          <w:sz w:val="18"/>
          <w:szCs w:val="18"/>
          <w:color w:val="auto"/>
        </w:rPr>
        <w:t>I-omburtamab across multiple indications.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a general clinical overview, including safety data, from Study 03-133 conducted from January 2004 through June 2019.</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outlined information in the below table refers to patients treated in Study 03-133.</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Omburtamab—Clinical Overview</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Study 03-133—Patient Profile and AES (January 2004—June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132080</wp:posOffset>
            </wp:positionV>
            <wp:extent cx="2339975" cy="45262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2339975" cy="452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addition to satisfying certain other criteria, patients must have a histologically confirmed diagnosis of a malignancy known to be reactive to omburtamab, a B7-H3 binding antibody. Furthermore, patients must have CNS/LM from NB disease which is refractory to conventional therapies or for which no conventional therapy exists, or a relapsed brain tumor with a predilection for LM dissemination (primitive neuroectodermal tumor, rhabdoid tumor, medulloblastoma).</w:t>
      </w:r>
    </w:p>
    <w:p>
      <w:pPr>
        <w:spacing w:after="0" w:line="177" w:lineRule="exact"/>
        <w:rPr>
          <w:sz w:val="20"/>
          <w:szCs w:val="20"/>
          <w:color w:val="auto"/>
        </w:rPr>
      </w:pPr>
    </w:p>
    <w:p>
      <w:pPr>
        <w:ind w:right="440"/>
        <w:spacing w:after="0" w:line="278" w:lineRule="auto"/>
        <w:rPr>
          <w:sz w:val="20"/>
          <w:szCs w:val="20"/>
          <w:color w:val="auto"/>
        </w:rPr>
      </w:pPr>
      <w:r>
        <w:rPr>
          <w:rFonts w:ascii="Arial" w:cs="Arial" w:eastAsia="Arial" w:hAnsi="Arial"/>
          <w:sz w:val="16"/>
          <w:szCs w:val="16"/>
          <w:color w:val="auto"/>
        </w:rPr>
        <w:t>Before enrollment in Study 03-133, most patients underwent biopsy or debulking surgery to remove brain metastases as much as possible, followed by radiation therapy and chemotherapy. A majority of the patients were also treated with an anti-GD2 immunotherapy such as</w:t>
      </w:r>
    </w:p>
    <w:p>
      <w:pPr>
        <w:ind w:right="160"/>
        <w:spacing w:after="0" w:line="203" w:lineRule="auto"/>
        <w:rPr>
          <w:sz w:val="20"/>
          <w:szCs w:val="20"/>
          <w:color w:val="auto"/>
        </w:rPr>
      </w:pPr>
      <w:r>
        <w:rPr>
          <w:rFonts w:ascii="Arial" w:cs="Arial" w:eastAsia="Arial" w:hAnsi="Arial"/>
          <w:sz w:val="18"/>
          <w:szCs w:val="18"/>
          <w:color w:val="auto"/>
        </w:rPr>
        <w:t xml:space="preserve">naxitamab to control systemic disease after completing the </w:t>
      </w:r>
      <w:r>
        <w:rPr>
          <w:rFonts w:ascii="Arial" w:cs="Arial" w:eastAsia="Arial" w:hAnsi="Arial"/>
          <w:sz w:val="29"/>
          <w:szCs w:val="29"/>
          <w:color w:val="auto"/>
          <w:vertAlign w:val="superscript"/>
        </w:rPr>
        <w:t>131</w:t>
      </w:r>
      <w:r>
        <w:rPr>
          <w:rFonts w:ascii="Arial" w:cs="Arial" w:eastAsia="Arial" w:hAnsi="Arial"/>
          <w:sz w:val="18"/>
          <w:szCs w:val="18"/>
          <w:color w:val="auto"/>
        </w:rPr>
        <w:t>I-omburtamab treatment under Study 03-133. All patients had an intraventricular device implanted before enrollment in the study.</w:t>
      </w:r>
    </w:p>
    <w:p>
      <w:pPr>
        <w:spacing w:after="0" w:line="18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Approximately 80% of all CNS/LM from NB patients presenting at MSK since the initiation of the study were included in the study and the remaining patients were primarily excluded due to the fact that they had already received the maximum dose of previous radiotherapy to CNS, or had progressive systemic disease.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15"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color w:val="auto"/>
        </w:rPr>
        <w:t xml:space="preserve">Patients are treated with up to two cycles (each consisting of a treatment dose and a dosimetry dose) of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administered through intrathecal infusion via an Ommaya reservoir by which the drug is distributed at the intrathecal space to the entire CSF, (as shown in the figure on the left below). A treatment cycle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under Study 03-133 proceeds as follows:</w:t>
      </w:r>
    </w:p>
    <w:p>
      <w:pPr>
        <w:spacing w:after="0" w:line="59" w:lineRule="exact"/>
        <w:rPr>
          <w:sz w:val="20"/>
          <w:szCs w:val="20"/>
          <w:color w:val="auto"/>
        </w:rPr>
      </w:pPr>
    </w:p>
    <w:p>
      <w:pPr>
        <w:ind w:left="540" w:hanging="532"/>
        <w:spacing w:after="0"/>
        <w:tabs>
          <w:tab w:leader="none" w:pos="540" w:val="left"/>
        </w:tabs>
        <w:numPr>
          <w:ilvl w:val="0"/>
          <w:numId w:val="75"/>
        </w:numPr>
        <w:rPr>
          <w:rFonts w:ascii="Arial" w:cs="Arial" w:eastAsia="Arial" w:hAnsi="Arial"/>
          <w:sz w:val="35"/>
          <w:szCs w:val="35"/>
          <w:color w:val="auto"/>
          <w:vertAlign w:val="superscript"/>
        </w:rPr>
      </w:pPr>
      <w:r>
        <w:rPr>
          <w:rFonts w:ascii="Arial" w:cs="Arial" w:eastAsia="Arial" w:hAnsi="Arial"/>
          <w:sz w:val="18"/>
          <w:szCs w:val="18"/>
          <w:color w:val="auto"/>
        </w:rPr>
        <w:t xml:space="preserve">Week 1: </w:t>
      </w:r>
      <w:r>
        <w:rPr>
          <w:rFonts w:ascii="Arial" w:cs="Arial" w:eastAsia="Arial" w:hAnsi="Arial"/>
          <w:sz w:val="29"/>
          <w:szCs w:val="29"/>
          <w:color w:val="auto"/>
          <w:vertAlign w:val="superscript"/>
        </w:rPr>
        <w:t>131</w:t>
      </w:r>
      <w:r>
        <w:rPr>
          <w:rFonts w:ascii="Arial" w:cs="Arial" w:eastAsia="Arial" w:hAnsi="Arial"/>
          <w:sz w:val="18"/>
          <w:szCs w:val="18"/>
          <w:color w:val="auto"/>
        </w:rPr>
        <w:t>I-omburtamab (dosimetry dose: 2 mCi imaging test dose);</w:t>
      </w:r>
    </w:p>
    <w:p>
      <w:pPr>
        <w:spacing w:after="0" w:line="76" w:lineRule="exact"/>
        <w:rPr>
          <w:rFonts w:ascii="Arial" w:cs="Arial" w:eastAsia="Arial" w:hAnsi="Arial"/>
          <w:sz w:val="35"/>
          <w:szCs w:val="35"/>
          <w:color w:val="auto"/>
          <w:vertAlign w:val="superscript"/>
        </w:rPr>
      </w:pPr>
    </w:p>
    <w:p>
      <w:pPr>
        <w:ind w:left="540" w:hanging="532"/>
        <w:spacing w:after="0" w:line="227" w:lineRule="auto"/>
        <w:tabs>
          <w:tab w:leader="none" w:pos="540" w:val="left"/>
        </w:tabs>
        <w:numPr>
          <w:ilvl w:val="0"/>
          <w:numId w:val="75"/>
        </w:numPr>
        <w:rPr>
          <w:rFonts w:ascii="Arial" w:cs="Arial" w:eastAsia="Arial" w:hAnsi="Arial"/>
          <w:sz w:val="35"/>
          <w:szCs w:val="35"/>
          <w:color w:val="auto"/>
          <w:vertAlign w:val="superscript"/>
        </w:rPr>
      </w:pPr>
      <w:r>
        <w:rPr>
          <w:rFonts w:ascii="Arial" w:cs="Arial" w:eastAsia="Arial" w:hAnsi="Arial"/>
          <w:sz w:val="18"/>
          <w:szCs w:val="18"/>
          <w:color w:val="auto"/>
        </w:rPr>
        <w:t xml:space="preserve">Week 2: </w:t>
      </w:r>
      <w:r>
        <w:rPr>
          <w:rFonts w:ascii="Arial" w:cs="Arial" w:eastAsia="Arial" w:hAnsi="Arial"/>
          <w:sz w:val="29"/>
          <w:szCs w:val="29"/>
          <w:color w:val="auto"/>
          <w:vertAlign w:val="superscript"/>
        </w:rPr>
        <w:t>131</w:t>
      </w:r>
      <w:r>
        <w:rPr>
          <w:rFonts w:ascii="Arial" w:cs="Arial" w:eastAsia="Arial" w:hAnsi="Arial"/>
          <w:sz w:val="18"/>
          <w:szCs w:val="18"/>
          <w:color w:val="auto"/>
        </w:rPr>
        <w:t>I-omburtamab (treatment dose: 30-50 mCi depending on age);</w:t>
      </w:r>
    </w:p>
    <w:p>
      <w:pPr>
        <w:spacing w:after="0" w:line="64" w:lineRule="exact"/>
        <w:rPr>
          <w:rFonts w:ascii="Arial" w:cs="Arial" w:eastAsia="Arial" w:hAnsi="Arial"/>
          <w:sz w:val="35"/>
          <w:szCs w:val="35"/>
          <w:color w:val="auto"/>
          <w:vertAlign w:val="superscript"/>
        </w:rPr>
      </w:pPr>
    </w:p>
    <w:p>
      <w:pPr>
        <w:ind w:left="540" w:hanging="532"/>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Weeks 3 and 4: observation period; and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Week 5: post-treatment evaluation comprised of magnetic resonance imaging, or MRI, of the head and spine, CSF cytology.</w:t>
      </w:r>
    </w:p>
    <w:p>
      <w:pPr>
        <w:sectPr>
          <w:pgSz w:w="11900" w:h="16838" w:orient="portrait"/>
          <w:cols w:equalWidth="0" w:num="1">
            <w:col w:w="11200"/>
          </w:cols>
          <w:pgMar w:left="320" w:top="121" w:right="379" w:bottom="1440" w:gutter="0" w:footer="0" w:header="0"/>
        </w:sectPr>
      </w:pPr>
    </w:p>
    <w:p>
      <w:pPr>
        <w:spacing w:after="0" w:line="233" w:lineRule="exact"/>
        <w:rPr>
          <w:sz w:val="20"/>
          <w:szCs w:val="20"/>
          <w:color w:val="auto"/>
        </w:rPr>
      </w:pPr>
    </w:p>
    <w:p>
      <w:pPr>
        <w:jc w:val="center"/>
        <w:ind w:left="180" w:right="40"/>
        <w:spacing w:after="0" w:line="281" w:lineRule="auto"/>
        <w:rPr>
          <w:sz w:val="20"/>
          <w:szCs w:val="20"/>
          <w:color w:val="auto"/>
        </w:rPr>
      </w:pPr>
      <w:r>
        <w:rPr>
          <w:rFonts w:ascii="Arial" w:cs="Arial" w:eastAsia="Arial" w:hAnsi="Arial"/>
          <w:sz w:val="18"/>
          <w:szCs w:val="18"/>
          <w:b w:val="1"/>
          <w:bCs w:val="1"/>
          <w:color w:val="auto"/>
        </w:rPr>
        <w:t>Administration of our radiolabeled omburtamab via Ommaya reservoir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116840</wp:posOffset>
            </wp:positionV>
            <wp:extent cx="2442845" cy="22631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2442845" cy="2263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100"/>
        <w:spacing w:after="0" w:line="281" w:lineRule="auto"/>
        <w:rPr>
          <w:sz w:val="20"/>
          <w:szCs w:val="20"/>
          <w:color w:val="auto"/>
        </w:rPr>
      </w:pPr>
      <w:r>
        <w:rPr>
          <w:rFonts w:ascii="Arial" w:cs="Arial" w:eastAsia="Arial" w:hAnsi="Arial"/>
          <w:sz w:val="18"/>
          <w:szCs w:val="18"/>
          <w:b w:val="1"/>
          <w:bCs w:val="1"/>
          <w:color w:val="auto"/>
        </w:rPr>
        <w:t>PET scan of distribution of our radiolabeled omburtamab two hours after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116840</wp:posOffset>
            </wp:positionV>
            <wp:extent cx="1397000" cy="23742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1397000" cy="23742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720"/>
            <w:col w:w="5200"/>
          </w:cols>
          <w:pgMar w:left="320" w:top="12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 diagram on the left depicts how our radiolabeled omburtamab can be administered via the Ommaya reservoir and catheter into the deep ventricles of the brain where the CSF is produced. From the ventricles, our radiolabeled omburtamab will flow with the CSF and spread throughout the entire CNS compartment potentially binding and killing B7-H3 positive cancer cells it may find on its way. The diagram on the right is a PET scan showing the distribution of our radiolabeled omburtamab two hours after administration where it has flowed from the central ventricles throughout the entire CNS compartment.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objective</w:t>
      </w:r>
    </w:p>
    <w:p>
      <w:pPr>
        <w:spacing w:after="0" w:line="219" w:lineRule="exact"/>
        <w:rPr>
          <w:sz w:val="20"/>
          <w:szCs w:val="20"/>
          <w:color w:val="auto"/>
        </w:rPr>
      </w:pPr>
    </w:p>
    <w:p>
      <w:pPr>
        <w:ind w:left="540" w:hanging="532"/>
        <w:spacing w:after="0"/>
        <w:tabs>
          <w:tab w:leader="none" w:pos="540" w:val="left"/>
        </w:tabs>
        <w:numPr>
          <w:ilvl w:val="0"/>
          <w:numId w:val="77"/>
        </w:numPr>
        <w:rPr>
          <w:rFonts w:ascii="Arial" w:cs="Arial" w:eastAsia="Arial" w:hAnsi="Arial"/>
          <w:sz w:val="35"/>
          <w:szCs w:val="35"/>
          <w:color w:val="auto"/>
          <w:vertAlign w:val="superscript"/>
        </w:rPr>
      </w:pPr>
      <w:r>
        <w:rPr>
          <w:rFonts w:ascii="Arial" w:cs="Arial" w:eastAsia="Arial" w:hAnsi="Arial"/>
          <w:sz w:val="18"/>
          <w:szCs w:val="18"/>
          <w:color w:val="auto"/>
        </w:rPr>
        <w:t xml:space="preserve">To define the clinical toxicities of intrathecal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objective</w:t>
      </w:r>
    </w:p>
    <w:p>
      <w:pPr>
        <w:spacing w:after="0" w:line="209" w:lineRule="exact"/>
        <w:rPr>
          <w:sz w:val="20"/>
          <w:szCs w:val="20"/>
          <w:color w:val="auto"/>
        </w:rPr>
      </w:pPr>
    </w:p>
    <w:p>
      <w:pPr>
        <w:ind w:right="6400" w:firstLine="8"/>
        <w:spacing w:after="0" w:line="485"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To collect neurocognitive and long-term follow-up data. </w:t>
      </w:r>
      <w:r>
        <w:rPr>
          <w:rFonts w:ascii="Arial" w:cs="Arial" w:eastAsia="Arial" w:hAnsi="Arial"/>
          <w:sz w:val="18"/>
          <w:szCs w:val="18"/>
          <w:u w:val="single" w:color="auto"/>
          <w:color w:val="auto"/>
        </w:rPr>
        <w:t>Safety results</w:t>
      </w:r>
    </w:p>
    <w:p>
      <w:pPr>
        <w:ind w:right="160"/>
        <w:spacing w:after="0" w:line="216" w:lineRule="auto"/>
        <w:rPr>
          <w:sz w:val="20"/>
          <w:szCs w:val="20"/>
          <w:color w:val="auto"/>
        </w:rPr>
      </w:pPr>
      <w:r>
        <w:rPr>
          <w:rFonts w:ascii="Arial" w:cs="Arial" w:eastAsia="Arial" w:hAnsi="Arial"/>
          <w:sz w:val="17"/>
          <w:szCs w:val="17"/>
          <w:color w:val="auto"/>
        </w:rPr>
        <w:t xml:space="preserve">No MTD was reached in the dose escalation portion of the trial. Although not a DLT, myelosuppression was observed in patients who had received craniospinal radiation and </w:t>
      </w:r>
      <w:r>
        <w:rPr>
          <w:rFonts w:ascii="Arial" w:cs="Arial" w:eastAsia="Arial" w:hAnsi="Arial"/>
          <w:sz w:val="28"/>
          <w:szCs w:val="28"/>
          <w:color w:val="auto"/>
          <w:vertAlign w:val="superscript"/>
        </w:rPr>
        <w:t>131</w:t>
      </w:r>
      <w:r>
        <w:rPr>
          <w:rFonts w:ascii="Arial" w:cs="Arial" w:eastAsia="Arial" w:hAnsi="Arial"/>
          <w:sz w:val="17"/>
          <w:szCs w:val="17"/>
          <w:color w:val="auto"/>
        </w:rPr>
        <w:t>I-omburtamab at dose levels six and seven (60 and 70 mCi, respectively). As a result, a dose of 50 mCi</w:t>
      </w:r>
    </w:p>
    <w:p>
      <w:pPr>
        <w:spacing w:after="0" w:line="1" w:lineRule="exact"/>
        <w:rPr>
          <w:sz w:val="20"/>
          <w:szCs w:val="20"/>
          <w:color w:val="auto"/>
        </w:rPr>
      </w:pPr>
    </w:p>
    <w:p>
      <w:pPr>
        <w:ind w:right="160"/>
        <w:spacing w:after="0" w:line="212" w:lineRule="auto"/>
        <w:rPr>
          <w:sz w:val="20"/>
          <w:szCs w:val="20"/>
          <w:color w:val="auto"/>
        </w:rPr>
      </w:pPr>
      <w:r>
        <w:rPr>
          <w:rFonts w:ascii="Arial" w:cs="Arial" w:eastAsia="Arial" w:hAnsi="Arial"/>
          <w:sz w:val="18"/>
          <w:szCs w:val="18"/>
          <w:color w:val="auto"/>
        </w:rPr>
        <w:t xml:space="preserve">was chosen for the expansion cohort. Among the 107 patients treated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and diagnosed with pediatric CNS/LM metastasis from NB, a total of 340 injections were administered and myelosuppression was observed in approximately 88 patients. No increased risk of radionecrosis was observed.</w:t>
      </w:r>
    </w:p>
    <w:p>
      <w:pPr>
        <w:spacing w:after="0" w:line="182"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 xml:space="preserve">As of September 2018, 29% of the patients had an SAE that was considered related to treatment by the investigator. The SAEs considered related by investigator were mainly in the System organ Class: investigations reflecting </w:t>
      </w:r>
      <w:r>
        <w:rPr>
          <w:rFonts w:ascii="Arial" w:cs="Arial" w:eastAsia="Arial" w:hAnsi="Arial"/>
          <w:sz w:val="29"/>
          <w:szCs w:val="29"/>
          <w:color w:val="auto"/>
          <w:vertAlign w:val="superscript"/>
        </w:rPr>
        <w:t>131</w:t>
      </w:r>
      <w:r>
        <w:rPr>
          <w:rFonts w:ascii="Arial" w:cs="Arial" w:eastAsia="Arial" w:hAnsi="Arial"/>
          <w:sz w:val="18"/>
          <w:szCs w:val="18"/>
          <w:color w:val="auto"/>
        </w:rPr>
        <w:t>I-mediated myelosuppression, which were considered related for the majority of the events. Related SAEs of vomiting were reported in five patients (3.4%), headache and meningitis chemical by four patients (2.7%) each.</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results</w:t>
      </w:r>
    </w:p>
    <w:p>
      <w:pPr>
        <w:spacing w:after="0" w:line="212" w:lineRule="exact"/>
        <w:rPr>
          <w:sz w:val="20"/>
          <w:szCs w:val="20"/>
          <w:color w:val="auto"/>
        </w:rPr>
      </w:pPr>
    </w:p>
    <w:p>
      <w:pPr>
        <w:jc w:val="both"/>
        <w:ind w:right="500"/>
        <w:spacing w:after="0" w:line="252" w:lineRule="auto"/>
        <w:rPr>
          <w:sz w:val="20"/>
          <w:szCs w:val="20"/>
          <w:color w:val="auto"/>
        </w:rPr>
      </w:pPr>
      <w:r>
        <w:rPr>
          <w:rFonts w:ascii="Arial" w:cs="Arial" w:eastAsia="Arial" w:hAnsi="Arial"/>
          <w:sz w:val="18"/>
          <w:szCs w:val="18"/>
          <w:color w:val="auto"/>
        </w:rPr>
        <w:t>Data reported as of June 2019 indicate that the median OS for the 107 patients diagnosed with pediatric CNS/LM metastasis from NB and treated under Study 03-133 was 50.8 months. Based on calculations per the Kaplan-Meier Plot, the estimated three-year OS of these 107 patients is 56% and the estimated five-year OS and ten-year OS is 44%, and 38%,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median overall survival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589270" cy="28721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5589270" cy="287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MSK HC = NB patients with CNS / LM treated at MSK prior to 2003.</w:t>
      </w:r>
    </w:p>
    <w:p>
      <w:pPr>
        <w:spacing w:after="0" w:line="213"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21"/>
          <w:szCs w:val="21"/>
          <w:color w:val="auto"/>
          <w:vertAlign w:val="superscript"/>
        </w:rPr>
        <w:t>131</w:t>
      </w:r>
      <w:r>
        <w:rPr>
          <w:rFonts w:ascii="Arial" w:cs="Arial" w:eastAsia="Arial" w:hAnsi="Arial"/>
          <w:sz w:val="14"/>
          <w:szCs w:val="14"/>
          <w:color w:val="auto"/>
        </w:rPr>
        <w:t>I-omburtamab = Patients diagnosed with pediatric CNS/LM metastasis from NB treated under Study 03-133.</w:t>
      </w:r>
    </w:p>
    <w:p>
      <w:pPr>
        <w:spacing w:after="0" w:line="16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figure above compares median OS data from Study 03-133 with historical controls. Historical patient data extracted from three sources revealed median OS of 8.7 months in the literature, 4.7 months in the German NB Trials, and 5.5 months in the MSK historical cohort prior to the</w:t>
      </w:r>
    </w:p>
    <w:p>
      <w:pPr>
        <w:ind w:right="40"/>
        <w:spacing w:after="0" w:line="223" w:lineRule="auto"/>
        <w:rPr>
          <w:sz w:val="20"/>
          <w:szCs w:val="20"/>
          <w:color w:val="auto"/>
        </w:rPr>
      </w:pPr>
      <w:r>
        <w:rPr>
          <w:rFonts w:ascii="Arial" w:cs="Arial" w:eastAsia="Arial" w:hAnsi="Arial"/>
          <w:sz w:val="18"/>
          <w:szCs w:val="18"/>
          <w:color w:val="auto"/>
        </w:rPr>
        <w:t xml:space="preserve">introduction of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treatment. These results further demonstrate the lack of an established, effective therapy for these patients that we believe can potentially be addressed by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64" w:lineRule="exact"/>
        <w:rPr>
          <w:sz w:val="20"/>
          <w:szCs w:val="20"/>
          <w:color w:val="auto"/>
        </w:rPr>
      </w:pPr>
    </w:p>
    <w:p>
      <w:pPr>
        <w:ind w:right="80"/>
        <w:spacing w:after="0" w:line="211" w:lineRule="auto"/>
        <w:rPr>
          <w:sz w:val="20"/>
          <w:szCs w:val="20"/>
          <w:color w:val="auto"/>
        </w:rPr>
      </w:pPr>
      <w:r>
        <w:rPr>
          <w:rFonts w:ascii="Arial" w:cs="Arial" w:eastAsia="Arial" w:hAnsi="Arial"/>
          <w:sz w:val="18"/>
          <w:szCs w:val="18"/>
          <w:color w:val="auto"/>
        </w:rPr>
        <w:t xml:space="preserve">The chart below shows the historical comparable data and median OS following the introduction of </w:t>
      </w:r>
      <w:r>
        <w:rPr>
          <w:rFonts w:ascii="Arial" w:cs="Arial" w:eastAsia="Arial" w:hAnsi="Arial"/>
          <w:sz w:val="29"/>
          <w:szCs w:val="29"/>
          <w:color w:val="auto"/>
          <w:vertAlign w:val="superscript"/>
        </w:rPr>
        <w:t>131</w:t>
      </w:r>
      <w:r>
        <w:rPr>
          <w:rFonts w:ascii="Arial" w:cs="Arial" w:eastAsia="Arial" w:hAnsi="Arial"/>
          <w:sz w:val="18"/>
          <w:szCs w:val="18"/>
          <w:color w:val="auto"/>
        </w:rPr>
        <w:t>I-omburtamab treatment. This represents 107 treated patients from Study 03-133 diagnosed with</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pediatric CNS/LM metastasis from NB, as at June 2019. The estimated three-year median OS was 56% and the five-year median OS was 44%.</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Survivors have been followed for up to 14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132080</wp:posOffset>
            </wp:positionV>
            <wp:extent cx="4328795" cy="28117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432879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right="280" w:hanging="179"/>
        <w:spacing w:after="0" w:line="210" w:lineRule="auto"/>
        <w:rPr>
          <w:sz w:val="20"/>
          <w:szCs w:val="20"/>
          <w:color w:val="auto"/>
        </w:rPr>
      </w:pPr>
      <w:r>
        <w:rPr>
          <w:rFonts w:ascii="Arial" w:cs="Arial" w:eastAsia="Arial" w:hAnsi="Arial"/>
          <w:sz w:val="18"/>
          <w:szCs w:val="18"/>
          <w:i w:val="1"/>
          <w:iCs w:val="1"/>
          <w:color w:val="auto"/>
        </w:rPr>
        <w:t xml:space="preserve">Study 101: A Multicenter Phase </w:t>
      </w:r>
      <w:r>
        <w:rPr>
          <w:rFonts w:ascii="Arial" w:cs="Arial" w:eastAsia="Arial" w:hAnsi="Arial"/>
          <w:sz w:val="29"/>
          <w:szCs w:val="29"/>
          <w:i w:val="1"/>
          <w:iCs w:val="1"/>
          <w:color w:val="auto"/>
          <w:vertAlign w:val="superscript"/>
        </w:rPr>
        <w:t>2</w:t>
      </w:r>
      <w:r>
        <w:rPr>
          <w:rFonts w:ascii="Arial" w:cs="Arial" w:eastAsia="Arial" w:hAnsi="Arial"/>
          <w:sz w:val="18"/>
          <w:szCs w:val="18"/>
          <w:i w:val="1"/>
          <w:iCs w:val="1"/>
          <w:color w:val="auto"/>
        </w:rPr>
        <w:t>/</w:t>
      </w:r>
      <w:r>
        <w:rPr>
          <w:rFonts w:ascii="Arial" w:cs="Arial" w:eastAsia="Arial" w:hAnsi="Arial"/>
          <w:sz w:val="14"/>
          <w:szCs w:val="14"/>
          <w:i w:val="1"/>
          <w:iCs w:val="1"/>
          <w:color w:val="auto"/>
        </w:rPr>
        <w:t>3</w:t>
      </w:r>
      <w:r>
        <w:rPr>
          <w:rFonts w:ascii="Arial" w:cs="Arial" w:eastAsia="Arial" w:hAnsi="Arial"/>
          <w:sz w:val="18"/>
          <w:szCs w:val="18"/>
          <w:i w:val="1"/>
          <w:iCs w:val="1"/>
          <w:color w:val="auto"/>
        </w:rPr>
        <w:t xml:space="preserve"> Trial of the Efficacy and Safety of Intracerebroventricular Radioimmunotherapy using </w:t>
      </w: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Neuroblastoma Central Nervous System/Leptomeningeal Metastases</w:t>
      </w:r>
    </w:p>
    <w:p>
      <w:pPr>
        <w:spacing w:after="0" w:line="187" w:lineRule="exact"/>
        <w:rPr>
          <w:sz w:val="20"/>
          <w:szCs w:val="20"/>
          <w:color w:val="auto"/>
        </w:rPr>
      </w:pPr>
    </w:p>
    <w:p>
      <w:pPr>
        <w:ind w:right="20"/>
        <w:spacing w:after="0" w:line="187" w:lineRule="auto"/>
        <w:rPr>
          <w:sz w:val="20"/>
          <w:szCs w:val="20"/>
          <w:color w:val="auto"/>
        </w:rPr>
      </w:pPr>
      <w:r>
        <w:rPr>
          <w:rFonts w:ascii="Arial" w:cs="Arial" w:eastAsia="Arial" w:hAnsi="Arial"/>
          <w:sz w:val="17"/>
          <w:szCs w:val="17"/>
          <w:color w:val="auto"/>
        </w:rPr>
        <w:t xml:space="preserve">Study 101 is an ongoing pivotal Phase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xml:space="preserve"> single-arm, open-label, non-randomized, multi-center efficacy, safety, pharmacokinetics and dosimetry trial of intracerebroventricular </w:t>
      </w:r>
      <w:r>
        <w:rPr>
          <w:rFonts w:ascii="Arial" w:cs="Arial" w:eastAsia="Arial" w:hAnsi="Arial"/>
          <w:sz w:val="28"/>
          <w:szCs w:val="28"/>
          <w:color w:val="auto"/>
          <w:vertAlign w:val="superscript"/>
        </w:rPr>
        <w:t>131</w:t>
      </w:r>
      <w:r>
        <w:rPr>
          <w:rFonts w:ascii="Arial" w:cs="Arial" w:eastAsia="Arial" w:hAnsi="Arial"/>
          <w:sz w:val="17"/>
          <w:szCs w:val="17"/>
          <w:color w:val="auto"/>
        </w:rPr>
        <w:t>I-omburtamab in pediatric patients with R/R NB who have CNS/LM from NB. Patients will receive up to two</w:t>
      </w:r>
    </w:p>
    <w:p>
      <w:pPr>
        <w:spacing w:after="0" w:line="2" w:lineRule="exact"/>
        <w:rPr>
          <w:sz w:val="20"/>
          <w:szCs w:val="20"/>
          <w:color w:val="auto"/>
        </w:rPr>
      </w:pPr>
    </w:p>
    <w:p>
      <w:pPr>
        <w:ind w:right="220"/>
        <w:spacing w:after="0" w:line="206" w:lineRule="auto"/>
        <w:rPr>
          <w:sz w:val="20"/>
          <w:szCs w:val="20"/>
          <w:color w:val="auto"/>
        </w:rPr>
      </w:pPr>
      <w:r>
        <w:rPr>
          <w:rFonts w:ascii="Arial" w:cs="Arial" w:eastAsia="Arial" w:hAnsi="Arial"/>
          <w:sz w:val="17"/>
          <w:szCs w:val="17"/>
          <w:color w:val="auto"/>
        </w:rPr>
        <w:t xml:space="preserve">cycles of </w:t>
      </w:r>
      <w:r>
        <w:rPr>
          <w:rFonts w:ascii="Arial" w:cs="Arial" w:eastAsia="Arial" w:hAnsi="Arial"/>
          <w:sz w:val="28"/>
          <w:szCs w:val="28"/>
          <w:color w:val="auto"/>
          <w:vertAlign w:val="superscript"/>
        </w:rPr>
        <w:t>131</w:t>
      </w:r>
      <w:r>
        <w:rPr>
          <w:rFonts w:ascii="Arial" w:cs="Arial" w:eastAsia="Arial" w:hAnsi="Arial"/>
          <w:sz w:val="17"/>
          <w:szCs w:val="17"/>
          <w:color w:val="auto"/>
        </w:rPr>
        <w:t>I-omburtamab. This study commenced in the second quarter of 2018, and we are planning to treat a total of at least 32 patients in this multi-center pivotal Phase 2 trial with an interim analysis for the purposes of pharmacokinetic and dosimetry comparability between study</w:t>
      </w:r>
    </w:p>
    <w:p>
      <w:pPr>
        <w:spacing w:after="0" w:line="1" w:lineRule="exact"/>
        <w:rPr>
          <w:sz w:val="20"/>
          <w:szCs w:val="20"/>
          <w:color w:val="auto"/>
        </w:rPr>
      </w:pPr>
    </w:p>
    <w:p>
      <w:pPr>
        <w:ind w:right="180"/>
        <w:spacing w:after="0" w:line="206" w:lineRule="auto"/>
        <w:rPr>
          <w:sz w:val="20"/>
          <w:szCs w:val="20"/>
          <w:color w:val="auto"/>
        </w:rPr>
      </w:pPr>
      <w:r>
        <w:rPr>
          <w:rFonts w:ascii="Arial" w:cs="Arial" w:eastAsia="Arial" w:hAnsi="Arial"/>
          <w:sz w:val="17"/>
          <w:szCs w:val="17"/>
          <w:color w:val="auto"/>
        </w:rPr>
        <w:t xml:space="preserve">sites using </w:t>
      </w:r>
      <w:r>
        <w:rPr>
          <w:rFonts w:ascii="Arial" w:cs="Arial" w:eastAsia="Arial" w:hAnsi="Arial"/>
          <w:sz w:val="28"/>
          <w:szCs w:val="28"/>
          <w:color w:val="auto"/>
          <w:vertAlign w:val="superscript"/>
        </w:rPr>
        <w:t>131</w:t>
      </w:r>
      <w:r>
        <w:rPr>
          <w:rFonts w:ascii="Arial" w:cs="Arial" w:eastAsia="Arial" w:hAnsi="Arial"/>
          <w:sz w:val="17"/>
          <w:szCs w:val="17"/>
          <w:color w:val="auto"/>
        </w:rPr>
        <w:t>I-omburtamab from our cGMP commercial manufacturer, versus drug product previously produced by MSK. Study 101 has also been designed to satisfy potential confirmatory study and post-marketing requirement by the FDA, and, as a result, we will continue to recruit a</w:t>
      </w:r>
    </w:p>
    <w:p>
      <w:pPr>
        <w:spacing w:after="0" w:line="1" w:lineRule="exact"/>
        <w:rPr>
          <w:sz w:val="20"/>
          <w:szCs w:val="20"/>
          <w:color w:val="auto"/>
        </w:rPr>
      </w:pPr>
    </w:p>
    <w:p>
      <w:pPr>
        <w:ind w:right="220"/>
        <w:spacing w:after="0" w:line="203" w:lineRule="auto"/>
        <w:rPr>
          <w:sz w:val="20"/>
          <w:szCs w:val="20"/>
          <w:color w:val="auto"/>
        </w:rPr>
      </w:pPr>
      <w:r>
        <w:rPr>
          <w:rFonts w:ascii="Arial" w:cs="Arial" w:eastAsia="Arial" w:hAnsi="Arial"/>
          <w:sz w:val="18"/>
          <w:szCs w:val="18"/>
          <w:color w:val="auto"/>
        </w:rPr>
        <w:t xml:space="preserve">total of at least 32 patients in the study even if we perform an interim analysis before. We expect a BLA re-submission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CNS/LM from NB via a rolling submission by the end of the second quarter of 2021 or the third quarter of 2021.</w:t>
      </w:r>
    </w:p>
    <w:p>
      <w:pPr>
        <w:spacing w:after="0" w:line="183"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 xml:space="preserve">Data from the planned interim analysis described above will also be combined with the data from Study 03-133 to support a potential accelerated approval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the treatment of pediatric patients with high-risk NB who have CNS/LM relapse.</w:t>
      </w:r>
    </w:p>
    <w:p>
      <w:pPr>
        <w:spacing w:after="0" w:line="2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Safety and efficacy data will be investigated with short-term follow-up at 26 weeks after treatment and with long-term follow-up for up to three years following treatment. Final analysis will be performed when at least 32 treated patients have completed long-term follow-up (three years or until death).</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Median OS at three years and its 95% CI will be estimated using Kaplan-Meier methods. Efficacy will be achieved if the lower limit of the 95% CI of three-year median OS exceeds 10%. PFS will also be analyzed using Kaplan-Meier methods.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12" w:lineRule="exact"/>
        <w:rPr>
          <w:sz w:val="20"/>
          <w:szCs w:val="20"/>
          <w:color w:val="auto"/>
        </w:rPr>
      </w:pPr>
    </w:p>
    <w:p>
      <w:pPr>
        <w:ind w:right="820"/>
        <w:spacing w:after="0" w:line="269" w:lineRule="auto"/>
        <w:rPr>
          <w:sz w:val="20"/>
          <w:szCs w:val="20"/>
          <w:color w:val="auto"/>
        </w:rPr>
      </w:pPr>
      <w:r>
        <w:rPr>
          <w:rFonts w:ascii="Arial" w:cs="Arial" w:eastAsia="Arial" w:hAnsi="Arial"/>
          <w:sz w:val="18"/>
          <w:szCs w:val="18"/>
          <w:color w:val="auto"/>
        </w:rPr>
        <w:t>In addition to satisfying certain other criteria, patients must be less than 18 years of age at the time of screening. Patients must have a histologically confirmed diagnosis of CNS/LM from NB with relapse.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15" w:lineRule="exact"/>
        <w:rPr>
          <w:sz w:val="20"/>
          <w:szCs w:val="20"/>
          <w:color w:val="auto"/>
        </w:rPr>
      </w:pPr>
    </w:p>
    <w:p>
      <w:pPr>
        <w:ind w:right="160"/>
        <w:spacing w:after="0" w:line="217" w:lineRule="auto"/>
        <w:rPr>
          <w:sz w:val="20"/>
          <w:szCs w:val="20"/>
          <w:color w:val="auto"/>
        </w:rPr>
      </w:pPr>
      <w:r>
        <w:rPr>
          <w:rFonts w:ascii="Arial" w:cs="Arial" w:eastAsia="Arial" w:hAnsi="Arial"/>
          <w:sz w:val="18"/>
          <w:szCs w:val="18"/>
          <w:color w:val="auto"/>
        </w:rPr>
        <w:t xml:space="preserve">A single treatment cycle will last five weeks and will include premedication, intracerebroventricular </w:t>
      </w:r>
      <w:r>
        <w:rPr>
          <w:rFonts w:ascii="Arial" w:cs="Arial" w:eastAsia="Arial" w:hAnsi="Arial"/>
          <w:sz w:val="29"/>
          <w:szCs w:val="29"/>
          <w:color w:val="auto"/>
          <w:vertAlign w:val="superscript"/>
        </w:rPr>
        <w:t>131</w:t>
      </w:r>
      <w:r>
        <w:rPr>
          <w:rFonts w:ascii="Arial" w:cs="Arial" w:eastAsia="Arial" w:hAnsi="Arial"/>
          <w:sz w:val="18"/>
          <w:szCs w:val="18"/>
          <w:color w:val="auto"/>
        </w:rPr>
        <w:t>I-omburtamab administration (one dosimetry dose and one treatment dose), an observation period, and post-treatment evaluations (see figure below). The dosimetry dose will be used only for the first 24 patients.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One </w:t>
      </w:r>
      <w:r>
        <w:rPr>
          <w:rFonts w:ascii="Arial" w:cs="Arial" w:eastAsia="Arial" w:hAnsi="Arial"/>
          <w:sz w:val="29"/>
          <w:szCs w:val="29"/>
          <w:color w:val="auto"/>
          <w:vertAlign w:val="superscript"/>
        </w:rPr>
        <w:t>131</w:t>
      </w:r>
      <w:r>
        <w:rPr>
          <w:rFonts w:ascii="Arial" w:cs="Arial" w:eastAsia="Arial" w:hAnsi="Arial"/>
          <w:sz w:val="18"/>
          <w:szCs w:val="18"/>
          <w:color w:val="auto"/>
        </w:rPr>
        <w:t>I-omburtamab treatment cycle for Study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89535</wp:posOffset>
            </wp:positionV>
            <wp:extent cx="5615305" cy="8832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561530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Patients without objective PD are eligible for a second dosing cycle.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objective</w:t>
      </w:r>
    </w:p>
    <w:p>
      <w:pPr>
        <w:spacing w:after="0" w:line="210" w:lineRule="exact"/>
        <w:rPr>
          <w:sz w:val="20"/>
          <w:szCs w:val="20"/>
          <w:color w:val="auto"/>
        </w:rPr>
      </w:pPr>
    </w:p>
    <w:p>
      <w:pPr>
        <w:ind w:left="540" w:hanging="532"/>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determine OS rate at three years.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objectives</w:t>
      </w:r>
    </w:p>
    <w:p>
      <w:pPr>
        <w:spacing w:after="0" w:line="223" w:lineRule="exact"/>
        <w:rPr>
          <w:sz w:val="20"/>
          <w:szCs w:val="20"/>
          <w:color w:val="auto"/>
        </w:rPr>
      </w:pPr>
    </w:p>
    <w:p>
      <w:pPr>
        <w:ind w:left="540" w:hanging="532"/>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determine ORR up to three years.</w:t>
      </w:r>
    </w:p>
    <w:p>
      <w:pPr>
        <w:spacing w:after="0" w:line="193" w:lineRule="exact"/>
        <w:rPr>
          <w:rFonts w:ascii="Arial" w:cs="Arial" w:eastAsia="Arial" w:hAnsi="Arial"/>
          <w:sz w:val="18"/>
          <w:szCs w:val="18"/>
          <w:color w:val="auto"/>
        </w:rPr>
      </w:pPr>
    </w:p>
    <w:p>
      <w:pPr>
        <w:ind w:left="540" w:hanging="532"/>
        <w:spacing w:after="0"/>
        <w:tabs>
          <w:tab w:leader="none" w:pos="540" w:val="left"/>
        </w:tabs>
        <w:numPr>
          <w:ilvl w:val="0"/>
          <w:numId w:val="81"/>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PFS at six months after the first therapeutic dose of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69" w:lineRule="exact"/>
        <w:rPr>
          <w:rFonts w:ascii="Arial" w:cs="Arial" w:eastAsia="Arial" w:hAnsi="Arial"/>
          <w:sz w:val="35"/>
          <w:szCs w:val="35"/>
          <w:color w:val="auto"/>
          <w:vertAlign w:val="superscript"/>
        </w:rPr>
      </w:pPr>
    </w:p>
    <w:p>
      <w:pPr>
        <w:ind w:left="540" w:hanging="532"/>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assess radiation doses delivered to the blood and CSF.</w:t>
      </w:r>
    </w:p>
    <w:p>
      <w:pPr>
        <w:spacing w:after="0" w:line="189" w:lineRule="exact"/>
        <w:rPr>
          <w:rFonts w:ascii="Arial" w:cs="Arial" w:eastAsia="Arial" w:hAnsi="Arial"/>
          <w:sz w:val="18"/>
          <w:szCs w:val="18"/>
          <w:color w:val="auto"/>
        </w:rPr>
      </w:pPr>
    </w:p>
    <w:p>
      <w:pPr>
        <w:ind w:left="540" w:hanging="532"/>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assess the frequency, type, of adverse events and human anti-mouse antibodies, or HAMA, response formation.</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assess the effects on cognitive functions.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have initiated Study 101 to form the primary basis for our planned BLA, to establish comparability of study population and pharmacokinetics analysis with Study 03-133 and to satisfy potential confirmatory study and post-marketing requirements by the FDA. If the results from Study 101 fail to demonstrate comparability to the satisfaction of the FDA and other comparable regulatory authorities, this may lead to a delay in, or otherwise adversely affect, such clinical trials, including the timing of submission of our BLA.</w:t>
      </w:r>
    </w:p>
    <w:p>
      <w:pPr>
        <w:spacing w:after="0" w:line="183" w:lineRule="exact"/>
        <w:rPr>
          <w:sz w:val="20"/>
          <w:szCs w:val="20"/>
          <w:color w:val="auto"/>
        </w:rPr>
      </w:pPr>
    </w:p>
    <w:p>
      <w:pPr>
        <w:spacing w:after="0"/>
        <w:rPr>
          <w:sz w:val="20"/>
          <w:szCs w:val="20"/>
          <w:color w:val="auto"/>
        </w:rPr>
      </w:pPr>
      <w:r>
        <w:rPr>
          <w:rFonts w:ascii="Arial" w:cs="Arial" w:eastAsia="Arial" w:hAnsi="Arial"/>
          <w:sz w:val="29"/>
          <w:szCs w:val="29"/>
          <w:i w:val="1"/>
          <w:iCs w:val="1"/>
          <w:color w:val="auto"/>
          <w:vertAlign w:val="superscript"/>
        </w:rPr>
        <w:t>124</w:t>
      </w:r>
      <w:r>
        <w:rPr>
          <w:rFonts w:ascii="Arial" w:cs="Arial" w:eastAsia="Arial" w:hAnsi="Arial"/>
          <w:sz w:val="18"/>
          <w:szCs w:val="18"/>
          <w:i w:val="1"/>
          <w:iCs w:val="1"/>
          <w:color w:val="auto"/>
        </w:rPr>
        <w:t>I-omburtamab for the treatment of diffuse intrinsic pontine glioma</w:t>
      </w:r>
    </w:p>
    <w:p>
      <w:pPr>
        <w:spacing w:after="0" w:line="124" w:lineRule="exact"/>
        <w:rPr>
          <w:sz w:val="20"/>
          <w:szCs w:val="20"/>
          <w:color w:val="auto"/>
        </w:rPr>
      </w:pPr>
    </w:p>
    <w:p>
      <w:pPr>
        <w:jc w:val="both"/>
        <w:ind w:right="60"/>
        <w:spacing w:after="0" w:line="201" w:lineRule="auto"/>
        <w:rPr>
          <w:sz w:val="20"/>
          <w:szCs w:val="20"/>
          <w:color w:val="auto"/>
        </w:rPr>
      </w:pPr>
      <w:r>
        <w:rPr>
          <w:rFonts w:ascii="Arial" w:cs="Arial" w:eastAsia="Arial" w:hAnsi="Arial"/>
          <w:sz w:val="28"/>
          <w:szCs w:val="28"/>
          <w:color w:val="auto"/>
          <w:vertAlign w:val="superscript"/>
        </w:rPr>
        <w:t>124</w:t>
      </w:r>
      <w:r>
        <w:rPr>
          <w:rFonts w:ascii="Arial" w:cs="Arial" w:eastAsia="Arial" w:hAnsi="Arial"/>
          <w:sz w:val="17"/>
          <w:szCs w:val="17"/>
          <w:color w:val="auto"/>
        </w:rPr>
        <w:t>I-omburtamab is currently being evaluated in an ongoing Phase 1 clinical trial (Study 11-011) for the treatment of DIPG. In contrast to Iodine-131, which emits electrons, Iodine-</w:t>
      </w:r>
      <w:r>
        <w:rPr>
          <w:rFonts w:ascii="Arial" w:cs="Arial" w:eastAsia="Arial" w:hAnsi="Arial"/>
          <w:sz w:val="28"/>
          <w:szCs w:val="28"/>
          <w:color w:val="auto"/>
          <w:vertAlign w:val="superscript"/>
        </w:rPr>
        <w:t>124</w:t>
      </w:r>
      <w:r>
        <w:rPr>
          <w:rFonts w:ascii="Arial" w:cs="Arial" w:eastAsia="Arial" w:hAnsi="Arial"/>
          <w:sz w:val="17"/>
          <w:szCs w:val="17"/>
          <w:color w:val="auto"/>
        </w:rPr>
        <w:t xml:space="preserve"> is a positron-emitting iodine isotope. This enables measurement of iodine uptake using PET scans, which we believe is important when using radiotherapy in a critical organ such as pons, where overdosing may have serious consequences. In 2016,</w:t>
      </w:r>
    </w:p>
    <w:p>
      <w:pPr>
        <w:spacing w:after="0" w:line="3" w:lineRule="exact"/>
        <w:rPr>
          <w:sz w:val="20"/>
          <w:szCs w:val="20"/>
          <w:color w:val="auto"/>
        </w:rPr>
      </w:pPr>
    </w:p>
    <w:p>
      <w:pPr>
        <w:ind w:right="60"/>
        <w:spacing w:after="0" w:line="212" w:lineRule="auto"/>
        <w:rPr>
          <w:sz w:val="20"/>
          <w:szCs w:val="20"/>
          <w:color w:val="auto"/>
        </w:rPr>
      </w:pPr>
      <w:r>
        <w:rPr>
          <w:rFonts w:ascii="Arial" w:cs="Arial" w:eastAsia="Arial" w:hAnsi="Arial"/>
          <w:sz w:val="28"/>
          <w:szCs w:val="28"/>
          <w:color w:val="auto"/>
          <w:vertAlign w:val="superscript"/>
        </w:rPr>
        <w:t>124</w:t>
      </w:r>
      <w:r>
        <w:rPr>
          <w:rFonts w:ascii="Arial" w:cs="Arial" w:eastAsia="Arial" w:hAnsi="Arial"/>
          <w:sz w:val="17"/>
          <w:szCs w:val="17"/>
          <w:color w:val="auto"/>
        </w:rPr>
        <w:t xml:space="preserve">I-omburtamab received RPDD from the FDA for the treatment of DIPG. As of January 2021, we have treated 46 patients with DIPG with </w:t>
      </w:r>
      <w:r>
        <w:rPr>
          <w:rFonts w:ascii="Arial" w:cs="Arial" w:eastAsia="Arial" w:hAnsi="Arial"/>
          <w:sz w:val="28"/>
          <w:szCs w:val="28"/>
          <w:color w:val="auto"/>
          <w:vertAlign w:val="superscript"/>
        </w:rPr>
        <w:t>124</w:t>
      </w:r>
      <w:r>
        <w:rPr>
          <w:rFonts w:ascii="Arial" w:cs="Arial" w:eastAsia="Arial" w:hAnsi="Arial"/>
          <w:sz w:val="17"/>
          <w:szCs w:val="17"/>
          <w:color w:val="auto"/>
        </w:rPr>
        <w:t>I-omburtamab. Interim clinical results from the dose escalation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22" w:lineRule="auto"/>
        <w:rPr>
          <w:sz w:val="20"/>
          <w:szCs w:val="20"/>
          <w:color w:val="auto"/>
        </w:rPr>
      </w:pPr>
      <w:r>
        <w:rPr>
          <w:rFonts w:ascii="Arial" w:cs="Arial" w:eastAsia="Arial" w:hAnsi="Arial"/>
          <w:sz w:val="18"/>
          <w:szCs w:val="18"/>
          <w:color w:val="auto"/>
        </w:rPr>
        <w:t xml:space="preserve">portion of the study, which were published in 2018 (Souweidane et al., Lancet Oncol 2018; 19: 1040-50), demonstrated that convection-enhanced delivery, or CED, of </w:t>
      </w:r>
      <w:r>
        <w:rPr>
          <w:rFonts w:ascii="Arial" w:cs="Arial" w:eastAsia="Arial" w:hAnsi="Arial"/>
          <w:sz w:val="29"/>
          <w:szCs w:val="29"/>
          <w:color w:val="auto"/>
          <w:vertAlign w:val="superscript"/>
        </w:rPr>
        <w:t>124</w:t>
      </w:r>
      <w:r>
        <w:rPr>
          <w:rFonts w:ascii="Arial" w:cs="Arial" w:eastAsia="Arial" w:hAnsi="Arial"/>
          <w:sz w:val="18"/>
          <w:szCs w:val="18"/>
          <w:color w:val="auto"/>
        </w:rPr>
        <w:t>I-omburtamab in the brainstem of children with DIPG appears to be a generally feasible approach for drug delivery, based on an evaluation using distribution and pharmacokinetics. We believe that we may qualify for a sBLA, assuming positive pivotal data in the planned Phase 2 trial (Study 102).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diffuse intrinsic pontine glioma</w:t>
      </w:r>
    </w:p>
    <w:p>
      <w:pPr>
        <w:spacing w:after="0" w:line="2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DIPG is a highly aggressive, malignant and difficult to treat brain tumor that forms from the glial (supportive) cells of the brain. The tumor grows in the area of the brainstem, called the pons, a critical area of the brain. Pons are involved in regulating critical body functions such as respiration and consciousness. They also house cranial nerves that facilitate essential functions such as eye movements, chewing, swallowing, facial expressions, hearing and balance, and assists in the transmission of messages between the various structures of the brain and the spinal cord.</w:t>
      </w:r>
    </w:p>
    <w:p>
      <w:pPr>
        <w:spacing w:after="0" w:line="14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DIPG typically affects children between the ages of five to nine years old and is the most common brainstem tumor in children, representing 75% to 80% of pediatric brainstem tumors. There are an estimated 300 children diagnosed with DIPG per year in the United States. One published research analysis evaluating DIPG specimens using immunohistochemistry demonstrated that 100% (nine out of nine) of the tested specimens were B7-H3 positive.</w:t>
      </w:r>
    </w:p>
    <w:p>
      <w:pPr>
        <w:spacing w:after="0" w:line="17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While DIPG accounts for approximately 10% to 15% of brain tumors in the pediatric population, it constitutes approximately 80% of brain tumor-related deaths. Assuming similar prevalence as in the United States, we estimate approximately 450 new pediatric patients diagnosed with DIPG per year in Europe. We believe the current addressable market for DIPG consists of approximately 750 new pediatric DIPG patients each year in the United States and Europe, combined.</w:t>
      </w:r>
    </w:p>
    <w:p>
      <w:pPr>
        <w:spacing w:after="0" w:line="183" w:lineRule="exact"/>
        <w:rPr>
          <w:sz w:val="20"/>
          <w:szCs w:val="20"/>
          <w:color w:val="auto"/>
        </w:rPr>
      </w:pPr>
    </w:p>
    <w:p>
      <w:pPr>
        <w:spacing w:after="0"/>
        <w:rPr>
          <w:sz w:val="20"/>
          <w:szCs w:val="20"/>
          <w:color w:val="auto"/>
        </w:rPr>
      </w:pPr>
      <w:r>
        <w:rPr>
          <w:rFonts w:ascii="Arial" w:cs="Arial" w:eastAsia="Arial" w:hAnsi="Arial"/>
          <w:sz w:val="29"/>
          <w:szCs w:val="29"/>
          <w:i w:val="1"/>
          <w:iCs w:val="1"/>
          <w:color w:val="auto"/>
          <w:vertAlign w:val="superscript"/>
        </w:rPr>
        <w:t>124</w:t>
      </w:r>
      <w:r>
        <w:rPr>
          <w:rFonts w:ascii="Arial" w:cs="Arial" w:eastAsia="Arial" w:hAnsi="Arial"/>
          <w:sz w:val="18"/>
          <w:szCs w:val="18"/>
          <w:i w:val="1"/>
          <w:iCs w:val="1"/>
          <w:color w:val="auto"/>
        </w:rPr>
        <w:t>I-omburtamab for diffuse intrinsic pontine glioma—current treatment landscape and associated limitations</w:t>
      </w:r>
    </w:p>
    <w:p>
      <w:pPr>
        <w:spacing w:after="0" w:line="12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DIPG grows diffusely and infiltrates healthy tissue in the critical structures of the brainstem and surgical treatment is not possible. The standard of care for the past three decades for children with newly diagnosed DIPG has been focal radiation therapy. Radiotherapy provides temporary improvement or stabilization of symptoms and extends median OS by an average of approximately three months. Within three to eight months after completion of radiation therapy, most children with DIPG have clinical or radiographic evidence of PD. Due to the strong likelihood of the development of PD in the vast majority of children with DIPG, many receive adjuvant chemotherapy at some point during their disease course in an attempt to improve survival. Despite numerous investigational trials, including those evaluating the efficacy of hyperfractionated radiotherapy and high-dose chemotherapy, the limited survival of patients with DIPG remains unchanged.</w:t>
      </w:r>
    </w:p>
    <w:p>
      <w:pPr>
        <w:spacing w:after="0" w:line="18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prognosis for DIPG remains very poor and the median OS of children with DIPG is less than one year from diagnosis and no meaningful improvement in median OS has been realized in more than three decades. The prognosis for children with DIPG is significantly worse than that of other brainstem tumors.</w:t>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i w:val="1"/>
          <w:iCs w:val="1"/>
          <w:color w:val="auto"/>
          <w:vertAlign w:val="superscript"/>
        </w:rPr>
        <w:t>124</w:t>
      </w:r>
      <w:r>
        <w:rPr>
          <w:rFonts w:ascii="Arial" w:cs="Arial" w:eastAsia="Arial" w:hAnsi="Arial"/>
          <w:sz w:val="18"/>
          <w:szCs w:val="18"/>
          <w:i w:val="1"/>
          <w:iCs w:val="1"/>
          <w:color w:val="auto"/>
        </w:rPr>
        <w:t>I-omburtamab for diffuse intrinsic pontine glioma—clinical development program</w:t>
      </w:r>
    </w:p>
    <w:p>
      <w:pPr>
        <w:spacing w:after="0" w:line="124"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I-omburtamab is currently being evaluated in an ongoing Phase 1 clinical study (Study 11-011) for the treatment of DIPG.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left="180" w:right="660" w:hanging="179"/>
        <w:spacing w:after="0" w:line="210" w:lineRule="auto"/>
        <w:rPr>
          <w:sz w:val="20"/>
          <w:szCs w:val="20"/>
          <w:color w:val="auto"/>
        </w:rPr>
      </w:pPr>
      <w:r>
        <w:rPr>
          <w:rFonts w:ascii="Arial" w:cs="Arial" w:eastAsia="Arial" w:hAnsi="Arial"/>
          <w:sz w:val="18"/>
          <w:szCs w:val="18"/>
          <w:i w:val="1"/>
          <w:iCs w:val="1"/>
          <w:color w:val="auto"/>
        </w:rPr>
        <w:t xml:space="preserve">Study 11-011: A Phase 1 Study of Convection-Enhanced Delivery of </w:t>
      </w:r>
      <w:r>
        <w:rPr>
          <w:rFonts w:ascii="Arial" w:cs="Arial" w:eastAsia="Arial" w:hAnsi="Arial"/>
          <w:sz w:val="29"/>
          <w:szCs w:val="29"/>
          <w:i w:val="1"/>
          <w:iCs w:val="1"/>
          <w:color w:val="auto"/>
          <w:vertAlign w:val="superscript"/>
        </w:rPr>
        <w:t>124</w:t>
      </w:r>
      <w:r>
        <w:rPr>
          <w:rFonts w:ascii="Arial" w:cs="Arial" w:eastAsia="Arial" w:hAnsi="Arial"/>
          <w:sz w:val="18"/>
          <w:szCs w:val="18"/>
          <w:i w:val="1"/>
          <w:iCs w:val="1"/>
          <w:color w:val="auto"/>
        </w:rPr>
        <w:t>I-omburtamab for Patients with Non-Progressive Diffuse Pontine Gliomas Previously Treated with External Beam Radiation Therapy</w:t>
      </w:r>
    </w:p>
    <w:p>
      <w:pPr>
        <w:spacing w:after="0" w:line="187" w:lineRule="exact"/>
        <w:rPr>
          <w:sz w:val="20"/>
          <w:szCs w:val="20"/>
          <w:color w:val="auto"/>
        </w:rPr>
      </w:pPr>
    </w:p>
    <w:p>
      <w:pPr>
        <w:spacing w:after="0" w:line="217" w:lineRule="auto"/>
        <w:rPr>
          <w:sz w:val="20"/>
          <w:szCs w:val="20"/>
          <w:color w:val="auto"/>
        </w:rPr>
      </w:pPr>
      <w:r>
        <w:rPr>
          <w:rFonts w:ascii="Arial" w:cs="Arial" w:eastAsia="Arial" w:hAnsi="Arial"/>
          <w:sz w:val="18"/>
          <w:szCs w:val="18"/>
          <w:color w:val="auto"/>
        </w:rPr>
        <w:t xml:space="preserve">MSK is conducting a Phase 1, dose escalation study of convection enhanced delivery, or CED, of </w:t>
      </w:r>
      <w:r>
        <w:rPr>
          <w:rFonts w:ascii="Arial" w:cs="Arial" w:eastAsia="Arial" w:hAnsi="Arial"/>
          <w:sz w:val="29"/>
          <w:szCs w:val="29"/>
          <w:color w:val="auto"/>
          <w:vertAlign w:val="superscript"/>
        </w:rPr>
        <w:t>124</w:t>
      </w:r>
      <w:r>
        <w:rPr>
          <w:rFonts w:ascii="Arial" w:cs="Arial" w:eastAsia="Arial" w:hAnsi="Arial"/>
          <w:sz w:val="18"/>
          <w:szCs w:val="18"/>
          <w:color w:val="auto"/>
        </w:rPr>
        <w:t>I-omburtamab in children with non-progressive DIPG previously treated with external beam radiation therapy. The study commenced in December 2011 and as of January 2021, 46 patients had been enrolled. We expect to enroll a total of 56 patients.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1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addition to satisfying certain other criteria, patients must be two years of age or older, and 21 years of age or younger. Patients must have non-PD DIPG previously treated with external beam radiation therapy. At least four weeks but not more than 14 weeks must have elapsed from the completion of radiotherapy.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15" w:lineRule="exact"/>
        <w:rPr>
          <w:sz w:val="20"/>
          <w:szCs w:val="20"/>
          <w:color w:val="auto"/>
        </w:rPr>
      </w:pPr>
    </w:p>
    <w:p>
      <w:pPr>
        <w:ind w:right="100"/>
        <w:spacing w:after="0" w:line="204" w:lineRule="auto"/>
        <w:rPr>
          <w:sz w:val="20"/>
          <w:szCs w:val="20"/>
          <w:color w:val="auto"/>
        </w:rPr>
      </w:pPr>
      <w:r>
        <w:rPr>
          <w:rFonts w:ascii="Arial" w:cs="Arial" w:eastAsia="Arial" w:hAnsi="Arial"/>
          <w:sz w:val="18"/>
          <w:szCs w:val="18"/>
          <w:color w:val="auto"/>
        </w:rPr>
        <w:t xml:space="preserve">The intervention is a surgical procedure using interstitial infusion of </w:t>
      </w:r>
      <w:r>
        <w:rPr>
          <w:rFonts w:ascii="Arial" w:cs="Arial" w:eastAsia="Arial" w:hAnsi="Arial"/>
          <w:sz w:val="29"/>
          <w:szCs w:val="29"/>
          <w:color w:val="auto"/>
          <w:vertAlign w:val="superscript"/>
        </w:rPr>
        <w:t>124</w:t>
      </w:r>
      <w:r>
        <w:rPr>
          <w:rFonts w:ascii="Arial" w:cs="Arial" w:eastAsia="Arial" w:hAnsi="Arial"/>
          <w:sz w:val="18"/>
          <w:szCs w:val="18"/>
          <w:color w:val="auto"/>
        </w:rPr>
        <w:t xml:space="preserve">I-omburtamab into the brainstem tumor. It is performed by stereotactic placement of a small caliber infusion cannula into the tumor followed by a slow infusion CED of </w:t>
      </w:r>
      <w:r>
        <w:rPr>
          <w:rFonts w:ascii="Arial" w:cs="Arial" w:eastAsia="Arial" w:hAnsi="Arial"/>
          <w:sz w:val="29"/>
          <w:szCs w:val="29"/>
          <w:color w:val="auto"/>
          <w:vertAlign w:val="superscript"/>
        </w:rPr>
        <w:t>124</w:t>
      </w:r>
      <w:r>
        <w:rPr>
          <w:rFonts w:ascii="Arial" w:cs="Arial" w:eastAsia="Arial" w:hAnsi="Arial"/>
          <w:sz w:val="18"/>
          <w:szCs w:val="18"/>
          <w:color w:val="auto"/>
        </w:rPr>
        <w:t>I-omburtamab, which was initially administered at doses ranging from 0.25 mCi to 4.0 mCi. Study 11-011 was subsequently amended for further dose escalation cohorts (using 6, 8, 10 and 12 mCi/injection,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objective</w:t>
      </w:r>
    </w:p>
    <w:p>
      <w:pPr>
        <w:spacing w:after="0" w:line="205" w:lineRule="exact"/>
        <w:rPr>
          <w:sz w:val="20"/>
          <w:szCs w:val="20"/>
          <w:color w:val="auto"/>
        </w:rPr>
      </w:pPr>
    </w:p>
    <w:p>
      <w:pPr>
        <w:ind w:left="540" w:hanging="532"/>
        <w:spacing w:after="0"/>
        <w:tabs>
          <w:tab w:leader="none" w:pos="540" w:val="left"/>
        </w:tabs>
        <w:numPr>
          <w:ilvl w:val="0"/>
          <w:numId w:val="82"/>
        </w:numPr>
        <w:rPr>
          <w:rFonts w:ascii="Arial" w:cs="Arial" w:eastAsia="Arial" w:hAnsi="Arial"/>
          <w:sz w:val="35"/>
          <w:szCs w:val="35"/>
          <w:color w:val="auto"/>
          <w:vertAlign w:val="superscript"/>
        </w:rPr>
      </w:pPr>
      <w:r>
        <w:rPr>
          <w:rFonts w:ascii="Arial" w:cs="Arial" w:eastAsia="Arial" w:hAnsi="Arial"/>
          <w:sz w:val="18"/>
          <w:szCs w:val="18"/>
          <w:color w:val="auto"/>
        </w:rPr>
        <w:t xml:space="preserve">To determine the MTD of </w:t>
      </w:r>
      <w:r>
        <w:rPr>
          <w:rFonts w:ascii="Arial" w:cs="Arial" w:eastAsia="Arial" w:hAnsi="Arial"/>
          <w:sz w:val="29"/>
          <w:szCs w:val="29"/>
          <w:color w:val="auto"/>
          <w:vertAlign w:val="superscript"/>
        </w:rPr>
        <w:t>124</w:t>
      </w:r>
      <w:r>
        <w:rPr>
          <w:rFonts w:ascii="Arial" w:cs="Arial" w:eastAsia="Arial" w:hAnsi="Arial"/>
          <w:sz w:val="18"/>
          <w:szCs w:val="18"/>
          <w:color w:val="auto"/>
        </w:rPr>
        <w:t>I-omburtamab administered via interstitial infusion in patients with DIPG.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objectives</w:t>
      </w:r>
    </w:p>
    <w:p>
      <w:pPr>
        <w:spacing w:after="0" w:line="212" w:lineRule="exact"/>
        <w:rPr>
          <w:sz w:val="20"/>
          <w:szCs w:val="20"/>
          <w:color w:val="auto"/>
        </w:rPr>
      </w:pPr>
    </w:p>
    <w:p>
      <w:pPr>
        <w:ind w:left="540" w:hanging="532"/>
        <w:spacing w:after="0"/>
        <w:tabs>
          <w:tab w:leader="none" w:pos="540" w:val="left"/>
        </w:tabs>
        <w:numPr>
          <w:ilvl w:val="0"/>
          <w:numId w:val="83"/>
        </w:numPr>
        <w:rPr>
          <w:rFonts w:ascii="Arial" w:cs="Arial" w:eastAsia="Arial" w:hAnsi="Arial"/>
          <w:sz w:val="34"/>
          <w:szCs w:val="34"/>
          <w:color w:val="auto"/>
          <w:vertAlign w:val="superscript"/>
        </w:rPr>
      </w:pPr>
      <w:r>
        <w:rPr>
          <w:rFonts w:ascii="Arial" w:cs="Arial" w:eastAsia="Arial" w:hAnsi="Arial"/>
          <w:sz w:val="17"/>
          <w:szCs w:val="17"/>
          <w:color w:val="auto"/>
        </w:rPr>
        <w:t xml:space="preserve">To estimate tissue radiation doses and volumes of therapeutic distribution following </w:t>
      </w:r>
      <w:r>
        <w:rPr>
          <w:rFonts w:ascii="Arial" w:cs="Arial" w:eastAsia="Arial" w:hAnsi="Arial"/>
          <w:sz w:val="28"/>
          <w:szCs w:val="28"/>
          <w:color w:val="auto"/>
          <w:vertAlign w:val="superscript"/>
        </w:rPr>
        <w:t>124</w:t>
      </w:r>
      <w:r>
        <w:rPr>
          <w:rFonts w:ascii="Arial" w:cs="Arial" w:eastAsia="Arial" w:hAnsi="Arial"/>
          <w:sz w:val="17"/>
          <w:szCs w:val="17"/>
          <w:color w:val="auto"/>
        </w:rPr>
        <w:t>I-omburtamab interstitial infusion in the brainstem.</w:t>
      </w:r>
    </w:p>
    <w:p>
      <w:pPr>
        <w:spacing w:after="0" w:line="67" w:lineRule="exact"/>
        <w:rPr>
          <w:rFonts w:ascii="Arial" w:cs="Arial" w:eastAsia="Arial" w:hAnsi="Arial"/>
          <w:sz w:val="34"/>
          <w:szCs w:val="34"/>
          <w:color w:val="auto"/>
          <w:vertAlign w:val="superscript"/>
        </w:rPr>
      </w:pPr>
    </w:p>
    <w:p>
      <w:pPr>
        <w:ind w:left="540" w:hanging="532"/>
        <w:spacing w:after="0" w:line="227" w:lineRule="auto"/>
        <w:tabs>
          <w:tab w:leader="none" w:pos="540" w:val="left"/>
        </w:tabs>
        <w:numPr>
          <w:ilvl w:val="0"/>
          <w:numId w:val="83"/>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the toxicity profile associated with </w:t>
      </w:r>
      <w:r>
        <w:rPr>
          <w:rFonts w:ascii="Arial" w:cs="Arial" w:eastAsia="Arial" w:hAnsi="Arial"/>
          <w:sz w:val="29"/>
          <w:szCs w:val="29"/>
          <w:color w:val="auto"/>
          <w:vertAlign w:val="superscript"/>
        </w:rPr>
        <w:t>124</w:t>
      </w:r>
      <w:r>
        <w:rPr>
          <w:rFonts w:ascii="Arial" w:cs="Arial" w:eastAsia="Arial" w:hAnsi="Arial"/>
          <w:sz w:val="18"/>
          <w:szCs w:val="18"/>
          <w:color w:val="auto"/>
        </w:rPr>
        <w:t>I-omburtamab administered via CED to the brainstem.</w:t>
      </w:r>
    </w:p>
    <w:p>
      <w:pPr>
        <w:spacing w:after="0" w:line="70" w:lineRule="exact"/>
        <w:rPr>
          <w:rFonts w:ascii="Arial" w:cs="Arial" w:eastAsia="Arial" w:hAnsi="Arial"/>
          <w:sz w:val="35"/>
          <w:szCs w:val="35"/>
          <w:color w:val="auto"/>
          <w:vertAlign w:val="superscript"/>
        </w:rPr>
      </w:pPr>
    </w:p>
    <w:p>
      <w:pPr>
        <w:ind w:left="540" w:hanging="532"/>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analyze OS.</w:t>
      </w:r>
    </w:p>
    <w:p>
      <w:pPr>
        <w:spacing w:after="0" w:line="189" w:lineRule="exact"/>
        <w:rPr>
          <w:rFonts w:ascii="Arial" w:cs="Arial" w:eastAsia="Arial" w:hAnsi="Arial"/>
          <w:sz w:val="18"/>
          <w:szCs w:val="18"/>
          <w:color w:val="auto"/>
        </w:rPr>
      </w:pPr>
    </w:p>
    <w:p>
      <w:pPr>
        <w:ind w:left="540" w:hanging="532"/>
        <w:spacing w:after="0"/>
        <w:tabs>
          <w:tab w:leader="none" w:pos="5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explore radiological parameters such as magnetic resonance, or MR, spectroscopy and delta T2 as potential indicators of response.</w:t>
      </w:r>
    </w:p>
    <w:p>
      <w:pPr>
        <w:spacing w:after="0" w:line="221" w:lineRule="exact"/>
        <w:rPr>
          <w:rFonts w:ascii="Arial" w:cs="Arial" w:eastAsia="Arial" w:hAnsi="Arial"/>
          <w:sz w:val="16"/>
          <w:szCs w:val="16"/>
          <w:color w:val="auto"/>
        </w:rPr>
      </w:pPr>
    </w:p>
    <w:p>
      <w:pPr>
        <w:ind w:right="340" w:firstLine="8"/>
        <w:spacing w:after="0" w:line="485"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To explore lesion dosimetry estimates obtained from serial PET/CT or PET/MR with clinical profile, performance status score and OS. </w:t>
      </w:r>
      <w:r>
        <w:rPr>
          <w:rFonts w:ascii="Arial" w:cs="Arial" w:eastAsia="Arial" w:hAnsi="Arial"/>
          <w:sz w:val="18"/>
          <w:szCs w:val="18"/>
          <w:u w:val="single" w:color="auto"/>
          <w:color w:val="auto"/>
        </w:rPr>
        <w:t>Safety results</w:t>
      </w:r>
    </w:p>
    <w:p>
      <w:pPr>
        <w:ind w:right="500"/>
        <w:spacing w:after="0" w:line="273" w:lineRule="auto"/>
        <w:rPr>
          <w:sz w:val="20"/>
          <w:szCs w:val="20"/>
          <w:color w:val="auto"/>
        </w:rPr>
      </w:pPr>
      <w:r>
        <w:rPr>
          <w:rFonts w:ascii="Arial" w:cs="Arial" w:eastAsia="Arial" w:hAnsi="Arial"/>
          <w:sz w:val="16"/>
          <w:szCs w:val="16"/>
          <w:color w:val="auto"/>
        </w:rPr>
        <w:t>As noted above, data was published in Lancet Oncology (Souweidane et al., 2018) which demonstrated that CED appears to be a feasible approach for drug delivery in the brainstem of children with DIPG as evaluated by assessment of the distribution of the infusate and pharmacokinetics. As of November 2020, 46 patients had been enrolled. In Study 11-011, 8 subjects reported Aes of CTCAE Grade 3</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 xml:space="preserve">considered related to </w:t>
      </w:r>
      <w:r>
        <w:rPr>
          <w:rFonts w:ascii="Arial" w:cs="Arial" w:eastAsia="Arial" w:hAnsi="Arial"/>
          <w:sz w:val="28"/>
          <w:szCs w:val="28"/>
          <w:color w:val="auto"/>
          <w:vertAlign w:val="superscript"/>
        </w:rPr>
        <w:t>124</w:t>
      </w:r>
      <w:r>
        <w:rPr>
          <w:rFonts w:ascii="Arial" w:cs="Arial" w:eastAsia="Arial" w:hAnsi="Arial"/>
          <w:sz w:val="17"/>
          <w:szCs w:val="17"/>
          <w:color w:val="auto"/>
        </w:rPr>
        <w:t>I-omburtamab. These were generally indicative of nervous system effects of radiation necrosis such as hemiparesis (3 subjects), dysarthria (3 subjects), ataxia (3 subjects), dysphagia (2 subjects), muscular weakness (2 subjects) and gait disturbance (1 subject). The remaining Grade 3, related events were skin infection, anxiety, and stridor (1 subject each). There were no related Aes CTCAE grade 4 or 5.</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Multi-center study</w:t>
      </w:r>
    </w:p>
    <w:p>
      <w:pPr>
        <w:spacing w:after="0" w:line="212"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 xml:space="preserve">We and the principal investigator for Study 11-011 are currently drafting a pivotal Phase 2 study based on the experiences from Study 11-011. This study will be a non-randomized, multi-center, Phase 2 trial using CED of </w:t>
      </w:r>
      <w:r>
        <w:rPr>
          <w:rFonts w:ascii="Arial" w:cs="Arial" w:eastAsia="Arial" w:hAnsi="Arial"/>
          <w:sz w:val="28"/>
          <w:szCs w:val="28"/>
          <w:color w:val="auto"/>
          <w:vertAlign w:val="superscript"/>
        </w:rPr>
        <w:t>131</w:t>
      </w:r>
      <w:r>
        <w:rPr>
          <w:rFonts w:ascii="Arial" w:cs="Arial" w:eastAsia="Arial" w:hAnsi="Arial"/>
          <w:sz w:val="17"/>
          <w:szCs w:val="17"/>
          <w:color w:val="auto"/>
        </w:rPr>
        <w:t>I-omburtamab to the brainstem of children with DIPG. Each patient will have previously received external beam radiotherapy to the brainstem and will not have shown clear evidence of tumor progression following this radiotherapy. Diagnostic and eligibility decisions for patients entering the study will be made by a multidisciplinary pediatric neuro-oncology team at the treating site. Eligibility and surgical planning will be centrally reviewed. Patients may undergo up to three repeats of</w:t>
      </w:r>
    </w:p>
    <w:p>
      <w:pPr>
        <w:spacing w:after="0" w:line="3" w:lineRule="exact"/>
        <w:rPr>
          <w:sz w:val="20"/>
          <w:szCs w:val="20"/>
          <w:color w:val="auto"/>
        </w:rPr>
      </w:pPr>
    </w:p>
    <w:p>
      <w:pPr>
        <w:spacing w:after="0" w:line="217" w:lineRule="auto"/>
        <w:rPr>
          <w:sz w:val="20"/>
          <w:szCs w:val="20"/>
          <w:color w:val="auto"/>
        </w:rPr>
      </w:pPr>
      <w:r>
        <w:rPr>
          <w:rFonts w:ascii="Arial" w:cs="Arial" w:eastAsia="Arial" w:hAnsi="Arial"/>
          <w:sz w:val="18"/>
          <w:szCs w:val="18"/>
          <w:color w:val="auto"/>
        </w:rPr>
        <w:t xml:space="preserve">treatment using CED of </w:t>
      </w:r>
      <w:r>
        <w:rPr>
          <w:rFonts w:ascii="Arial" w:cs="Arial" w:eastAsia="Arial" w:hAnsi="Arial"/>
          <w:sz w:val="29"/>
          <w:szCs w:val="29"/>
          <w:color w:val="auto"/>
          <w:vertAlign w:val="superscript"/>
        </w:rPr>
        <w:t>131</w:t>
      </w:r>
      <w:r>
        <w:rPr>
          <w:rFonts w:ascii="Arial" w:cs="Arial" w:eastAsia="Arial" w:hAnsi="Arial"/>
          <w:sz w:val="18"/>
          <w:szCs w:val="18"/>
          <w:color w:val="auto"/>
        </w:rPr>
        <w:t>I-omburtamab. MRI and SPECT will be used for confirmation of appropriate drug distribution patterns. The primary endpoint will be OS and the secondary endpoints includes PFS and monitoring of distribution patterns using advanced MR-based algorithms. Perioperative morbidity, device performance (catheter for antibody delivery in pons), and patient tolerance after CED treatment will be monitored. Liquid biopsies (plasma and CSF samples) will be explored for ctDNA content as a correlate of tumor response.</w:t>
      </w:r>
    </w:p>
    <w:p>
      <w:pPr>
        <w:spacing w:after="0" w:line="188" w:lineRule="exact"/>
        <w:rPr>
          <w:sz w:val="20"/>
          <w:szCs w:val="20"/>
          <w:color w:val="auto"/>
        </w:rPr>
      </w:pPr>
    </w:p>
    <w:p>
      <w:pPr>
        <w:spacing w:after="0"/>
        <w:rPr>
          <w:sz w:val="20"/>
          <w:szCs w:val="20"/>
          <w:color w:val="auto"/>
        </w:rPr>
      </w:pP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treatment of desmoplastic small round cell tumor</w:t>
      </w:r>
    </w:p>
    <w:p>
      <w:pPr>
        <w:spacing w:after="0" w:line="124" w:lineRule="exact"/>
        <w:rPr>
          <w:sz w:val="20"/>
          <w:szCs w:val="20"/>
          <w:color w:val="auto"/>
        </w:rPr>
      </w:pPr>
    </w:p>
    <w:p>
      <w:pPr>
        <w:ind w:right="120"/>
        <w:spacing w:after="0" w:line="221" w:lineRule="auto"/>
        <w:rPr>
          <w:sz w:val="20"/>
          <w:szCs w:val="20"/>
          <w:color w:val="auto"/>
        </w:rPr>
      </w:pPr>
      <w:r>
        <w:rPr>
          <w:rFonts w:ascii="Arial" w:cs="Arial" w:eastAsia="Arial" w:hAnsi="Arial"/>
          <w:sz w:val="29"/>
          <w:szCs w:val="29"/>
          <w:color w:val="auto"/>
          <w:vertAlign w:val="superscript"/>
        </w:rPr>
        <w:t>131</w:t>
      </w:r>
      <w:r>
        <w:rPr>
          <w:rFonts w:ascii="Arial" w:cs="Arial" w:eastAsia="Arial" w:hAnsi="Arial"/>
          <w:sz w:val="18"/>
          <w:szCs w:val="18"/>
          <w:color w:val="auto"/>
        </w:rPr>
        <w:t>I-omburtamab has been evaluated in a Phase 1 clinical study (Study 09-090) for the treatment of DSRCT. In the data from 48 patients presented in November 2019, no DLTs were observed and a MTD was not reached. In addition, there was no significant myelosuppression and stem cell rescue was not required. We believe that we may qualify for a sBLA, assuming positive pivotal data. A Phase 2 study (Study 19-182) for the treatment of DSRCT is also ongoing.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desmoplastic small round cell tumor</w:t>
      </w:r>
    </w:p>
    <w:p>
      <w:pPr>
        <w:spacing w:after="0" w:line="21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DSRCT is a rare and aggressive type of a soft tissue cancer (sarcoma) that primarily affects children and young adults and is more common in males. It is formed by small, round cancer cells surrounded by scar-like tissue and is often found in the peritoneum (the tissue that lines the inside of the abdomen and pelvis). Most patients present with abdominal or pelvic tumors, with subsequent metastases to distant lymph nodes, BM and lungs. Due to the rarity of this neoplasm, no large population based studies exist. Analysis presented in literature suggests there are approximately 100 patients diagnosed with DSRCT per year in the United States. Assuming similar prevalence as in the United States, we estimate approximately 150 patients diagnosed with DSRCT per year in Europe. A published report examining DSRCT samples using immunohistochemistry showed that 44 of 46 (or 96%) of tumor samples were B7-H3 positive. We believe the current addressable market for DSRCT consists of approximately 160 new DSRCT patients each year, representing approximately 65% of all new patients diagnosed with DSRCT in the United States and Europe, combined.</w:t>
      </w:r>
    </w:p>
    <w:p>
      <w:pPr>
        <w:spacing w:after="0" w:line="189" w:lineRule="exact"/>
        <w:rPr>
          <w:sz w:val="20"/>
          <w:szCs w:val="20"/>
          <w:color w:val="auto"/>
        </w:rPr>
      </w:pPr>
    </w:p>
    <w:p>
      <w:pPr>
        <w:spacing w:after="0"/>
        <w:rPr>
          <w:sz w:val="20"/>
          <w:szCs w:val="20"/>
          <w:color w:val="auto"/>
        </w:rPr>
      </w:pP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desmoplastic small round cell tumor—current treatment landscape and associated limitations</w:t>
      </w:r>
    </w:p>
    <w:p>
      <w:pPr>
        <w:spacing w:after="0" w:line="120"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Patients are typically managed with aggressive multimodal therapy, including neoadjuvant chemotherapy, maximal surgical debulking, intraperitoneal, or IP, chemotherapy in some cases, adjuvant whole abdominopelvic radiation therapy, and stem cell or BM transplant. Studies have shown that use of intense alkylator therapy and gross total resection have been associated with limited improvements in patient survival; thus, there is still a significant unmet clinical need. Because DSRCT most commonly presents as a multicentric abdominal mass, complete upfront resection is not often possible. DSRCTs are chemosensitive, but often recur, necessitating multimodality therapy with radiotherapy, surgery, and/or high dose chemotherapy with stem cell rescue. Additionally, research shows that with a five-year OS rate of less than 15%, patients almost invariably relapse.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Although many strategies have been attempted, survival in patients with DSRCT remains poor. A review of the published research, including two retrospective studies performed by MSK, suggests that the median OS of DSRCT patients ranges from 17 to 25 months.</w:t>
      </w:r>
    </w:p>
    <w:p>
      <w:pPr>
        <w:spacing w:after="0" w:line="163" w:lineRule="exact"/>
        <w:rPr>
          <w:sz w:val="20"/>
          <w:szCs w:val="20"/>
          <w:color w:val="auto"/>
        </w:rPr>
      </w:pPr>
    </w:p>
    <w:p>
      <w:pPr>
        <w:spacing w:after="0"/>
        <w:rPr>
          <w:sz w:val="20"/>
          <w:szCs w:val="20"/>
          <w:color w:val="auto"/>
        </w:rPr>
      </w:pP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Desmoplastic Small Round Cell Tumor—Clinical Development Program</w:t>
      </w:r>
    </w:p>
    <w:p>
      <w:pPr>
        <w:spacing w:after="0" w:line="124" w:lineRule="exact"/>
        <w:rPr>
          <w:sz w:val="20"/>
          <w:szCs w:val="20"/>
          <w:color w:val="auto"/>
        </w:rPr>
      </w:pPr>
    </w:p>
    <w:p>
      <w:pPr>
        <w:ind w:right="400"/>
        <w:spacing w:after="0" w:line="217" w:lineRule="auto"/>
        <w:rPr>
          <w:sz w:val="20"/>
          <w:szCs w:val="20"/>
          <w:color w:val="auto"/>
        </w:rPr>
      </w:pPr>
      <w:r>
        <w:rPr>
          <w:rFonts w:ascii="Arial" w:cs="Arial" w:eastAsia="Arial" w:hAnsi="Arial"/>
          <w:sz w:val="29"/>
          <w:szCs w:val="29"/>
          <w:color w:val="auto"/>
          <w:vertAlign w:val="superscript"/>
        </w:rPr>
        <w:t>131</w:t>
      </w:r>
      <w:r>
        <w:rPr>
          <w:rFonts w:ascii="Arial" w:cs="Arial" w:eastAsia="Arial" w:hAnsi="Arial"/>
          <w:sz w:val="18"/>
          <w:szCs w:val="18"/>
          <w:color w:val="auto"/>
        </w:rPr>
        <w:t>I-omburtamab is being evaluated from a completed clinical Phase 1 study (Study 09-090) for the treatment of DSRCT. A Phase 2 study (Study 19-182) for the treatment of DSRCT is ongoing. We intend to discuss the protocol for this study (Study 19-182) with the FDA and we believe that we may qualify for a sBLA, assuming positive pivotal data.</w:t>
      </w:r>
    </w:p>
    <w:p>
      <w:pPr>
        <w:spacing w:after="0" w:line="190" w:lineRule="exact"/>
        <w:rPr>
          <w:sz w:val="20"/>
          <w:szCs w:val="20"/>
          <w:color w:val="auto"/>
        </w:rPr>
      </w:pPr>
    </w:p>
    <w:p>
      <w:pPr>
        <w:ind w:right="280"/>
        <w:spacing w:after="0" w:line="210" w:lineRule="auto"/>
        <w:rPr>
          <w:sz w:val="20"/>
          <w:szCs w:val="20"/>
          <w:color w:val="auto"/>
        </w:rPr>
      </w:pPr>
      <w:r>
        <w:rPr>
          <w:rFonts w:ascii="Arial" w:cs="Arial" w:eastAsia="Arial" w:hAnsi="Arial"/>
          <w:sz w:val="18"/>
          <w:szCs w:val="18"/>
          <w:i w:val="1"/>
          <w:iCs w:val="1"/>
          <w:color w:val="auto"/>
        </w:rPr>
        <w:t xml:space="preserve">Study 09-090: Phase 1 Study of Intraperitoneal Radioimmunotherapy with </w:t>
      </w: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Patients with Desmoplastic Small Round Cell Tumors and Other Solid Tumors Involving the Peritoneum</w:t>
      </w:r>
    </w:p>
    <w:p>
      <w:pPr>
        <w:spacing w:after="0" w:line="187"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 xml:space="preserve">MSK has completed a clinical study of IP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treatment of patients with DSRCT and other B7-H3 positive solid tumors metastatic to the peritoneum. The primary purpose of the study is to define the toxicity and the MTD, assess the pharmacokinetics, and assess response of DSRCT and other solid tumors. The study has completed accrual and 47 patients have been exposed. Data from this study was presented at the 2019 Connective Tissue Oncology Society annual meeting in November 2019 based on an evaluation of 33 Gross Total Resection, or GTR, patients treated at MSK from 2009 to 2017. A total of 24 patients received Whole Abdominalpelvic Intensity-Modulated RadioTherapy, or WA-IMRT, in combination with omburtamab Interperitoneal Radio Immunotherapy, or IP-RIT, and nine patients received WA-IMRT without omburtamab IP-RIT. The study showed a median OS of 41 months for the DSRCT patients who did not receive omburtamab IP-RIT and 59 months for those receiving omburtamab IP-RIT. The data indicates that adding IP-RIT with iodinated omburtamab to the standard WA-IMRT treatment appears to be well tolerated.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12" w:lineRule="exact"/>
        <w:rPr>
          <w:sz w:val="20"/>
          <w:szCs w:val="20"/>
          <w:color w:val="auto"/>
        </w:rPr>
      </w:pPr>
    </w:p>
    <w:p>
      <w:pPr>
        <w:ind w:right="240"/>
        <w:spacing w:after="0" w:line="283" w:lineRule="auto"/>
        <w:rPr>
          <w:sz w:val="20"/>
          <w:szCs w:val="20"/>
          <w:color w:val="auto"/>
        </w:rPr>
      </w:pPr>
      <w:r>
        <w:rPr>
          <w:rFonts w:ascii="Arial" w:cs="Arial" w:eastAsia="Arial" w:hAnsi="Arial"/>
          <w:sz w:val="18"/>
          <w:szCs w:val="18"/>
          <w:color w:val="auto"/>
        </w:rPr>
        <w:t xml:space="preserve">In addition to satisfying certain other criteria, patients must be over one year old and able to cooperate with radiation safety restrictions during therapy period. Patients must have a diagnosis of </w:t>
      </w:r>
      <w:r>
        <w:rPr>
          <w:rFonts w:ascii="Arial" w:cs="Arial" w:eastAsia="Arial" w:hAnsi="Arial"/>
          <w:sz w:val="29"/>
          <w:szCs w:val="29"/>
          <w:color w:val="auto"/>
          <w:vertAlign w:val="superscript"/>
        </w:rPr>
        <w:t>131</w:t>
      </w:r>
      <w:r>
        <w:rPr>
          <w:rFonts w:ascii="Arial" w:cs="Arial" w:eastAsia="Arial" w:hAnsi="Arial"/>
          <w:sz w:val="18"/>
          <w:szCs w:val="18"/>
          <w:color w:val="auto"/>
        </w:rPr>
        <w:t>I-omburtamab reactive DSCRT or solid tumors that involve the peritoneum.</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15" w:lineRule="exact"/>
        <w:rPr>
          <w:sz w:val="20"/>
          <w:szCs w:val="20"/>
          <w:color w:val="auto"/>
        </w:rPr>
      </w:pPr>
    </w:p>
    <w:p>
      <w:pPr>
        <w:ind w:right="160"/>
        <w:spacing w:after="0" w:line="211" w:lineRule="auto"/>
        <w:rPr>
          <w:sz w:val="20"/>
          <w:szCs w:val="20"/>
          <w:color w:val="auto"/>
        </w:rPr>
      </w:pPr>
      <w:r>
        <w:rPr>
          <w:rFonts w:ascii="Arial" w:cs="Arial" w:eastAsia="Arial" w:hAnsi="Arial"/>
          <w:sz w:val="18"/>
          <w:szCs w:val="18"/>
          <w:color w:val="auto"/>
        </w:rPr>
        <w:t xml:space="preserve">The study was designed as an open-label single-arm dose escalation study to evaluate IP </w:t>
      </w:r>
      <w:r>
        <w:rPr>
          <w:rFonts w:ascii="Arial" w:cs="Arial" w:eastAsia="Arial" w:hAnsi="Arial"/>
          <w:sz w:val="29"/>
          <w:szCs w:val="29"/>
          <w:color w:val="auto"/>
          <w:vertAlign w:val="superscript"/>
        </w:rPr>
        <w:t>131</w:t>
      </w:r>
      <w:r>
        <w:rPr>
          <w:rFonts w:ascii="Arial" w:cs="Arial" w:eastAsia="Arial" w:hAnsi="Arial"/>
          <w:sz w:val="18"/>
          <w:szCs w:val="18"/>
          <w:color w:val="auto"/>
        </w:rPr>
        <w:t>I-omburtamab, which was administered at doses ranging from 30 mCi/m2 to 90 mCi/m2. The expansion cohort comprised an additional 10 patients who were dosed at 80 mCi/m2.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objective</w:t>
      </w:r>
    </w:p>
    <w:p>
      <w:pPr>
        <w:spacing w:after="0" w:line="205" w:lineRule="exact"/>
        <w:rPr>
          <w:sz w:val="20"/>
          <w:szCs w:val="20"/>
          <w:color w:val="auto"/>
        </w:rPr>
      </w:pPr>
    </w:p>
    <w:p>
      <w:pPr>
        <w:ind w:left="540" w:hanging="532"/>
        <w:spacing w:after="0"/>
        <w:tabs>
          <w:tab w:leader="none" w:pos="540" w:val="left"/>
        </w:tabs>
        <w:numPr>
          <w:ilvl w:val="0"/>
          <w:numId w:val="84"/>
        </w:numPr>
        <w:rPr>
          <w:rFonts w:ascii="Arial" w:cs="Arial" w:eastAsia="Arial" w:hAnsi="Arial"/>
          <w:sz w:val="35"/>
          <w:szCs w:val="35"/>
          <w:color w:val="auto"/>
          <w:vertAlign w:val="superscript"/>
        </w:rPr>
      </w:pPr>
      <w:r>
        <w:rPr>
          <w:rFonts w:ascii="Arial" w:cs="Arial" w:eastAsia="Arial" w:hAnsi="Arial"/>
          <w:sz w:val="18"/>
          <w:szCs w:val="18"/>
          <w:color w:val="auto"/>
        </w:rPr>
        <w:t xml:space="preserve">To define the toxicity and the MTD of IP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objectives</w:t>
      </w:r>
    </w:p>
    <w:p>
      <w:pPr>
        <w:spacing w:after="0" w:line="112" w:lineRule="exact"/>
        <w:rPr>
          <w:sz w:val="20"/>
          <w:szCs w:val="20"/>
          <w:color w:val="auto"/>
        </w:rPr>
      </w:pPr>
    </w:p>
    <w:p>
      <w:pPr>
        <w:ind w:left="540" w:hanging="532"/>
        <w:spacing w:after="0"/>
        <w:tabs>
          <w:tab w:leader="none" w:pos="540" w:val="left"/>
        </w:tabs>
        <w:numPr>
          <w:ilvl w:val="0"/>
          <w:numId w:val="85"/>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pharmacokinetics for IP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ind w:left="540" w:hanging="532"/>
        <w:spacing w:after="0" w:line="200" w:lineRule="auto"/>
        <w:tabs>
          <w:tab w:leader="none" w:pos="540" w:val="left"/>
        </w:tabs>
        <w:numPr>
          <w:ilvl w:val="0"/>
          <w:numId w:val="85"/>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response of DSRCT and other solid tumors to IP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results</w:t>
      </w:r>
    </w:p>
    <w:p>
      <w:pPr>
        <w:spacing w:after="0" w:line="195"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In the data from 48 patients with DSRCT presented in November 2019, no DLTs were observed and a MTD was not reached. In addition, there was no significant myelosuppression and stem cell rescue was not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 xml:space="preserve">required. Toxicity was overall low-grade and transient and mainly myelosuppression. No events of febrile neutropenia. We believe that the initial data from the first group of patients supports continued investigation of the benefit of </w:t>
      </w:r>
      <w:r>
        <w:rPr>
          <w:rFonts w:ascii="Arial" w:cs="Arial" w:eastAsia="Arial" w:hAnsi="Arial"/>
          <w:sz w:val="29"/>
          <w:szCs w:val="29"/>
          <w:color w:val="auto"/>
          <w:vertAlign w:val="superscript"/>
        </w:rPr>
        <w:t>131</w:t>
      </w:r>
      <w:r>
        <w:rPr>
          <w:rFonts w:ascii="Arial" w:cs="Arial" w:eastAsia="Arial" w:hAnsi="Arial"/>
          <w:sz w:val="18"/>
          <w:szCs w:val="18"/>
          <w:color w:val="auto"/>
        </w:rPr>
        <w:t>I-omburtamab in this patient population.</w:t>
      </w:r>
    </w:p>
    <w:p>
      <w:pPr>
        <w:spacing w:after="0" w:line="30" w:lineRule="exact"/>
        <w:rPr>
          <w:sz w:val="20"/>
          <w:szCs w:val="20"/>
          <w:color w:val="auto"/>
        </w:rPr>
      </w:pPr>
    </w:p>
    <w:p>
      <w:pPr>
        <w:ind w:left="180" w:right="340" w:hanging="179"/>
        <w:spacing w:after="0" w:line="210" w:lineRule="auto"/>
        <w:rPr>
          <w:sz w:val="20"/>
          <w:szCs w:val="20"/>
          <w:color w:val="auto"/>
        </w:rPr>
      </w:pPr>
      <w:r>
        <w:rPr>
          <w:rFonts w:ascii="Arial" w:cs="Arial" w:eastAsia="Arial" w:hAnsi="Arial"/>
          <w:sz w:val="18"/>
          <w:szCs w:val="18"/>
          <w:i w:val="1"/>
          <w:iCs w:val="1"/>
          <w:color w:val="auto"/>
        </w:rPr>
        <w:t xml:space="preserve">Study 19-182: A Phase 2 Study—Combination of </w:t>
      </w: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Radioimmunotherapy and External Beam Radiotherapy for Desmoplastic Small Round Cell Tumors and Other Solid Tumors involving the Peritonuem</w:t>
      </w:r>
    </w:p>
    <w:p>
      <w:pPr>
        <w:spacing w:after="0" w:line="187"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 xml:space="preserve">This is an ongoing Phase 2 clinical study of IP RIT with </w:t>
      </w:r>
      <w:r>
        <w:rPr>
          <w:rFonts w:ascii="Arial" w:cs="Arial" w:eastAsia="Arial" w:hAnsi="Arial"/>
          <w:sz w:val="28"/>
          <w:szCs w:val="28"/>
          <w:color w:val="auto"/>
          <w:vertAlign w:val="superscript"/>
        </w:rPr>
        <w:t>131</w:t>
      </w:r>
      <w:r>
        <w:rPr>
          <w:rFonts w:ascii="Arial" w:cs="Arial" w:eastAsia="Arial" w:hAnsi="Arial"/>
          <w:sz w:val="17"/>
          <w:szCs w:val="17"/>
          <w:color w:val="auto"/>
        </w:rPr>
        <w:t xml:space="preserve">I-omburtamab plus WA-IMRT for patients with DSRCT who have undergone gross total resection, or GTR, of their abdominopelvic disease (as assessed by the operating surgeon and documented in the OR note) and who have no definitive radiological evidence of disease in liver or outside the abdomen/pelvis (Group A). Patients with DSRCT without GTR (Group B); and patients with tumors other that DSRCT who are B7H3-positive on immunohistochemistry (Group C) will receive only IP </w:t>
      </w:r>
      <w:r>
        <w:rPr>
          <w:rFonts w:ascii="Arial" w:cs="Arial" w:eastAsia="Arial" w:hAnsi="Arial"/>
          <w:sz w:val="28"/>
          <w:szCs w:val="28"/>
          <w:color w:val="auto"/>
          <w:vertAlign w:val="superscript"/>
        </w:rPr>
        <w:t>131</w:t>
      </w:r>
      <w:r>
        <w:rPr>
          <w:rFonts w:ascii="Arial" w:cs="Arial" w:eastAsia="Arial" w:hAnsi="Arial"/>
          <w:sz w:val="17"/>
          <w:szCs w:val="17"/>
          <w:color w:val="auto"/>
        </w:rPr>
        <w:t>I- omburtamab.</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2021, 7 patients have been enrolled in this study.</w:t>
      </w:r>
    </w:p>
    <w:p>
      <w:pPr>
        <w:spacing w:after="0" w:line="215" w:lineRule="exact"/>
        <w:rPr>
          <w:sz w:val="20"/>
          <w:szCs w:val="20"/>
          <w:color w:val="auto"/>
        </w:rPr>
      </w:pPr>
    </w:p>
    <w:p>
      <w:pPr>
        <w:jc w:val="both"/>
        <w:ind w:right="60"/>
        <w:spacing w:after="0" w:line="201" w:lineRule="auto"/>
        <w:rPr>
          <w:sz w:val="20"/>
          <w:szCs w:val="20"/>
          <w:color w:val="auto"/>
        </w:rPr>
      </w:pPr>
      <w:r>
        <w:rPr>
          <w:rFonts w:ascii="Arial" w:cs="Arial" w:eastAsia="Arial" w:hAnsi="Arial"/>
          <w:sz w:val="17"/>
          <w:szCs w:val="17"/>
          <w:color w:val="auto"/>
        </w:rPr>
        <w:t xml:space="preserve">All patients will be administered a single dose of IP RIT administered through an IP catheter with </w:t>
      </w:r>
      <w:r>
        <w:rPr>
          <w:rFonts w:ascii="Arial" w:cs="Arial" w:eastAsia="Arial" w:hAnsi="Arial"/>
          <w:sz w:val="28"/>
          <w:szCs w:val="28"/>
          <w:color w:val="auto"/>
          <w:vertAlign w:val="superscript"/>
        </w:rPr>
        <w:t>131</w:t>
      </w:r>
      <w:r>
        <w:rPr>
          <w:rFonts w:ascii="Arial" w:cs="Arial" w:eastAsia="Arial" w:hAnsi="Arial"/>
          <w:sz w:val="17"/>
          <w:szCs w:val="17"/>
          <w:color w:val="auto"/>
        </w:rPr>
        <w:t xml:space="preserve">I-omburtamab at a dose of 80mCi/m2. </w:t>
      </w:r>
      <w:r>
        <w:rPr>
          <w:rFonts w:ascii="Arial" w:cs="Arial" w:eastAsia="Arial" w:hAnsi="Arial"/>
          <w:sz w:val="28"/>
          <w:szCs w:val="28"/>
          <w:color w:val="auto"/>
          <w:vertAlign w:val="superscript"/>
        </w:rPr>
        <w:t>131</w:t>
      </w:r>
      <w:r>
        <w:rPr>
          <w:rFonts w:ascii="Arial" w:cs="Arial" w:eastAsia="Arial" w:hAnsi="Arial"/>
          <w:sz w:val="17"/>
          <w:szCs w:val="17"/>
          <w:color w:val="auto"/>
        </w:rPr>
        <w:t xml:space="preserve">I-omburtamab pharmacokinetics will be studied by a blood draw from indwelling venous lines. </w:t>
      </w:r>
      <w:r>
        <w:rPr>
          <w:rFonts w:ascii="Arial" w:cs="Arial" w:eastAsia="Arial" w:hAnsi="Arial"/>
          <w:sz w:val="28"/>
          <w:szCs w:val="28"/>
          <w:color w:val="auto"/>
          <w:vertAlign w:val="superscript"/>
        </w:rPr>
        <w:t>131</w:t>
      </w:r>
      <w:r>
        <w:rPr>
          <w:rFonts w:ascii="Arial" w:cs="Arial" w:eastAsia="Arial" w:hAnsi="Arial"/>
          <w:sz w:val="17"/>
          <w:szCs w:val="17"/>
          <w:color w:val="auto"/>
        </w:rPr>
        <w:t>I-omburtamab biodistribution will be studied by a single gamma camera scan 5-7 days after IP injection where feasible. Thyroid protection is commenced at least 7 days prior to administration of</w:t>
      </w:r>
    </w:p>
    <w:p>
      <w:pPr>
        <w:spacing w:after="0" w:line="3" w:lineRule="exact"/>
        <w:rPr>
          <w:sz w:val="20"/>
          <w:szCs w:val="20"/>
          <w:color w:val="auto"/>
        </w:rPr>
      </w:pPr>
    </w:p>
    <w:p>
      <w:pPr>
        <w:ind w:right="20"/>
        <w:spacing w:after="0" w:line="212"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28"/>
          <w:szCs w:val="28"/>
          <w:color w:val="auto"/>
          <w:vertAlign w:val="superscript"/>
        </w:rPr>
        <w:t>131</w:t>
      </w:r>
      <w:r>
        <w:rPr>
          <w:rFonts w:ascii="Arial" w:cs="Arial" w:eastAsia="Arial" w:hAnsi="Arial"/>
          <w:sz w:val="17"/>
          <w:szCs w:val="17"/>
          <w:color w:val="auto"/>
        </w:rPr>
        <w:t>I-omburtamab dose and continued for 28 days after. Group A patients will receive WA-IMRT approximately 2-4 weeks after completing IP-RIT. A dose of 30 Gy will be delivered in 20 fractions of 1.5 Gy given once daily, 5 days per week over the course of approximately 4 weeks.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Non-Clinical safety</w:t>
      </w:r>
    </w:p>
    <w:p>
      <w:pPr>
        <w:spacing w:after="0" w:line="21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non-clinical studies evaluating the pharmacology and toxicology of omburtamab, no significant toxicity was observed in different species, including rats and non-human primates. Omburtamab has preferential affinity for a spectrum of cancerous tissues that express B7-H3, with minimal binding to normal tissues. Omburtamab specifically targets the B7-H3 protein on the surface of cancer cells. B7-H3 expression is restricted to the liver and adrenal glands, and absent in most other human tissues, notably the brain. We believe that the lack of cross reactivity with most normal human tissues, specifically within the brain, and the localized binding of omburtamab to the surface of cancer cells that express B7-H3, makes omburtamab a viable candidate for compartmental targeted radiotherapy.</w:t>
      </w:r>
    </w:p>
    <w:p>
      <w:pPr>
        <w:spacing w:after="0" w:line="178" w:lineRule="exact"/>
        <w:rPr>
          <w:sz w:val="20"/>
          <w:szCs w:val="20"/>
          <w:color w:val="auto"/>
        </w:rPr>
      </w:pPr>
    </w:p>
    <w:p>
      <w:pPr>
        <w:spacing w:after="0"/>
        <w:rPr>
          <w:sz w:val="20"/>
          <w:szCs w:val="20"/>
          <w:color w:val="auto"/>
        </w:rPr>
      </w:pPr>
      <w:r>
        <w:rPr>
          <w:rFonts w:ascii="Arial" w:cs="Arial" w:eastAsia="Arial" w:hAnsi="Arial"/>
          <w:sz w:val="35"/>
          <w:szCs w:val="35"/>
          <w:b w:val="1"/>
          <w:bCs w:val="1"/>
          <w:color w:val="auto"/>
          <w:vertAlign w:val="superscript"/>
        </w:rPr>
        <w:t>177</w:t>
      </w:r>
      <w:r>
        <w:rPr>
          <w:rFonts w:ascii="Arial" w:cs="Arial" w:eastAsia="Arial" w:hAnsi="Arial"/>
          <w:sz w:val="22"/>
          <w:szCs w:val="22"/>
          <w:b w:val="1"/>
          <w:bCs w:val="1"/>
          <w:color w:val="auto"/>
        </w:rPr>
        <w:t>Lu-omburtamab-DTPA overview</w:t>
      </w:r>
    </w:p>
    <w:p>
      <w:pPr>
        <w:spacing w:after="0" w:line="117"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 xml:space="preserve">We intend to leverage our expertise with omburtamab to develop product candidates for the treatment of indications associated with pediatric and large adult patient populations. We believe that our clinical experience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in 41 patients with tumors such as sarcoma, melanoma and medulloblastoma supports this objective. Our first such product candidate targeted towards larger patient populations is DTPA-conjugated omburtamab radiolabeled with Lutetium-177, which is currently in Phase 1 clinical development for the treatment of medulloblastoma and B7-H3 positive LM from solid tumors.</w:t>
      </w:r>
    </w:p>
    <w:p>
      <w:pPr>
        <w:spacing w:after="0" w:line="189" w:lineRule="exact"/>
        <w:rPr>
          <w:sz w:val="20"/>
          <w:szCs w:val="20"/>
          <w:color w:val="auto"/>
        </w:rPr>
      </w:pPr>
    </w:p>
    <w:p>
      <w:pPr>
        <w:ind w:right="300"/>
        <w:spacing w:after="0" w:line="231" w:lineRule="auto"/>
        <w:rPr>
          <w:sz w:val="20"/>
          <w:szCs w:val="20"/>
          <w:color w:val="auto"/>
        </w:rPr>
      </w:pPr>
      <w:r>
        <w:rPr>
          <w:rFonts w:ascii="Arial" w:cs="Arial" w:eastAsia="Arial" w:hAnsi="Arial"/>
          <w:sz w:val="18"/>
          <w:szCs w:val="18"/>
          <w:color w:val="auto"/>
        </w:rPr>
        <w:t xml:space="preserve">Animal toxicity studies of </w:t>
      </w:r>
      <w:r>
        <w:rPr>
          <w:rFonts w:ascii="Arial" w:cs="Arial" w:eastAsia="Arial" w:hAnsi="Arial"/>
          <w:sz w:val="29"/>
          <w:szCs w:val="29"/>
          <w:color w:val="auto"/>
          <w:vertAlign w:val="superscript"/>
        </w:rPr>
        <w:t>177</w:t>
      </w:r>
      <w:r>
        <w:rPr>
          <w:rFonts w:ascii="Arial" w:cs="Arial" w:eastAsia="Arial" w:hAnsi="Arial"/>
          <w:sz w:val="18"/>
          <w:szCs w:val="18"/>
          <w:color w:val="auto"/>
        </w:rPr>
        <w:t xml:space="preserve">Lu-omburtamab have been completed on current Good Laboratory Practices, or GLP, material and cGMP production has been established. Diethylenetriamine pentaacetate, or DTPA, is an organic molecule that acts as a chelator of metals such as Lutetium. DTPA can bind to radioactive materials to decrease the amount of time it takes to flush the radioactive material from the body. The resulting product candidate, omburtamab-DTPA-Lutetium-177 conjugate, or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can be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16" w:lineRule="auto"/>
        <w:rPr>
          <w:sz w:val="20"/>
          <w:szCs w:val="20"/>
          <w:color w:val="auto"/>
        </w:rPr>
      </w:pPr>
      <w:r>
        <w:rPr>
          <w:rFonts w:ascii="Arial" w:cs="Arial" w:eastAsia="Arial" w:hAnsi="Arial"/>
          <w:sz w:val="17"/>
          <w:szCs w:val="17"/>
          <w:color w:val="auto"/>
        </w:rPr>
        <w:t xml:space="preserve">distributed directly to hospitals, already conjugated and ready to use. It may then be administered to patients as a single-step push dose via an indwelling catheter for intracerebroventricular drug delivery, similar to the administration of </w:t>
      </w:r>
      <w:r>
        <w:rPr>
          <w:rFonts w:ascii="Arial" w:cs="Arial" w:eastAsia="Arial" w:hAnsi="Arial"/>
          <w:sz w:val="28"/>
          <w:szCs w:val="28"/>
          <w:color w:val="auto"/>
          <w:vertAlign w:val="superscript"/>
        </w:rPr>
        <w:t>131</w:t>
      </w:r>
      <w:r>
        <w:rPr>
          <w:rFonts w:ascii="Arial" w:cs="Arial" w:eastAsia="Arial" w:hAnsi="Arial"/>
          <w:sz w:val="17"/>
          <w:szCs w:val="17"/>
          <w:color w:val="auto"/>
        </w:rPr>
        <w:t>I-omburtamab in CNS/LM from NB. Therefore, we</w:t>
      </w:r>
    </w:p>
    <w:p>
      <w:pPr>
        <w:spacing w:after="0" w:line="1" w:lineRule="exact"/>
        <w:rPr>
          <w:sz w:val="20"/>
          <w:szCs w:val="20"/>
          <w:color w:val="auto"/>
        </w:rPr>
      </w:pPr>
    </w:p>
    <w:p>
      <w:pPr>
        <w:ind w:right="600"/>
        <w:spacing w:after="0" w:line="203" w:lineRule="auto"/>
        <w:rPr>
          <w:sz w:val="20"/>
          <w:szCs w:val="20"/>
          <w:color w:val="auto"/>
        </w:rPr>
      </w:pPr>
      <w:r>
        <w:rPr>
          <w:rFonts w:ascii="Arial" w:cs="Arial" w:eastAsia="Arial" w:hAnsi="Arial"/>
          <w:sz w:val="18"/>
          <w:szCs w:val="18"/>
          <w:color w:val="auto"/>
        </w:rPr>
        <w:t xml:space="preserve">believe that a more easily available ready to use radiolabeled antibody such as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could be used more frequently, thereby significantly expanding our patient population beyond children.</w:t>
      </w:r>
    </w:p>
    <w:p>
      <w:pPr>
        <w:spacing w:after="0" w:line="186" w:lineRule="exact"/>
        <w:rPr>
          <w:sz w:val="20"/>
          <w:szCs w:val="20"/>
          <w:color w:val="auto"/>
        </w:rPr>
      </w:pPr>
    </w:p>
    <w:p>
      <w:pPr>
        <w:ind w:right="40"/>
        <w:spacing w:after="0" w:line="214" w:lineRule="auto"/>
        <w:rPr>
          <w:sz w:val="20"/>
          <w:szCs w:val="20"/>
          <w:color w:val="auto"/>
        </w:rPr>
      </w:pPr>
      <w:r>
        <w:rPr>
          <w:rFonts w:ascii="Arial" w:cs="Arial" w:eastAsia="Arial" w:hAnsi="Arial"/>
          <w:sz w:val="17"/>
          <w:szCs w:val="17"/>
          <w:color w:val="auto"/>
        </w:rPr>
        <w:t xml:space="preserve">On December 31, 2019, we submitted an Investigational New Drug application, or IND, for </w:t>
      </w:r>
      <w:r>
        <w:rPr>
          <w:rFonts w:ascii="Arial" w:cs="Arial" w:eastAsia="Arial" w:hAnsi="Arial"/>
          <w:sz w:val="28"/>
          <w:szCs w:val="28"/>
          <w:color w:val="auto"/>
          <w:vertAlign w:val="superscript"/>
        </w:rPr>
        <w:t>177</w:t>
      </w:r>
      <w:r>
        <w:rPr>
          <w:rFonts w:ascii="Arial" w:cs="Arial" w:eastAsia="Arial" w:hAnsi="Arial"/>
          <w:sz w:val="17"/>
          <w:szCs w:val="17"/>
          <w:color w:val="auto"/>
        </w:rPr>
        <w:t>Lu-omburtamab-DTPA, for the treatment of medulloblastoma and we opened the IND for patients in October 2020. We expect to enroll the first patient in this Phase 1 trial in the first quarter</w:t>
      </w:r>
    </w:p>
    <w:p>
      <w:pPr>
        <w:spacing w:after="0" w:line="2" w:lineRule="exact"/>
        <w:rPr>
          <w:sz w:val="20"/>
          <w:szCs w:val="20"/>
          <w:color w:val="auto"/>
        </w:rPr>
      </w:pPr>
    </w:p>
    <w:p>
      <w:pPr>
        <w:ind w:right="40"/>
        <w:spacing w:after="0" w:line="203" w:lineRule="auto"/>
        <w:rPr>
          <w:sz w:val="20"/>
          <w:szCs w:val="20"/>
          <w:color w:val="auto"/>
        </w:rPr>
      </w:pPr>
      <w:r>
        <w:rPr>
          <w:rFonts w:ascii="Arial" w:cs="Arial" w:eastAsia="Arial" w:hAnsi="Arial"/>
          <w:sz w:val="18"/>
          <w:szCs w:val="18"/>
          <w:color w:val="auto"/>
        </w:rPr>
        <w:t xml:space="preserve">of 2021. We have also opened a Phase 1 with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targeting B7-H3 positive CNS/LM tumors in adults, and expect to enroll the first patient in this trial in the first quarter of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B7-H3 Positive Central Nervous System/Leptomeningeal Metastases from Solid Tumors</w:t>
      </w:r>
    </w:p>
    <w:p>
      <w:pPr>
        <w:spacing w:after="0" w:line="21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previously described, CNS/LM is a rare and usually fatal complication of cancer in which the disease spreads to the membranes, or meninges, surrounding the brain and spinal cord. Based on autopsy studies, the incidence of metastatic brain tumors is estimated to be 200,000 to 300,000 people per year. Studies have shown that the most common tumors, which metastasize to the brain express B7-H3.</w:t>
      </w:r>
    </w:p>
    <w:p>
      <w:pPr>
        <w:spacing w:after="0" w:line="17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Although any cancer can metastasize to the leptomeninges, breast cancer (12% to 35%), lung cancer (10% to 26%), melanoma (5% to 25%), gastrointestinal malignancies (4% to 14%), and cancers of unknown primary (1% to 7%) are the most common causes of solid-tumor-related LM. We believe that the annual incidence of CNS/LM across all tumor types is at least 30,000 patients in the United States and Europe combined.</w:t>
      </w:r>
    </w:p>
    <w:p>
      <w:pPr>
        <w:spacing w:after="0" w:line="138" w:lineRule="exact"/>
        <w:rPr>
          <w:sz w:val="20"/>
          <w:szCs w:val="20"/>
          <w:color w:val="auto"/>
        </w:rPr>
      </w:pPr>
    </w:p>
    <w:p>
      <w:pPr>
        <w:jc w:val="both"/>
        <w:ind w:right="500"/>
        <w:spacing w:after="0" w:line="252" w:lineRule="auto"/>
        <w:rPr>
          <w:sz w:val="20"/>
          <w:szCs w:val="20"/>
          <w:color w:val="auto"/>
        </w:rPr>
      </w:pPr>
      <w:r>
        <w:rPr>
          <w:rFonts w:ascii="Arial" w:cs="Arial" w:eastAsia="Arial" w:hAnsi="Arial"/>
          <w:sz w:val="18"/>
          <w:szCs w:val="18"/>
          <w:color w:val="auto"/>
        </w:rPr>
        <w:t>Despite aggressive treatment, CNS/LM has a poor prognosis with less than 15% of all patients surviving one year following diagnosis. The median OS of untreated patients with CNS/LM is four to six weeks. The median OS of patients with combined treatment (often comprising surgery, radiation and/or chemotherapy) is usually less than eight months.</w:t>
      </w:r>
    </w:p>
    <w:p>
      <w:pPr>
        <w:spacing w:after="0" w:line="172" w:lineRule="exact"/>
        <w:rPr>
          <w:sz w:val="20"/>
          <w:szCs w:val="20"/>
          <w:color w:val="auto"/>
        </w:rPr>
      </w:pPr>
    </w:p>
    <w:p>
      <w:pPr>
        <w:ind w:right="240"/>
        <w:spacing w:after="0" w:line="333" w:lineRule="auto"/>
        <w:rPr>
          <w:sz w:val="20"/>
          <w:szCs w:val="20"/>
          <w:color w:val="auto"/>
        </w:rPr>
      </w:pPr>
      <w:r>
        <w:rPr>
          <w:rFonts w:ascii="Arial" w:cs="Arial" w:eastAsia="Arial" w:hAnsi="Arial"/>
          <w:sz w:val="16"/>
          <w:szCs w:val="16"/>
          <w:color w:val="auto"/>
        </w:rPr>
        <w:t>The incidence of CNS/LM is increasing. An important factor contributing to the increasing incidence of CNS/LM is the availability of more effective systemic therapies. These therapies may increase survival time and could therefore lead to a higher incidence of metastatic disease.</w:t>
      </w:r>
    </w:p>
    <w:p>
      <w:pPr>
        <w:spacing w:after="0" w:line="116" w:lineRule="exact"/>
        <w:rPr>
          <w:sz w:val="20"/>
          <w:szCs w:val="20"/>
          <w:color w:val="auto"/>
        </w:rPr>
      </w:pPr>
    </w:p>
    <w:p>
      <w:pPr>
        <w:spacing w:after="0"/>
        <w:rPr>
          <w:sz w:val="20"/>
          <w:szCs w:val="20"/>
          <w:color w:val="auto"/>
        </w:rPr>
      </w:pPr>
      <w:r>
        <w:rPr>
          <w:rFonts w:ascii="Arial" w:cs="Arial" w:eastAsia="Arial" w:hAnsi="Arial"/>
          <w:sz w:val="28"/>
          <w:szCs w:val="28"/>
          <w:i w:val="1"/>
          <w:iCs w:val="1"/>
          <w:color w:val="auto"/>
          <w:vertAlign w:val="superscript"/>
        </w:rPr>
        <w:t>177</w:t>
      </w:r>
      <w:r>
        <w:rPr>
          <w:rFonts w:ascii="Arial" w:cs="Arial" w:eastAsia="Arial" w:hAnsi="Arial"/>
          <w:sz w:val="17"/>
          <w:szCs w:val="17"/>
          <w:i w:val="1"/>
          <w:iCs w:val="1"/>
          <w:color w:val="auto"/>
        </w:rPr>
        <w:t>Lu-omburtamab-DTPA in Central Nervous System/Leptomeningeal Metastases—Current Treatment Landscape and Associated Limitations</w:t>
      </w:r>
    </w:p>
    <w:p>
      <w:pPr>
        <w:spacing w:after="0" w:line="13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Treatment of most patients with CNS/LM requires a combination of surgery, radiation, and/or chemotherapy. However, CNS/LM has proven difficult to treat due to the localization of the tumor within the leptomeningeal surfaces of the CNS compartment making complete removal by surgery difficult. Moreover, the blood-brain barrier, a membrane that selectively regulates molecules entering the brain from the blood, often inhibits drug delivery to the brain due to the inability of large molecules to cross the blood-brain barrier. Because the most common tumors that metastasize to the brain express B7-H3, in contrast with normal brain tissue that lacks B7-H3 expression, we believe that the incidence of B7-H3 expression makes omburtamab a viable antibody for targeting metastatic tumors in the CNS.</w:t>
      </w:r>
    </w:p>
    <w:p>
      <w:pPr>
        <w:spacing w:after="0" w:line="189" w:lineRule="exact"/>
        <w:rPr>
          <w:sz w:val="20"/>
          <w:szCs w:val="20"/>
          <w:color w:val="auto"/>
        </w:rPr>
      </w:pPr>
    </w:p>
    <w:p>
      <w:pPr>
        <w:spacing w:after="0"/>
        <w:rPr>
          <w:sz w:val="20"/>
          <w:szCs w:val="20"/>
          <w:color w:val="auto"/>
        </w:rPr>
      </w:pPr>
      <w:r>
        <w:rPr>
          <w:rFonts w:ascii="Arial" w:cs="Arial" w:eastAsia="Arial" w:hAnsi="Arial"/>
          <w:sz w:val="29"/>
          <w:szCs w:val="29"/>
          <w:i w:val="1"/>
          <w:iCs w:val="1"/>
          <w:color w:val="auto"/>
          <w:vertAlign w:val="superscript"/>
        </w:rPr>
        <w:t>177</w:t>
      </w:r>
      <w:r>
        <w:rPr>
          <w:rFonts w:ascii="Arial" w:cs="Arial" w:eastAsia="Arial" w:hAnsi="Arial"/>
          <w:sz w:val="18"/>
          <w:szCs w:val="18"/>
          <w:i w:val="1"/>
          <w:iCs w:val="1"/>
          <w:color w:val="auto"/>
        </w:rPr>
        <w:t>Lu-omburtamab-DTPA in Central Nervous System/Leptomeningeal Metastases—Mechanism of Action</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We are developing a Lutetium-177 conjugated omburtamab with DTPA as chelator. 177Lu-omburtamab-DTPA will be administered to patients as</w:t>
      </w:r>
    </w:p>
    <w:p>
      <w:pPr>
        <w:spacing w:after="0" w:line="40" w:lineRule="exact"/>
        <w:rPr>
          <w:sz w:val="20"/>
          <w:szCs w:val="20"/>
          <w:color w:val="auto"/>
        </w:rPr>
      </w:pPr>
    </w:p>
    <w:p>
      <w:pPr>
        <w:ind w:right="260"/>
        <w:spacing w:after="0" w:line="203" w:lineRule="auto"/>
        <w:rPr>
          <w:sz w:val="20"/>
          <w:szCs w:val="20"/>
          <w:color w:val="auto"/>
        </w:rPr>
      </w:pPr>
      <w:r>
        <w:rPr>
          <w:rFonts w:ascii="Arial" w:cs="Arial" w:eastAsia="Arial" w:hAnsi="Arial"/>
          <w:sz w:val="18"/>
          <w:szCs w:val="18"/>
          <w:color w:val="auto"/>
        </w:rPr>
        <w:t xml:space="preserve">a single-step push dose via an indwelling catheter for intracerebroventricular drug delivery, similar to the administration of </w:t>
      </w:r>
      <w:r>
        <w:rPr>
          <w:rFonts w:ascii="Arial" w:cs="Arial" w:eastAsia="Arial" w:hAnsi="Arial"/>
          <w:sz w:val="29"/>
          <w:szCs w:val="29"/>
          <w:color w:val="auto"/>
          <w:vertAlign w:val="superscript"/>
        </w:rPr>
        <w:t>131</w:t>
      </w:r>
      <w:r>
        <w:rPr>
          <w:rFonts w:ascii="Arial" w:cs="Arial" w:eastAsia="Arial" w:hAnsi="Arial"/>
          <w:sz w:val="18"/>
          <w:szCs w:val="18"/>
          <w:color w:val="auto"/>
        </w:rPr>
        <w:t>I-omburtamab in CNS/LM from NB.</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This form of administration will allow us to bypass the blood brain barrier and gain direct access to the CNS/LM. Lutetium-177 is a medium-energy beta-emitter with a maximal tissue penetration of 2 mm. Its half-life is approximately 6.7 days. Lutetium-177 also emits low-energy Gamma rays, which allows scintigraphy and subsequent dosimetry with the same therapeutic compound. Lutetium-177 is bound to omburtamab</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 xml:space="preserve">by DTPA. The resulting product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conjugate can be distributed ready to use. Lutathera, a Lutetium-177-DOTA conjugated somatostatin analogue peptide, has already demonstrated significant clinical efficacy in patients with progressive neuro endocrine tumors, or NETs, and is approved by the EMA and the FDA, in this orphan indication. In a multi-center, randomized, comparator-controlled, parallel-group Phase 3 study that has been the basis for regulatory submission for Lutathera, it demonstrated a significant improvement in PFS in patients with inoperable progressive midgut NETs compared to the general standard of care, with limited acute toxic effects. The beta radiation of Lutetium-177 is similar to the beta radiation emitted from radioactive iodine, which already has demonstrated efficacy in CNS/LM from NB when conjugated to omburtamab.</w:t>
      </w:r>
    </w:p>
    <w:p>
      <w:pPr>
        <w:spacing w:after="0" w:line="182" w:lineRule="exact"/>
        <w:rPr>
          <w:sz w:val="20"/>
          <w:szCs w:val="20"/>
          <w:color w:val="auto"/>
        </w:rPr>
      </w:pPr>
    </w:p>
    <w:p>
      <w:pPr>
        <w:ind w:right="360"/>
        <w:spacing w:after="0" w:line="333" w:lineRule="auto"/>
        <w:rPr>
          <w:sz w:val="20"/>
          <w:szCs w:val="20"/>
          <w:color w:val="auto"/>
        </w:rPr>
      </w:pPr>
      <w:r>
        <w:rPr>
          <w:rFonts w:ascii="Arial" w:cs="Arial" w:eastAsia="Arial" w:hAnsi="Arial"/>
          <w:sz w:val="16"/>
          <w:szCs w:val="16"/>
          <w:color w:val="auto"/>
        </w:rPr>
        <w:t>We believe Lutetium-177 may have a number of potential advantages over both Iodine-131 and Iodine-124. In particular, the radiolabeling of omburtamab with Lutetium-177 involves a relatively simple one-step procedure and can be distributed conjugated ready to use.</w:t>
      </w:r>
    </w:p>
    <w:p>
      <w:pPr>
        <w:spacing w:after="0" w:line="116" w:lineRule="exact"/>
        <w:rPr>
          <w:sz w:val="20"/>
          <w:szCs w:val="20"/>
          <w:color w:val="auto"/>
        </w:rPr>
      </w:pPr>
    </w:p>
    <w:p>
      <w:pPr>
        <w:ind w:left="180" w:right="40" w:hanging="179"/>
        <w:spacing w:after="0" w:line="210" w:lineRule="auto"/>
        <w:rPr>
          <w:sz w:val="20"/>
          <w:szCs w:val="20"/>
          <w:color w:val="auto"/>
        </w:rPr>
      </w:pPr>
      <w:r>
        <w:rPr>
          <w:rFonts w:ascii="Arial" w:cs="Arial" w:eastAsia="Arial" w:hAnsi="Arial"/>
          <w:sz w:val="18"/>
          <w:szCs w:val="18"/>
          <w:i w:val="1"/>
          <w:iCs w:val="1"/>
          <w:color w:val="auto"/>
        </w:rPr>
        <w:t xml:space="preserve">Study 302: </w:t>
      </w:r>
      <w:r>
        <w:rPr>
          <w:rFonts w:ascii="Arial" w:cs="Arial" w:eastAsia="Arial" w:hAnsi="Arial"/>
          <w:sz w:val="29"/>
          <w:szCs w:val="29"/>
          <w:i w:val="1"/>
          <w:iCs w:val="1"/>
          <w:color w:val="auto"/>
          <w:vertAlign w:val="superscript"/>
        </w:rPr>
        <w:t>177</w:t>
      </w:r>
      <w:r>
        <w:rPr>
          <w:rFonts w:ascii="Arial" w:cs="Arial" w:eastAsia="Arial" w:hAnsi="Arial"/>
          <w:sz w:val="18"/>
          <w:szCs w:val="18"/>
          <w:i w:val="1"/>
          <w:iCs w:val="1"/>
          <w:color w:val="auto"/>
        </w:rPr>
        <w:t>Lu-omburtamab-DTPA in Central Nervous System/Leptomeningeal Metastases from solid tumors in adults—Clinical Development Program</w:t>
      </w:r>
    </w:p>
    <w:p>
      <w:pPr>
        <w:spacing w:after="0" w:line="187" w:lineRule="exact"/>
        <w:rPr>
          <w:sz w:val="20"/>
          <w:szCs w:val="20"/>
          <w:color w:val="auto"/>
        </w:rPr>
      </w:pPr>
    </w:p>
    <w:p>
      <w:pPr>
        <w:ind w:right="60"/>
        <w:spacing w:after="0" w:line="214" w:lineRule="auto"/>
        <w:rPr>
          <w:sz w:val="20"/>
          <w:szCs w:val="20"/>
          <w:color w:val="auto"/>
        </w:rPr>
      </w:pPr>
      <w:r>
        <w:rPr>
          <w:rFonts w:ascii="Arial" w:cs="Arial" w:eastAsia="Arial" w:hAnsi="Arial"/>
          <w:sz w:val="17"/>
          <w:szCs w:val="17"/>
          <w:color w:val="auto"/>
        </w:rPr>
        <w:t xml:space="preserve">The study is designed as an open label single arm, first in human, dose escalation and expansion study to evaluate safety and efficacy of </w:t>
      </w:r>
      <w:r>
        <w:rPr>
          <w:rFonts w:ascii="Arial" w:cs="Arial" w:eastAsia="Arial" w:hAnsi="Arial"/>
          <w:sz w:val="28"/>
          <w:szCs w:val="28"/>
          <w:color w:val="auto"/>
          <w:vertAlign w:val="superscript"/>
        </w:rPr>
        <w:t>177</w:t>
      </w:r>
      <w:r>
        <w:rPr>
          <w:rFonts w:ascii="Arial" w:cs="Arial" w:eastAsia="Arial" w:hAnsi="Arial"/>
          <w:sz w:val="17"/>
          <w:szCs w:val="17"/>
          <w:color w:val="auto"/>
        </w:rPr>
        <w:t>Lu-omburtamab-DTPA in adult patients with Central Nervous System/Leptomeningeal Metastases from solid tumors with B7-H3 expression. We</w:t>
      </w:r>
    </w:p>
    <w:p>
      <w:pPr>
        <w:spacing w:after="0" w:line="2" w:lineRule="exact"/>
        <w:rPr>
          <w:sz w:val="20"/>
          <w:szCs w:val="20"/>
          <w:color w:val="auto"/>
        </w:rPr>
      </w:pPr>
    </w:p>
    <w:p>
      <w:pPr>
        <w:spacing w:after="0" w:line="203" w:lineRule="auto"/>
        <w:rPr>
          <w:sz w:val="20"/>
          <w:szCs w:val="20"/>
          <w:color w:val="auto"/>
        </w:rPr>
      </w:pPr>
      <w:r>
        <w:rPr>
          <w:rFonts w:ascii="Arial" w:cs="Arial" w:eastAsia="Arial" w:hAnsi="Arial"/>
          <w:sz w:val="18"/>
          <w:szCs w:val="18"/>
          <w:color w:val="auto"/>
        </w:rPr>
        <w:t xml:space="preserve">plan to enroll up to 72 patients in this Phase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study which we anticipate to initiate in the first quarter of 2021 following the FDA clearance of the IND in October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objective</w:t>
      </w:r>
    </w:p>
    <w:p>
      <w:pPr>
        <w:spacing w:after="0" w:line="205" w:lineRule="exact"/>
        <w:rPr>
          <w:sz w:val="20"/>
          <w:szCs w:val="20"/>
          <w:color w:val="auto"/>
        </w:rPr>
      </w:pPr>
    </w:p>
    <w:p>
      <w:pPr>
        <w:ind w:left="540" w:hanging="532"/>
        <w:spacing w:after="0"/>
        <w:tabs>
          <w:tab w:leader="none" w:pos="540" w:val="left"/>
        </w:tabs>
        <w:numPr>
          <w:ilvl w:val="0"/>
          <w:numId w:val="86"/>
        </w:numPr>
        <w:rPr>
          <w:rFonts w:ascii="Arial" w:cs="Arial" w:eastAsia="Arial" w:hAnsi="Arial"/>
          <w:sz w:val="35"/>
          <w:szCs w:val="35"/>
          <w:color w:val="auto"/>
          <w:vertAlign w:val="superscript"/>
        </w:rPr>
      </w:pPr>
      <w:r>
        <w:rPr>
          <w:rFonts w:ascii="Arial" w:cs="Arial" w:eastAsia="Arial" w:hAnsi="Arial"/>
          <w:sz w:val="18"/>
          <w:szCs w:val="18"/>
          <w:color w:val="auto"/>
        </w:rPr>
        <w:t xml:space="preserve">To explore the tolerability of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Objectives include</w:t>
      </w:r>
    </w:p>
    <w:p>
      <w:pPr>
        <w:spacing w:after="0" w:line="205" w:lineRule="exact"/>
        <w:rPr>
          <w:sz w:val="20"/>
          <w:szCs w:val="20"/>
          <w:color w:val="auto"/>
        </w:rPr>
      </w:pPr>
    </w:p>
    <w:p>
      <w:pPr>
        <w:ind w:left="540" w:hanging="532"/>
        <w:spacing w:after="0"/>
        <w:tabs>
          <w:tab w:leader="none" w:pos="540" w:val="left"/>
        </w:tabs>
        <w:numPr>
          <w:ilvl w:val="0"/>
          <w:numId w:val="87"/>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absorbed radiation doses and organ dosimetry for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w:t>
      </w:r>
    </w:p>
    <w:p>
      <w:pPr>
        <w:spacing w:after="0" w:line="63" w:lineRule="exact"/>
        <w:rPr>
          <w:rFonts w:ascii="Arial" w:cs="Arial" w:eastAsia="Arial" w:hAnsi="Arial"/>
          <w:sz w:val="35"/>
          <w:szCs w:val="35"/>
          <w:color w:val="auto"/>
          <w:vertAlign w:val="superscript"/>
        </w:rPr>
      </w:pPr>
    </w:p>
    <w:p>
      <w:pPr>
        <w:ind w:left="540" w:hanging="532"/>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evaluate the investigator assessed response, PFS and OS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Study 301: </w:t>
      </w:r>
      <w:r>
        <w:rPr>
          <w:rFonts w:ascii="Arial" w:cs="Arial" w:eastAsia="Arial" w:hAnsi="Arial"/>
          <w:sz w:val="29"/>
          <w:szCs w:val="29"/>
          <w:i w:val="1"/>
          <w:iCs w:val="1"/>
          <w:color w:val="auto"/>
          <w:vertAlign w:val="superscript"/>
        </w:rPr>
        <w:t>177</w:t>
      </w:r>
      <w:r>
        <w:rPr>
          <w:rFonts w:ascii="Arial" w:cs="Arial" w:eastAsia="Arial" w:hAnsi="Arial"/>
          <w:sz w:val="18"/>
          <w:szCs w:val="18"/>
          <w:i w:val="1"/>
          <w:iCs w:val="1"/>
          <w:color w:val="auto"/>
        </w:rPr>
        <w:t>Lu-omburtamab-DTPA in medulloblastoma—Clinical Development Program</w:t>
      </w:r>
    </w:p>
    <w:p>
      <w:pPr>
        <w:spacing w:after="0" w:line="124" w:lineRule="exact"/>
        <w:rPr>
          <w:sz w:val="20"/>
          <w:szCs w:val="20"/>
          <w:color w:val="auto"/>
        </w:rPr>
      </w:pPr>
    </w:p>
    <w:p>
      <w:pPr>
        <w:ind w:right="60"/>
        <w:spacing w:after="0" w:line="197" w:lineRule="auto"/>
        <w:rPr>
          <w:sz w:val="20"/>
          <w:szCs w:val="20"/>
          <w:color w:val="auto"/>
        </w:rPr>
      </w:pPr>
      <w:r>
        <w:rPr>
          <w:rFonts w:ascii="Arial" w:cs="Arial" w:eastAsia="Arial" w:hAnsi="Arial"/>
          <w:sz w:val="18"/>
          <w:szCs w:val="18"/>
          <w:color w:val="auto"/>
        </w:rPr>
        <w:t xml:space="preserve">The study is designed as an open label single arm, first in human, dose escalation and expansion study to evaluate </w:t>
      </w:r>
      <w:r>
        <w:rPr>
          <w:rFonts w:ascii="Arial" w:cs="Arial" w:eastAsia="Arial" w:hAnsi="Arial"/>
          <w:sz w:val="29"/>
          <w:szCs w:val="29"/>
          <w:color w:val="auto"/>
          <w:vertAlign w:val="superscript"/>
        </w:rPr>
        <w:t>177</w:t>
      </w:r>
      <w:r>
        <w:rPr>
          <w:rFonts w:ascii="Arial" w:cs="Arial" w:eastAsia="Arial" w:hAnsi="Arial"/>
          <w:sz w:val="18"/>
          <w:szCs w:val="18"/>
          <w:color w:val="auto"/>
        </w:rPr>
        <w:t xml:space="preserve">Lu-omburtamab-DTPA in patients with R/R medulloblastoma. We plan to enroll approximately 49 patients in this Phase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study which we anticipate to initiate in the first quarter of 2021 following the FDA clearance of the IND in October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objective</w:t>
      </w:r>
    </w:p>
    <w:p>
      <w:pPr>
        <w:spacing w:after="0" w:line="205" w:lineRule="exact"/>
        <w:rPr>
          <w:sz w:val="20"/>
          <w:szCs w:val="20"/>
          <w:color w:val="auto"/>
        </w:rPr>
      </w:pPr>
    </w:p>
    <w:p>
      <w:pPr>
        <w:ind w:left="540" w:hanging="532"/>
        <w:spacing w:after="0"/>
        <w:tabs>
          <w:tab w:leader="none" w:pos="540" w:val="left"/>
        </w:tabs>
        <w:numPr>
          <w:ilvl w:val="0"/>
          <w:numId w:val="88"/>
        </w:numPr>
        <w:rPr>
          <w:rFonts w:ascii="Arial" w:cs="Arial" w:eastAsia="Arial" w:hAnsi="Arial"/>
          <w:sz w:val="35"/>
          <w:szCs w:val="35"/>
          <w:color w:val="auto"/>
          <w:vertAlign w:val="superscript"/>
        </w:rPr>
      </w:pPr>
      <w:r>
        <w:rPr>
          <w:rFonts w:ascii="Arial" w:cs="Arial" w:eastAsia="Arial" w:hAnsi="Arial"/>
          <w:sz w:val="18"/>
          <w:szCs w:val="18"/>
          <w:color w:val="auto"/>
        </w:rPr>
        <w:t xml:space="preserve">To explore the tolerability of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objectives include</w:t>
      </w:r>
    </w:p>
    <w:p>
      <w:pPr>
        <w:spacing w:after="0" w:line="205" w:lineRule="exact"/>
        <w:rPr>
          <w:sz w:val="20"/>
          <w:szCs w:val="20"/>
          <w:color w:val="auto"/>
        </w:rPr>
      </w:pPr>
    </w:p>
    <w:p>
      <w:pPr>
        <w:ind w:left="540" w:hanging="532"/>
        <w:spacing w:after="0"/>
        <w:tabs>
          <w:tab w:leader="none" w:pos="540" w:val="left"/>
        </w:tabs>
        <w:numPr>
          <w:ilvl w:val="0"/>
          <w:numId w:val="89"/>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absorbed radiation doses and organ dosimetry for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w:t>
      </w:r>
    </w:p>
    <w:p>
      <w:pPr>
        <w:spacing w:after="0" w:line="63" w:lineRule="exact"/>
        <w:rPr>
          <w:rFonts w:ascii="Arial" w:cs="Arial" w:eastAsia="Arial" w:hAnsi="Arial"/>
          <w:sz w:val="35"/>
          <w:szCs w:val="35"/>
          <w:color w:val="auto"/>
          <w:vertAlign w:val="superscript"/>
        </w:rPr>
      </w:pPr>
    </w:p>
    <w:p>
      <w:pPr>
        <w:ind w:left="540" w:hanging="532"/>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evaluate the investigator assessed response PFS and OS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Humanized omburtamab overview</w:t>
      </w:r>
    </w:p>
    <w:p>
      <w:pPr>
        <w:spacing w:after="0" w:line="22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are also developing huB7-H3, a humanized version of omburtamab, for the treatment of B7-H3 positive adult solid tumors where systemic immunotherapy is needed. We expect that huB7-H3 will be used as a radio-conjugated antibody designed to overcome limitations of murine antibodies that may induce HAMA, which may lead to decreased efficacy and increased toxicity when used for systemic immunotherapy.</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Bispecific antibody programs overview</w:t>
      </w:r>
    </w:p>
    <w:p>
      <w:pPr>
        <w:spacing w:after="0" w:line="22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We are advancing a promising pipeline of novel bivalent tumor targeting BsAbs for the treatment of cancer. We believe that our BsAbs have the potential to overcome limitations associated with existing BsAb constructs. Our first BsAb clinical product candidate, nivatrotamab, is a humanized anti-GD2 and anti-CD3 BsAb. We have successfully opened an IND for our Phase 2 trial with nivatrotamab in Small Cell Lung Cancer. In addition a Phase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trial with nivatrotamab, for the treatment of refractory GD2 positive adult and pediatric solid tumors is ongoing.</w:t>
      </w:r>
    </w:p>
    <w:p>
      <w:pPr>
        <w:spacing w:after="0" w:line="37"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color w:val="auto"/>
        </w:rPr>
        <w:t>Our second BsAb product candidate, CD33-BsAb, is a humanized anti-CD33 and anti-CD3 BsAb. We are in pre-clinical development for our CD33-BsAb product candidate for the treatment of CD33-positive hermatological cancers.</w:t>
      </w:r>
    </w:p>
    <w:p>
      <w:pPr>
        <w:spacing w:after="0" w:line="157"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In addition, the MSK License provides us with non-exclusive access to MSK's technology that facilitates the creation of a novel human protein tag that can dimerize, or link together, BiTEs, which we refer to as the MULTI-TAG technology platform. BiTEs are an important class of BsAbs that has shown significant promise in the treatment of cancer due to their high potency. Based on our pre-clinical studies, we believe that this novel class of BiTEs has the potential to result in better tumor-binding, longer serum half-life and significantly greater T-cell mediated killing of tumor cells without the need for continuous infusion.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current bispecific antibody treatment approaches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BsAbs are engineered proteins capable of simultaneously binding to two different epitopes, on the same or different antigens. Through simultaneous recognition of two different targets, BsAbs can serve as mediators for the redirection of immune effector cells, such as Natural Killer cells, or NK cells, and T-cells, to tumor cells, in order to enhance tumor cell destruction. In addition, by targeting two different receptors in combination on the same cell, BsAbs can induce modifications of cell signaling, including the inactivation of pathways. BsAbs represent an exciting approach to cancer immunotherapy because, among other factors, they have the potential to overcome the limitations of conventional monoclonal antibody approaches to treating cancers. Moreover, BsAbs can be mass produced without the manufacturing complications and risk of persistent systemic toxicity associated with other new immunotherapy approaches such as CAR-T therapy.</w:t>
      </w:r>
    </w:p>
    <w:p>
      <w:pPr>
        <w:spacing w:after="0" w:line="185" w:lineRule="exact"/>
        <w:rPr>
          <w:sz w:val="20"/>
          <w:szCs w:val="20"/>
          <w:color w:val="auto"/>
        </w:rPr>
      </w:pPr>
    </w:p>
    <w:p>
      <w:pPr>
        <w:jc w:val="both"/>
        <w:ind w:right="160"/>
        <w:spacing w:after="0" w:line="252" w:lineRule="auto"/>
        <w:rPr>
          <w:sz w:val="20"/>
          <w:szCs w:val="20"/>
          <w:color w:val="auto"/>
        </w:rPr>
      </w:pPr>
      <w:r>
        <w:rPr>
          <w:rFonts w:ascii="Arial" w:cs="Arial" w:eastAsia="Arial" w:hAnsi="Arial"/>
          <w:sz w:val="18"/>
          <w:szCs w:val="18"/>
          <w:color w:val="auto"/>
        </w:rPr>
        <w:t>BsAbs are generally divided into two classes, IgG-like molecules and non-IgG-like molecules. IgG-like BsAbs retain the traditional monoclonal antibody structure but bind to multiple antigens. Although IgG-like BsAbs generally demonstrate adequate stability and effector functions, their large size limits tissue penetration.</w:t>
      </w:r>
    </w:p>
    <w:p>
      <w:pPr>
        <w:spacing w:after="0" w:line="171"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Non-IgG-like BsAbs lack a fragment crystallizable, or Fc, region, consisting instead of chemically linked variable regions and various types of multivalent single-chain variable fragments, or scFvs. One type of non-IgG-like BsAbs are BiTEs. BiTEs are relatively small and have more efficient penetration, however, they exhibit short serum half-lives. They bind monovalently to tumor targets, which often results in suboptimal tumor binding relative to our conventional IgG-like BsAbs that bind bivalently. Finally, therapeutic dosing of BiTEs is limited by the risk of excessive cytokine release in patients.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The only approved BsAb for treatment of cancer in the United States is blinatumomab, a BiTE, approved for the treatment of acute lymphocytic leukemia.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Nivatrotamab overview</w:t>
      </w:r>
    </w:p>
    <w:p>
      <w:pPr>
        <w:spacing w:after="0" w:line="21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figure below depicts our first BsAb product candidate, HuGD2-BsAb, or nivatrotamab, a fully humanized IgG-scFv format antibody, in which the anti-CD3 scFv is linked to the carboxyl end of the naxitamab IgG1 and the Fc region is mutated to help prevent cytokine release as well as complement-mediated pain side effects.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Nivatrotamab (anti-GD2 and anti-CD3)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154305</wp:posOffset>
            </wp:positionV>
            <wp:extent cx="1680210" cy="13627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1680210"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nivatrotamab may have several potential advantages over other BsAbs, including:</w:t>
      </w:r>
    </w:p>
    <w:p>
      <w:pPr>
        <w:spacing w:after="0" w:line="212" w:lineRule="exact"/>
        <w:rPr>
          <w:sz w:val="20"/>
          <w:szCs w:val="20"/>
          <w:color w:val="auto"/>
        </w:rPr>
      </w:pPr>
    </w:p>
    <w:p>
      <w:pPr>
        <w:ind w:left="540" w:hanging="532"/>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Improved potency due to bivalency towards GD2, while maintaining functional monovalency towards CD3;</w:t>
      </w:r>
    </w:p>
    <w:p>
      <w:pPr>
        <w:spacing w:after="0" w:line="211" w:lineRule="exact"/>
        <w:rPr>
          <w:rFonts w:ascii="Arial" w:cs="Arial" w:eastAsia="Arial" w:hAnsi="Arial"/>
          <w:sz w:val="18"/>
          <w:szCs w:val="18"/>
          <w:color w:val="auto"/>
        </w:rPr>
      </w:pPr>
    </w:p>
    <w:p>
      <w:pPr>
        <w:jc w:val="both"/>
        <w:ind w:left="540" w:right="160" w:hanging="532"/>
        <w:spacing w:after="0" w:line="333" w:lineRule="auto"/>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Longer serum half-life (as compared to e.g. BiTE) to improve efficacy and patient convenience—molecular size of 210kD (vs. 55kD size of blinatumomab) and binding to neonatal Fc receptor result in longer serum half-life, thereby reducing the need for continuous infusion;</w:t>
      </w:r>
    </w:p>
    <w:p>
      <w:pPr>
        <w:spacing w:after="0" w:line="96" w:lineRule="exact"/>
        <w:rPr>
          <w:rFonts w:ascii="Arial" w:cs="Arial" w:eastAsia="Arial" w:hAnsi="Arial"/>
          <w:sz w:val="16"/>
          <w:szCs w:val="16"/>
          <w:color w:val="auto"/>
        </w:rPr>
      </w:pPr>
    </w:p>
    <w:p>
      <w:pPr>
        <w:ind w:left="540" w:hanging="532"/>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Better safety profile;</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larger size of our molecule prevents leakage into the CNS thereby avoiding CNS neurotoxicity; and</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Low affinity for CD3 molecules and functional monovalency towards CD3 reduces risk of significant cytokine release.</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Knockout mice, which lack murine T-cells, B-cells and NK cells, were used for human cancer xenograft studies. The picture below demonstrates a study where mice were transplanted with human M14-Luc melanoma and human peripheral blood mononuclear cells, or PBMC, or activated T-cells, or ATC, as effector cells. Tumor growth was assessed by luciferin bioluminescence.</w:t>
      </w:r>
    </w:p>
    <w:p>
      <w:pPr>
        <w:spacing w:after="0" w:line="17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Mice, in a control group, treated with saline without effector cells (nivatrotamab only), or effector cells plus ATC+naxitamab-C825, used as the control BsAb and which does not bind to T-cells, had equally rapid tumor progression. In contrast, mice treated with nivatrotamab (huGD2-BsAb) in the presence of human effector cells (ATC+huGD2-BsAb or PBMC+huGD2-BsAb) demonstrated nearly total tumor elimination. The picture below is a representative image at day 31.</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146050</wp:posOffset>
            </wp:positionV>
            <wp:extent cx="5897880" cy="33775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5897880"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0"/>
        <w:spacing w:after="0" w:line="211" w:lineRule="auto"/>
        <w:rPr>
          <w:sz w:val="20"/>
          <w:szCs w:val="20"/>
          <w:color w:val="auto"/>
        </w:rPr>
      </w:pPr>
      <w:r>
        <w:rPr>
          <w:rFonts w:ascii="Arial" w:cs="Arial" w:eastAsia="Arial" w:hAnsi="Arial"/>
          <w:sz w:val="18"/>
          <w:szCs w:val="18"/>
          <w:color w:val="auto"/>
        </w:rPr>
        <w:t xml:space="preserve">On December 10, 2018, the FDA cleared the IND application for nivatrotamab, and in January 2019, a Phase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trial was initiated at MSK for the treatment of refractory GD2 positive adult and pediatric solid tumors.</w:t>
      </w:r>
    </w:p>
    <w:p>
      <w:pPr>
        <w:spacing w:after="0" w:line="188" w:lineRule="exact"/>
        <w:rPr>
          <w:sz w:val="20"/>
          <w:szCs w:val="20"/>
          <w:color w:val="auto"/>
        </w:rPr>
      </w:pPr>
    </w:p>
    <w:p>
      <w:pPr>
        <w:ind w:left="180" w:right="700" w:hanging="179"/>
        <w:spacing w:after="0" w:line="210" w:lineRule="auto"/>
        <w:rPr>
          <w:sz w:val="20"/>
          <w:szCs w:val="20"/>
          <w:color w:val="auto"/>
        </w:rPr>
      </w:pPr>
      <w:r>
        <w:rPr>
          <w:rFonts w:ascii="Arial" w:cs="Arial" w:eastAsia="Arial" w:hAnsi="Arial"/>
          <w:sz w:val="18"/>
          <w:szCs w:val="18"/>
          <w:i w:val="1"/>
          <w:iCs w:val="1"/>
          <w:color w:val="auto"/>
        </w:rPr>
        <w:t xml:space="preserve">Study 18-034: Phase </w:t>
      </w:r>
      <w:r>
        <w:rPr>
          <w:rFonts w:ascii="Arial" w:cs="Arial" w:eastAsia="Arial" w:hAnsi="Arial"/>
          <w:sz w:val="29"/>
          <w:szCs w:val="29"/>
          <w:i w:val="1"/>
          <w:iCs w:val="1"/>
          <w:color w:val="auto"/>
          <w:vertAlign w:val="superscript"/>
        </w:rPr>
        <w:t>1</w:t>
      </w:r>
      <w:r>
        <w:rPr>
          <w:rFonts w:ascii="Arial" w:cs="Arial" w:eastAsia="Arial" w:hAnsi="Arial"/>
          <w:sz w:val="18"/>
          <w:szCs w:val="18"/>
          <w:i w:val="1"/>
          <w:iCs w:val="1"/>
          <w:color w:val="auto"/>
        </w:rPr>
        <w:t>/</w:t>
      </w:r>
      <w:r>
        <w:rPr>
          <w:rFonts w:ascii="Arial" w:cs="Arial" w:eastAsia="Arial" w:hAnsi="Arial"/>
          <w:sz w:val="14"/>
          <w:szCs w:val="14"/>
          <w:i w:val="1"/>
          <w:iCs w:val="1"/>
          <w:color w:val="auto"/>
        </w:rPr>
        <w:t>2</w:t>
      </w:r>
      <w:r>
        <w:rPr>
          <w:rFonts w:ascii="Arial" w:cs="Arial" w:eastAsia="Arial" w:hAnsi="Arial"/>
          <w:sz w:val="18"/>
          <w:szCs w:val="18"/>
          <w:i w:val="1"/>
          <w:iCs w:val="1"/>
          <w:color w:val="auto"/>
        </w:rPr>
        <w:t xml:space="preserve"> study of humanized 3F8 bispecific antibody (Hu3F8-BsAb) in patients with relapsed/refractory neuroblastoma, osteosarcoma, and other GD2(+) solid tumors</w:t>
      </w:r>
    </w:p>
    <w:p>
      <w:pPr>
        <w:spacing w:after="0" w:line="18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 xml:space="preserve">Study 18-034 is a Phase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single arm, dose escalation clinical trial of nivatrotamab. Dose escalation is performed in patients with R/R NB, osteosarcoma or other GD2-positive tumors. Cohort expansion will be conducted in R/R NB (group 1) and osteosarcoma (group 2). Up to 30 patients will enroll in Phase 1 and up to 64 patients will enroll in Phase 2. The Phase 1 endpoints include maximum tolerated dose, or MTD, the recommended Phase 2 dose, or RP2D, PK, HAHA, and anti tumor activity. For Phase 2, the endpoint will for group 1 (R/R NB) include ORR, duration of CR and OS and for group 2 (R/R Osteosarcoma) include PFS at four months, ORR, duration of CR and OS. Currently, no published safety data is available for this study.</w:t>
      </w:r>
    </w:p>
    <w:p>
      <w:pPr>
        <w:spacing w:after="0" w:line="185"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On January 15, 2021, the FDA cleared a second IND application for nivatrotamab in relapsed/recurrent metastatic small-cell lung cancer (Study 402).</w:t>
      </w:r>
    </w:p>
    <w:p>
      <w:pPr>
        <w:spacing w:after="0" w:line="159" w:lineRule="exact"/>
        <w:rPr>
          <w:sz w:val="20"/>
          <w:szCs w:val="20"/>
          <w:color w:val="auto"/>
        </w:rPr>
      </w:pPr>
    </w:p>
    <w:p>
      <w:pPr>
        <w:ind w:left="180" w:right="340" w:hanging="179"/>
        <w:spacing w:after="0" w:line="267" w:lineRule="auto"/>
        <w:rPr>
          <w:sz w:val="20"/>
          <w:szCs w:val="20"/>
          <w:color w:val="auto"/>
        </w:rPr>
      </w:pPr>
      <w:r>
        <w:rPr>
          <w:rFonts w:ascii="Arial" w:cs="Arial" w:eastAsia="Arial" w:hAnsi="Arial"/>
          <w:sz w:val="18"/>
          <w:szCs w:val="18"/>
          <w:i w:val="1"/>
          <w:iCs w:val="1"/>
          <w:color w:val="auto"/>
        </w:rPr>
        <w:t>Study 402: Safety and clinical activity of nivatrotamab, an anti GD2×CD3 bispecific antibody, in relapsed/recurrent metastatic small-cell lung cancer</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Study 402 is a multicenter Phase 2 single arm, dose escalation clinical trial of nivatrotamab in relapsed/recurrent metastatic SCLC. Dose escalation is performed in up to 35 patients in Part 1 of the study and, in addition, approximately 30 patients will be enrolled in Part 2 of the study. Part 1 endpoints include MTD, RP2D, safety, PK, HAHA, and anti-tumor activity. For Part 2, the endpoint will include safety at RP2D, anti-tumor activity (ORR, DCR, duration of response, PFS and OS), and HAHA. Currently, no published safety data is available for this study.</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CD33-BsAb overview</w:t>
      </w:r>
    </w:p>
    <w:p>
      <w:pPr>
        <w:spacing w:after="0" w:line="210"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Our second BsAb product candidate, CD33-BsAb, is a humanized anti-CD33 and anti-CD3 BsAb for the treatment of hematological cancers expressing CD33, a transmembrane receptor expressed on cells of myeloid lineage. Currently we are planning to set up GLP and cGMP production allowing for potential IND filing in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GD2-GD3 vaccine overview</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Neuroectoderm-derived tumors, including NB and sarcomas, have high expression of tumor antigens GD2 and GD3. Our investigational bivalent GD2-GD3 Vaccine is being studied in a clinical Phase 2 study (Study 05-075) conducted at MSK for the immunization of high-risk NB patients previously treated with DANYELZA. The vaccine, in combination with adjuvants, is being studied to induce patients to produce their own anti-GD2 and anti-GD3 serum titers, with the goal of preventing subsequent relapse.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GD2-GD3 Vaccine—clinical development program</w:t>
      </w:r>
    </w:p>
    <w:p>
      <w:pPr>
        <w:spacing w:after="0" w:line="210"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A Phase 2 study (Study 05-075) of the GD2-GD3 Vaccine with the immunological adjuvant OPT-821, in combination with oral ß-glucan for high-risk NB is being conducted at MSK. MSK has enrolled more than 260 patients in this study.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We are planning a multicenter, Phase 2 clinical study in relapsed, high-risk NB patients after obtaining complete response on salvage therapy.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We plan to open this study in 2021.</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MULTI-TAG technology overview</w:t>
      </w:r>
    </w:p>
    <w:p>
      <w:pPr>
        <w:spacing w:after="0" w:line="22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believe that our non-exclusive access to the MULTI-TAG technology will help us make further advances to our BsAb program by optimizing BiTEs. While there has been significant enthusiasm for BiTEs given their high potency and ability to penetrate more efficiently than conventional IgG-like BsAbs, their efficacy remains hampered by their size and binding characteristics. BiTEs are relatively small in size, approximately 55kD, resulting in a short serum half-life given rapid renal clearance. As a result, they require continuous infusion for several weeks in order to achieve a therapeutic response. They also bind monovalently, which often results in suboptimal tumor binding. Further, therapeutic dosing of BiTEs is limited by the risk of excessive cytokine release in patients.</w:t>
      </w:r>
    </w:p>
    <w:p>
      <w:pPr>
        <w:spacing w:after="0" w:line="18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Using the MULTI-TAG technology, we have designed a novel protein tag of human origin that dimerizes, or links, BiTEs, in a unique conformation, which we believe may result in improved tumor binding, a longer half-life, and greater T-cell mediated tumor cell killing. We are using the MULTI-TAG technology platform to dimerize our BsAbs into proteins of approximately 120kD in size, thereby increasing serum half-life without the need for continuous infusion. The unique dimerized conformation, while binding bivalently to tumors, also binds monovalently to T-cells, which we believe, leads to limiting excessive cytokine release.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SADA technology—liquid radiation</w:t>
      </w:r>
      <w:r>
        <w:rPr>
          <w:rFonts w:ascii="Arial" w:cs="Arial" w:eastAsia="Arial" w:hAnsi="Arial"/>
          <w:sz w:val="35"/>
          <w:szCs w:val="35"/>
          <w:b w:val="1"/>
          <w:bCs w:val="1"/>
          <w:color w:val="auto"/>
          <w:vertAlign w:val="superscript"/>
        </w:rPr>
        <w:t>TM</w:t>
      </w:r>
    </w:p>
    <w:p>
      <w:pPr>
        <w:spacing w:after="0" w:line="11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SADA technology's 2-step payload delivery can be achieved in an in-vitro setting, where tumors have been shown to shrink or completely disappear, while other tissues were spared. No clearing agent is needed, and no significant toxicity to bone marrow, kidneys or liver tissues has been observed. We believe that the SADA technology may allow for rapid clearance of the compound, while maintaining high target uptake, and thereby causing less immunogenicity. In addition, the SADA technology appears to be modular, whereby any DOTA-modified radioactive payload combined with any therapeutic antibody seems possible.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80"/>
        <w:spacing w:after="0" w:line="278" w:lineRule="auto"/>
        <w:rPr>
          <w:sz w:val="20"/>
          <w:szCs w:val="20"/>
          <w:color w:val="auto"/>
        </w:rPr>
      </w:pPr>
      <w:r>
        <w:rPr>
          <w:rFonts w:ascii="Arial" w:cs="Arial" w:eastAsia="Arial" w:hAnsi="Arial"/>
          <w:sz w:val="16"/>
          <w:szCs w:val="16"/>
          <w:color w:val="auto"/>
        </w:rPr>
        <w:t>We are using the SADA Technology to advance a series of antibody constructs based on the SADA technology, where bispecific antibody fragments bind to the tumor before a radioactive payload is injected in a two-step approach. We also refer to the SADA technology as Liquid</w:t>
      </w:r>
    </w:p>
    <w:p>
      <w:pPr>
        <w:ind w:right="20"/>
        <w:spacing w:after="0" w:line="217" w:lineRule="auto"/>
        <w:rPr>
          <w:sz w:val="20"/>
          <w:szCs w:val="20"/>
          <w:color w:val="auto"/>
        </w:rPr>
      </w:pPr>
      <w:r>
        <w:rPr>
          <w:rFonts w:ascii="Arial" w:cs="Arial" w:eastAsia="Arial" w:hAnsi="Arial"/>
          <w:sz w:val="18"/>
          <w:szCs w:val="18"/>
          <w:color w:val="auto"/>
        </w:rPr>
        <w:t>Radiation</w:t>
      </w:r>
      <w:r>
        <w:rPr>
          <w:rFonts w:ascii="Arial" w:cs="Arial" w:eastAsia="Arial" w:hAnsi="Arial"/>
          <w:sz w:val="29"/>
          <w:szCs w:val="29"/>
          <w:color w:val="auto"/>
          <w:vertAlign w:val="superscript"/>
        </w:rPr>
        <w:t>TM</w:t>
      </w:r>
      <w:r>
        <w:rPr>
          <w:rFonts w:ascii="Arial" w:cs="Arial" w:eastAsia="Arial" w:hAnsi="Arial"/>
          <w:sz w:val="18"/>
          <w:szCs w:val="18"/>
          <w:color w:val="auto"/>
        </w:rPr>
        <w:t>. We have designated GD2-SADA for potential use in GD2 positive solid tumors, B7-H3-SADA for potential use in prostate cancer, GPA33-SADA for potential use in colon cancer, and HER2-SADA for potential use in breast cancer as our first SADA constructs and expect to file an IND for GD2-SADA in 2021. We believe the SADA technology could potentially improve the efficacy of radiolabeled therapeutics in tumors that have not historically demonstrated meaningful responses to radiolabeled agents.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w:t>
      </w:r>
    </w:p>
    <w:p>
      <w:pPr>
        <w:spacing w:after="0" w:line="22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Currently, we contract with third party cGMP vendors for the manufacturing of our product candidates for pre-clinical studies, clinical trials and commercial supply. We do not currently own or operate any manufacturing facilities to produce clinical or commercial quantities of our product candidates. We currently have no plans to build our own clinical or commercial scale manufacturing capabilities. To meet our projected needs for commercial manufacturing third parties with whom we currently work may need to increase their scale of production or we may need to secure alternate suppliers. Although we rely on our cGMP manufacturers, we have personnel with substantial manufacturing experience to oversee our relationships with such manufacturers.</w:t>
      </w:r>
    </w:p>
    <w:p>
      <w:pPr>
        <w:spacing w:after="0" w:line="18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Manufacturing clinical and commercial products is subject to extensive regulations that impose various procedural and documentation requirements, which govern record keeping, manufacturing processes and controls, personnel, quality control and quality assurance. Our vendors are required to comply with cGMP regulations, which are regulatory requirements enforced by the FDA and other regulatory bodies like the EMA to assure proper design, monitoring and control of manufacturing processes and facilities for human pharmaceuticals.</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current product candidates are mainly manufactured based on well-established technology known from mAb products. These manufacturing processes involve the genetic engineering of a parental host cell line to isolate a cell that produces the target product. Once a cell line is isolated, a cell bank is produced under prescribed and documented conditions. The cell bank, preserved frozen, is tested, as required by regulations, to demonstrate that the engineered cell line is free from potentially harmful impurities and contaminants, such as viruses.</w:t>
      </w:r>
    </w:p>
    <w:p>
      <w:pPr>
        <w:spacing w:after="0" w:line="14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drug substance is an active ingredient that is intended to furnish pharmacological activity or other direct effect in the diagnosis, cure, mitigation, treatment, or prevention of disease or to affect the structure or any function of the human body. The manufacturing process for the drug substance begins with the thaw of vials from the cell bank and growth of these cells in established media until sufficient cells are cultured to inoculate a production bioreactor. The cells in the production bioreactor are grown in chemical defined media and under controlled and monitored conditions that stimulate the production of the antibody into the culture media. The production bioreactor is cultured for an established period of time and is then harvested by filtration to remove the cells from the culture media.</w:t>
      </w:r>
    </w:p>
    <w:p>
      <w:pPr>
        <w:spacing w:after="0" w:line="18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solution containing the product is purified through several steps to remove known process- and product-derived impurities. The technologies employed include ultrafiltration and column and membrane chromatography. Additional steps are performed to inactivate or remove viruses. The final step of the drug substance process adjusts the antibody concentration and produces the final formulation to be used for drug product production. The drug substance is tested to meet pre-established product specific release criteria for purity, potency and safety, and is then periodically tested to demonstrate stability upon storage as required by regulations. The drug substance is stored at prescribed temperatures, typically refrigerated or frozen.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The drug product is produced by sterilization filtration of the drug substance solution, followed by aseptic filling into glass vials and then stoppered. The drug product is subjected to product specific release testing for purity, potency and safety according to pre-established specifications. Drug product lots are periodically tested to demonstrate stability over the established storage expiry period. The drug product is stored and shipped under temperature-controlled conditions, typically refrigerated, to sites designated for clinical trial testing, or eventually to commercial pharmaceutical logistics providers.</w:t>
      </w:r>
    </w:p>
    <w:p>
      <w:pPr>
        <w:spacing w:after="0" w:line="18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DANYELZA is a recombinant humanized IgG1</w:t>
      </w:r>
      <w:r>
        <w:rPr>
          <w:rFonts w:ascii="Times New Roman" w:cs="Times New Roman" w:eastAsia="Times New Roman" w:hAnsi="Times New Roman"/>
          <w:sz w:val="18"/>
          <w:szCs w:val="18"/>
          <w:color w:val="auto"/>
        </w:rPr>
        <w:t>k</w:t>
      </w:r>
      <w:r>
        <w:rPr>
          <w:rFonts w:ascii="Arial" w:cs="Arial" w:eastAsia="Arial" w:hAnsi="Arial"/>
          <w:sz w:val="18"/>
          <w:szCs w:val="18"/>
          <w:color w:val="auto"/>
        </w:rPr>
        <w:t xml:space="preserve"> monoclonal antibody against GD2 expressed in Chinese Hamster Ovary, or CHO, cells. A one mL ampoule from the cell bank is used to establish material for seeding of 1,000 L fed batch bioreactor in chemical defined media with no animal derived component. After growth of the cells are completed the un-processed bulk from the bioreactor containing the DANYELZA drug substance undergoes clarification by filtration, and subsequent multi-step product purification. The DANYELZA drug substance is manufactured by Patheon Biologics B.V. in Groningen, The Netherlands and the DANYELZA drug product is manufactured at Patheon Manufacturing Services LLC in Greenville, North Carolina, (both part of the Thermo Fisher Scientific Inc., group of companies) collectively Patheon/Thermo Fisher. All manufacturing activities are performed in compliance with cGMP regulations and no excipients of human or animal origin have been used. The DANYELZA drug product is packaged in 10 mL ISO 10R glass vials and refrigerated.</w:t>
      </w:r>
    </w:p>
    <w:p>
      <w:pPr>
        <w:spacing w:after="0" w:line="186"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Omburtamab is a murine IgG1 monoclonal antibody against B7-H3. The antibody is manufactured in a 200 L bioreactor in chemical defined media with no animal derived components. After clarification of the fermentation and a multi-step purification process as well as packaging, the drug substance is ready for filling. The non-radiolabeled omburtamab is filled in 2 mL ISO 2R glass vials and frozen and is ready for radiolabeling. The drug substance is manufactured by EMD Millipore Corporation (now part of the Merck KgaA group of companies), or EMD/Merck, in Martillac, France, and the non-radiolabeled omburtamab drug product is manufactured by Patheon/Thermo Fisher in Ferentino, Italy. Radiolabeling with Iodine-131 is performed at SpectronRx in South Bend, Indiana, USA, and final product is delivered for clinical trial or also later commercial supply, if approved.</w:t>
      </w:r>
    </w:p>
    <w:p>
      <w:pPr>
        <w:spacing w:after="0" w:line="18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While we believe that Patheon/Thermo Fisher, EMD/Merck and SpectronRx are capable of producing sufficient quantities of drug product to support our clinical and commercial supply for DANYELZA and omburtamab, we also believe that there are a number of alternative third-party manufacturers that have similar capabilities that would be capable of providing sufficient quantities of drug product. However, should Patheon/Thermo Fisher, EMD/Merck and/or SpectronRx not be able to provide sufficient quantities of drug product for our planned clinical trials or commercial sales, we would be required to seek and then qualify another contract manufacturer to provide this drug product, likely resulting in a delay in such trials and loss of, or delayed, commercial sales.</w:t>
      </w:r>
    </w:p>
    <w:p>
      <w:pPr>
        <w:spacing w:after="0" w:line="184"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Our GD2-GD3 Vaccine is manufactured from natural sources and processed by chemical conjugation, lactonization and freeze drying into the final drug product. Currently the GD2-GD3 vaccine is manufactured at Magle Chemoswed AB in Malmoe, Sweden.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Commercialization plan</w:t>
      </w:r>
    </w:p>
    <w:p>
      <w:pPr>
        <w:spacing w:after="0" w:line="224"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The sales call points for DANYELZA and our late-stage product candidates in the United States and the European Union are highly concentrated. This enables us to effectively service our customers and call points with a small commercial organization. Both our targeted commercial go to market approach as well as our partnership with MSK, have already afforded us the opportunity to identify patients for DANYELZA and our product candidates, if approved. We believe these factors position us well for commercialization.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Our management team understands the complexity of rare oncological diseases and we believe we have the necessary expertise to be a true partner to patients, caregivers, and advocacy and healthcare teams leading to shared success. As we advance our product pipeline to address larger patient populations, we intend to expand our specialty sales force and continue the development of our organizational infrastructure to support the network of relevant hospitals, cancer centers, oncologists and other physicians as well as continue to provide support to patients, care givers and other healthcare providers. We plan to commercialize our future product candidates in the United States and Europe ourselves, and will continue to evaluate strategic collaborations in select territories in order to maximize the potential of our product candidates.</w:t>
      </w:r>
    </w:p>
    <w:p>
      <w:pPr>
        <w:spacing w:after="0" w:line="15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additional product candidates advance through our pipeline, our commercial plans may change. The size of the development programs, size of the target market, size of a commercial infrastructure, and manufacturing needs may all influence our strategies in the United States, the European Union and other parts of the world.</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Commercialization partnerships</w:t>
      </w:r>
    </w:p>
    <w:p>
      <w:pPr>
        <w:spacing w:after="0" w:line="22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After the approval of DANYELZA by the FDA, we have entered a number of strategic collaborations in the form of partnerships with select companies to maximize the potential value for the Company. In November 2020, we entered into an exclusive license and distribution agreement for DANYELZA and omburtamab with Takeda Israel, a wholly owned subsidiary of Takeda Pharmaceutical Company Limited covering the State of Israel, West Bank and Gaza Strip. In December 2020, we entered into a distribution agreement for DANYELZA and omburtamab with Swixx BioPharma AG for the Eastern European territories Bosnia &amp; Herzegovina, Bulgaria, Croatia, Czech Republic, Estonia, Hungary, Latvia, Lithuania, Poland, Romania, Russia, Serbia, Slovakia and Slovenia. Finally, later in December 2020, we entered into a license agreement for DANYELZA and omburtamab with SciClone Pharmaceuticals International Ltd., for Greater China, including Mainland China, Taiwan, Hong Kong and Macau. Together with SciClone, we plan to initiate regulatory activities in the third quarter of 2021.</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24"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The biotechnology and pharmaceutical industries generally, and the cancer drug sector specifically, are characterized 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w:t>
      </w:r>
    </w:p>
    <w:p>
      <w:pPr>
        <w:spacing w:after="0" w:line="18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addition to the current standard of care for patients, commercial and academic clinical trials are being pursued by a number of parties in the field of immunotherapy. Early results from these trials have fueled continued interest in immunotherapy, which is being pursued by several biotechnology companies as well as by large pharmaceutical companies. Many of our current or potential competitors, either alone or with their collaboration partners, have significantly greater financial resources and expertise in research and development, manufacturing, pre-clinical studies, conducting clinical trials,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and retaining qualified scientific and management personnel and establishing clinical trial sites and patient registration for clinical trials, as well as in acquiring technologies complementary to, or necessary for, our programs.</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Specifically, MacroGenics, Inc. and Daiichi Sankyo Co. are developing antibodies against B7-H3. United Therapeutics Corporation, or United Therapeutics, has commercialized Unituxin (dinutuximab), an antibody against GD2, in the United States and has announced plans to seek a label expansion for Unituxin in combination with irinotecan and temozolomide for the treatment of pediatric patients with R/R NB. During the third quarter of 2020, United Therapeutics discontinued its efforts to investigate Unituxin's potential activity against adult cancerous tumors, and its efforts to develop a humanized version of Unituxin. In addition, DANYELZA may face competition from dinutuximab beta, a similar antibody product against GD2 developed by Apeiron Biologics AG, or Apeiron, that was approved in Europe in May 2017 to treat high-risk NB and R/R NB. In October 2016, EUSA Pharma (UK) Ltd., or EUSA, announced that it had acquired global commercialization rights to dinutuximab beta, which is currently being commercialized under the name Qarziba® in Europe. EUSA has previously announced plans to file for registration of dinutuximab beta in the United States in 2020 in R/R NB. In January 2020, EUSA and BeiGene Ltd., or BeiGene, announced an exclusive collaboration to commercialize Qarziba® in mainland China and in November 2020 EUSA and BeiGene announced that the BLA for QARZIBA® (Dinutuximab beta) was accepted by the China National Medical Products Administration and granted priority review.</w:t>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portfolio</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strive to protect and enhance the proprietary technology, inventions, and improvements that we believe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continuing innovation, and in-licensing opportunities to develop, strengthen, and maintain our proprietary position in the field of immunotherapy. We additionally rely on data exclusivity, market exclusivity, and patent term extensions when available, and plan to seek and rely on regulatory protection afforded through orphan drug designations. Our commercial success will depend in part on our ability to obtain and maintain patent and other proprietary protection for our technology, inventions, and improvements, whether developed internally or licensed from our collaborators or other third parties;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spacing w:after="0" w:line="18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in-licensed numerous patents and patent applications and substantial know-how relating to the development and commercialization of our immunotherapy product candidates, including related manufacturing processes and technology. In addition, an international patent application has been filed claiming the inventions of investigators at MSK as well as personnel of Y-mAbs Therapeutics.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our patent portfolio included:</w:t>
      </w:r>
    </w:p>
    <w:p>
      <w:pPr>
        <w:spacing w:after="0" w:line="212" w:lineRule="exact"/>
        <w:rPr>
          <w:sz w:val="20"/>
          <w:szCs w:val="20"/>
          <w:color w:val="auto"/>
        </w:rPr>
      </w:pPr>
    </w:p>
    <w:p>
      <w:pPr>
        <w:ind w:left="540" w:right="560" w:hanging="532"/>
        <w:spacing w:after="0" w:line="269"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our DANYELZA patent portfolio, we have an exclusive license from MSK to MSK's rights in two patent families. The first family consists of patents and patent applications with composition of matter claims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40"/>
        <w:spacing w:after="0" w:line="273" w:lineRule="auto"/>
        <w:rPr>
          <w:sz w:val="20"/>
          <w:szCs w:val="20"/>
          <w:color w:val="auto"/>
        </w:rPr>
      </w:pPr>
      <w:r>
        <w:rPr>
          <w:rFonts w:ascii="Arial" w:cs="Arial" w:eastAsia="Arial" w:hAnsi="Arial"/>
          <w:sz w:val="16"/>
          <w:szCs w:val="16"/>
          <w:color w:val="auto"/>
        </w:rPr>
        <w:t>covering humanized or chimeric antibodies or fragments thereof comprising specific sequences and capable of binding to GD2, and includes three U.S. patents, one Australian patent, two New Zealand patents, one Chinese patent, one Japanese patent, one South Korean patent, one Hong Kong patent, one Indian patent, one Canadian Patent and one pending patent application in Europe. We expect that any patents that issue in this first family will expire in June 2031. A core U.S. patent in this family is expected to expire on June 20, 2031. The second family consists of applications with composition of matter claims covering high affinity anti-GD2 antibodies, and includes one US patent, one German patent, one French patent, one patent in United Kingdom, one Australian patent, one Japanese patent, one Russian patent, one Chinese patent, one Hong Kong patent and three pending patent applications in other jurisdictions, including Canada, South Korea and Brazil. We expect that any patents that issue in this second family will expire in March 2034.</w:t>
      </w:r>
    </w:p>
    <w:p>
      <w:pPr>
        <w:spacing w:after="0" w:line="162" w:lineRule="exact"/>
        <w:rPr>
          <w:sz w:val="20"/>
          <w:szCs w:val="20"/>
          <w:color w:val="auto"/>
        </w:rPr>
      </w:pPr>
    </w:p>
    <w:p>
      <w:pPr>
        <w:ind w:left="540" w:hanging="532"/>
        <w:spacing w:after="0" w:line="238"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our omburtamab patent portfolio, we have an exclusive license from MSK to MSK's rights in two patent families. The first family consists of patents and patent applications with composition of matter claims covering antibodies produced by a distinct hybridoma cell line, antibodies comprising specific sequences, polypeptides comprising specific sequences, and process claims covering a method of inhibiting the growth of tumor cells, a method for imaging a tumor in a subject and a method for treating a mammalian subject, and includes eight U.S. patents, one German patent, one Spanish patent, one French patent, one patent in United Kingdom, one Italian patent and two Canadian patents. We expect that any patents that issue in this first family will expire between October 2021 and January 2026. A core U.S. patent in this family is expected to expire on January 19, 2026 and core patents in Germany, Spain, France, United Kingdom and Italy in this family are expected to expire on March 6, 2023. The second family consists of patents and patent applications with process claims covering a method of improving the prognosis or prolonging the survival of a subject bearing a tumor, and includes one Chinese patent, one Indian patent, one Canadian patent, and one pending patent application in Europe. We expect that any patents that issue in this second family will expire in March 2028. Core patents in Canada, China, and India in this family are expected to expire on March 24, 2028.</w:t>
      </w:r>
    </w:p>
    <w:p>
      <w:pPr>
        <w:spacing w:after="0" w:line="182" w:lineRule="exact"/>
        <w:rPr>
          <w:rFonts w:ascii="Arial" w:cs="Arial" w:eastAsia="Arial" w:hAnsi="Arial"/>
          <w:sz w:val="18"/>
          <w:szCs w:val="18"/>
          <w:color w:val="auto"/>
        </w:rPr>
      </w:pPr>
    </w:p>
    <w:p>
      <w:pPr>
        <w:ind w:left="540" w:hanging="532"/>
        <w:spacing w:after="0"/>
        <w:tabs>
          <w:tab w:leader="none" w:pos="5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For our huB7-H3 patent portfolio, we have an exclusive license from MSK to MSK's rights in one patent family consisting of a patent and patent applications with composition of matter claims covering antibody agents that bind specifically to protein 2Ig-B7H3 or 4Ig-B7H3, and includes two patents in the United States and Europe and 11 pending patent applications in other jurisdictions, including Canada, Australia, New Zealand, China, Japan, South Korea, Eurasia, India, Brazil, South Africa, and Hong Kong. We expect that any patents that issue in this family will expire in August 2035. In addition an international patent application has been filed, with MSK and the Company as applicants, claiming a method for treating a central nerve system (CNS) cancer using huB7H3, as well as </w:t>
      </w:r>
      <w:r>
        <w:rPr>
          <w:rFonts w:ascii="Arial" w:cs="Arial" w:eastAsia="Arial" w:hAnsi="Arial"/>
          <w:sz w:val="28"/>
          <w:szCs w:val="28"/>
          <w:color w:val="auto"/>
          <w:vertAlign w:val="superscript"/>
        </w:rPr>
        <w:t>177</w:t>
      </w:r>
      <w:r>
        <w:rPr>
          <w:rFonts w:ascii="Arial" w:cs="Arial" w:eastAsia="Arial" w:hAnsi="Arial"/>
          <w:sz w:val="17"/>
          <w:szCs w:val="17"/>
          <w:color w:val="auto"/>
        </w:rPr>
        <w:t>Lu-DTPA-8H9 conjugates. Request for entry into the national phase has been filed in the United States, Canada, Europe, Australia, New Zealand, Japan, China, South Korea, India, Brasil, Eurasian, Russia and Hong Kong. We expect that any patent that issue in this family will expire in May 2038.</w:t>
      </w:r>
    </w:p>
    <w:p>
      <w:pPr>
        <w:spacing w:after="0" w:line="172" w:lineRule="exact"/>
        <w:rPr>
          <w:rFonts w:ascii="Arial" w:cs="Arial" w:eastAsia="Arial" w:hAnsi="Arial"/>
          <w:sz w:val="17"/>
          <w:szCs w:val="17"/>
          <w:color w:val="auto"/>
        </w:rPr>
      </w:pPr>
    </w:p>
    <w:p>
      <w:pPr>
        <w:ind w:left="540" w:right="100" w:hanging="532"/>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Multimerization Technology patent portfolio, which inter alia relates to nivatrotamab, includes one patent family under which we have a partly exclusive license to MSK's rights in the patent application. The license is exclusive for MSK's rights in the patents rights of this family that claim products, such as bispecific antibodies which are also claimed by other patent rights licensed from MSK, and non-exclusive for patents rights of this family that claim a product that is not claimed by another patent right licensed from MSK. This family consists of patents and patent applications with composition of matter claims covering bispecific binding agents comprised of two fusion proteins, and includes one U.S. patent, one Japanese patent, one Australian patent, one German patent, one French patent one South Korean patent,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200"/>
        <w:spacing w:after="0" w:line="246" w:lineRule="auto"/>
        <w:rPr>
          <w:sz w:val="20"/>
          <w:szCs w:val="20"/>
          <w:color w:val="auto"/>
        </w:rPr>
      </w:pPr>
      <w:r>
        <w:rPr>
          <w:rFonts w:ascii="Arial" w:cs="Arial" w:eastAsia="Arial" w:hAnsi="Arial"/>
          <w:sz w:val="18"/>
          <w:szCs w:val="18"/>
          <w:color w:val="auto"/>
        </w:rPr>
        <w:t>one Russian patent and one patent in United Kingdom, one pending patent application in the United States and four pending patent applications in other jurisdictions, including Canada, China, Hong Kong and Brazil. In Hong Kong, request for registration and grant has been filed. We expect that any patents that issue in this family will expire in March 2034. A core U.S. patent in this family is expected to expire on March 25, 2034.</w:t>
      </w:r>
    </w:p>
    <w:p>
      <w:pPr>
        <w:spacing w:after="0" w:line="177" w:lineRule="exact"/>
        <w:rPr>
          <w:sz w:val="20"/>
          <w:szCs w:val="20"/>
          <w:color w:val="auto"/>
        </w:rPr>
      </w:pPr>
    </w:p>
    <w:p>
      <w:pPr>
        <w:ind w:left="540" w:right="180" w:hanging="532"/>
        <w:spacing w:after="0" w:line="243"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CD33 antibody patent portfolio, which includes one patent family under which we have an exclusive license from MSK to MSK's rights in the patent application. This family consists of one pending patent application in the United States, and eleven pending patent applications in other jurisdictions, including Europe, Australia, Brasil, Canada, China, Eurasia, India, Japan, South Korea, New Zealand, Russia and Hong Kong relating to anti Siglec-3 (CD33) antibodies generated from a specific principal investigator's laboratory at MSK. We expect that any patents that issue in this family will expire in April 2038.</w:t>
      </w:r>
    </w:p>
    <w:p>
      <w:pPr>
        <w:spacing w:after="0" w:line="180" w:lineRule="exact"/>
        <w:rPr>
          <w:rFonts w:ascii="Arial" w:cs="Arial" w:eastAsia="Arial" w:hAnsi="Arial"/>
          <w:sz w:val="18"/>
          <w:szCs w:val="18"/>
          <w:color w:val="auto"/>
        </w:rPr>
      </w:pPr>
    </w:p>
    <w:p>
      <w:pPr>
        <w:ind w:left="540" w:right="260" w:hanging="532"/>
        <w:spacing w:after="0" w:line="269"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GD2-GD3 Vaccine patent portfolio, which inter alia relates to a vaccine for stimulation or enhacing production of an antibody which recognized a specific ganglioside, includes five U.S. patents, with expected expiration in 2022.</w:t>
      </w:r>
    </w:p>
    <w:p>
      <w:pPr>
        <w:spacing w:after="0" w:line="143" w:lineRule="exact"/>
        <w:rPr>
          <w:rFonts w:ascii="Arial" w:cs="Arial" w:eastAsia="Arial" w:hAnsi="Arial"/>
          <w:sz w:val="18"/>
          <w:szCs w:val="18"/>
          <w:color w:val="auto"/>
        </w:rPr>
      </w:pPr>
    </w:p>
    <w:p>
      <w:pPr>
        <w:ind w:left="540" w:hanging="532"/>
        <w:spacing w:after="0" w:line="267" w:lineRule="auto"/>
        <w:tabs>
          <w:tab w:leader="none" w:pos="5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For our DOTA-PRIT or SADA patent portfolio, we have an exclusive license from MSK and MIT to MSK's and MIT's rights in the field of Radioimmunotherapy for the diagnosis and treatment of cancer. The license gives access to seven patent families owned by MSK and one patent family owned by MIT. The first patent family covers bispecific antibodies capable of binding A33 and DOTA, and use thereof for the treatment of cancer. This first patent family consists of granted patents in the United Kingdom, France, Germany, Spain, Italy, the Netherlands and Hong Kong and pending patent applications in the United States, China, Canada, Israel, Japan and Australia. We expect that any patents granted in this first family will expire in February 2036. The second family covers specific bispecific antibodies binding A33 and DOTA, and the use thereof for the treatment of cancer. This second family consists of pending applications in Australia, Canada, China, Europe, Hong Kong, Israel, Japan, India, South Korea, New Zealand, Eurasia and the United States. We expect that any patents granted in this second family will expire in September 2038. The third family covers Herceptin conjugated for Pretargeted Radioimmunotherapy and application as a theranostic product. This third patent family consists of pending applications in Australia, Canada, Brazil, China, Hong Kong, Japan, Eurasia, Europe, India, South Korea, New Zealand and the United States. We expect that any patents granted in this third family will expire in March 2039. The fourth patent family covers a multimeric antibody for two step targeting (SADA). This fourth patent family consists of patent applications in Australia, Canada, Europe and the United States. We expect that any patents granted in this fourth family will expire in May 2038. The fifth patent family covers the use of small molecule haptens for pretargeted radioimmunotherapy (PRIT) using DOTA and bispecific antibodies. This fifth patent family consists of patent applications in Australia, Canada, China, Europe, Hong Kong, Japan and the United States. We expect that any patents granted in this fifth family will expire in July 2038. The sixth patent family covers new clearing agents for DOTA-PRIT. This sixth patent family consists of an International patent application (PCT) and is expected to be filed in Australia, Canada, New Zealand, Brazil, China, India, Hong Kong, Japan, South Korea, Eurasia, Europe and the United States. We expect that any patents granted in this family will expire in July 2039. The seventh patent family covers PET-based methods for individualizing tumor targeting of antibodies. This seventh patent family consists of granted patents in the United Kingdom, France, Germany, Spain, Italy, the Netherlands and the United States. We expect that patents granted in this seventh family will expire in May 2036. The eighth patent family, owned by MIT, covers bispecific antibodies binding DOTA. This eight patent family consists of granted patents in Belgium, France,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60"/>
        <w:spacing w:after="0" w:line="269" w:lineRule="auto"/>
        <w:rPr>
          <w:sz w:val="20"/>
          <w:szCs w:val="20"/>
          <w:color w:val="auto"/>
        </w:rPr>
      </w:pPr>
      <w:r>
        <w:rPr>
          <w:rFonts w:ascii="Arial" w:cs="Arial" w:eastAsia="Arial" w:hAnsi="Arial"/>
          <w:sz w:val="18"/>
          <w:szCs w:val="18"/>
          <w:color w:val="auto"/>
        </w:rPr>
        <w:t>Germany, Ireland, Italy, Spain, Switzerland, the United Kingdom and the United States. We expect that patents in this eighth family expire in February 2030.</w:t>
      </w:r>
    </w:p>
    <w:p>
      <w:pPr>
        <w:spacing w:after="0" w:line="15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or USPTO,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 We cannot provide any assurance that any patent term extension with respect to any U.S. patent will be obtained and, even if obtained, what the duration of such extension may be.</w:t>
      </w:r>
    </w:p>
    <w:p>
      <w:pPr>
        <w:spacing w:after="0" w:line="18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Similar provisions are available in the European Union and certain other non-U.S. jurisdictions to extend the term of a patent that covers an approved drug. In the future, if and when our product candidates receive approval by the FDA or non-U.S. regulatory authorities, we expect to apply for patent term extensions on issued patents covering those products, depending upon the length of the clinical trials for each drug and other factors. The expiration dates referred to above are without regard to potential patent term extension or other market exclusivity that may be available to us. However, we cannot provide any assurance that any such patent term extension of a non-U.S. patent will be obtained and, even if obtained, the duration of such extension.</w:t>
      </w:r>
    </w:p>
    <w:p>
      <w:pPr>
        <w:spacing w:after="0" w:line="18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for the immunotherapy products and processes we develop and commercialize, in the normal course of business, we intend to pursue, when possible, composition, method of use, dosing and formulation patent protection. We may also pursue patent protection with respect to manufacturing and drug development processes and technology.</w:t>
      </w:r>
    </w:p>
    <w:p>
      <w:pPr>
        <w:spacing w:after="0" w:line="17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recapture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 Generally, as noted above, our in-licensed issued patents in all jurisdictions will expire on dates ranging from 2021 to 2035. If patents are issued on our pending patent applications, the resulting patents are projected to expire on dates ranging from 2021 to 2039.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Trademarks</w:t>
      </w:r>
    </w:p>
    <w:p>
      <w:pPr>
        <w:spacing w:after="0" w:line="22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have obtained USPTO trademark registration of the "Y-mAbs" mark, USPTO and EU trademark registration as well as registration in other jurisdictions of DANYELZA and certain other trademarks that we intend to use to commercialize our product candidates. We currently rely on our registered and unregistered trademarks, trade names and service marks, as well as our domain names and logos, as appropriate, to market our brands and to build and maintain brand recognition. We are seeking to register and will continue to seek to register and renew, or secure by contract where appropriate, trademarks, trade names and service marks as they are developed and used, and reserve, register and renew domain names as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Trade secrets</w:t>
      </w:r>
    </w:p>
    <w:p>
      <w:pPr>
        <w:spacing w:after="0" w:line="22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may also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intellectual property and proprietary technology, inventions, improvements and products, please see the section on "Risk Factors—Risks Related to Our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MSK agreements</w:t>
      </w:r>
    </w:p>
    <w:p>
      <w:pPr>
        <w:spacing w:after="0" w:line="224"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On August 20, 2015, we entered into the MSK License,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The MSK License is exclusive with respect to MSK rights in such patent rights and tangible materials within such know-how, and nonexclusive with respect to MSK's rights in such know-how and related intellectual property rights. The patents and patent applications covered by the MSK License are directed, in part, to the DANYELZA and omburtamab antibody families, including humanized and chimeric antibodies, as well as MSK's rights in BsAbs, compositions, and their respective use for immunotherapy. Upon entering into the MSK License in 2015 and in exchange for the licenses thereunder, we paid to MSK an upfront payment of $500,000, issued 1,428,500 shares of our common stock to MSK and agreed to provide certain anti-dilution rights to MSK as further described below. In addition, we are required to pay to MSK certain royalty and milestone payments.</w:t>
      </w:r>
    </w:p>
    <w:p>
      <w:pPr>
        <w:spacing w:after="0" w:line="16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MSK License requires us to pay to MSK mid to high single-digit royalties based on annual net sales of licensed products or the performance of licensed services by us and our affiliates and sublicensees. We are required to pay annual minimum royalties of $80,000 over the royalty term, starting in 2020, which amounts are non-refundable but are creditable against royalty payments otherwise due thereunder. Total</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expensed minimum royalty payments under the MSK License were $1,200,000 in 2016 upon determination that the payment of such minimum royalties was probable and the amount was estimable. As of December 31, 2020, of the $1,120,000 accrued, $80,000 was recorded as short-term accrued liabilities and $1,040,000 was recorded as long-term accrued liabilities. As of December 31, 2019, of the $1,200,000 accrued, $29,000 was recorded as short-term accrued liabilities and $1,171,000 was recorded as long-term accrued liabilities. We are also obligated to pay to MSK certain clinical, regulatory and sales-based milestone payments under the MSK License, which payments become due upon achievement of the related clinical, regulatory or sales-based milestones. Certain of these clinical and regulatory milestone payments become due at the earlier of completion of the related milestone activity or the date indicated in the MSK License. Total clinical and regulatory milestones potentially due under the MSK License are $2,450,000 and $9,000,000, respectively. There are also sales-based milestones that become due should we achieve certain amounts of sales of licensed products resulting from the license arrangement with MSK, with total potential sales-based milestones potentially due of $20,000,000. As product candidates progress through clinical development, regulatory approval and commercialization, certain milestone payments will come due either as a result of the milestones having been met or the passage of time even if the milestones have not been met. We will also owe MSK mid to high single-digit royalties on commercial sales of our approved products, including an annual fixed minimum royalty of $80,000 over the royalty term starting in 2020 whether or not product sales are ever achieved. In addition, to the extent we enter into sublicense arrangements, we are required to pay to MSK a percentage of certain payments that we receive from sublicensees of the rights licensed to us by MSK, which percentage will be based upon the date we receive such payments or the achievement of certain clinical milestones. We have entered into sublicenses and distribution agreements related to DANYELZA and omburtamab under the MSK License with Takeda, Swixx and SciClone in 2020. This financial data for the year ended December 31, 2020 is preliminary and is subject to change upon completion of our financial statement closing procedures. There can be no assurance that such financial data for the year ended December 31, 2020 will not differ from these estimates, including as a result of review adjustments, and any such changes could be material. The preliminary financial data included in this prospectus supplement has been prepared by and is the responsibility of our management. See the section "Prospectus Supplement Summary—Financial Update" for more information. PricewaterhouseCoopers LLP has not audited, reviewed, compiled, or applied agreed-upon procedures with respect to the preliminary financial data. Accordingly, PricewaterhouseCoopers LLP does not express an opinion or any other form of assurance with respect thereto. These results could change as a result of further review. Complete financial results for the year ended December 31, 2020 will be included in our Annual Report on Form 10-K.</w:t>
      </w:r>
    </w:p>
    <w:p>
      <w:pPr>
        <w:spacing w:after="0" w:line="19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terms of the MSK License provide that MSK is entitled to receive 40% of the income generated from the sale of first PRV, and 33% of any income generated from the sale of any subsequent PRV or the sale of other comparable incentives provided by any non-U.S. jurisdiction. We sold the PRV received upon FDA approval of DANYELZA to United Therapeutics for $105 million. Pursuant to the agreement with MSK, we were entitled to retain 60% of the net proceeds from monetization of the PRV, and the remaining 40% was due to MSK. We received our portion of the net proceeds of from the sale of the PRV in the amount of approximately $62.0 million when the transaction was consummated in January 2021.</w:t>
      </w:r>
    </w:p>
    <w:p>
      <w:pPr>
        <w:spacing w:after="0" w:line="18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MSK License will expire, on a country-by-country basis, and on a licensed-product-by-licensed-product or licensed-service-by-licensed-service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MSK may terminate the MSK License upon prior written notice in the event of our uncured material breach, or upon prior written notice if such breach is of a payment obligation. MSK may also terminate the MSK License upon written notice in the event of our bankruptcy or insolvency or our conviction of a felony relating to the licensed products, or if we challenge the validity or enforceability of any licensed patent right. In addition, we have the right to terminate the MSK License in its entirety at will upon prior written notice to MSK, but if we have commenced the commercialization of licensed products and/or licensed services we can only terminate at will if we cease all development and commercialization of such licensed products and/or licensed services.</w:t>
      </w:r>
    </w:p>
    <w:p>
      <w:pPr>
        <w:spacing w:after="0" w:line="184"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Our failure to meet certain conditions under the MSK License could cause the related license to such licensed product to be canceled and could result in termination of the MSK License by MSK.</w:t>
      </w:r>
    </w:p>
    <w:p>
      <w:pPr>
        <w:spacing w:after="0" w:line="15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On November 10, 2015, we entered into the Sponsored Research Agreement, or the SRA, with MSK pursuant to which we committed to provide aggregate research funding to MSK for a term of five years. The research will be conducted in accordance with a written plan and budget approved by the parties. MSK has granted us a non-exclusive, non-commercial, non-transferable, royalty-free license to use any inventions or discoveries developed by MSK within the scope of the information resulting from the project, for our internal, non-commercial research purposes. We have also been granted both a first option to negotiate an exclusive or non-exclusive commercial license to MSK's rights in inventions developed by MSK and a first option to negotiate an exclusive license to MSK's rights in inventions jointly developed by the parties. The SRA was amended on September 12, 2019, and will expire five years from the date of the amendment. The SRA may be terminated for convenience by either party upon prior written notice. During 2019 and 2020 we incurred research and development expenses of $1,283,000 and $1,617,000 respectively, under the SRA. This financial data for the year ended December 31, 2020 is preliminary and is subject to change upon completion of our financial statement closing procedures. There can be no assurance that such financial data for the year ended December 31, 2020 will not differ from these estimates, including as a result of review adjustments, and any such changes could be material. The preliminary financial data included in this prospectus supplement has been prepared by and is the responsibility of our management. See the section "Prospectus Supplement Summary—Financial Update" for more information. PricewaterhouseCoopers LLP has not audited, reviewed, compiled, or applied agreed-upon procedures with respect to the preliminary financial data. Accordingly, PricewaterhouseCoopers LLP does not express an opinion or any other form of assurance with respect thereto. These results could change as a result of further review. Complete financial results for the year ended December 31, 2020 will be included in our Annual Report on Form 10-K.</w:t>
      </w:r>
    </w:p>
    <w:p>
      <w:pPr>
        <w:spacing w:after="0" w:line="37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September 20, 2016, we entered into a Master Data Services Agreement, or the MDSA, with MSK pursuant to which we committed to make certain payments to MSK annually in exchange for certain services, including transfer of clinical data and databases, regulatory files and other know-how to us by employees at MSK who are specifically assigned to assist with such services to us. The MDSA will expire upon the completion of activities set forth in each project description entered into thereunder; however we have the option to extend the term upon written notice to MSK. Either party may terminate the MDSA upon prior written notice in the event of an uncured material breach. During 2019 and 2020, we incurred expenses of $918,000 and $1,245,000, respectively, under the MDSA. This financial data for the year ended December 31, 2020 is preliminary and is subject to change upon completion of our financial statement closing procedures. There can be no assurance that such financial data for the year ended December 31, 2020 will not differ from these estimates, including as a result of review adjustments, and any such changes could be material. The preliminary financial data included in this prospectus supplement has been prepared by and is the responsibility of our management. See the section "Prospectus Supplement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Summary—Financial Update" for more information. PricewaterhouseCoopers LLP has not audited, reviewed, compiled, or applied agreed-upon procedures with respect to the preliminary financial data. Accordingly, PricewaterhouseCoopers LLP does not express an opinion or any other form of assurance with respect thereto. These results could change as a result of further review. Complete financial results for the year ended December 31, 2020 will be included in our Annual Report on Form 10-K.</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On June 21, 2017, we entered into the Investigator-Sponsored Master Clinical Trial Agreement, or the MCTA, as later amended on October 11, 2017, with MSK pursuant to which we committed to provide aggregate funding to MSK up to a certain amount for clinical studies to be conducted at MSK. Each such clinical study will be conducted in accordance with a written plan and budget and protocol approved by the parties. Under the MCTA, we and MSK have granted each other a non-exclusive, non-transferable, worldwide, royalty-free license, without right to sublicense, to use any inventions or discoveries developed by personnel of each such party, that is within the scope of the information resulting from the relevant study, for the other party's internal, non-commercial research purposes until such Invention is commercially available. We have also been granted a first option to negotiate an exclusive or non-exclusive commercial license to MSK's rights in inventions or discoveries developed by MSK personnel under this MCTA and a first option to negotiate an exclusive license to MSK's rights in inventions or discoveries jointly developed by MSK and our personnel under this MCTA. The MCTA will continue in effect through completion of the studies, and may be terminated by either party upon prior written notice. During 2019 and 2020, we incurred research and development expenses of $3,128,000 and $1,139,000 under the MCTA. This financial data for the year ended December 31, 2020 is preliminary and is subject to change upon completion of our financial statement closing procedures. There can be no assurance that such financial data for the year ended December 31, 2020 will not differ from these estimates, including as a result of review adjustments, and any such changes could be material. The preliminary financial data included in this prospectus supplement has been prepared by and is the responsibility of our management. See the section "Prospectus Supplement Summary—Financial Update" for more information. PricewaterhouseCoopers LLP has not audited, reviewed, compiled, or applied agreed-upon procedures with respect to the preliminary financial data. Accordingly, PricewaterhouseCoopers LLP does not express an opinion or any other form of assurance with respect thereto. These results could change as a result of further review. Complete financial results for the year ended December 31, 2020 will be included in our Annual Report on Form 10-K.</w:t>
      </w:r>
    </w:p>
    <w:p>
      <w:pPr>
        <w:spacing w:after="0" w:line="36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 June 27, 2017, we entered into two separate Core Facility Service Agreements, or CFSAs, with MSK pursuant to which we committed to make certain payments to MSK in exchange for certain laboratory services over the term of the CFSAs. Either party may terminate either of these CFSAs for any reason, or for no reason, upon prior written notice. In the event of termination of either of these CFSAs, we will make full payment to MSK for all work performed on, or expenses related to the project up to the date of termination including all non-cancelable obligations following receipt from MSK of any completed or in-process deliverables in connection with the project. During 2019 and 2020, we incurred research and development expenses of $816,000 and $269,000, respectively, under the CFSAs. This financial data for the year ended December 31, 2020 is preliminary and is subject to change upon completion of our financial statement closing procedures. There can be no assurance that such financial data for the year ended December 31, 2020 will not differ from these estimates, including as a result of review adjustments, and any such changes could be material. The preliminary financial data included in this prospectus supplement has been prepared by and is the responsibility of our management. See the section "Prospectus Supplement Summary—Financial Update" for more information. PricewaterhouseCoopers LLP has not audited, reviewed, compiled, or applied agreed-upon procedures with respect to the preliminary financial data. Accordingly, PricewaterhouseCoopers LLP does not express an opinion or any other form of assurance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with respect thereto. These results could change as a result of further review. Complete financial results for the year ended December 31, 2020 will be included in our Annual Report on Form 10-K.</w:t>
      </w:r>
    </w:p>
    <w:p>
      <w:pPr>
        <w:spacing w:after="0" w:line="15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November 13, 2017, we entered into the MSK CD33 License, with MSK,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in connection with certain CD33 antibodies generated in a specific principal investigator's laboratory at MSK and constructs thereof. The MSK CD33 License is exclusive with respect to such patent rights and tangible materials within such know-how, and nonexclusive with respect to MSK's rights in such know-how and related intellectual property rights. As product candidates progress through clinical development, regulatory approval and commercialization, certain milestone payments will come due either as a result of the milestones having been met or the passage of time even if the milestones have not been met. Also, we will owe MSK customary royalties on commercial sales of our approved products, if any. Total potential milestones due under the MSK CD33 License are $550,000, $500,000 and $7,500,000 for clinical, regulatory and sales based milestones, respectively. In addition, the MSK CD33 License contains minimum royalty payments that become due beginning in year 10 of $40,000 per year over the royalty term, increasing to $60,000 once a patent within the licensed rights is issued, subject to increase and creditable against any royalty payments due based on sales in the future. We are required to pay mid to high single-digit royalties on sales of licensed products. We also paid MSK approximately $1,360,000 for research services related to the intellectual property licensed under the MSK CD33 License. The research services occurred over the two-year period immediately following the date of the MSK CD33 License. Additionally, the terms of the MSK CD33 License provide that MSK is entitled to receive 25% of any income generated from the sale of any PRV or the sale of other comparable incentives provided by any non-U.S. jurisdiction.</w:t>
      </w:r>
    </w:p>
    <w:p>
      <w:pPr>
        <w:spacing w:after="0" w:line="18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MSK CD33 License will expire, on a country-by-country basis, and on a licensed product-by-licensed-product or licensed-service-by-licensed-service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177"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MSK may terminate the MSK CD33 License upon prior written notice in the event of our uncured material breach, or upon prior written notice if such breach is of a payment obligation. MSK may also terminate the MSK CD33 License upon written notice in the event of our bankruptcy or insolvency or our conviction of a felony relating to the licensed products, or if we challenge the validity or enforceability of any licensed patent right. In addition, we have the right to terminate the MSK CD33 License in its entirety at will upon prior written notice to MSK, but if we have commenced the commercialization of licensed products and/or licensed services we can only terminate at will if we cease all development and commercialization of such licensed products and/or licensed services.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On November 13, 2017, in connection with the MSK CD33 License, we entered into the Sponsored Research Agreement, or the CD33 SRA, with MSK pursuant to which we committed to provide aggregate research funding to MSK annually for a term of two years. The term of the CD33 SRA expired on November 13, 2019. The research was conducted in accordance with a written plan and budget approved by the parties. MSK had granted us a non-exclusive, non-commercial, non-transferable, royalty-free license to use any inventions or discoveries developed by MSK within the scope of the information resulting from the research, for our internal, non-commercial research purposes. We had also been granted both a first option to negotiate an exclusive or non-exclusive commercial license to MSK's rights in inventions developed by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MSK personnel and a first option to negotiate an exclusive license to MSK's rights in inventions jointly developed by the parties and our personnel. In 2019 and 2020, we incurred research and development expenses of $604,000 and zero under the CD33 SRA. This financial data for the year ended December 31, 2020 is preliminary and is subject to change upon completion of our financial statement closing procedures. There can be no assurance that such financial data for the year ended December 31, 2020 will not differ from these estimates, including as a result of review adjustments, and any such changes could be material. The preliminary financial data included in this prospectus supplement has been prepared by and is the responsibility of our management. See the section "Prospectus Supplement Summary—Financial Update" for more information. PricewaterhouseCoopers LLP has not audited, reviewed, compiled, or applied agreed-upon procedures with respect to the preliminary financial data. Accordingly, PricewaterhouseCoopers LLP does not express an opinion or any other form of assurance with respect thereto. These results could change as a result of further review. Complete financial results for the year ended December 31, 2020 will be included in our Annual Report on Form 10-K.</w:t>
      </w:r>
    </w:p>
    <w:p>
      <w:pPr>
        <w:spacing w:after="0" w:line="188"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 xml:space="preserve">On July 9, 2018, we entered into the Manufacturing Agreement with MSK's Radiochemistry and Molecular Imaging Probes Core Facility, or RMIP, pursuant to which RMIP will complete specified manufacturing activities related to </w:t>
      </w:r>
      <w:r>
        <w:rPr>
          <w:rFonts w:ascii="Arial" w:cs="Arial" w:eastAsia="Arial" w:hAnsi="Arial"/>
          <w:sz w:val="29"/>
          <w:szCs w:val="29"/>
          <w:color w:val="auto"/>
          <w:vertAlign w:val="superscript"/>
        </w:rPr>
        <w:t>131</w:t>
      </w:r>
      <w:r>
        <w:rPr>
          <w:rFonts w:ascii="Arial" w:cs="Arial" w:eastAsia="Arial" w:hAnsi="Arial"/>
          <w:sz w:val="18"/>
          <w:szCs w:val="18"/>
          <w:color w:val="auto"/>
        </w:rPr>
        <w:t>I-omburtamab in connection with our pivotal Phase 2 trials for Study 101.</w:t>
      </w:r>
    </w:p>
    <w:p>
      <w:pPr>
        <w:spacing w:after="0" w:line="18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On December 2, 2019, we entered into the Settlement and Assumption and Assignment, or SAAA, of MSK License and Y-mAbs Sublicense Agreement, or the MabVax/Y-mAbs Sublicense, between us and Mabvax dated June 27, 2018, with MabVax Therapeutics Holdings, Inc. and MabVax Therapeutics, Inc., or together, MabVax, and MSK, which became effective on December 13, 2019. Pursuant to the Mabvax/Y-mAbs Sublicense, MabVax sublicensed to us certain patent rights and know-how for development and commercialization of products for the prevention or treatment of NB by means of administering a bi-valent ganglioside vaccine granted to MabVax, pursuant to an exclusive license agreement dated June 20, 2008 between MabVax and MSK, as amended, or the MabVax/MSK License Agreement.</w:t>
      </w:r>
    </w:p>
    <w:p>
      <w:pPr>
        <w:spacing w:after="0" w:line="18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On March 21, 2019, MabVax filed a voluntary petition for relief under Chapter 11 of the Bankruptcy Code. The essence of the transaction created by the SAAA was for us, in light of the Chapter 11 bankruptcy proceedings affecting MabVax, to preserve the MabVax/MSK License Agreement and the rights granted to us under the MabVax/Y-mAbs Sublicense and for us to create a direct relationship with MSK with respect to the rights covered under the MabVax/Y-mAbs Sublicense. Pursuant to the SAAA, MabVax agreed to assume the MabVax/Y-mAbs Sublicense and the MabVax/Y-mAbs License Agreement pursuant to Section 365 of the Bankruptcy Code and concurrently to assign both of these agreements to MSK. We remain responsible for any potential downstream payment obligations to MSK related to the GD2-GD3 Vaccine that were specified in the MabVax/MSK License Agreement. This includes the obligation to pay development milestones totaling $1,400,000 and mid single-digit royalty payments to MSK. In addition, if we obtain FDA approval for the GD2-GD3 Vaccine, then we are obligated to file with the FDA for a PRV. The SAAA stipulates that, if we are granted a PRV from the FDA covering a licensed product under the MabVax/Y-mAbs Sublicense and the PRV is subsequently sold, we will pay directly to MabVax and to MSK, respectively, a total of twenty percent of the proceeds from the sale thereof. The MabVax/MSK License Agreement will expire with effect for us, on a country-by-country basis, on the later of the expiration of</w:t>
      </w:r>
    </w:p>
    <w:p>
      <w:pPr>
        <w:spacing w:after="0" w:line="6" w:lineRule="exact"/>
        <w:rPr>
          <w:sz w:val="20"/>
          <w:szCs w:val="20"/>
          <w:color w:val="auto"/>
        </w:rPr>
      </w:pPr>
    </w:p>
    <w:p>
      <w:pPr>
        <w:ind w:right="460" w:firstLine="8"/>
        <w:spacing w:after="0" w:line="243" w:lineRule="auto"/>
        <w:tabs>
          <w:tab w:leader="none" w:pos="205" w:val="left"/>
        </w:tabs>
        <w:numPr>
          <w:ilvl w:val="0"/>
          <w:numId w:val="94"/>
        </w:numPr>
        <w:rPr>
          <w:rFonts w:ascii="Arial" w:cs="Arial" w:eastAsia="Arial" w:hAnsi="Arial"/>
          <w:sz w:val="18"/>
          <w:szCs w:val="18"/>
          <w:color w:val="auto"/>
        </w:rPr>
      </w:pPr>
      <w:r>
        <w:rPr>
          <w:rFonts w:ascii="Arial" w:cs="Arial" w:eastAsia="Arial" w:hAnsi="Arial"/>
          <w:sz w:val="18"/>
          <w:szCs w:val="18"/>
          <w:color w:val="auto"/>
        </w:rPr>
        <w:t>10 years from the first commercial sale of the licensed product in such country or (ii) the last-to-expire valid claim covering such licensed product rights at the time of and in the country of sale.</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April 15, 2020, we entered into a license agreement, or the SADA License Agreement, with MSK and Massachusetts Institute of Technology, or MIT, that grants us an exclusive, worldwide, sublicensable license to certain patent and intellectual property rights developed by MSK and MIT to develop, make, and commercialize licensed products and to perform services for all therapeutic and diagnostic uses in the field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 xml:space="preserve">of cancer diagnostics and cancer treatments using SADA-BiDE (2-step Self-Assembly and DisAssembly-Bispecific DOTA-Engaging antibody system) Pre-targeted Radioimmunotherapy Platform, or the SADA Technology, a concept we also refer to as Liquid Radiation </w:t>
      </w:r>
      <w:r>
        <w:rPr>
          <w:rFonts w:ascii="Arial" w:cs="Arial" w:eastAsia="Arial" w:hAnsi="Arial"/>
          <w:sz w:val="29"/>
          <w:szCs w:val="29"/>
          <w:color w:val="auto"/>
          <w:vertAlign w:val="superscript"/>
        </w:rPr>
        <w:t>TM</w:t>
      </w:r>
      <w:r>
        <w:rPr>
          <w:rFonts w:ascii="Arial" w:cs="Arial" w:eastAsia="Arial" w:hAnsi="Arial"/>
          <w:sz w:val="18"/>
          <w:szCs w:val="18"/>
          <w:color w:val="auto"/>
        </w:rPr>
        <w:t>. The patents and patent applications covered by the SADA License Agreement are directed, in part, to the SADA Technology, as well as a number of SADA constructs developed by MSK. Upon entering into the SADA License Agreement in April 2020 and in exchange for the licenses, we paid MSK and MIT a cash upfront payment and issued an aggregate of 42,900 shares of our common stock to them.</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SADA License Agreement requires us to pay to MSK and MIT mid to high single-digit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license agreement. These amounts are non-refundable but are creditable against royalty payments otherwise due under the SADA License Agreement.</w:t>
      </w:r>
    </w:p>
    <w:p>
      <w:pPr>
        <w:spacing w:after="0" w:line="14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the SADA License, we are also obligated to pay MSK and MIT certain clinical, regulatory and sales-based milestone payments. Certain of the clinical and regulatory milestone payments become due at the earlier of completion of the related milestone activity or the date indicated in the SADA License Agreement. Total clinical and regulatory milestones potentially due under the SADA License Agreement are $4,730,000 and $18,125,000, respectively. There are also sales-based milestones, totaling $23,750,000, that become due should the Company achieve certain amounts of sales of licensed products. In addition, for each of the SADA constructs generated by MSK and sold for the Company by a sublicensee, the Company may pay sales milestones in the total amount up to $60,000,000 based on the achievement of various cumulative net sales made by the sub-licensee. Finally, under the terms of the SADA License, MSK is entitled to receive 25% of any income generated from the sale of any PRV or the sale of other comparable incentives provided by any non-U.S. jurisdiction.</w:t>
      </w:r>
    </w:p>
    <w:p>
      <w:pPr>
        <w:spacing w:after="0" w:line="18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Under the SADA License Agreement, we also committed to funding scientific research at MSK for up to $1,500,000 over the next three years. Accordingly, in October 2020, we entered into a SADA sponsored research agreement with MSK pursuant to which we agreed to fund $1,500,000 in scientific research at MSK over the next three years to related to the intellectual property licensed under the SADA License Agreement.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biologic product candidates may be marketed in the United States generally involves the following:</w:t>
      </w:r>
    </w:p>
    <w:p>
      <w:pPr>
        <w:spacing w:after="0" w:line="212" w:lineRule="exact"/>
        <w:rPr>
          <w:sz w:val="20"/>
          <w:szCs w:val="20"/>
          <w:color w:val="auto"/>
        </w:rPr>
      </w:pPr>
    </w:p>
    <w:p>
      <w:pPr>
        <w:ind w:left="540" w:hanging="532"/>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GLP regulation;</w:t>
      </w:r>
    </w:p>
    <w:p>
      <w:pPr>
        <w:spacing w:after="0" w:line="211" w:lineRule="exact"/>
        <w:rPr>
          <w:rFonts w:ascii="Arial" w:cs="Arial" w:eastAsia="Arial" w:hAnsi="Arial"/>
          <w:sz w:val="18"/>
          <w:szCs w:val="18"/>
          <w:color w:val="auto"/>
        </w:rPr>
      </w:pPr>
    </w:p>
    <w:p>
      <w:pPr>
        <w:ind w:left="540" w:right="320" w:hanging="532"/>
        <w:spacing w:after="0" w:line="269"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begun;</w:t>
      </w:r>
    </w:p>
    <w:p>
      <w:pPr>
        <w:spacing w:after="0" w:line="198" w:lineRule="exact"/>
        <w:rPr>
          <w:rFonts w:ascii="Arial" w:cs="Arial" w:eastAsia="Arial" w:hAnsi="Arial"/>
          <w:sz w:val="18"/>
          <w:szCs w:val="18"/>
          <w:color w:val="auto"/>
        </w:rPr>
      </w:pPr>
    </w:p>
    <w:p>
      <w:pPr>
        <w:ind w:left="540" w:right="460" w:hanging="532"/>
        <w:spacing w:after="0" w:line="269"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157" w:lineRule="exact"/>
        <w:rPr>
          <w:rFonts w:ascii="Arial" w:cs="Arial" w:eastAsia="Arial" w:hAnsi="Arial"/>
          <w:sz w:val="18"/>
          <w:szCs w:val="18"/>
          <w:color w:val="auto"/>
        </w:rPr>
      </w:pPr>
    </w:p>
    <w:p>
      <w:pPr>
        <w:ind w:left="540" w:hanging="532"/>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11" w:lineRule="exact"/>
        <w:rPr>
          <w:rFonts w:ascii="Arial" w:cs="Arial" w:eastAsia="Arial" w:hAnsi="Arial"/>
          <w:sz w:val="18"/>
          <w:szCs w:val="18"/>
          <w:color w:val="auto"/>
        </w:rPr>
      </w:pPr>
    </w:p>
    <w:p>
      <w:pPr>
        <w:ind w:left="540" w:right="60" w:hanging="532"/>
        <w:spacing w:after="0" w:line="246"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investigations to assess compliance with Good Clinical Practices, or GCPs; and</w:t>
      </w:r>
    </w:p>
    <w:p>
      <w:pPr>
        <w:spacing w:after="0" w:line="163" w:lineRule="exact"/>
        <w:rPr>
          <w:rFonts w:ascii="Arial" w:cs="Arial" w:eastAsia="Arial" w:hAnsi="Arial"/>
          <w:sz w:val="18"/>
          <w:szCs w:val="18"/>
          <w:color w:val="auto"/>
        </w:rPr>
      </w:pPr>
    </w:p>
    <w:p>
      <w:pPr>
        <w:ind w:left="540" w:right="100" w:hanging="532"/>
        <w:spacing w:after="0" w:line="269"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FDA review and approval of our BLA to permit commercial marketing of the product for particular indications for use in the United States, which must be updated annually when significant changes are made.</w:t>
      </w:r>
    </w:p>
    <w:p>
      <w:pPr>
        <w:spacing w:after="0" w:line="15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 clinical trial involves the administration of the investigational product to human patients under the supervision of qualified investigators in accordance with GCPs, which includes the requirement that all research patients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patients or other grounds, such as no demonstration of efficacy. There are also requirements governing the reporting of ongoing clinical studies and clinical study results to public registries.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212" w:lineRule="exact"/>
        <w:rPr>
          <w:sz w:val="20"/>
          <w:szCs w:val="20"/>
          <w:color w:val="auto"/>
        </w:rPr>
      </w:pPr>
    </w:p>
    <w:p>
      <w:pPr>
        <w:ind w:left="540" w:right="140" w:hanging="532"/>
        <w:spacing w:after="0" w:line="287" w:lineRule="auto"/>
        <w:tabs>
          <w:tab w:leader="none" w:pos="5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Phase 1—The investigational product is initially introduced into healthy human patients with the target disease or condition. In oncology, clinical Phase 1 trials are normally conducted in patients, who have been exposed to and failed/relapsed on available standard of care therapies.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45" w:lineRule="exact"/>
        <w:rPr>
          <w:rFonts w:ascii="Arial" w:cs="Arial" w:eastAsia="Arial" w:hAnsi="Arial"/>
          <w:sz w:val="16"/>
          <w:szCs w:val="16"/>
          <w:color w:val="auto"/>
        </w:rPr>
      </w:pPr>
    </w:p>
    <w:p>
      <w:pPr>
        <w:ind w:left="540" w:right="60" w:hanging="532"/>
        <w:spacing w:after="0" w:line="252"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58" w:lineRule="exact"/>
        <w:rPr>
          <w:rFonts w:ascii="Arial" w:cs="Arial" w:eastAsia="Arial" w:hAnsi="Arial"/>
          <w:sz w:val="18"/>
          <w:szCs w:val="18"/>
          <w:color w:val="auto"/>
        </w:rPr>
      </w:pPr>
    </w:p>
    <w:p>
      <w:pPr>
        <w:ind w:left="540" w:right="120" w:hanging="532"/>
        <w:spacing w:after="0" w:line="246"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63" w:lineRule="exact"/>
        <w:rPr>
          <w:rFonts w:ascii="Arial" w:cs="Arial" w:eastAsia="Arial" w:hAnsi="Arial"/>
          <w:sz w:val="18"/>
          <w:szCs w:val="18"/>
          <w:color w:val="auto"/>
        </w:rPr>
      </w:pPr>
    </w:p>
    <w:p>
      <w:pPr>
        <w:ind w:left="540" w:right="340" w:hanging="532"/>
        <w:spacing w:after="0" w:line="269"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our BLA.</w:t>
      </w:r>
    </w:p>
    <w:p>
      <w:pPr>
        <w:spacing w:after="0" w:line="15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Phase 1, Phase 2 and Phase 3 testing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BLA submission and review by the FDA</w:t>
      </w:r>
    </w:p>
    <w:p>
      <w:pPr>
        <w:spacing w:after="0" w:line="22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FDA, and the sponsor of an approved BLA is also subject to annual program fees. These fees are typically increased annually. A waiver of user fees may be obtained under certain limited circumstances.</w:t>
      </w:r>
    </w:p>
    <w:p>
      <w:pPr>
        <w:spacing w:after="0" w:line="18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Once a BLA has been submitted, the FDA's goal is to review the application within 10 months after it files the application, or, if the application relates to an unmet medical need in a serious or life-threatening indication, six months after the FDA files the application.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testing and approval process requires substantial time, effort and financial resources, and each may take several years to complete. The FDA may not grant approval on a timely basis, or at all, and we may encounter difficulties or unanticipated costs in our efforts to secure necessary governmental approvals, which could delay or preclude us from marketing our products. After the FDA evaluates a BLA and conducts inspections of manufacturing facilities where the product will be produced, the FDA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is not ready for approval. A Complete Response Letter may request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83"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If regulatory approval of a product is granted, such approval may entail limitations on the indicated uses for which such product may be marketed. For example, the FDA may approve the BLA with a Risk Evaluation and Mitigation Strategy, or REMS, plan to mitigate risks, which could include medication guides, physician communication plans, or elements to assure safe use, such as restricted distribution methods,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patient registries and other risk minimization tools. The FDA also may condition approval on, among other things, changes to proposed labeling or the development of adequate controls and specifications. Once approved, the FDA may withdraw the product approval if compliance with pre-and post-marketing regulatory standards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delay or prevent regulatory approval of our products under development.</w:t>
      </w:r>
    </w:p>
    <w:p>
      <w:pPr>
        <w:spacing w:after="0" w:line="185"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A sponsor may seek approval of its product candidate under programs designed to accelerate FDA's review and approval of new drugs and biological products that meet certain criteria. Specifically, new drugs and biological products are eligible for fast track designation if they are intended to treat a serious or life-threatening condition and demonstrate the potential to address an unmet medical need for the condition. For a fast track product, the FDA may consider sections of the BLA for review on a rolling basis before the complete application is submitted if relevant criteria are met. A fast track designated product candidate may also qualify for priority review, under which the FDA sets the target date for FDA action on the BLA at six months after the FDA files the application.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FDA files the application. Priority review designation does not change the scientific/medical standard for approval or the quality of evidence necessary to support approval.</w:t>
      </w:r>
    </w:p>
    <w:p>
      <w:pPr>
        <w:spacing w:after="0" w:line="16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the accelerated approval program, the FDA may approve a BLA on the basis of either a surrogate objective that is reasonably likely to predict clinical benefit, or on a clinical objective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objective or ultimate outcome in relationship to the clinical benefit. In addition,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objectives, such as substantial treatment effects observed early in clinical development. Sponsors may request the FDA to designate a breakthrough therapy at the time of or any time after the submission of an IND, but ideally before an end-of-Phase 2 meeting with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potentially less efficacious treatment. Breakthrough designation also allows the sponsor to file sections of the BLA for review on a rolling basis.</w:t>
      </w:r>
    </w:p>
    <w:p>
      <w:pPr>
        <w:spacing w:after="0" w:line="235" w:lineRule="exact"/>
        <w:rPr>
          <w:sz w:val="20"/>
          <w:szCs w:val="20"/>
          <w:color w:val="auto"/>
        </w:rPr>
      </w:pPr>
    </w:p>
    <w:p>
      <w:pPr>
        <w:ind w:right="600"/>
        <w:spacing w:after="0" w:line="269" w:lineRule="auto"/>
        <w:rPr>
          <w:sz w:val="20"/>
          <w:szCs w:val="20"/>
          <w:color w:val="auto"/>
        </w:rPr>
      </w:pPr>
      <w:r>
        <w:rPr>
          <w:rFonts w:ascii="Arial" w:cs="Arial" w:eastAsia="Arial" w:hAnsi="Arial"/>
          <w:sz w:val="18"/>
          <w:szCs w:val="18"/>
          <w:color w:val="auto"/>
        </w:rPr>
        <w:t>Fast Track designation, priority review and BTD do not change the standards for approval but may expedite the development or approval process.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Orphan drugs</w:t>
      </w:r>
    </w:p>
    <w:p>
      <w:pPr>
        <w:spacing w:after="0" w:line="22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for that drug or biologic. ODD must be requested before submitting a BLA. After the FDA grants ODD, the generic identify of the therapeutic agent and its potential orphan use are disclosed publicly by the FDA.</w:t>
      </w:r>
    </w:p>
    <w:p>
      <w:pPr>
        <w:spacing w:after="0" w:line="18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8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 designated orphan drug many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Rare pediatric disease designation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Rare Pediatric Disease Priority Review Voucher Program, or the PRV Program, is intended to incentivize pharmaceutical companies to develop drugs for rare pediatric diseases. A company that obtains approval of an IND or a BLA for a designated rare pediatric disease may be eligible for a PRV from the FDA, which may be redeemed to obtain priority review for a subsequent new drug application or BLA by the owner of such PRV. A PRV is fully transferable and can be sold to any company, who in turn can redeem the PRV for priority review of a marketing application in six months, compared to the standard timeframe of approximately ten months. A drug that receives a RPDD before September 30, 2024 continues to be eligible for a PRV if the drug is approved before September 30, 2026. Extension beyond these dates will require further Congressional action.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Post-approval requirements</w:t>
      </w:r>
    </w:p>
    <w:p>
      <w:pPr>
        <w:spacing w:after="0" w:line="224" w:lineRule="exact"/>
        <w:rPr>
          <w:sz w:val="20"/>
          <w:szCs w:val="20"/>
          <w:color w:val="auto"/>
        </w:rPr>
      </w:pPr>
    </w:p>
    <w:p>
      <w:pPr>
        <w:ind w:right="500"/>
        <w:spacing w:after="0" w:line="269"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We cannot be certain that we or our present or future suppliers will be able to comply with the cGMP regulations and other FDA regulatory requirements. If our present or future suppliers are not able to comply with these requirements, the FDA may, among other things, halt our clinical trials, require us to recall a product from distribution, or withdraw approval of the BLA.</w:t>
      </w:r>
    </w:p>
    <w:p>
      <w:pPr>
        <w:spacing w:after="0" w:line="365"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rely, and expect to continue to rely, on third parties for the production of clinical and commercial quantities of our product candidates.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364" w:lineRule="exact"/>
        <w:rPr>
          <w:sz w:val="20"/>
          <w:szCs w:val="20"/>
          <w:color w:val="auto"/>
        </w:rPr>
      </w:pPr>
    </w:p>
    <w:p>
      <w:pPr>
        <w:ind w:left="540" w:hanging="532"/>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98" w:lineRule="exact"/>
        <w:rPr>
          <w:rFonts w:ascii="Arial" w:cs="Arial" w:eastAsia="Arial" w:hAnsi="Arial"/>
          <w:sz w:val="18"/>
          <w:szCs w:val="18"/>
          <w:color w:val="auto"/>
        </w:rPr>
      </w:pPr>
    </w:p>
    <w:p>
      <w:pPr>
        <w:ind w:left="540" w:right="440" w:hanging="532"/>
        <w:spacing w:after="0" w:line="269"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Pediatric studies and exclusivity</w:t>
      </w:r>
    </w:p>
    <w:p>
      <w:pPr>
        <w:spacing w:after="0" w:line="22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Under the Pediatric Research Equity Act of 2003,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For products intended to treat a serious or life-threatening disease or condition, the FDA must, upon the request of an applicant, meet to discuss preparation of the initial pediatric study plan or to discuss deferral or waiver of pediatric assessments.</w:t>
      </w:r>
    </w:p>
    <w:p>
      <w:pPr>
        <w:spacing w:after="0" w:line="18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77"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FDA Reauthorization Act of 2017 established new requirements to govern certain molecularly targeted cancer indications. Any company that submits a BLA three years after the date of enactment of that statute must submit pediatric assessments with the BLA if the biologic is intended for the treatment of an adult cancer and is directed at a molecular target that FDA determines to be substantially relevant to the growth or progression of a pediatric cancer. The investigation must be designed to yield clinically meaningful pediatric study data regarding the dosing, safety and preliminary efficacy to inform pediatric labeling for the product.</w:t>
      </w:r>
    </w:p>
    <w:p>
      <w:pPr>
        <w:spacing w:after="0" w:line="18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healthcare laws and compliance requirements</w:t>
      </w:r>
    </w:p>
    <w:p>
      <w:pPr>
        <w:spacing w:after="0" w:line="224"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177" w:lineRule="exact"/>
        <w:rPr>
          <w:sz w:val="20"/>
          <w:szCs w:val="20"/>
          <w:color w:val="auto"/>
        </w:rPr>
      </w:pPr>
    </w:p>
    <w:p>
      <w:pPr>
        <w:ind w:left="540" w:hanging="532"/>
        <w:spacing w:after="0" w:line="246"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w:t>
      </w:r>
    </w:p>
    <w:p>
      <w:pPr>
        <w:spacing w:after="0" w:line="177" w:lineRule="exact"/>
        <w:rPr>
          <w:rFonts w:ascii="Arial" w:cs="Arial" w:eastAsia="Arial" w:hAnsi="Arial"/>
          <w:sz w:val="18"/>
          <w:szCs w:val="18"/>
          <w:color w:val="auto"/>
        </w:rPr>
      </w:pPr>
    </w:p>
    <w:p>
      <w:pPr>
        <w:ind w:left="540" w:right="160" w:hanging="532"/>
        <w:spacing w:after="0" w:line="246"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63" w:lineRule="exact"/>
        <w:rPr>
          <w:rFonts w:ascii="Arial" w:cs="Arial" w:eastAsia="Arial" w:hAnsi="Arial"/>
          <w:sz w:val="18"/>
          <w:szCs w:val="18"/>
          <w:color w:val="auto"/>
        </w:rPr>
      </w:pPr>
    </w:p>
    <w:p>
      <w:pPr>
        <w:ind w:left="540" w:right="480" w:hanging="532"/>
        <w:spacing w:after="0" w:line="252"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158" w:lineRule="exact"/>
        <w:rPr>
          <w:rFonts w:ascii="Arial" w:cs="Arial" w:eastAsia="Arial" w:hAnsi="Arial"/>
          <w:sz w:val="18"/>
          <w:szCs w:val="18"/>
          <w:color w:val="auto"/>
        </w:rPr>
      </w:pPr>
    </w:p>
    <w:p>
      <w:pPr>
        <w:ind w:left="540" w:right="80" w:hanging="532"/>
        <w:spacing w:after="0" w:line="246"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associates that perform certain functions or activities that involve the use or disclosure of protected health information on their behalf;</w:t>
      </w:r>
    </w:p>
    <w:p>
      <w:pPr>
        <w:spacing w:after="0" w:line="177" w:lineRule="exact"/>
        <w:rPr>
          <w:rFonts w:ascii="Arial" w:cs="Arial" w:eastAsia="Arial" w:hAnsi="Arial"/>
          <w:sz w:val="18"/>
          <w:szCs w:val="18"/>
          <w:color w:val="auto"/>
        </w:rPr>
      </w:pPr>
    </w:p>
    <w:p>
      <w:pPr>
        <w:ind w:left="540" w:right="160" w:hanging="532"/>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the U.S. Department of Health and Human Services, information related to payments and other transfers of value to physicians and teaching hospitals and information regarding ownership and investment interests held by physicians and their immediate family members; and</w:t>
      </w:r>
    </w:p>
    <w:p>
      <w:pPr>
        <w:spacing w:after="0" w:line="171" w:lineRule="exact"/>
        <w:rPr>
          <w:rFonts w:ascii="Arial" w:cs="Arial" w:eastAsia="Arial" w:hAnsi="Arial"/>
          <w:sz w:val="18"/>
          <w:szCs w:val="18"/>
          <w:color w:val="auto"/>
        </w:rPr>
      </w:pPr>
    </w:p>
    <w:p>
      <w:pPr>
        <w:ind w:left="540" w:right="60" w:hanging="532"/>
        <w:spacing w:after="0" w:line="269"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5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Also, the U.S. Foreign Corrupt Practices Act and similar worldwide anti-bribery laws generally prohibit companies and their intermediaries from making improper payments to foreign officials for the purpose of obtaining or retaining business. No assurance can be given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Coverage and reimbursement</w:t>
      </w:r>
    </w:p>
    <w:p>
      <w:pPr>
        <w:spacing w:after="0" w:line="22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Sales of pharmaceutical products depend significantly on the availability of third-party coverage and reimbursement. Third-party payors include government health administrative authorities, managed care providers, private health insurers and other organizations. Third-party payors are increasingly challenging the price and examining the cost-effectiveness of medical products and services. In addition, significant uncertainty exists as to the reimbursement status of newly approved healthcare products. We may need to conduct expensive clinical studies to demonstrate the comparative cost-effectiveness of our products. The product candidates that we develop may not be considered cost-effective. It is time consuming and expensive for us to seek coverage and reimbursement from third-party payors. Moreover, a payor's decision to provide coverage for a drug product does not imply that an adequate reimbursement rate will be approved. Reimbursement may not be available or sufficient to allow us to sell our products on a competitive and profitable basis.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Review and approval of medicinal products in the European Union</w:t>
      </w:r>
    </w:p>
    <w:p>
      <w:pPr>
        <w:spacing w:after="0" w:line="22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European Union.</w:t>
      </w:r>
    </w:p>
    <w:p>
      <w:pPr>
        <w:spacing w:after="0" w:line="18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Clinical Trials Directive 2001/20/EC, the Directive 2005/28/EC on Good Clinical Practice, or GCP, and the related national implementing provisions of the individual EU member states, or EU Member States govern the system for the approval of clinical trials in the European Union.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or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In April 2014, the new Clinical Trials Regulation, (EU) No 536/2014, or the Clinical Trials Regulation, was adopted, and is anticipated to enter into force in 2021. The Clinical Trials Regulation will be directly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applicable in all the EU Member States, repealing the current Clinical Trials Directive 2001/20/EC. Conduct of all clinical trials performed in the European Union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5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Clinical Trials Regulation aims to simplify and streamline the approval of clinical trials in the European Union. The main characteristics of the regulation include: a streamlined application procedure via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(EU Member States concerned). Part II is assessed separately by each EU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8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To obtain a marketing authorization for a product under European Union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applicants have to demonstrate compliance with all measures included in an EMA-approved Pediatric Investigation Plan, or PIP, covering all subsets of the pediatric population, unless the EMA has granted (1) a product-specific waiver, (2) a class waiver or (3) a deferral for one or more of the measures included in the PIP.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centralized procedure provides for the grant of a single marketing authorization by the European Commission that is valid for all EU Member States and three of the four European Free Trade Association, or EFTA, States, Iceland, Liechtenstein and Norway.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8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Under the centralized procedure, the Committee for Medicinal Products for Human Use, or the CHMP, established at the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8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8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77"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In the European Union,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of these innovative products from referencing the innovator's data to assess a generic (abbreviated) application for a period of eight years. During an additional two-year period of market exclusivity, a generic marketing authorization application can be submitted and authorized, and the innovator's data may be referenced, but no generic medicinal product can be placed on the European Union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 year period of marketing authorization. Once subsequently definitively renewed, the marketing authorization shall be valid for an unlimited period. Any authorization which is not followed by the actual placing of the medicinal product on the European Union market (in case of centralized procedure) or on the market of the authorizing EU Member State within three years after authorization ceases to be valid (the so-called sunset clause).</w:t>
      </w:r>
    </w:p>
    <w:p>
      <w:pPr>
        <w:spacing w:after="0" w:line="18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10,000 persons in the European Union when the application is made, or (2)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will be of significant benefit to those affected by that condition.</w:t>
      </w:r>
    </w:p>
    <w:p>
      <w:pPr>
        <w:spacing w:after="0" w:line="18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Once authorized, orphan medicinal products are entitled to 10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 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183" w:lineRule="exact"/>
        <w:rPr>
          <w:sz w:val="20"/>
          <w:szCs w:val="20"/>
          <w:color w:val="auto"/>
        </w:rPr>
      </w:pPr>
    </w:p>
    <w:p>
      <w:pPr>
        <w:jc w:val="both"/>
        <w:ind w:right="480"/>
        <w:spacing w:after="0" w:line="333" w:lineRule="auto"/>
        <w:rPr>
          <w:sz w:val="20"/>
          <w:szCs w:val="20"/>
          <w:color w:val="auto"/>
        </w:rPr>
      </w:pPr>
      <w:r>
        <w:rPr>
          <w:rFonts w:ascii="Arial" w:cs="Arial" w:eastAsia="Arial" w:hAnsi="Arial"/>
          <w:sz w:val="16"/>
          <w:szCs w:val="16"/>
          <w:color w:val="auto"/>
        </w:rPr>
        <w:t>In case an authorization for a medicinal product in the European Union is obtained, the holder of the marketing authorization is required to comply with a range of requirements applicable to the manufacturing, marketing, promotion and sale of medicinal products. These include:</w:t>
      </w:r>
    </w:p>
    <w:p>
      <w:pPr>
        <w:spacing w:after="0" w:line="110" w:lineRule="exact"/>
        <w:rPr>
          <w:sz w:val="20"/>
          <w:szCs w:val="20"/>
          <w:color w:val="auto"/>
        </w:rPr>
      </w:pPr>
    </w:p>
    <w:p>
      <w:pPr>
        <w:ind w:left="540" w:right="200" w:hanging="532"/>
        <w:spacing w:after="0" w:line="269"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Compliance with the European Union's stringent pharmacovigilance or safety reporting rules must be ensured. These rules can impose post-authorization studies and additional monitoring obligations.</w:t>
      </w:r>
    </w:p>
    <w:p>
      <w:pPr>
        <w:spacing w:after="0" w:line="157" w:lineRule="exact"/>
        <w:rPr>
          <w:rFonts w:ascii="Arial" w:cs="Arial" w:eastAsia="Arial" w:hAnsi="Arial"/>
          <w:sz w:val="18"/>
          <w:szCs w:val="18"/>
          <w:color w:val="auto"/>
        </w:rPr>
      </w:pPr>
    </w:p>
    <w:p>
      <w:pPr>
        <w:ind w:left="540" w:right="140" w:hanging="532"/>
        <w:spacing w:after="0" w:line="246"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European Union laws, regulations and guidance, including Directive 2001/83/EC, Directive 2003/94/EC, Regulation (EC) No 726/2004 and the European Commission Guidelines for Good Manufacturing Practice. These requirements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60"/>
        <w:spacing w:after="0" w:line="252" w:lineRule="auto"/>
        <w:rPr>
          <w:sz w:val="20"/>
          <w:szCs w:val="20"/>
          <w:color w:val="auto"/>
        </w:rPr>
      </w:pPr>
      <w:r>
        <w:rPr>
          <w:rFonts w:ascii="Arial" w:cs="Arial" w:eastAsia="Arial" w:hAnsi="Arial"/>
          <w:sz w:val="18"/>
          <w:szCs w:val="18"/>
          <w:color w:val="auto"/>
        </w:rPr>
        <w:t>include compliance with European Union cGMP standards when manufacturing medicinal products and active pharmaceutical ingredients, including the manufacture of active pharmaceutical ingredients outside of the European Union with the intention to import the active pharmaceutical ingredients into the European Union.</w:t>
      </w:r>
    </w:p>
    <w:p>
      <w:pPr>
        <w:spacing w:after="0" w:line="172" w:lineRule="exact"/>
        <w:rPr>
          <w:sz w:val="20"/>
          <w:szCs w:val="20"/>
          <w:color w:val="auto"/>
        </w:rPr>
      </w:pPr>
    </w:p>
    <w:p>
      <w:pPr>
        <w:ind w:left="540" w:hanging="532"/>
        <w:spacing w:after="0" w:line="252"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marketing and promotion of authorized drugs, including industry-sponsored continuing medical education and advertising directed toward the prescribers of drugs and/or the general public, are strictly regulated in the European Union notably under Directive 2001/83EC, as amended, and EU Member State laws.</w:t>
      </w:r>
    </w:p>
    <w:p>
      <w:pPr>
        <w:spacing w:after="0" w:line="17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the United Kingdom's withdrawal from the European Union, or Brexit, could materially impact the future regulatory regime which applies to products and the approval of product candidates in the United Kingdom.</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Healthcare reform</w:t>
      </w:r>
    </w:p>
    <w:p>
      <w:pPr>
        <w:spacing w:after="0" w:line="224"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38" w:lineRule="exact"/>
        <w:rPr>
          <w:sz w:val="20"/>
          <w:szCs w:val="20"/>
          <w:color w:val="auto"/>
        </w:rPr>
      </w:pPr>
    </w:p>
    <w:p>
      <w:pPr>
        <w:ind w:right="500"/>
        <w:spacing w:after="0" w:line="333" w:lineRule="auto"/>
        <w:rPr>
          <w:sz w:val="20"/>
          <w:szCs w:val="20"/>
          <w:color w:val="auto"/>
        </w:rPr>
      </w:pPr>
      <w:r>
        <w:rPr>
          <w:rFonts w:ascii="Arial" w:cs="Arial" w:eastAsia="Arial" w:hAnsi="Arial"/>
          <w:sz w:val="16"/>
          <w:szCs w:val="16"/>
          <w:color w:val="auto"/>
        </w:rPr>
        <w:t>In March 2010, the U.S. Congress enacted the ACA, which, among other things, includes changes to the coverage and payment for drug products under government health care programs. Among the provisions of the ACA of importance to our potential product candidates are:</w:t>
      </w:r>
    </w:p>
    <w:p>
      <w:pPr>
        <w:spacing w:after="0" w:line="124" w:lineRule="exact"/>
        <w:rPr>
          <w:sz w:val="20"/>
          <w:szCs w:val="20"/>
          <w:color w:val="auto"/>
        </w:rPr>
      </w:pPr>
    </w:p>
    <w:p>
      <w:pPr>
        <w:ind w:left="540" w:right="620" w:hanging="532"/>
        <w:spacing w:after="0" w:line="269"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43" w:lineRule="exact"/>
        <w:rPr>
          <w:rFonts w:ascii="Arial" w:cs="Arial" w:eastAsia="Arial" w:hAnsi="Arial"/>
          <w:sz w:val="18"/>
          <w:szCs w:val="18"/>
          <w:color w:val="auto"/>
        </w:rPr>
      </w:pPr>
    </w:p>
    <w:p>
      <w:pPr>
        <w:ind w:left="540" w:right="360" w:hanging="532"/>
        <w:spacing w:after="0" w:line="252"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 and</w:t>
      </w:r>
    </w:p>
    <w:p>
      <w:pPr>
        <w:spacing w:after="0" w:line="158" w:lineRule="exact"/>
        <w:rPr>
          <w:rFonts w:ascii="Arial" w:cs="Arial" w:eastAsia="Arial" w:hAnsi="Arial"/>
          <w:sz w:val="18"/>
          <w:szCs w:val="18"/>
          <w:color w:val="auto"/>
        </w:rPr>
      </w:pPr>
    </w:p>
    <w:p>
      <w:pPr>
        <w:ind w:left="540" w:right="420" w:hanging="532"/>
        <w:spacing w:after="0" w:line="269"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5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two percent (2%) per fiscal year, which went into effect in April 2013 and will remain in effect through 2024 unless additional Congressional action is taken.</w:t>
      </w:r>
    </w:p>
    <w:p>
      <w:pPr>
        <w:spacing w:after="0" w:line="18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Since its enactment, there have been numerous legal challenges and Congressional actions to repeal and replace provisions of the ACA. We expect that the ACA, as currently enacted or as it may be amended in the future, and other healthcare reform measures that may be adopted in the future could have a material adverse effect on our industry generally and on our ability to maintain or increase sales of our existing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120"/>
        <w:spacing w:after="0" w:line="252" w:lineRule="auto"/>
        <w:rPr>
          <w:sz w:val="20"/>
          <w:szCs w:val="20"/>
          <w:color w:val="auto"/>
        </w:rPr>
      </w:pPr>
      <w:r>
        <w:rPr>
          <w:rFonts w:ascii="Arial" w:cs="Arial" w:eastAsia="Arial" w:hAnsi="Arial"/>
          <w:sz w:val="18"/>
          <w:szCs w:val="18"/>
          <w:color w:val="auto"/>
        </w:rPr>
        <w:t>products that we successfully commercialize or to successfully commercialize our product candidates, if approved. In addition to the ACA, there will continue to be proposals by legislators at both the federal and state levels, regulators and third party payors to keep healthcare costs down while expanding individual healthcare benefits.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Human capital</w:t>
      </w:r>
    </w:p>
    <w:p>
      <w:pPr>
        <w:spacing w:after="0" w:line="22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believe the success of the company depends on our ability to continue to attract, retain and motivate qualified employees. We seek to meet this objective by offering competitive compensation and benefits packages in our expanding organisation, with opportunities for our employees to thrive, grow and develop in their careers. We hold our employees to high ethical performance standards and our compensation plans include, as applicable, equity and cash compensation components designed to enable us to offer competitive base pay and attractive incentive schemes.</w:t>
      </w:r>
    </w:p>
    <w:p>
      <w:pPr>
        <w:spacing w:after="0" w:line="14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of December 31, 2020, we had 125 full time employees. Of these employees, 87 were employed in research and development roles, 23 were employed in commercial roles and 15 were employed within general and administration. Women represent approximately 54% of our workforce and men represent approximately 46%.</w:t>
      </w:r>
    </w:p>
    <w:p>
      <w:pPr>
        <w:spacing w:after="0" w:line="172" w:lineRule="exact"/>
        <w:rPr>
          <w:sz w:val="20"/>
          <w:szCs w:val="20"/>
          <w:color w:val="auto"/>
        </w:rPr>
      </w:pPr>
    </w:p>
    <w:p>
      <w:pPr>
        <w:jc w:val="both"/>
        <w:ind w:right="200"/>
        <w:spacing w:after="0" w:line="252" w:lineRule="auto"/>
        <w:rPr>
          <w:sz w:val="20"/>
          <w:szCs w:val="20"/>
          <w:color w:val="auto"/>
        </w:rPr>
      </w:pPr>
      <w:r>
        <w:rPr>
          <w:rFonts w:ascii="Arial" w:cs="Arial" w:eastAsia="Arial" w:hAnsi="Arial"/>
          <w:sz w:val="18"/>
          <w:szCs w:val="18"/>
          <w:color w:val="auto"/>
        </w:rPr>
        <w:t>The health and safety of our employees is of utmost importance to us. We offer comprehensive benefits to protect the health of our employees and their families. In response to the COVID-19 pandemic, we largely transitioning our workforce to a remote work model, while implementing additional safety measures for employees wishing to continue on-site work where possible.</w:t>
      </w:r>
    </w:p>
    <w:p>
      <w:pPr>
        <w:spacing w:after="0" w:line="17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members of our management team are employed by both our company and Y-mAbs Therapeutics A/S, our wholly owned Danish subsidiary. As our development and commercialization plans and strategies continue to develop, we intend to continue adding a number of additional managerial, operational, sales, marketing, financial, and other personnel. None of our employees are represented by labor unions or covered by collective bargaining agreements. We consider our relationship with our employees to be good.</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information</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were incorporated in Delaware on April 30, 2015. Our principal executive offices are located at 230 Park Avenue, Suite 3350, New York, New York 10169, and our telephone number is (646) 885-8505. Our website address is www.ymabs.com. The information contained on, or accessible through, our website is not incorporated by reference into this prospectus supplement, and you should not consider any information contained in, or that can be accessed through, our website as part of this prospectus supplement or in deciding whether to purchase our common stock.</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Material U.S. federal tax considerations for non-U.S. holders</w:t>
      </w:r>
    </w:p>
    <w:p>
      <w:pPr>
        <w:spacing w:after="0" w:line="24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following discussion is a summary of material U.S. federal income tax considerations applicable to non-U.S. holders (as defined below) with respect to their ownership and disposition of shares of our common stock issued pursuant to this offering. For purposes of this discussion, a "non-U.S. holder" means a beneficial owner (other than a partnership or other pass-through entity or arrangement) of our common stock that is not for U.S. federal income tax purposes:</w:t>
      </w:r>
    </w:p>
    <w:p>
      <w:pPr>
        <w:spacing w:after="0" w:line="177" w:lineRule="exact"/>
        <w:rPr>
          <w:sz w:val="20"/>
          <w:szCs w:val="20"/>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individual who is a citizen or resident alien of the United States;</w:t>
      </w:r>
    </w:p>
    <w:p>
      <w:pPr>
        <w:spacing w:after="0" w:line="211" w:lineRule="exact"/>
        <w:rPr>
          <w:rFonts w:ascii="Arial" w:cs="Arial" w:eastAsia="Arial" w:hAnsi="Arial"/>
          <w:sz w:val="18"/>
          <w:szCs w:val="18"/>
          <w:color w:val="auto"/>
        </w:rPr>
      </w:pPr>
    </w:p>
    <w:p>
      <w:pPr>
        <w:ind w:left="540" w:right="80" w:hanging="532"/>
        <w:spacing w:after="0" w:line="269"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corporation or any other organization taxable as a corporation for U.S. federal income tax purposes, created or organized in the United States or under the laws of the United States or of any state thereof or the District of Columbia;</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98" w:lineRule="exact"/>
        <w:rPr>
          <w:rFonts w:ascii="Arial" w:cs="Arial" w:eastAsia="Arial" w:hAnsi="Arial"/>
          <w:sz w:val="18"/>
          <w:szCs w:val="18"/>
          <w:color w:val="auto"/>
        </w:rPr>
      </w:pPr>
    </w:p>
    <w:p>
      <w:pPr>
        <w:ind w:left="540" w:right="40" w:hanging="532"/>
        <w:spacing w:after="0" w:line="333"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 trust if (i) the trust is subject to the primary supervision of a U.S. court and all substantial decisions of the trust are controlled by one or more U.S. persons or (ii) the trust has a valid election in effect under applicable U.S. Treasury regulations to be treated as a U.S. person.</w:t>
      </w:r>
    </w:p>
    <w:p>
      <w:pPr>
        <w:spacing w:after="0" w:line="110" w:lineRule="exact"/>
        <w:rPr>
          <w:sz w:val="20"/>
          <w:szCs w:val="20"/>
          <w:color w:val="auto"/>
        </w:rPr>
      </w:pPr>
    </w:p>
    <w:p>
      <w:pPr>
        <w:ind w:right="460"/>
        <w:spacing w:after="0" w:line="287" w:lineRule="auto"/>
        <w:rPr>
          <w:sz w:val="20"/>
          <w:szCs w:val="20"/>
          <w:color w:val="auto"/>
        </w:rPr>
      </w:pPr>
      <w:r>
        <w:rPr>
          <w:rFonts w:ascii="Arial" w:cs="Arial" w:eastAsia="Arial" w:hAnsi="Arial"/>
          <w:sz w:val="16"/>
          <w:szCs w:val="16"/>
          <w:color w:val="auto"/>
        </w:rPr>
        <w:t>This discussion does not address the tax treatment of partnerships or other entities or arrangements that are pass-through entities for U.S. federal income tax purposes or persons that hold their common stock through partnerships or other pass-through entities. A partner in a partnership or other pass-through entity that will hold our common stock should consult his, her or its own tax advisor regarding the tax consequences of acquiring, holding and disposing of our common stock through a partnership or other pass-through entity, as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supplement and, all of which are subject to change or to differing interpretation, possibly with retroactive effect. Any such change or differing interpretation could alter the tax consequences to non-U.S. holders described in this prospectus supplement. There can be no assurance that the Internal Revenue Service, which we refer to as the IRS, will not challenge one or more of the tax consequences described herein. We assume in this discussion that a non-U.S. holder holds shares of our common stock as a "capital asset" (generally property held for investment).</w:t>
      </w:r>
    </w:p>
    <w:p>
      <w:pPr>
        <w:spacing w:after="0" w:line="18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This discussion does not address all aspects of U.S. federal income taxation that may be relevant to a particular non-U.S. holder in light of that non-U.S. holder's individual circumstances nor does it address any aspects of U.S. state, local or non-U.S. taxes, the alternative minimum tax, the Medicare tax on net investment income, the gift and estate tax (except to the extent discussed below in "U.S. Federal Estate Tax") or any U.S. federal tax other than the income tax. This discussion also does not consider any specific facts or circumstances that may apply to a non-U.S. holder and does not address the special tax rules applicable to particular non-U.S. holders, such as:</w:t>
      </w:r>
    </w:p>
    <w:p>
      <w:pPr>
        <w:spacing w:after="0" w:line="194" w:lineRule="exact"/>
        <w:rPr>
          <w:sz w:val="20"/>
          <w:szCs w:val="20"/>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hanging="532"/>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brokers or dealers or traders in securities;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98" w:lineRule="exact"/>
        <w:rPr>
          <w:rFonts w:ascii="Arial" w:cs="Arial" w:eastAsia="Arial" w:hAnsi="Arial"/>
          <w:sz w:val="18"/>
          <w:szCs w:val="18"/>
          <w:color w:val="auto"/>
        </w:rPr>
      </w:pPr>
    </w:p>
    <w:p>
      <w:pPr>
        <w:ind w:left="540" w:right="520" w:hanging="532"/>
        <w:spacing w:after="0" w:line="269"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57" w:lineRule="exact"/>
        <w:rPr>
          <w:rFonts w:ascii="Arial" w:cs="Arial" w:eastAsia="Arial" w:hAnsi="Arial"/>
          <w:sz w:val="18"/>
          <w:szCs w:val="18"/>
          <w:color w:val="auto"/>
        </w:rPr>
      </w:pPr>
    </w:p>
    <w:p>
      <w:pPr>
        <w:ind w:left="540" w:hanging="532"/>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"qualified foreign pension funds," or entities wholly owned by a "qualified foreign pension fund";</w:t>
      </w:r>
    </w:p>
    <w:p>
      <w:pPr>
        <w:spacing w:after="0" w:line="198" w:lineRule="exact"/>
        <w:rPr>
          <w:rFonts w:ascii="Arial" w:cs="Arial" w:eastAsia="Arial" w:hAnsi="Arial"/>
          <w:sz w:val="18"/>
          <w:szCs w:val="18"/>
          <w:color w:val="auto"/>
        </w:rPr>
      </w:pPr>
    </w:p>
    <w:p>
      <w:pPr>
        <w:ind w:left="540" w:right="520" w:hanging="532"/>
        <w:spacing w:after="0" w:line="269"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or other pass-through or disregarded entities for U.S. federal income tax purposes (and partners and investors therein);</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11" w:lineRule="exact"/>
        <w:rPr>
          <w:rFonts w:ascii="Arial" w:cs="Arial" w:eastAsia="Arial" w:hAnsi="Arial"/>
          <w:sz w:val="18"/>
          <w:szCs w:val="18"/>
          <w:color w:val="auto"/>
        </w:rPr>
      </w:pPr>
    </w:p>
    <w:p>
      <w:pPr>
        <w:ind w:left="540" w:right="880" w:hanging="532"/>
        <w:spacing w:after="0" w:line="269"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hedge, conversion transaction, synthetic security or other integrated investment;</w:t>
      </w:r>
    </w:p>
    <w:p>
      <w:pPr>
        <w:spacing w:after="0" w:line="143" w:lineRule="exact"/>
        <w:rPr>
          <w:rFonts w:ascii="Arial" w:cs="Arial" w:eastAsia="Arial" w:hAnsi="Arial"/>
          <w:sz w:val="18"/>
          <w:szCs w:val="18"/>
          <w:color w:val="auto"/>
        </w:rPr>
      </w:pPr>
    </w:p>
    <w:p>
      <w:pPr>
        <w:ind w:left="540" w:hanging="532"/>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for whom our stock constitutes "qualified small business stock" within the meaning of Section 1202 of the Code; and</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1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color w:val="auto"/>
        </w:rPr>
        <w:t>THIS DISCUSSION IS FOR INFORMATION PURPOSES ONLY AND IS NOT INTENDED AS LEGAL OR TAX ADVICE. INVESTORS SHOULD CONSULT THEIR OWN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 on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Distributions, if any, on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adjusted tax basis in the holder's common stock and correspondingly reduce (but not below zero) the non-U.S. holder's basis in such stock. Any remaining excess of distribution once the non-U.S. holder's adjusted tax basis is reduced to zero will be treated as capital gain, subject to the tax treatment described below in "Gain on sale or other taxable disposition of our common stock." Any such distributions will also be subject to the discussion below under the section titled "Withholding and information reporting requirements—FATCA."</w:t>
      </w:r>
    </w:p>
    <w:p>
      <w:pPr>
        <w:spacing w:after="0" w:line="18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 to the extent such non-U.S. holder qualifies for the benefits of any such income tax treaty.</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classified as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8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other applicable form (or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 We are not responsible for any such non-U.S. holder's failure to provide a properly executed applicable IRS Form W-8 (or other applicable or successor form).</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Gain on sale or other taxable disposition of our common stock</w:t>
      </w:r>
    </w:p>
    <w:p>
      <w:pPr>
        <w:spacing w:after="0" w:line="22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Subject to the discussion below under "Withholding and information reporting requirements—FATCA," a non-U.S. holder generally will not be subject to any U.S. federal income tax on any gain realized upon such holder's sale or other taxable disposition of shares of our common stock unless:</w:t>
      </w:r>
    </w:p>
    <w:p>
      <w:pPr>
        <w:spacing w:after="0" w:line="172" w:lineRule="exact"/>
        <w:rPr>
          <w:sz w:val="20"/>
          <w:szCs w:val="20"/>
          <w:color w:val="auto"/>
        </w:rPr>
      </w:pPr>
    </w:p>
    <w:p>
      <w:pPr>
        <w:ind w:left="540" w:right="160" w:hanging="532"/>
        <w:spacing w:after="0" w:line="243"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gain is U.S. effectively connected income and, if an applicable income tax treaty so provides, is attributable to a permanent establishment or a fixed-base 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180" w:lineRule="exact"/>
        <w:rPr>
          <w:rFonts w:ascii="Arial" w:cs="Arial" w:eastAsia="Arial" w:hAnsi="Arial"/>
          <w:sz w:val="18"/>
          <w:szCs w:val="18"/>
          <w:color w:val="auto"/>
        </w:rPr>
      </w:pPr>
    </w:p>
    <w:p>
      <w:pPr>
        <w:ind w:left="540" w:hanging="532"/>
        <w:spacing w:after="0" w:line="241"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170" w:lineRule="exact"/>
        <w:rPr>
          <w:rFonts w:ascii="Arial" w:cs="Arial" w:eastAsia="Arial" w:hAnsi="Arial"/>
          <w:sz w:val="18"/>
          <w:szCs w:val="18"/>
          <w:color w:val="auto"/>
        </w:rPr>
      </w:pPr>
    </w:p>
    <w:p>
      <w:pPr>
        <w:ind w:left="540" w:right="100" w:hanging="532"/>
        <w:spacing w:after="0" w:line="241"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are, or have been, at any time during the five-year period preceding such sale of other taxable disposition (or the non-U.S. holder's holding period, if shorter) a "U.S. real property holding corporation," or USRPHC, unless our common stock is regularly traded on an established securities market, within the meaning of the relevant provisions of the Code, and the non-U.S. holder holds no more than 5% of our outstanding common stock, directly or indirectly, actually or constructively, during the shorter of the 5-year period ending on the date of the disposition or the period that the non-U.S. holder held our common stock. If we are determined to be a USRPHC and the foregoing exception does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40"/>
        <w:spacing w:after="0" w:line="273" w:lineRule="auto"/>
        <w:rPr>
          <w:sz w:val="20"/>
          <w:szCs w:val="20"/>
          <w:color w:val="auto"/>
        </w:rPr>
      </w:pPr>
      <w:r>
        <w:rPr>
          <w:rFonts w:ascii="Arial" w:cs="Arial" w:eastAsia="Arial" w:hAnsi="Arial"/>
          <w:sz w:val="16"/>
          <w:szCs w:val="16"/>
          <w:color w:val="auto"/>
        </w:rPr>
        <w:t>not apply, then the non-U.S. holder generally will be taxed on its net gain derived from the disposition at the graduated U.S. federal income tax rates applicable to United States persons (as defined in the Code), except that the branch profits tax generally will not apply. If we are a USRPHC and our common stock is not regularly traded on an established securities market, a non-U.S. holder's proceeds received on the disposition of shares will also generally be subject to withholding at a rate of 15%. Generally, a corporation is a USRPHC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USRPHC, or that we are likely to become one in the future. No assurance can be provided that our common stock will be regularly traded on an established securities market for purposes of the rules described above.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federal estate tax</w:t>
      </w:r>
    </w:p>
    <w:p>
      <w:pPr>
        <w:spacing w:after="0" w:line="224" w:lineRule="exact"/>
        <w:rPr>
          <w:sz w:val="20"/>
          <w:szCs w:val="20"/>
          <w:color w:val="auto"/>
        </w:rPr>
      </w:pPr>
    </w:p>
    <w:p>
      <w:pPr>
        <w:ind w:right="480"/>
        <w:spacing w:after="0" w:line="287" w:lineRule="auto"/>
        <w:rPr>
          <w:sz w:val="20"/>
          <w:szCs w:val="20"/>
          <w:color w:val="auto"/>
        </w:rPr>
      </w:pPr>
      <w:r>
        <w:rPr>
          <w:rFonts w:ascii="Arial" w:cs="Arial" w:eastAsia="Arial" w:hAnsi="Arial"/>
          <w:sz w:val="16"/>
          <w:szCs w:val="16"/>
          <w:color w:val="auto"/>
        </w:rPr>
        <w:t>Shares of our common stock that are owned or treated as owned at the time of death by an individual who is not a citizen or resident of the United States, as specifically defined for U.S. federal estate tax purposes, are considered U.S. situs assets and will be included in the individual's gross estate for U.S. federal estate tax purposes. Such shares, therefore, may be subject to U.S. federal estate tax, unless an applicable estate tax or other treaty between the United States and such individual's country of residence provides otherwise.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Backup withholding and information reporting</w:t>
      </w:r>
    </w:p>
    <w:p>
      <w:pPr>
        <w:spacing w:after="0" w:line="22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backup withholding may apply if we have actual knowledge, or reason to know, that the non-U.S. holder is a U.S.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person (as defined in the Code) that is not an exempt recipient.</w:t>
      </w:r>
    </w:p>
    <w:p>
      <w:pPr>
        <w:spacing w:after="0" w:line="19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 and information reporting requirements—FATCA</w:t>
      </w:r>
    </w:p>
    <w:p>
      <w:pPr>
        <w:spacing w:after="0" w:line="22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Foreign Account Tax Compliance Act, or FATCA, generally imposes a U.S. federal withholding tax at a rate of 30% on payments of dividends on our common stock paid to a foreign entity unless (i) if the foreign entity is a "foreign financial institution," (as defined in the Code)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gross proceeds from the sale or other disposition of our common stock, although under proposed U.S. Treasury regulations, no withholding would apply to such gross proceeds. The preamble to the proposed regulations specifies that taxpayers (including withholding agents) are permitted to rely on the proposed regulations pending finalization.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81" w:lineRule="exact"/>
        <w:rPr>
          <w:sz w:val="20"/>
          <w:szCs w:val="20"/>
          <w:color w:val="auto"/>
        </w:rPr>
      </w:pPr>
    </w:p>
    <w:p>
      <w:pPr>
        <w:jc w:val="both"/>
        <w:ind w:right="60"/>
        <w:spacing w:after="0" w:line="305" w:lineRule="auto"/>
        <w:rPr>
          <w:sz w:val="20"/>
          <w:szCs w:val="20"/>
          <w:color w:val="auto"/>
        </w:rPr>
      </w:pPr>
      <w:r>
        <w:rPr>
          <w:rFonts w:ascii="Arial" w:cs="Arial" w:eastAsia="Arial" w:hAnsi="Arial"/>
          <w:sz w:val="16"/>
          <w:szCs w:val="16"/>
          <w:b w:val="1"/>
          <w:bCs w:val="1"/>
          <w:color w:val="auto"/>
        </w:rPr>
        <w:t>The preceding discussion of material U.S. federal tax considerations is for general information only. It is not tax advice. Prospective investors should consult their own tax advisors regarding the particular U.S. federal, state, local and non-U.S. tax consequences of purchasing, holding and disposing of our common stock, including the consequences of any proposed changes in applicable laws.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Underwriters</w:t>
      </w:r>
    </w:p>
    <w:p>
      <w:pPr>
        <w:spacing w:after="0" w:line="243"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supplement, the underwriters named below, for whom J.P. Morgan Securities LLC, Morgan Stanley &amp; Co. LLC and BofA Securities, Inc. are acting as representatives, have severally agreed to purchase, and we have agreed to sell to them, severally, the number of shares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120650</wp:posOffset>
            </wp:positionV>
            <wp:extent cx="570039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5700395" cy="26035"/>
                    </a:xfrm>
                    <a:prstGeom prst="rect">
                      <a:avLst/>
                    </a:prstGeom>
                    <a:noFill/>
                  </pic:spPr>
                </pic:pic>
              </a:graphicData>
            </a:graphic>
          </wp:anchor>
        </w:drawing>
      </w:r>
    </w:p>
    <w:p>
      <w:pPr>
        <w:spacing w:after="0" w:line="196" w:lineRule="exact"/>
        <w:rPr>
          <w:sz w:val="20"/>
          <w:szCs w:val="20"/>
          <w:color w:val="auto"/>
        </w:rPr>
      </w:pPr>
    </w:p>
    <w:p>
      <w:pPr>
        <w:ind w:left="1140"/>
        <w:spacing w:after="0"/>
        <w:tabs>
          <w:tab w:leader="none" w:pos="95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10160</wp:posOffset>
            </wp:positionV>
            <wp:extent cx="5700395"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J.P. Morgan Securities LLC</w:t>
      </w:r>
    </w:p>
    <w:p>
      <w:pPr>
        <w:ind w:left="1140"/>
        <w:spacing w:after="0" w:line="234" w:lineRule="auto"/>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-635</wp:posOffset>
            </wp:positionV>
            <wp:extent cx="5700395"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-4445</wp:posOffset>
            </wp:positionV>
            <wp:extent cx="11144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-3175</wp:posOffset>
            </wp:positionV>
            <wp:extent cx="57003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8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this prospectus supplement and part to certain dealers at a price that represents a concession not in excess of $ per share under the public offering price. After the public offering of the shares of common stock, the offering price and other selling terms may from time to time be varied by the representatives.</w:t>
      </w:r>
    </w:p>
    <w:p>
      <w:pPr>
        <w:spacing w:after="0" w:line="183"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supplement, to purchase up to $15,000,000 of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$15,000,000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120650</wp:posOffset>
            </wp:positionV>
            <wp:extent cx="559752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5597525" cy="2540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20" w:type="dxa"/>
            <w:vAlign w:val="bottom"/>
            <w:gridSpan w:val="4"/>
          </w:tcPr>
          <w:p>
            <w:pPr>
              <w:jc w:val="right"/>
              <w:ind w:right="1280"/>
              <w:spacing w:after="0"/>
              <w:rPr>
                <w:sz w:val="20"/>
                <w:szCs w:val="20"/>
                <w:color w:val="auto"/>
              </w:rPr>
            </w:pPr>
            <w:r>
              <w:rPr>
                <w:rFonts w:ascii="Arial" w:cs="Arial" w:eastAsia="Arial" w:hAnsi="Arial"/>
                <w:sz w:val="14"/>
                <w:szCs w:val="14"/>
                <w:b w:val="1"/>
                <w:bCs w:val="1"/>
                <w:color w:val="auto"/>
              </w:rPr>
              <w:t>Total</w:t>
            </w:r>
          </w:p>
        </w:tc>
      </w:tr>
      <w:tr>
        <w:trPr>
          <w:trHeight w:val="156"/>
        </w:trPr>
        <w:tc>
          <w:tcPr>
            <w:tcW w:w="11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 share</w:t>
            </w: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No exercise</w:t>
            </w:r>
          </w:p>
        </w:tc>
        <w:tc>
          <w:tcPr>
            <w:tcW w:w="10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Full exercise</w:t>
            </w:r>
          </w:p>
        </w:tc>
        <w:tc>
          <w:tcPr>
            <w:tcW w:w="1280" w:type="dxa"/>
            <w:vAlign w:val="bottom"/>
            <w:gridSpan w:val="2"/>
          </w:tcPr>
          <w:p>
            <w:pPr>
              <w:spacing w:after="0"/>
              <w:rPr>
                <w:sz w:val="13"/>
                <w:szCs w:val="13"/>
                <w:color w:val="auto"/>
              </w:rPr>
            </w:pPr>
          </w:p>
        </w:tc>
      </w:tr>
      <w:tr>
        <w:trPr>
          <w:trHeight w:val="196"/>
        </w:trPr>
        <w:tc>
          <w:tcPr>
            <w:tcW w:w="1120" w:type="dxa"/>
            <w:vAlign w:val="bottom"/>
          </w:tcPr>
          <w:p>
            <w:pPr>
              <w:spacing w:after="0"/>
              <w:rPr>
                <w:sz w:val="17"/>
                <w:szCs w:val="17"/>
                <w:color w:val="auto"/>
              </w:rPr>
            </w:pPr>
          </w:p>
        </w:tc>
        <w:tc>
          <w:tcPr>
            <w:tcW w:w="59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Public offering price</w:t>
            </w:r>
          </w:p>
        </w:tc>
        <w:tc>
          <w:tcPr>
            <w:tcW w:w="860" w:type="dxa"/>
            <w:vAlign w:val="bottom"/>
            <w:tcBorders>
              <w:top w:val="single" w:sz="8" w:color="auto"/>
            </w:tcBorders>
            <w:shd w:val="clear" w:color="auto" w:fill="CCEEFF"/>
          </w:tcPr>
          <w:p>
            <w:pPr>
              <w:jc w:val="right"/>
              <w:ind w:right="676"/>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776"/>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779"/>
              <w:spacing w:after="0" w:line="19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5900" w:type="dxa"/>
            <w:vAlign w:val="bottom"/>
          </w:tcPr>
          <w:p>
            <w:pPr>
              <w:ind w:left="20"/>
              <w:spacing w:after="0" w:line="202" w:lineRule="exact"/>
              <w:rPr>
                <w:sz w:val="20"/>
                <w:szCs w:val="20"/>
                <w:color w:val="auto"/>
              </w:rPr>
            </w:pPr>
            <w:r>
              <w:rPr>
                <w:rFonts w:ascii="Arial" w:cs="Arial" w:eastAsia="Arial" w:hAnsi="Arial"/>
                <w:sz w:val="18"/>
                <w:szCs w:val="18"/>
                <w:color w:val="auto"/>
              </w:rPr>
              <w:t>Underwriting discounts and commissions to be paid by us</w:t>
            </w:r>
          </w:p>
        </w:tc>
        <w:tc>
          <w:tcPr>
            <w:tcW w:w="860" w:type="dxa"/>
            <w:vAlign w:val="bottom"/>
          </w:tcPr>
          <w:p>
            <w:pPr>
              <w:jc w:val="right"/>
              <w:ind w:right="676"/>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76"/>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79"/>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590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Proceeds, before expenses, to us</w:t>
            </w:r>
          </w:p>
        </w:tc>
        <w:tc>
          <w:tcPr>
            <w:tcW w:w="860" w:type="dxa"/>
            <w:vAlign w:val="bottom"/>
            <w:tcBorders>
              <w:bottom w:val="single" w:sz="8" w:color="auto"/>
            </w:tcBorders>
            <w:shd w:val="clear" w:color="auto" w:fill="CCEEFF"/>
          </w:tcPr>
          <w:p>
            <w:pPr>
              <w:jc w:val="right"/>
              <w:ind w:right="676"/>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76"/>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79"/>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427"/>
        </w:trPr>
        <w:tc>
          <w:tcPr>
            <w:tcW w:w="1120" w:type="dxa"/>
            <w:vAlign w:val="bottom"/>
          </w:tcPr>
          <w:p>
            <w:pPr>
              <w:spacing w:after="0"/>
              <w:rPr>
                <w:sz w:val="24"/>
                <w:szCs w:val="24"/>
                <w:color w:val="auto"/>
              </w:rPr>
            </w:pPr>
          </w:p>
        </w:tc>
        <w:tc>
          <w:tcPr>
            <w:tcW w:w="5900" w:type="dxa"/>
            <w:vAlign w:val="bottom"/>
          </w:tcPr>
          <w:p>
            <w:pPr>
              <w:ind w:left="4260"/>
              <w:spacing w:after="0"/>
              <w:rPr>
                <w:sz w:val="20"/>
                <w:szCs w:val="20"/>
                <w:color w:val="auto"/>
              </w:rPr>
            </w:pPr>
            <w:r>
              <w:rPr>
                <w:rFonts w:ascii="Arial" w:cs="Arial" w:eastAsia="Arial" w:hAnsi="Arial"/>
                <w:sz w:val="18"/>
                <w:szCs w:val="18"/>
                <w:color w:val="auto"/>
              </w:rPr>
              <w:t>S-174</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1"/>
        </w:trPr>
        <w:tc>
          <w:tcPr>
            <w:tcW w:w="1120" w:type="dxa"/>
            <w:vAlign w:val="bottom"/>
            <w:tcBorders>
              <w:bottom w:val="single" w:sz="8" w:color="808080"/>
            </w:tcBorders>
          </w:tcPr>
          <w:p>
            <w:pPr>
              <w:spacing w:after="0"/>
              <w:rPr>
                <w:sz w:val="18"/>
                <w:szCs w:val="18"/>
                <w:color w:val="auto"/>
              </w:rPr>
            </w:pPr>
          </w:p>
        </w:tc>
        <w:tc>
          <w:tcPr>
            <w:tcW w:w="590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tabs>
          <w:tab w:leader="none" w:pos="10340" w:val="left"/>
        </w:tabs>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w:t>
      </w:r>
      <w:r>
        <w:rPr>
          <w:sz w:val="20"/>
          <w:szCs w:val="20"/>
          <w:color w:val="auto"/>
        </w:rPr>
        <w:tab/>
      </w:r>
      <w:r>
        <w:rPr>
          <w:rFonts w:ascii="Arial" w:cs="Arial" w:eastAsia="Arial" w:hAnsi="Arial"/>
          <w:sz w:val="16"/>
          <w:szCs w:val="16"/>
          <w:color w:val="auto"/>
        </w:rPr>
        <w:t>. We have</w:t>
      </w:r>
    </w:p>
    <w:p>
      <w:pPr>
        <w:spacing w:after="0" w:line="18"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agreed to reimburse the underwriters for expenses relating to clearance of this offering with the Financial Industry Regulatory Authority up to $35,000.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trading symbol "YMAB."</w:t>
      </w:r>
    </w:p>
    <w:p>
      <w:pPr>
        <w:spacing w:after="0" w:line="212"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We and all directors, executive officers and certain stockholders have agreed that, without the prior written consent of J.P. Morgan Securities LLC, Morgan Stanley &amp; Co. LLC and BofA Securities, Inc. on behalf of the underwriters, we and they will not, and will not publicly disclose an intention to, during the period ending 90 days after the date of this prospectus supplement (the "restricted period"):</w:t>
      </w:r>
    </w:p>
    <w:p>
      <w:pPr>
        <w:spacing w:after="0" w:line="172" w:lineRule="exact"/>
        <w:rPr>
          <w:sz w:val="20"/>
          <w:szCs w:val="20"/>
          <w:color w:val="auto"/>
        </w:rPr>
      </w:pPr>
    </w:p>
    <w:p>
      <w:pPr>
        <w:ind w:left="540" w:right="20" w:hanging="532"/>
        <w:spacing w:after="0" w:line="252"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171" w:lineRule="exact"/>
        <w:rPr>
          <w:rFonts w:ascii="Arial" w:cs="Arial" w:eastAsia="Arial" w:hAnsi="Arial"/>
          <w:sz w:val="18"/>
          <w:szCs w:val="18"/>
          <w:color w:val="auto"/>
        </w:rPr>
      </w:pPr>
    </w:p>
    <w:p>
      <w:pPr>
        <w:ind w:left="540" w:right="320" w:hanging="532"/>
        <w:spacing w:after="0" w:line="269"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143" w:lineRule="exact"/>
        <w:rPr>
          <w:rFonts w:ascii="Arial" w:cs="Arial" w:eastAsia="Arial" w:hAnsi="Arial"/>
          <w:sz w:val="18"/>
          <w:szCs w:val="18"/>
          <w:color w:val="auto"/>
        </w:rPr>
      </w:pPr>
    </w:p>
    <w:p>
      <w:pPr>
        <w:ind w:left="540" w:hanging="532"/>
        <w:spacing w:after="0" w:line="269"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5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J.P. Morgan Securities LLC, Morgan Stanley &amp; Co. LLC and BofA Securities, Inc.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212" w:lineRule="exact"/>
        <w:rPr>
          <w:sz w:val="20"/>
          <w:szCs w:val="20"/>
          <w:color w:val="auto"/>
        </w:rPr>
      </w:pPr>
    </w:p>
    <w:p>
      <w:pPr>
        <w:ind w:left="540" w:hanging="532"/>
        <w:spacing w:after="0"/>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sale of shares to the underwriters;</w:t>
      </w:r>
    </w:p>
    <w:p>
      <w:pPr>
        <w:spacing w:after="0" w:line="211" w:lineRule="exact"/>
        <w:rPr>
          <w:rFonts w:ascii="Arial" w:cs="Arial" w:eastAsia="Arial" w:hAnsi="Arial"/>
          <w:sz w:val="18"/>
          <w:szCs w:val="18"/>
          <w:color w:val="auto"/>
        </w:rPr>
      </w:pPr>
    </w:p>
    <w:p>
      <w:pPr>
        <w:ind w:left="540" w:right="120" w:hanging="532"/>
        <w:spacing w:after="0" w:line="269"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a warrant or the conversion of a security outstanding on the date of this prospectus supplement of which the underwriters have been advised in writing;</w:t>
      </w:r>
    </w:p>
    <w:p>
      <w:pPr>
        <w:spacing w:after="0" w:line="143" w:lineRule="exact"/>
        <w:rPr>
          <w:rFonts w:ascii="Arial" w:cs="Arial" w:eastAsia="Arial" w:hAnsi="Arial"/>
          <w:sz w:val="18"/>
          <w:szCs w:val="18"/>
          <w:color w:val="auto"/>
        </w:rPr>
      </w:pPr>
    </w:p>
    <w:p>
      <w:pPr>
        <w:ind w:left="540" w:right="40" w:hanging="532"/>
        <w:spacing w:after="0" w:line="298" w:lineRule="auto"/>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transactions by any person other than us relating to shares of common stock or other securities acquired in open market transactions after the completion of the offering of the shares; provided that no filing under Section 16(a) of the Exchange Act, is required or voluntarily made in connection with subsequent sales of the common stock or other securities acquired in such open market transactions;</w:t>
      </w:r>
    </w:p>
    <w:p>
      <w:pPr>
        <w:spacing w:after="0" w:line="124" w:lineRule="exact"/>
        <w:rPr>
          <w:rFonts w:ascii="Arial" w:cs="Arial" w:eastAsia="Arial" w:hAnsi="Arial"/>
          <w:sz w:val="16"/>
          <w:szCs w:val="16"/>
          <w:color w:val="auto"/>
        </w:rPr>
      </w:pPr>
    </w:p>
    <w:p>
      <w:pPr>
        <w:ind w:left="540" w:right="40" w:hanging="532"/>
        <w:spacing w:after="0" w:line="243"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or voluntarily made regarding the establishment of such plan, such announcement or filing shall include a statement to the effect that no transfer of common stock may be made under such plan during the restricted period;</w:t>
      </w:r>
    </w:p>
    <w:p>
      <w:pPr>
        <w:spacing w:after="0" w:line="180" w:lineRule="exact"/>
        <w:rPr>
          <w:rFonts w:ascii="Arial" w:cs="Arial" w:eastAsia="Arial" w:hAnsi="Arial"/>
          <w:sz w:val="18"/>
          <w:szCs w:val="18"/>
          <w:color w:val="auto"/>
        </w:rPr>
      </w:pPr>
    </w:p>
    <w:p>
      <w:pPr>
        <w:ind w:left="540" w:right="240" w:hanging="532"/>
        <w:spacing w:after="0" w:line="269"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sale, transfer or other disposition pursuant to any trading plan pursuant to Rule 10b5-1 existing on the date hereof, provided that to the extent a filing under the Exchange Act, if any, is required 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260"/>
        <w:spacing w:after="0" w:line="269" w:lineRule="auto"/>
        <w:rPr>
          <w:sz w:val="20"/>
          <w:szCs w:val="20"/>
          <w:color w:val="auto"/>
        </w:rPr>
      </w:pPr>
      <w:r>
        <w:rPr>
          <w:rFonts w:ascii="Arial" w:cs="Arial" w:eastAsia="Arial" w:hAnsi="Arial"/>
          <w:sz w:val="18"/>
          <w:szCs w:val="18"/>
          <w:color w:val="auto"/>
        </w:rPr>
        <w:t>connection with such sale, transfer or other disposition, such filing shall include a statement to the effect that the sale, transfer or other disposition was made pursuant to such existing 10b5-1 trading plan; or</w:t>
      </w:r>
    </w:p>
    <w:p>
      <w:pPr>
        <w:spacing w:after="0" w:line="157" w:lineRule="exact"/>
        <w:rPr>
          <w:sz w:val="20"/>
          <w:szCs w:val="20"/>
          <w:color w:val="auto"/>
        </w:rPr>
      </w:pPr>
    </w:p>
    <w:p>
      <w:pPr>
        <w:ind w:left="540" w:right="200" w:hanging="532"/>
        <w:spacing w:after="0" w:line="252"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transactions pursuant to the pledge by Thomas Gad, our Founder, Chairman, President and Head of Business Development, of up to 587,000 shares of Common Stock as collateral or security pursuant to a personal line of credit, and any transfer upon foreclosure upon such shares.</w:t>
      </w:r>
    </w:p>
    <w:p>
      <w:pPr>
        <w:spacing w:after="0" w:line="172"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J.P. Morgan Securities LLC, Morgan Stanley &amp; Co. LLC and BofA Securities, Inc., in their sole discretion, may release the common stock and other securities subject to the lock-up agreements described above in whole or in part at any time.</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w:t>
      </w:r>
    </w:p>
    <w:p>
      <w:pPr>
        <w:spacing w:after="0" w:line="163"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4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restrictions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12"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81" w:lineRule="exact"/>
        <w:rPr>
          <w:sz w:val="20"/>
          <w:szCs w:val="20"/>
          <w:color w:val="auto"/>
        </w:rPr>
      </w:pPr>
    </w:p>
    <w:p>
      <w:pPr>
        <w:ind w:left="420" w:hanging="412"/>
        <w:spacing w:after="0"/>
        <w:tabs>
          <w:tab w:leader="none" w:pos="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211" w:lineRule="exact"/>
        <w:rPr>
          <w:rFonts w:ascii="Arial" w:cs="Arial" w:eastAsia="Arial" w:hAnsi="Arial"/>
          <w:sz w:val="18"/>
          <w:szCs w:val="18"/>
          <w:color w:val="auto"/>
        </w:rPr>
      </w:pPr>
    </w:p>
    <w:p>
      <w:pPr>
        <w:ind w:right="20" w:firstLine="8"/>
        <w:spacing w:after="0" w:line="269" w:lineRule="auto"/>
        <w:tabs>
          <w:tab w:leader="none" w:pos="36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57" w:lineRule="exact"/>
        <w:rPr>
          <w:rFonts w:ascii="Arial" w:cs="Arial" w:eastAsia="Arial" w:hAnsi="Arial"/>
          <w:sz w:val="18"/>
          <w:szCs w:val="18"/>
          <w:color w:val="auto"/>
        </w:rPr>
      </w:pPr>
    </w:p>
    <w:p>
      <w:pPr>
        <w:ind w:left="400" w:hanging="392"/>
        <w:spacing w:after="0"/>
        <w:tabs>
          <w:tab w:leader="none" w:pos="4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shall require the Company or any underwriter to publish a prospectus pursuant to Article 3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has been obtained to each such proposed offer or resale.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United Kingdom</w:t>
      </w:r>
    </w:p>
    <w:p>
      <w:pPr>
        <w:spacing w:after="0" w:line="21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72" w:lineRule="exact"/>
        <w:rPr>
          <w:sz w:val="20"/>
          <w:szCs w:val="20"/>
          <w:color w:val="auto"/>
        </w:rPr>
      </w:pPr>
    </w:p>
    <w:p>
      <w:pPr>
        <w:ind w:left="420" w:hanging="412"/>
        <w:spacing w:after="0"/>
        <w:tabs>
          <w:tab w:leader="none" w:pos="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211" w:lineRule="exact"/>
        <w:rPr>
          <w:rFonts w:ascii="Arial" w:cs="Arial" w:eastAsia="Arial" w:hAnsi="Arial"/>
          <w:sz w:val="18"/>
          <w:szCs w:val="18"/>
          <w:color w:val="auto"/>
        </w:rPr>
      </w:pPr>
    </w:p>
    <w:p>
      <w:pPr>
        <w:ind w:right="440" w:firstLine="8"/>
        <w:spacing w:after="0" w:line="269" w:lineRule="auto"/>
        <w:tabs>
          <w:tab w:leader="none" w:pos="36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57" w:lineRule="exact"/>
        <w:rPr>
          <w:rFonts w:ascii="Arial" w:cs="Arial" w:eastAsia="Arial" w:hAnsi="Arial"/>
          <w:sz w:val="18"/>
          <w:szCs w:val="18"/>
          <w:color w:val="auto"/>
        </w:rPr>
      </w:pPr>
    </w:p>
    <w:p>
      <w:pPr>
        <w:ind w:left="400" w:hanging="392"/>
        <w:spacing w:after="0"/>
        <w:tabs>
          <w:tab w:leader="none" w:pos="4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1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the shares shall require the Issuer or any underwriter to publish a prospectus pursuant to Section 85 of the FSMA</w:t>
      </w:r>
      <w:r>
        <w:rPr>
          <w:rFonts w:ascii="Arial" w:cs="Arial" w:eastAsia="Arial" w:hAnsi="Arial"/>
          <w:sz w:val="18"/>
          <w:szCs w:val="18"/>
          <w:i w:val="1"/>
          <w:iCs w:val="1"/>
          <w:color w:val="auto"/>
        </w:rPr>
        <w:t xml:space="preserve"> </w:t>
      </w:r>
      <w:r>
        <w:rPr>
          <w:rFonts w:ascii="Arial" w:cs="Arial" w:eastAsia="Arial" w:hAnsi="Arial"/>
          <w:sz w:val="18"/>
          <w:szCs w:val="18"/>
          <w:color w:val="auto"/>
        </w:rPr>
        <w:t>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(e) of the Order (all such persons together being referred to as "relevant persons") or otherwise in circumstances which have not resulted and will not result in an offer to the public of the shares in the United Kingdom within the meaning of the Financial Services and Markets Act 2000. In the United Kingdom, any investment or investment activity to which this document relates is only available to, and will be engaged in with, relevant persons. Any person in the UK who is not a relevant person must not act on or rely upon this document or any of its contents.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1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1" w:lineRule="exact"/>
        <w:rPr>
          <w:sz w:val="20"/>
          <w:szCs w:val="20"/>
          <w:color w:val="auto"/>
        </w:rPr>
      </w:pPr>
    </w:p>
    <w:p>
      <w:pPr>
        <w:jc w:val="both"/>
        <w:ind w:right="220"/>
        <w:spacing w:after="0" w:line="252"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21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4"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Dubai International Financial Centre</w:t>
      </w:r>
    </w:p>
    <w:p>
      <w:pPr>
        <w:spacing w:after="0" w:line="21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This prospectus supplement relates to an Exempt Offer in accordance with the Offered Securities Rules of the Dubai Financial Services Authority, or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1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Singapore other than (i) to an institutional investor (as defined in Section 4A of the Securities and Futures Act (Chapter 289) of Singapore, as modified or amended from time to time (the "SFA")) pursuant to Section 274 of the SFA, (ii) to a relevant person (as defined in Section 275(2) of</w:t>
      </w:r>
    </w:p>
    <w:p>
      <w:pPr>
        <w:spacing w:after="0" w:line="1" w:lineRule="exact"/>
        <w:rPr>
          <w:sz w:val="20"/>
          <w:szCs w:val="20"/>
          <w:color w:val="auto"/>
        </w:rPr>
      </w:pPr>
    </w:p>
    <w:p>
      <w:pPr>
        <w:jc w:val="both"/>
        <w:ind w:right="400"/>
        <w:spacing w:after="0" w:line="239" w:lineRule="auto"/>
        <w:rPr>
          <w:sz w:val="20"/>
          <w:szCs w:val="20"/>
          <w:color w:val="auto"/>
        </w:rPr>
      </w:pPr>
      <w:r>
        <w:rPr>
          <w:rFonts w:ascii="Arial" w:cs="Arial" w:eastAsia="Arial" w:hAnsi="Arial"/>
          <w:sz w:val="18"/>
          <w:szCs w:val="18"/>
          <w:color w:val="auto"/>
        </w:rPr>
        <w:t>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12" w:lineRule="exact"/>
        <w:rPr>
          <w:sz w:val="20"/>
          <w:szCs w:val="20"/>
          <w:color w:val="auto"/>
        </w:rPr>
      </w:pPr>
    </w:p>
    <w:p>
      <w:pPr>
        <w:ind w:right="100" w:firstLine="8"/>
        <w:spacing w:after="0" w:line="269" w:lineRule="auto"/>
        <w:tabs>
          <w:tab w:leader="none" w:pos="41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7" w:lineRule="exact"/>
        <w:rPr>
          <w:rFonts w:ascii="Arial" w:cs="Arial" w:eastAsia="Arial" w:hAnsi="Arial"/>
          <w:sz w:val="18"/>
          <w:szCs w:val="18"/>
          <w:color w:val="auto"/>
        </w:rPr>
      </w:pPr>
    </w:p>
    <w:p>
      <w:pPr>
        <w:ind w:right="240" w:firstLine="8"/>
        <w:spacing w:after="0" w:line="269" w:lineRule="auto"/>
        <w:tabs>
          <w:tab w:leader="none" w:pos="36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5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72" w:lineRule="exact"/>
        <w:rPr>
          <w:sz w:val="20"/>
          <w:szCs w:val="20"/>
          <w:color w:val="auto"/>
        </w:rPr>
      </w:pPr>
    </w:p>
    <w:p>
      <w:pPr>
        <w:ind w:left="420" w:hanging="412"/>
        <w:spacing w:after="0"/>
        <w:tabs>
          <w:tab w:leader="none" w:pos="4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w:t>
      </w:r>
    </w:p>
    <w:p>
      <w:pPr>
        <w:spacing w:after="0" w:line="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 of the SFA;</w:t>
      </w:r>
    </w:p>
    <w:p>
      <w:pPr>
        <w:spacing w:after="0" w:line="189" w:lineRule="exact"/>
        <w:rPr>
          <w:rFonts w:ascii="Arial" w:cs="Arial" w:eastAsia="Arial" w:hAnsi="Arial"/>
          <w:sz w:val="16"/>
          <w:szCs w:val="16"/>
          <w:color w:val="auto"/>
        </w:rPr>
      </w:pPr>
    </w:p>
    <w:p>
      <w:pPr>
        <w:ind w:left="360" w:hanging="352"/>
        <w:spacing w:after="0"/>
        <w:tabs>
          <w:tab w:leader="none" w:pos="3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11" w:lineRule="exact"/>
        <w:rPr>
          <w:rFonts w:ascii="Arial" w:cs="Arial" w:eastAsia="Arial" w:hAnsi="Arial"/>
          <w:sz w:val="18"/>
          <w:szCs w:val="18"/>
          <w:color w:val="auto"/>
        </w:rPr>
      </w:pPr>
    </w:p>
    <w:p>
      <w:pPr>
        <w:ind w:left="400" w:hanging="392"/>
        <w:spacing w:after="0"/>
        <w:tabs>
          <w:tab w:leader="none" w:pos="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 securities and futures act product classification</w:t>
      </w:r>
    </w:p>
    <w:p>
      <w:pPr>
        <w:spacing w:after="0" w:line="21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Solely for the purposes of our obligations pursuant to sections 309B(1)(a) and 309B(1)(c) of the SFA, we have determined, and hereby notify all relevant persons (as defined in Section 309A of the SFA), that the common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12" w:lineRule="exact"/>
        <w:rPr>
          <w:sz w:val="20"/>
          <w:szCs w:val="20"/>
          <w:color w:val="auto"/>
        </w:rPr>
      </w:pPr>
    </w:p>
    <w:p>
      <w:pPr>
        <w:jc w:val="both"/>
        <w:ind w:right="140"/>
        <w:spacing w:after="0" w:line="333"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11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qualified institutional investors, or QII</w:t>
      </w:r>
    </w:p>
    <w:p>
      <w:pPr>
        <w:spacing w:after="0" w:line="212"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Non-QII investors</w:t>
      </w:r>
    </w:p>
    <w:p>
      <w:pPr>
        <w:spacing w:after="0" w:line="21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1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77" w:lineRule="exact"/>
        <w:rPr>
          <w:sz w:val="20"/>
          <w:szCs w:val="20"/>
          <w:color w:val="auto"/>
        </w:rPr>
      </w:pPr>
    </w:p>
    <w:p>
      <w:pPr>
        <w:jc w:val="both"/>
        <w:ind w:right="460"/>
        <w:spacing w:after="0" w:line="298"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disclosure document which complies with Chapter 6D of the Corporations Act. Any person acquiring shares must observe such Australian on-sale restrictions.</w:t>
      </w:r>
    </w:p>
    <w:p>
      <w:pPr>
        <w:spacing w:after="0" w:line="15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Legal matters</w:t>
      </w:r>
    </w:p>
    <w:p>
      <w:pPr>
        <w:spacing w:after="0" w:line="243"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The validity of the shares of common stock offered hereby will be passed upon for us by Duane Morris LLP, New York, New York. Certain legal matters with respect to this offering will be passed upon for the underwriters by Shearman &amp; Sterling LLP, New York, New York.</w:t>
      </w:r>
    </w:p>
    <w:p>
      <w:pPr>
        <w:spacing w:after="0" w:line="1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Experts</w:t>
      </w:r>
    </w:p>
    <w:p>
      <w:pPr>
        <w:spacing w:after="0" w:line="243"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financial statements incorporated in this prospectus by reference to the </w:t>
      </w:r>
      <w:hyperlink r:id="rId17">
        <w:r>
          <w:rPr>
            <w:rFonts w:ascii="Arial" w:cs="Arial" w:eastAsia="Arial" w:hAnsi="Arial"/>
            <w:sz w:val="18"/>
            <w:szCs w:val="18"/>
            <w:u w:val="single" w:color="auto"/>
            <w:color w:val="0000EE"/>
          </w:rPr>
          <w:t>Annual Report on Form 10-K for the year ended December 31, 2019</w:t>
        </w:r>
      </w:hyperlink>
      <w:r>
        <w:rPr>
          <w:rFonts w:ascii="Arial" w:cs="Arial" w:eastAsia="Arial" w:hAnsi="Arial"/>
          <w:sz w:val="18"/>
          <w:szCs w:val="18"/>
          <w:color w:val="auto"/>
        </w:rPr>
        <w:t xml:space="preserve"> have been so incorporated in reliance on the report of PricewaterhouseCoopers LLP, an independent registered public accounting firm, given on the authority of said firm as experts in auditing and accounting.</w:t>
      </w:r>
    </w:p>
    <w:p>
      <w:pPr>
        <w:spacing w:after="0" w:line="15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Where you can find more information</w:t>
      </w:r>
    </w:p>
    <w:p>
      <w:pPr>
        <w:spacing w:after="0" w:line="24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file annual, quarterly and current reports, proxy statements and other information with the SEC pursuant to the reporting and information requirements of the Exchange Act. Our SEC filings are available to the public over the Internet at the SEC's website at http://www.sec.gov. Copies of certain information filed by us with the SEC are also available on our website at www.ymabs.com. Information contained on our website is not incorporated by reference into this prospectus supplement and, therefore, is not part of this prospectus supplement or the accompanying prospectus. In addition,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Y-mAbs Therapeutics, Inc., 230 Park Avenue, Suite 3350, New York, NY 10169, or by telephone request to (646) 885-8505.</w:t>
      </w:r>
    </w:p>
    <w:p>
      <w:pPr>
        <w:spacing w:after="0" w:line="18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This prospectus supplement is part of a registration statement that we filed with the SEC. The registration statement contains more information than this prospectus supplement and the accompanying prospectus regarding us and the securities, including certain exhibits and schedules. You can obtain a copy of the registration statement from the SEC's website.</w:t>
      </w:r>
    </w:p>
    <w:p>
      <w:pPr>
        <w:spacing w:after="0" w:line="15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Incorporation of certain information by reference</w:t>
      </w:r>
    </w:p>
    <w:p>
      <w:pPr>
        <w:spacing w:after="0" w:line="24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SEC allows us to incorporate by reference the information and reports we file with it into this prospectus supplement and the accompanying prospectus, which means that we can disclose important information to you by referring you to these documents. The information incorporated by reference is an important part of this prospectus supplement and the accompanying prospectus, and information that we file later with the SEC will automatically update and supersede the information already incorporated by reference. We are incorporating by reference the documents listed below, which we have already filed with the SEC (other than those documents or the portions of those documents not deemed to be filed), and any future filings (other than current reports furnished under Item 2.02 or Item 7.01 of Form 8-K and exhibits filed in such forms that are related to such items unless such Form 8-K expressly provides to the contrary) we make with the SEC under Sections 13(a), 13(c), 14 or 15(d) of the Exchange Act, including all filings made after the date of the filing of this registration statement and prior to the effectiveness of this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registration statement, except as to any portion of any future report or document that is furnished and not deemed filed under such provisions, until we sell all of the securities:</w:t>
      </w:r>
    </w:p>
    <w:p>
      <w:pPr>
        <w:spacing w:after="0" w:line="157" w:lineRule="exact"/>
        <w:rPr>
          <w:sz w:val="20"/>
          <w:szCs w:val="20"/>
          <w:color w:val="auto"/>
        </w:rPr>
      </w:pPr>
    </w:p>
    <w:p>
      <w:pPr>
        <w:ind w:left="540" w:hanging="532"/>
        <w:spacing w:after="0"/>
        <w:tabs>
          <w:tab w:leader="none" w:pos="540" w:val="left"/>
        </w:tabs>
        <w:numPr>
          <w:ilvl w:val="0"/>
          <w:numId w:val="113"/>
        </w:numPr>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our Annual Report on Form 10-K for the year ended December 31, 2019, filed with the SEC on March 12, 2020;</w:t>
        </w:r>
      </w:hyperlink>
    </w:p>
    <w:p>
      <w:pPr>
        <w:spacing w:after="0" w:line="211" w:lineRule="exact"/>
        <w:rPr>
          <w:rFonts w:ascii="Arial" w:cs="Arial" w:eastAsia="Arial" w:hAnsi="Arial"/>
          <w:sz w:val="18"/>
          <w:szCs w:val="18"/>
          <w:u w:val="single" w:color="auto"/>
          <w:color w:val="0000EE"/>
        </w:rPr>
      </w:pPr>
    </w:p>
    <w:p>
      <w:pPr>
        <w:ind w:left="540" w:right="180" w:hanging="532"/>
        <w:spacing w:after="0" w:line="269"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w:t>
      </w:r>
      <w:hyperlink r:id="rId17">
        <w:r>
          <w:rPr>
            <w:rFonts w:ascii="Arial" w:cs="Arial" w:eastAsia="Arial" w:hAnsi="Arial"/>
            <w:sz w:val="18"/>
            <w:szCs w:val="18"/>
            <w:u w:val="single" w:color="auto"/>
            <w:color w:val="0000EE"/>
          </w:rPr>
          <w:t>Annual Report on Form 10-K for the year ended December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from our </w:t>
      </w:r>
      <w:hyperlink r:id="rId228">
        <w:r>
          <w:rPr>
            <w:rFonts w:ascii="Arial" w:cs="Arial" w:eastAsia="Arial" w:hAnsi="Arial"/>
            <w:sz w:val="18"/>
            <w:szCs w:val="18"/>
            <w:u w:val="single" w:color="auto"/>
            <w:color w:val="0000EE"/>
          </w:rPr>
          <w:t>Definitive Proxy Statement on Schedule 14A, filed with the SEC on April 28, 2020;</w:t>
        </w:r>
      </w:hyperlink>
    </w:p>
    <w:p>
      <w:pPr>
        <w:spacing w:after="0" w:line="143" w:lineRule="exact"/>
        <w:rPr>
          <w:rFonts w:ascii="Arial" w:cs="Arial" w:eastAsia="Arial" w:hAnsi="Arial"/>
          <w:sz w:val="18"/>
          <w:szCs w:val="18"/>
          <w:color w:val="auto"/>
        </w:rPr>
      </w:pPr>
    </w:p>
    <w:p>
      <w:pPr>
        <w:ind w:left="540" w:right="180" w:hanging="532"/>
        <w:spacing w:after="0" w:line="269"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March 31, 2020, June 30, 2020 and September 30, 2020 filed with the SEC on </w:t>
      </w:r>
      <w:hyperlink r:id="rId18">
        <w:r>
          <w:rPr>
            <w:rFonts w:ascii="Arial" w:cs="Arial" w:eastAsia="Arial" w:hAnsi="Arial"/>
            <w:sz w:val="18"/>
            <w:szCs w:val="18"/>
            <w:u w:val="single" w:color="auto"/>
            <w:color w:val="0000EE"/>
          </w:rPr>
          <w:t xml:space="preserve">May 7, 2020 </w:t>
        </w:r>
      </w:hyperlink>
      <w:hyperlink r:id="rId19">
        <w:r>
          <w:rPr>
            <w:rFonts w:ascii="Arial" w:cs="Arial" w:eastAsia="Arial" w:hAnsi="Arial"/>
            <w:sz w:val="18"/>
            <w:szCs w:val="18"/>
            <w:u w:val="single" w:color="auto"/>
            <w:color w:val="auto"/>
          </w:rPr>
          <w:t xml:space="preserve">August </w:t>
        </w:r>
        <w:r>
          <w:rPr>
            <w:rFonts w:ascii="Arial" w:cs="Arial" w:eastAsia="Arial" w:hAnsi="Arial"/>
            <w:sz w:val="18"/>
            <w:szCs w:val="18"/>
            <w:u w:val="single" w:color="auto"/>
            <w:color w:val="0000EE"/>
          </w:rPr>
          <w:t>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0">
        <w:r>
          <w:rPr>
            <w:rFonts w:ascii="Arial" w:cs="Arial" w:eastAsia="Arial" w:hAnsi="Arial"/>
            <w:sz w:val="18"/>
            <w:szCs w:val="18"/>
            <w:u w:val="single" w:color="auto"/>
            <w:color w:val="0000EE"/>
          </w:rPr>
          <w:t>November 5, 2020</w:t>
        </w:r>
      </w:hyperlink>
      <w:r>
        <w:rPr>
          <w:rFonts w:ascii="Arial" w:cs="Arial" w:eastAsia="Arial" w:hAnsi="Arial"/>
          <w:sz w:val="18"/>
          <w:szCs w:val="18"/>
          <w:color w:val="auto"/>
        </w:rPr>
        <w:t>, respectively;</w:t>
      </w:r>
    </w:p>
    <w:p>
      <w:pPr>
        <w:spacing w:after="0" w:line="143" w:lineRule="exact"/>
        <w:rPr>
          <w:rFonts w:ascii="Arial" w:cs="Arial" w:eastAsia="Arial" w:hAnsi="Arial"/>
          <w:sz w:val="18"/>
          <w:szCs w:val="18"/>
          <w:color w:val="auto"/>
        </w:rPr>
      </w:pPr>
    </w:p>
    <w:p>
      <w:pPr>
        <w:ind w:left="540" w:hanging="532"/>
        <w:spacing w:after="0" w:line="287" w:lineRule="auto"/>
        <w:tabs>
          <w:tab w:leader="none" w:pos="540" w:val="left"/>
        </w:tabs>
        <w:numPr>
          <w:ilvl w:val="0"/>
          <w:numId w:val="113"/>
        </w:numPr>
        <w:rPr>
          <w:rFonts w:ascii="Arial" w:cs="Arial" w:eastAsia="Arial" w:hAnsi="Arial"/>
          <w:sz w:val="16"/>
          <w:szCs w:val="16"/>
          <w:color w:val="0000EE"/>
        </w:rPr>
      </w:pPr>
      <w:r>
        <w:rPr>
          <w:rFonts w:ascii="Arial" w:cs="Arial" w:eastAsia="Arial" w:hAnsi="Arial"/>
          <w:sz w:val="16"/>
          <w:szCs w:val="16"/>
          <w:color w:val="auto"/>
        </w:rPr>
        <w:t xml:space="preserve">our Current Reports on Form 8-K filed with the SEC on </w:t>
      </w:r>
      <w:hyperlink r:id="rId229">
        <w:r>
          <w:rPr>
            <w:rFonts w:ascii="Arial" w:cs="Arial" w:eastAsia="Arial" w:hAnsi="Arial"/>
            <w:sz w:val="16"/>
            <w:szCs w:val="16"/>
            <w:u w:val="single" w:color="auto"/>
            <w:color w:val="0000EE"/>
          </w:rPr>
          <w:t>February 26, 2020</w:t>
        </w:r>
      </w:hyperlink>
      <w:r>
        <w:rPr>
          <w:rFonts w:ascii="Arial" w:cs="Arial" w:eastAsia="Arial" w:hAnsi="Arial"/>
          <w:sz w:val="16"/>
          <w:szCs w:val="16"/>
          <w:color w:val="auto"/>
        </w:rPr>
        <w:t xml:space="preserve">, </w:t>
      </w:r>
      <w:hyperlink r:id="rId230">
        <w:r>
          <w:rPr>
            <w:rFonts w:ascii="Arial" w:cs="Arial" w:eastAsia="Arial" w:hAnsi="Arial"/>
            <w:sz w:val="16"/>
            <w:szCs w:val="16"/>
            <w:u w:val="single" w:color="auto"/>
            <w:color w:val="0000EE"/>
          </w:rPr>
          <w:t>April 1, 2020</w:t>
        </w:r>
      </w:hyperlink>
      <w:r>
        <w:rPr>
          <w:rFonts w:ascii="Arial" w:cs="Arial" w:eastAsia="Arial" w:hAnsi="Arial"/>
          <w:sz w:val="16"/>
          <w:szCs w:val="16"/>
          <w:color w:val="auto"/>
        </w:rPr>
        <w:t xml:space="preserve">, </w:t>
      </w:r>
      <w:hyperlink r:id="rId231">
        <w:r>
          <w:rPr>
            <w:rFonts w:ascii="Arial" w:cs="Arial" w:eastAsia="Arial" w:hAnsi="Arial"/>
            <w:sz w:val="16"/>
            <w:szCs w:val="16"/>
            <w:u w:val="single" w:color="auto"/>
            <w:color w:val="0000EE"/>
          </w:rPr>
          <w:t>April 15, 2020</w:t>
        </w:r>
      </w:hyperlink>
      <w:r>
        <w:rPr>
          <w:rFonts w:ascii="Arial" w:cs="Arial" w:eastAsia="Arial" w:hAnsi="Arial"/>
          <w:sz w:val="16"/>
          <w:szCs w:val="16"/>
          <w:color w:val="auto"/>
        </w:rPr>
        <w:t xml:space="preserve">, </w:t>
      </w:r>
      <w:hyperlink r:id="rId232">
        <w:r>
          <w:rPr>
            <w:rFonts w:ascii="Arial" w:cs="Arial" w:eastAsia="Arial" w:hAnsi="Arial"/>
            <w:sz w:val="16"/>
            <w:szCs w:val="16"/>
            <w:u w:val="single" w:color="auto"/>
            <w:color w:val="0000EE"/>
          </w:rPr>
          <w:t>April 21, 2020</w:t>
        </w:r>
      </w:hyperlink>
      <w:r>
        <w:rPr>
          <w:rFonts w:ascii="Arial" w:cs="Arial" w:eastAsia="Arial" w:hAnsi="Arial"/>
          <w:sz w:val="16"/>
          <w:szCs w:val="16"/>
          <w:color w:val="auto"/>
        </w:rPr>
        <w:t xml:space="preserve">, </w:t>
      </w:r>
      <w:hyperlink r:id="rId233">
        <w:r>
          <w:rPr>
            <w:rFonts w:ascii="Arial" w:cs="Arial" w:eastAsia="Arial" w:hAnsi="Arial"/>
            <w:sz w:val="16"/>
            <w:szCs w:val="16"/>
            <w:u w:val="single" w:color="auto"/>
            <w:color w:val="0000EE"/>
          </w:rPr>
          <w:t>April 24, 2020</w:t>
        </w:r>
      </w:hyperlink>
      <w:r>
        <w:rPr>
          <w:rFonts w:ascii="Arial" w:cs="Arial" w:eastAsia="Arial" w:hAnsi="Arial"/>
          <w:sz w:val="16"/>
          <w:szCs w:val="16"/>
          <w:color w:val="auto"/>
        </w:rPr>
        <w:t xml:space="preserve">, </w:t>
      </w:r>
      <w:hyperlink r:id="rId234">
        <w:r>
          <w:rPr>
            <w:rFonts w:ascii="Arial" w:cs="Arial" w:eastAsia="Arial" w:hAnsi="Arial"/>
            <w:sz w:val="16"/>
            <w:szCs w:val="16"/>
            <w:u w:val="single" w:color="auto"/>
            <w:color w:val="0000EE"/>
          </w:rPr>
          <w:t>June 2,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35">
        <w:r>
          <w:rPr>
            <w:rFonts w:ascii="Arial" w:cs="Arial" w:eastAsia="Arial" w:hAnsi="Arial"/>
            <w:sz w:val="16"/>
            <w:szCs w:val="16"/>
            <w:u w:val="single" w:color="auto"/>
            <w:color w:val="0000EE"/>
          </w:rPr>
          <w:t>June 12,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36">
        <w:r>
          <w:rPr>
            <w:rFonts w:ascii="Arial" w:cs="Arial" w:eastAsia="Arial" w:hAnsi="Arial"/>
            <w:sz w:val="16"/>
            <w:szCs w:val="16"/>
            <w:u w:val="single" w:color="auto"/>
            <w:color w:val="0000EE"/>
          </w:rPr>
          <w:t>June 30,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37">
        <w:r>
          <w:rPr>
            <w:rFonts w:ascii="Arial" w:cs="Arial" w:eastAsia="Arial" w:hAnsi="Arial"/>
            <w:sz w:val="16"/>
            <w:szCs w:val="16"/>
            <w:u w:val="single" w:color="auto"/>
            <w:color w:val="0000EE"/>
          </w:rPr>
          <w:t>July 14,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38">
        <w:r>
          <w:rPr>
            <w:rFonts w:ascii="Arial" w:cs="Arial" w:eastAsia="Arial" w:hAnsi="Arial"/>
            <w:sz w:val="16"/>
            <w:szCs w:val="16"/>
            <w:u w:val="single" w:color="auto"/>
            <w:color w:val="0000EE"/>
          </w:rPr>
          <w:t>August 6,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39">
        <w:r>
          <w:rPr>
            <w:rFonts w:ascii="Arial" w:cs="Arial" w:eastAsia="Arial" w:hAnsi="Arial"/>
            <w:sz w:val="16"/>
            <w:szCs w:val="16"/>
            <w:u w:val="single" w:color="auto"/>
            <w:color w:val="0000EE"/>
          </w:rPr>
          <w:t>October 6,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40">
        <w:r>
          <w:rPr>
            <w:rFonts w:ascii="Arial" w:cs="Arial" w:eastAsia="Arial" w:hAnsi="Arial"/>
            <w:sz w:val="16"/>
            <w:szCs w:val="16"/>
            <w:u w:val="single" w:color="auto"/>
            <w:color w:val="0000EE"/>
          </w:rPr>
          <w:t>October 7,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41">
        <w:r>
          <w:rPr>
            <w:rFonts w:ascii="Arial" w:cs="Arial" w:eastAsia="Arial" w:hAnsi="Arial"/>
            <w:sz w:val="16"/>
            <w:szCs w:val="16"/>
            <w:u w:val="single" w:color="auto"/>
            <w:color w:val="0000EE"/>
          </w:rPr>
          <w:t>October 8,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42">
        <w:r>
          <w:rPr>
            <w:rFonts w:ascii="Arial" w:cs="Arial" w:eastAsia="Arial" w:hAnsi="Arial"/>
            <w:sz w:val="16"/>
            <w:szCs w:val="16"/>
            <w:u w:val="single" w:color="auto"/>
            <w:color w:val="0000EE"/>
          </w:rPr>
          <w:t>October 14,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43">
        <w:r>
          <w:rPr>
            <w:rFonts w:ascii="Arial" w:cs="Arial" w:eastAsia="Arial" w:hAnsi="Arial"/>
            <w:sz w:val="16"/>
            <w:szCs w:val="16"/>
            <w:u w:val="single" w:color="auto"/>
            <w:color w:val="0000EE"/>
          </w:rPr>
          <w:t>October 16,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44">
        <w:r>
          <w:rPr>
            <w:rFonts w:ascii="Arial" w:cs="Arial" w:eastAsia="Arial" w:hAnsi="Arial"/>
            <w:sz w:val="16"/>
            <w:szCs w:val="16"/>
            <w:u w:val="single" w:color="auto"/>
            <w:color w:val="0000EE"/>
          </w:rPr>
          <w:t>October 26,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45">
        <w:r>
          <w:rPr>
            <w:rFonts w:ascii="Arial" w:cs="Arial" w:eastAsia="Arial" w:hAnsi="Arial"/>
            <w:sz w:val="16"/>
            <w:szCs w:val="16"/>
            <w:u w:val="single" w:color="auto"/>
            <w:color w:val="0000EE"/>
          </w:rPr>
          <w:t xml:space="preserve">November 19, 2020, </w:t>
        </w:r>
      </w:hyperlink>
      <w:hyperlink r:id="rId246">
        <w:r>
          <w:rPr>
            <w:rFonts w:ascii="Arial" w:cs="Arial" w:eastAsia="Arial" w:hAnsi="Arial"/>
            <w:sz w:val="16"/>
            <w:szCs w:val="16"/>
            <w:u w:val="single" w:color="auto"/>
            <w:color w:val="0000EE"/>
          </w:rPr>
          <w:t>November 25,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47">
        <w:r>
          <w:rPr>
            <w:rFonts w:ascii="Arial" w:cs="Arial" w:eastAsia="Arial" w:hAnsi="Arial"/>
            <w:sz w:val="16"/>
            <w:szCs w:val="16"/>
            <w:u w:val="single" w:color="auto"/>
            <w:color w:val="0000EE"/>
          </w:rPr>
          <w:t xml:space="preserve">December 4, 2020, </w:t>
        </w:r>
      </w:hyperlink>
      <w:hyperlink r:id="rId248">
        <w:r>
          <w:rPr>
            <w:rFonts w:ascii="Arial" w:cs="Arial" w:eastAsia="Arial" w:hAnsi="Arial"/>
            <w:sz w:val="16"/>
            <w:szCs w:val="16"/>
            <w:u w:val="single" w:color="auto"/>
            <w:color w:val="0000EE"/>
          </w:rPr>
          <w:t>December 9,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49">
        <w:r>
          <w:rPr>
            <w:rFonts w:ascii="Arial" w:cs="Arial" w:eastAsia="Arial" w:hAnsi="Arial"/>
            <w:sz w:val="16"/>
            <w:szCs w:val="16"/>
            <w:u w:val="single" w:color="auto"/>
            <w:color w:val="0000EE"/>
          </w:rPr>
          <w:t>December 16,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50">
        <w:r>
          <w:rPr>
            <w:rFonts w:ascii="Arial" w:cs="Arial" w:eastAsia="Arial" w:hAnsi="Arial"/>
            <w:sz w:val="16"/>
            <w:szCs w:val="16"/>
            <w:u w:val="single" w:color="auto"/>
            <w:color w:val="0000EE"/>
          </w:rPr>
          <w:t>December 18,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51">
        <w:r>
          <w:rPr>
            <w:rFonts w:ascii="Arial" w:cs="Arial" w:eastAsia="Arial" w:hAnsi="Arial"/>
            <w:sz w:val="16"/>
            <w:szCs w:val="16"/>
            <w:u w:val="single" w:color="auto"/>
            <w:color w:val="0000EE"/>
          </w:rPr>
          <w:t>December 18,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52">
        <w:r>
          <w:rPr>
            <w:rFonts w:ascii="Arial" w:cs="Arial" w:eastAsia="Arial" w:hAnsi="Arial"/>
            <w:sz w:val="16"/>
            <w:szCs w:val="16"/>
            <w:u w:val="single" w:color="auto"/>
            <w:color w:val="0000EE"/>
          </w:rPr>
          <w:t>December 22,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253">
        <w:r>
          <w:rPr>
            <w:rFonts w:ascii="Arial" w:cs="Arial" w:eastAsia="Arial" w:hAnsi="Arial"/>
            <w:sz w:val="16"/>
            <w:szCs w:val="16"/>
            <w:u w:val="single" w:color="auto"/>
            <w:color w:val="0000EE"/>
          </w:rPr>
          <w:t>December 28, 2020</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and</w:t>
      </w:r>
      <w:r>
        <w:rPr>
          <w:rFonts w:ascii="Arial" w:cs="Arial" w:eastAsia="Arial" w:hAnsi="Arial"/>
          <w:sz w:val="16"/>
          <w:szCs w:val="16"/>
          <w:color w:val="0000EE"/>
        </w:rPr>
        <w:t xml:space="preserve"> </w:t>
      </w:r>
      <w:hyperlink r:id="rId254">
        <w:r>
          <w:rPr>
            <w:rFonts w:ascii="Arial" w:cs="Arial" w:eastAsia="Arial" w:hAnsi="Arial"/>
            <w:sz w:val="16"/>
            <w:szCs w:val="16"/>
            <w:u w:val="single" w:color="auto"/>
            <w:color w:val="0000EE"/>
          </w:rPr>
          <w:t>January 22, 2021</w:t>
        </w:r>
      </w:hyperlink>
      <w:r>
        <w:rPr>
          <w:rFonts w:ascii="Arial" w:cs="Arial" w:eastAsia="Arial" w:hAnsi="Arial"/>
          <w:sz w:val="16"/>
          <w:szCs w:val="16"/>
          <w:color w:val="000000"/>
        </w:rPr>
        <w:t>;</w:t>
      </w:r>
    </w:p>
    <w:p>
      <w:pPr>
        <w:spacing w:after="0" w:line="145" w:lineRule="exact"/>
        <w:rPr>
          <w:rFonts w:ascii="Arial" w:cs="Arial" w:eastAsia="Arial" w:hAnsi="Arial"/>
          <w:sz w:val="16"/>
          <w:szCs w:val="16"/>
          <w:color w:val="0000EE"/>
        </w:rPr>
      </w:pPr>
    </w:p>
    <w:p>
      <w:pPr>
        <w:ind w:left="540" w:right="40" w:hanging="532"/>
        <w:spacing w:after="0" w:line="252" w:lineRule="auto"/>
        <w:tabs>
          <w:tab w:leader="none" w:pos="540" w:val="left"/>
        </w:tabs>
        <w:numPr>
          <w:ilvl w:val="0"/>
          <w:numId w:val="113"/>
        </w:numPr>
        <w:rPr>
          <w:rFonts w:ascii="Arial" w:cs="Arial" w:eastAsia="Arial" w:hAnsi="Arial"/>
          <w:sz w:val="18"/>
          <w:szCs w:val="18"/>
          <w:u w:val="single" w:color="auto"/>
          <w:color w:val="0000EE"/>
        </w:rPr>
      </w:pPr>
      <w:hyperlink r:id="rId255">
        <w:r>
          <w:rPr>
            <w:rFonts w:ascii="Arial" w:cs="Arial" w:eastAsia="Arial" w:hAnsi="Arial"/>
            <w:sz w:val="18"/>
            <w:szCs w:val="18"/>
            <w:u w:val="single" w:color="auto"/>
            <w:color w:val="0000EE"/>
          </w:rPr>
          <w:t>the description of our common stock contained in our registration statement on Form 8-A (Registration No. 001-38650) filed with the SEC</w:t>
        </w:r>
      </w:hyperlink>
      <w:r>
        <w:rPr>
          <w:rFonts w:ascii="Arial" w:cs="Arial" w:eastAsia="Arial" w:hAnsi="Arial"/>
          <w:sz w:val="18"/>
          <w:szCs w:val="18"/>
          <w:u w:val="single" w:color="auto"/>
          <w:color w:val="0000EE"/>
        </w:rPr>
        <w:t xml:space="preserve"> </w:t>
      </w:r>
      <w:hyperlink r:id="rId255">
        <w:r>
          <w:rPr>
            <w:rFonts w:ascii="Arial" w:cs="Arial" w:eastAsia="Arial" w:hAnsi="Arial"/>
            <w:sz w:val="18"/>
            <w:szCs w:val="18"/>
            <w:u w:val="single" w:color="auto"/>
            <w:color w:val="0000EE"/>
          </w:rPr>
          <w:t>on September 11, 2018 under Section 12(b) of the Exchange Act, including any amendments or reports filed for the purpose of updating</w:t>
        </w:r>
      </w:hyperlink>
      <w:r>
        <w:rPr>
          <w:rFonts w:ascii="Arial" w:cs="Arial" w:eastAsia="Arial" w:hAnsi="Arial"/>
          <w:sz w:val="18"/>
          <w:szCs w:val="18"/>
          <w:u w:val="single" w:color="auto"/>
          <w:color w:val="0000EE"/>
        </w:rPr>
        <w:t xml:space="preserve"> </w:t>
      </w:r>
      <w:hyperlink r:id="rId255">
        <w:r>
          <w:rPr>
            <w:rFonts w:ascii="Arial" w:cs="Arial" w:eastAsia="Arial" w:hAnsi="Arial"/>
            <w:sz w:val="18"/>
            <w:szCs w:val="18"/>
            <w:u w:val="single" w:color="auto"/>
            <w:color w:val="0000EE"/>
          </w:rPr>
          <w:t>such description; and</w:t>
        </w:r>
      </w:hyperlink>
    </w:p>
    <w:p>
      <w:pPr>
        <w:spacing w:after="0" w:line="158" w:lineRule="exact"/>
        <w:rPr>
          <w:rFonts w:ascii="Arial" w:cs="Arial" w:eastAsia="Arial" w:hAnsi="Arial"/>
          <w:sz w:val="18"/>
          <w:szCs w:val="18"/>
          <w:u w:val="single" w:color="auto"/>
          <w:color w:val="0000EE"/>
        </w:rPr>
      </w:pPr>
    </w:p>
    <w:p>
      <w:pPr>
        <w:ind w:left="540" w:right="60" w:hanging="532"/>
        <w:spacing w:after="0" w:line="246"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reports and other documents subsequently filed by us pursuant to Sections 13(a), 13(c), 14 and 15(d) of the Exchange Act after the date of this prospectus supplement and prior to the termination or completion of the offering of securities under this prospectus supplement shall be deemed to be incorporated by reference in this prospectus supplement and to be a part hereof from the date of filing such reports and other documents.</w:t>
      </w:r>
    </w:p>
    <w:p>
      <w:pPr>
        <w:spacing w:after="0" w:line="177"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The SEC file number for each of the documents listed above is 001-38650.</w:t>
      </w:r>
    </w:p>
    <w:p>
      <w:pPr>
        <w:spacing w:after="0" w:line="212" w:lineRule="exact"/>
        <w:rPr>
          <w:rFonts w:ascii="Arial" w:cs="Arial" w:eastAsia="Arial" w:hAnsi="Arial"/>
          <w:sz w:val="18"/>
          <w:szCs w:val="18"/>
          <w:u w:val="single" w:color="auto"/>
          <w:color w:val="0000EE"/>
        </w:rPr>
      </w:pPr>
    </w:p>
    <w:p>
      <w:pPr>
        <w:ind w:right="200"/>
        <w:spacing w:after="0" w:line="277" w:lineRule="auto"/>
        <w:rPr>
          <w:sz w:val="20"/>
          <w:szCs w:val="20"/>
          <w:color w:val="auto"/>
        </w:rPr>
      </w:pPr>
      <w:r>
        <w:rPr>
          <w:rFonts w:ascii="Arial" w:cs="Arial" w:eastAsia="Arial" w:hAnsi="Arial"/>
          <w:sz w:val="16"/>
          <w:szCs w:val="16"/>
          <w:color w:val="auto"/>
        </w:rPr>
        <w:t>Any statement contained in this prospectus supplement, the accompanying prospectus or in a document incorporated or deemed to be incorporated by reference into this prospectus supplement or the accompanying prospectus will be deemed to be modified or superseded for purposes of this prospectus supplement and the accompanying prospectus to the extent that a statement contained in this prospectus supplement, the accompanying prospectus or any other subsequently filed document that is deemed to be incorporated by reference into this prospectus supplement or the accompanying prospectus modifies or supersedes the statement. Any statement so modified or superseded will not be deemed, except as so modified or superseded, to constitute a part of this prospectus supplement and the accompanying prospectus.</w:t>
      </w:r>
    </w:p>
    <w:p>
      <w:pPr>
        <w:spacing w:after="0" w:line="157" w:lineRule="exact"/>
        <w:rPr>
          <w:rFonts w:ascii="Arial" w:cs="Arial" w:eastAsia="Arial" w:hAnsi="Arial"/>
          <w:sz w:val="18"/>
          <w:szCs w:val="18"/>
          <w:u w:val="single" w:color="auto"/>
          <w:color w:val="0000EE"/>
        </w:rPr>
      </w:pPr>
    </w:p>
    <w:p>
      <w:pPr>
        <w:ind w:right="100"/>
        <w:spacing w:after="0" w:line="241" w:lineRule="auto"/>
        <w:rPr>
          <w:sz w:val="20"/>
          <w:szCs w:val="20"/>
          <w:color w:val="auto"/>
        </w:rPr>
      </w:pPr>
      <w:r>
        <w:rPr>
          <w:rFonts w:ascii="Arial" w:cs="Arial" w:eastAsia="Arial" w:hAnsi="Arial"/>
          <w:sz w:val="18"/>
          <w:szCs w:val="18"/>
          <w:color w:val="auto"/>
        </w:rPr>
        <w:t>Upon request, we will provide, without charge, to each person, including any beneficial owner, to whom a copy of this prospectus supplement is delivered, a copy of the documents incorporated by reference into this prospectus supplement and the accompanying prospectus but not delivered with the prospectus supplement or the accompanying prospectus. You may request a copy of these filings, and any exhibits we have specifically incorporated by reference as an exhibit in this prospectus supplement and the accompanying prospectus, at no cost by writing or telephoning us at the following address: Y-mAbs Therapeutics, Inc., 230 Park Avenue, Suite 3350, New York, NY 10169, Attention: Secretary or by telephone request to (646) 885-8505.</w:t>
      </w:r>
    </w:p>
    <w:p>
      <w:pPr>
        <w:spacing w:after="0" w:line="184"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S-184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This prospectus supplement and the accompanying prospectus is part of a registration statement we filed with the SEC. We have incorporated exhibits into this registration statement. You should read the exhibits carefully for provisions that may be important to you.</w:t>
      </w:r>
    </w:p>
    <w:p>
      <w:pPr>
        <w:spacing w:after="0" w:line="15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and accompanying prospectus. We have not, and the underwriters have not, authorized anyone to provide you with different information. We and the underwriters are not making an offer of these securities in any jurisdiction where the offer is not permitted. You should not assume that the information in this prospectus supplement or the accompanying prospectus or in the documents incorporated by reference is accurate as of any date other than the date on the front of this prospectus supplement, the accompanying prospectus or those documents.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6130"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153035</wp:posOffset>
            </wp:positionV>
            <wp:extent cx="2648585" cy="9347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8">
                      <a:extLst>
                        <a:ext uri="{28A0092B-C50C-407E-A947-70E740481C1C}"/>
                      </a:extLst>
                    </a:blip>
                    <a:srcRect/>
                    <a:stretch>
                      <a:fillRect/>
                    </a:stretch>
                  </pic:blipFill>
                  <pic:spPr bwMode="auto">
                    <a:xfrm>
                      <a:off x="0" y="0"/>
                      <a:ext cx="264858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$300,000,000</w:t>
      </w:r>
    </w:p>
    <w:p>
      <w:pPr>
        <w:spacing w:after="0" w:line="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Preferred Stock</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Debt Securities</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Warrants</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Units</w:t>
      </w:r>
    </w:p>
    <w:p>
      <w:pPr>
        <w:spacing w:after="0" w:line="210"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may from time to time issue, in one or more series, classes or combination, up to $300,000,000 in aggregate principal amount of the securities described in this prospectus in one or more offerings. We may offer these securities separately or together in units. We will specify in the applicable prospectus supplement the terms of the securities being offered. We may also authorize one or more free writing prospectuses to be provided to you in connection with these offerings. The prospectus supplement and any related free writing prospectus may also add, update or change information contained in this prospectus. See "Plan of Distribution" below for additional information on how we may conduct sales of our common stock.</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securities offered by us in this prospectus may be sold directly to investors, to or through underwriters and also to other purchasers or through agents.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set forth the names of any underwriters or agents, and any fees, conversions or discount arrangements, in the applicable prospectus supplement.</w:t>
      </w:r>
    </w:p>
    <w:p>
      <w:pPr>
        <w:spacing w:after="0" w:line="213" w:lineRule="exact"/>
        <w:rPr>
          <w:sz w:val="20"/>
          <w:szCs w:val="20"/>
          <w:color w:val="auto"/>
        </w:rPr>
      </w:pPr>
    </w:p>
    <w:p>
      <w:pPr>
        <w:ind w:right="220" w:firstLine="344"/>
        <w:spacing w:after="0" w:line="275" w:lineRule="auto"/>
        <w:rPr>
          <w:sz w:val="20"/>
          <w:szCs w:val="20"/>
          <w:color w:val="auto"/>
        </w:rPr>
      </w:pPr>
      <w:r>
        <w:rPr>
          <w:rFonts w:ascii="Times New Roman" w:cs="Times New Roman" w:eastAsia="Times New Roman" w:hAnsi="Times New Roman"/>
          <w:sz w:val="18"/>
          <w:szCs w:val="18"/>
          <w:color w:val="auto"/>
        </w:rPr>
        <w:t>You should carefully read this prospectus, any prospectus supplement or amendment and any related free writing prospectus, as well as any documents incorporated by reference, before you invest in our securities.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accompanied by a prospectus supplement.</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"YMAB." On September 26, 2019, the closing price for our common stock, as reported on the Nasdaq Global Select Market, was $26.98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119380</wp:posOffset>
            </wp:positionV>
            <wp:extent cx="186880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9">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60" w:firstLine="351"/>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under the heading "Risk Factors" contained in this prospectus beginning on page 2 of this prospectus and similar section contained in any applicable prospectus supplement, and under similar headings in the other documents that are incorporated by reference into this prospectus.</w:t>
      </w:r>
    </w:p>
    <w:p>
      <w:pPr>
        <w:spacing w:after="0" w:line="187" w:lineRule="exact"/>
        <w:rPr>
          <w:sz w:val="20"/>
          <w:szCs w:val="20"/>
          <w:color w:val="auto"/>
        </w:rPr>
      </w:pPr>
    </w:p>
    <w:p>
      <w:pPr>
        <w:ind w:right="6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118745</wp:posOffset>
            </wp:positionV>
            <wp:extent cx="186880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date of this prospectus is October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136130"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187" w:name="page188"/>
    <w:bookmarkEnd w:id="18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838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189">
              <w:r>
                <w:rPr>
                  <w:rFonts w:ascii="Times New Roman" w:cs="Times New Roman" w:eastAsia="Times New Roman" w:hAnsi="Times New Roman"/>
                  <w:sz w:val="18"/>
                  <w:szCs w:val="18"/>
                  <w:u w:val="single" w:color="auto"/>
                  <w:color w:val="0000EE"/>
                </w:rPr>
                <w:t>ABOUT THIS PROSPECTUS</w:t>
              </w:r>
            </w:hyperlink>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95"/>
        </w:trPr>
        <w:tc>
          <w:tcPr>
            <w:tcW w:w="8380" w:type="dxa"/>
            <w:vAlign w:val="bottom"/>
            <w:vMerge w:val="continue"/>
          </w:tcPr>
          <w:p>
            <w:pPr>
              <w:spacing w:after="0"/>
              <w:rPr>
                <w:sz w:val="16"/>
                <w:szCs w:val="16"/>
                <w:color w:val="auto"/>
              </w:rPr>
            </w:pPr>
          </w:p>
        </w:tc>
        <w:tc>
          <w:tcPr>
            <w:tcW w:w="420" w:type="dxa"/>
            <w:vAlign w:val="bottom"/>
            <w:tcBorders>
              <w:top w:val="single" w:sz="8" w:color="auto"/>
            </w:tcBorders>
          </w:tcPr>
          <w:p>
            <w:pPr>
              <w:jc w:val="right"/>
              <w:spacing w:after="0" w:line="195" w:lineRule="exact"/>
              <w:rPr>
                <w:rFonts w:ascii="Times New Roman" w:cs="Times New Roman" w:eastAsia="Times New Roman" w:hAnsi="Times New Roman"/>
                <w:sz w:val="18"/>
                <w:szCs w:val="18"/>
                <w:u w:val="single" w:color="auto"/>
                <w:color w:val="0000EE"/>
              </w:rPr>
            </w:pPr>
            <w:hyperlink w:anchor="page189">
              <w:r>
                <w:rPr>
                  <w:rFonts w:ascii="Times New Roman" w:cs="Times New Roman" w:eastAsia="Times New Roman" w:hAnsi="Times New Roman"/>
                  <w:sz w:val="18"/>
                  <w:szCs w:val="18"/>
                  <w:u w:val="single" w:color="auto"/>
                  <w:color w:val="0000EE"/>
                </w:rPr>
                <w:t>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rFonts w:ascii="Times New Roman" w:cs="Times New Roman" w:eastAsia="Times New Roman" w:hAnsi="Times New Roman"/>
                <w:sz w:val="18"/>
                <w:szCs w:val="18"/>
                <w:u w:val="single" w:color="auto"/>
                <w:color w:val="0000EE"/>
              </w:rPr>
            </w:pPr>
            <w:hyperlink w:anchor="page190">
              <w:r>
                <w:rPr>
                  <w:rFonts w:ascii="Times New Roman" w:cs="Times New Roman" w:eastAsia="Times New Roman" w:hAnsi="Times New Roman"/>
                  <w:sz w:val="18"/>
                  <w:szCs w:val="18"/>
                  <w:u w:val="single" w:color="auto"/>
                  <w:color w:val="0000EE"/>
                </w:rPr>
                <w:t>RISK FACTORS</w:t>
              </w:r>
            </w:hyperlink>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90">
              <w:r>
                <w:rPr>
                  <w:rFonts w:ascii="Times New Roman" w:cs="Times New Roman" w:eastAsia="Times New Roman" w:hAnsi="Times New Roman"/>
                  <w:sz w:val="18"/>
                  <w:szCs w:val="18"/>
                  <w:u w:val="single" w:color="auto"/>
                  <w:color w:val="0000EE"/>
                </w:rPr>
                <w:t>2</w:t>
              </w:r>
            </w:hyperlink>
          </w:p>
        </w:tc>
        <w:tc>
          <w:tcPr>
            <w:tcW w:w="0" w:type="dxa"/>
            <w:vAlign w:val="bottom"/>
          </w:tcPr>
          <w:p>
            <w:pPr>
              <w:spacing w:after="0"/>
              <w:rPr>
                <w:sz w:val="1"/>
                <w:szCs w:val="1"/>
                <w:color w:val="auto"/>
              </w:rPr>
            </w:pPr>
          </w:p>
        </w:tc>
      </w:tr>
      <w:tr>
        <w:trPr>
          <w:trHeight w:val="216"/>
        </w:trPr>
        <w:tc>
          <w:tcPr>
            <w:tcW w:w="8380" w:type="dxa"/>
            <w:vAlign w:val="bottom"/>
          </w:tcPr>
          <w:p>
            <w:pPr>
              <w:spacing w:after="0"/>
              <w:rPr>
                <w:rFonts w:ascii="Times New Roman" w:cs="Times New Roman" w:eastAsia="Times New Roman" w:hAnsi="Times New Roman"/>
                <w:sz w:val="18"/>
                <w:szCs w:val="18"/>
                <w:u w:val="single" w:color="auto"/>
                <w:color w:val="0000EE"/>
              </w:rPr>
            </w:pPr>
            <w:hyperlink w:anchor="page191">
              <w:r>
                <w:rPr>
                  <w:rFonts w:ascii="Times New Roman" w:cs="Times New Roman" w:eastAsia="Times New Roman" w:hAnsi="Times New Roman"/>
                  <w:sz w:val="18"/>
                  <w:szCs w:val="18"/>
                  <w:u w:val="single" w:color="auto"/>
                  <w:color w:val="0000EE"/>
                </w:rPr>
                <w:t>CAUTIONARY STATEMENT REGARDING FORWARD-LOOKING STATEMENTS</w:t>
              </w:r>
            </w:hyperlink>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91">
              <w:r>
                <w:rPr>
                  <w:rFonts w:ascii="Times New Roman" w:cs="Times New Roman" w:eastAsia="Times New Roman" w:hAnsi="Times New Roman"/>
                  <w:sz w:val="18"/>
                  <w:szCs w:val="18"/>
                  <w:u w:val="single" w:color="auto"/>
                  <w:color w:val="0000EE"/>
                </w:rPr>
                <w:t>3</w:t>
              </w:r>
            </w:hyperlink>
          </w:p>
        </w:tc>
        <w:tc>
          <w:tcPr>
            <w:tcW w:w="0" w:type="dxa"/>
            <w:vAlign w:val="bottom"/>
          </w:tcPr>
          <w:p>
            <w:pPr>
              <w:spacing w:after="0"/>
              <w:rPr>
                <w:sz w:val="1"/>
                <w:szCs w:val="1"/>
                <w:color w:val="auto"/>
              </w:rPr>
            </w:pPr>
          </w:p>
        </w:tc>
      </w:tr>
      <w:tr>
        <w:trPr>
          <w:trHeight w:val="216"/>
        </w:trPr>
        <w:tc>
          <w:tcPr>
            <w:tcW w:w="8380" w:type="dxa"/>
            <w:vAlign w:val="bottom"/>
          </w:tcPr>
          <w:p>
            <w:pPr>
              <w:spacing w:after="0"/>
              <w:rPr>
                <w:rFonts w:ascii="Times New Roman" w:cs="Times New Roman" w:eastAsia="Times New Roman" w:hAnsi="Times New Roman"/>
                <w:sz w:val="18"/>
                <w:szCs w:val="18"/>
                <w:u w:val="single" w:color="auto"/>
                <w:color w:val="0000EE"/>
              </w:rPr>
            </w:pPr>
            <w:hyperlink w:anchor="page193">
              <w:r>
                <w:rPr>
                  <w:rFonts w:ascii="Times New Roman" w:cs="Times New Roman" w:eastAsia="Times New Roman" w:hAnsi="Times New Roman"/>
                  <w:sz w:val="18"/>
                  <w:szCs w:val="18"/>
                  <w:u w:val="single" w:color="auto"/>
                  <w:color w:val="0000EE"/>
                </w:rPr>
                <w:t>THE COMPANY</w:t>
              </w:r>
            </w:hyperlink>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93">
              <w:r>
                <w:rPr>
                  <w:rFonts w:ascii="Times New Roman" w:cs="Times New Roman" w:eastAsia="Times New Roman" w:hAnsi="Times New Roman"/>
                  <w:sz w:val="18"/>
                  <w:szCs w:val="18"/>
                  <w:u w:val="single" w:color="auto"/>
                  <w:color w:val="0000EE"/>
                </w:rPr>
                <w:t>5</w:t>
              </w:r>
            </w:hyperlink>
          </w:p>
        </w:tc>
        <w:tc>
          <w:tcPr>
            <w:tcW w:w="0" w:type="dxa"/>
            <w:vAlign w:val="bottom"/>
          </w:tcPr>
          <w:p>
            <w:pPr>
              <w:spacing w:after="0"/>
              <w:rPr>
                <w:sz w:val="1"/>
                <w:szCs w:val="1"/>
                <w:color w:val="auto"/>
              </w:rPr>
            </w:pPr>
          </w:p>
        </w:tc>
      </w:tr>
      <w:tr>
        <w:trPr>
          <w:trHeight w:val="216"/>
        </w:trPr>
        <w:tc>
          <w:tcPr>
            <w:tcW w:w="8380" w:type="dxa"/>
            <w:vAlign w:val="bottom"/>
          </w:tcPr>
          <w:p>
            <w:pPr>
              <w:spacing w:after="0"/>
              <w:rPr>
                <w:rFonts w:ascii="Times New Roman" w:cs="Times New Roman" w:eastAsia="Times New Roman" w:hAnsi="Times New Roman"/>
                <w:sz w:val="18"/>
                <w:szCs w:val="18"/>
                <w:u w:val="single" w:color="auto"/>
                <w:color w:val="0000EE"/>
              </w:rPr>
            </w:pPr>
            <w:hyperlink w:anchor="page194">
              <w:r>
                <w:rPr>
                  <w:rFonts w:ascii="Times New Roman" w:cs="Times New Roman" w:eastAsia="Times New Roman" w:hAnsi="Times New Roman"/>
                  <w:sz w:val="18"/>
                  <w:szCs w:val="18"/>
                  <w:u w:val="single" w:color="auto"/>
                  <w:color w:val="0000EE"/>
                </w:rPr>
                <w:t>USE OF PROCEEDS</w:t>
              </w:r>
            </w:hyperlink>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94">
              <w:r>
                <w:rPr>
                  <w:rFonts w:ascii="Times New Roman" w:cs="Times New Roman" w:eastAsia="Times New Roman" w:hAnsi="Times New Roman"/>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8380" w:type="dxa"/>
            <w:vAlign w:val="bottom"/>
          </w:tcPr>
          <w:p>
            <w:pPr>
              <w:spacing w:after="0"/>
              <w:rPr>
                <w:rFonts w:ascii="Times New Roman" w:cs="Times New Roman" w:eastAsia="Times New Roman" w:hAnsi="Times New Roman"/>
                <w:sz w:val="18"/>
                <w:szCs w:val="18"/>
                <w:u w:val="single" w:color="auto"/>
                <w:color w:val="0000EE"/>
              </w:rPr>
            </w:pPr>
            <w:hyperlink w:anchor="page195">
              <w:r>
                <w:rPr>
                  <w:rFonts w:ascii="Times New Roman" w:cs="Times New Roman" w:eastAsia="Times New Roman" w:hAnsi="Times New Roman"/>
                  <w:sz w:val="18"/>
                  <w:szCs w:val="18"/>
                  <w:u w:val="single" w:color="auto"/>
                  <w:color w:val="0000EE"/>
                </w:rPr>
                <w:t>SECURITIES WE MAY OFFER</w:t>
              </w:r>
            </w:hyperlink>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95">
              <w:r>
                <w:rPr>
                  <w:rFonts w:ascii="Times New Roman" w:cs="Times New Roman" w:eastAsia="Times New Roman" w:hAnsi="Times New Roman"/>
                  <w:sz w:val="18"/>
                  <w:szCs w:val="18"/>
                  <w:u w:val="single" w:color="auto"/>
                  <w:color w:val="0000EE"/>
                </w:rPr>
                <w:t>7</w:t>
              </w:r>
            </w:hyperlink>
          </w:p>
        </w:tc>
        <w:tc>
          <w:tcPr>
            <w:tcW w:w="0" w:type="dxa"/>
            <w:vAlign w:val="bottom"/>
          </w:tcPr>
          <w:p>
            <w:pPr>
              <w:spacing w:after="0"/>
              <w:rPr>
                <w:sz w:val="1"/>
                <w:szCs w:val="1"/>
                <w:color w:val="auto"/>
              </w:rPr>
            </w:pPr>
          </w:p>
        </w:tc>
      </w:tr>
      <w:tr>
        <w:trPr>
          <w:trHeight w:val="216"/>
        </w:trPr>
        <w:tc>
          <w:tcPr>
            <w:tcW w:w="8380" w:type="dxa"/>
            <w:vAlign w:val="bottom"/>
          </w:tcPr>
          <w:p>
            <w:pPr>
              <w:spacing w:after="0"/>
              <w:rPr>
                <w:rFonts w:ascii="Times New Roman" w:cs="Times New Roman" w:eastAsia="Times New Roman" w:hAnsi="Times New Roman"/>
                <w:sz w:val="18"/>
                <w:szCs w:val="18"/>
                <w:u w:val="single" w:color="auto"/>
                <w:color w:val="0000EE"/>
              </w:rPr>
            </w:pPr>
            <w:hyperlink w:anchor="page196">
              <w:r>
                <w:rPr>
                  <w:rFonts w:ascii="Times New Roman" w:cs="Times New Roman" w:eastAsia="Times New Roman" w:hAnsi="Times New Roman"/>
                  <w:sz w:val="18"/>
                  <w:szCs w:val="18"/>
                  <w:u w:val="single" w:color="auto"/>
                  <w:color w:val="0000EE"/>
                </w:rPr>
                <w:t>DESCRIPTION OF CAPITAL STOCK</w:t>
              </w:r>
            </w:hyperlink>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96">
              <w:r>
                <w:rPr>
                  <w:rFonts w:ascii="Times New Roman" w:cs="Times New Roman" w:eastAsia="Times New Roman" w:hAnsi="Times New Roman"/>
                  <w:sz w:val="18"/>
                  <w:szCs w:val="18"/>
                  <w:u w:val="single" w:color="auto"/>
                  <w:color w:val="0000EE"/>
                </w:rPr>
                <w:t>8</w:t>
              </w:r>
            </w:hyperlink>
          </w:p>
        </w:tc>
        <w:tc>
          <w:tcPr>
            <w:tcW w:w="0" w:type="dxa"/>
            <w:vAlign w:val="bottom"/>
          </w:tcPr>
          <w:p>
            <w:pPr>
              <w:spacing w:after="0"/>
              <w:rPr>
                <w:sz w:val="1"/>
                <w:szCs w:val="1"/>
                <w:color w:val="auto"/>
              </w:rPr>
            </w:pPr>
          </w:p>
        </w:tc>
      </w:tr>
      <w:tr>
        <w:trPr>
          <w:trHeight w:val="216"/>
        </w:trPr>
        <w:tc>
          <w:tcPr>
            <w:tcW w:w="8380" w:type="dxa"/>
            <w:vAlign w:val="bottom"/>
          </w:tcPr>
          <w:p>
            <w:pPr>
              <w:spacing w:after="0"/>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DESCRIPTION OF DEBT SECURITIES</w:t>
              </w:r>
            </w:hyperlink>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13</w:t>
              </w:r>
            </w:hyperlink>
          </w:p>
        </w:tc>
        <w:tc>
          <w:tcPr>
            <w:tcW w:w="0" w:type="dxa"/>
            <w:vAlign w:val="bottom"/>
          </w:tcPr>
          <w:p>
            <w:pPr>
              <w:spacing w:after="0"/>
              <w:rPr>
                <w:sz w:val="1"/>
                <w:szCs w:val="1"/>
                <w:color w:val="auto"/>
              </w:rPr>
            </w:pPr>
          </w:p>
        </w:tc>
      </w:tr>
      <w:tr>
        <w:trPr>
          <w:trHeight w:val="216"/>
        </w:trPr>
        <w:tc>
          <w:tcPr>
            <w:tcW w:w="8380" w:type="dxa"/>
            <w:vAlign w:val="bottom"/>
          </w:tcPr>
          <w:p>
            <w:pPr>
              <w:spacing w:after="0"/>
              <w:rPr>
                <w:rFonts w:ascii="Times New Roman" w:cs="Times New Roman" w:eastAsia="Times New Roman" w:hAnsi="Times New Roman"/>
                <w:sz w:val="18"/>
                <w:szCs w:val="18"/>
                <w:u w:val="single" w:color="auto"/>
                <w:color w:val="0000EE"/>
              </w:rPr>
            </w:pPr>
            <w:hyperlink w:anchor="page209">
              <w:r>
                <w:rPr>
                  <w:rFonts w:ascii="Times New Roman" w:cs="Times New Roman" w:eastAsia="Times New Roman" w:hAnsi="Times New Roman"/>
                  <w:sz w:val="18"/>
                  <w:szCs w:val="18"/>
                  <w:u w:val="single" w:color="auto"/>
                  <w:color w:val="0000EE"/>
                </w:rPr>
                <w:t>DESCRIPTION OF WARRANTS</w:t>
              </w:r>
            </w:hyperlink>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09">
              <w:r>
                <w:rPr>
                  <w:rFonts w:ascii="Times New Roman" w:cs="Times New Roman" w:eastAsia="Times New Roman" w:hAnsi="Times New Roman"/>
                  <w:sz w:val="18"/>
                  <w:szCs w:val="18"/>
                  <w:u w:val="single" w:color="auto"/>
                  <w:color w:val="0000EE"/>
                </w:rPr>
                <w:t>21</w:t>
              </w:r>
            </w:hyperlink>
          </w:p>
        </w:tc>
        <w:tc>
          <w:tcPr>
            <w:tcW w:w="0" w:type="dxa"/>
            <w:vAlign w:val="bottom"/>
          </w:tcPr>
          <w:p>
            <w:pPr>
              <w:spacing w:after="0"/>
              <w:rPr>
                <w:sz w:val="1"/>
                <w:szCs w:val="1"/>
                <w:color w:val="auto"/>
              </w:rPr>
            </w:pPr>
          </w:p>
        </w:tc>
      </w:tr>
      <w:tr>
        <w:trPr>
          <w:trHeight w:val="216"/>
        </w:trPr>
        <w:tc>
          <w:tcPr>
            <w:tcW w:w="8380" w:type="dxa"/>
            <w:vAlign w:val="bottom"/>
          </w:tcPr>
          <w:p>
            <w:pPr>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DESCRIPTION OF UNITS</w:t>
              </w:r>
            </w:hyperlink>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23</w:t>
              </w:r>
            </w:hyperlink>
          </w:p>
        </w:tc>
        <w:tc>
          <w:tcPr>
            <w:tcW w:w="0" w:type="dxa"/>
            <w:vAlign w:val="bottom"/>
          </w:tcPr>
          <w:p>
            <w:pPr>
              <w:spacing w:after="0"/>
              <w:rPr>
                <w:sz w:val="1"/>
                <w:szCs w:val="1"/>
                <w:color w:val="auto"/>
              </w:rPr>
            </w:pPr>
          </w:p>
        </w:tc>
      </w:tr>
      <w:tr>
        <w:trPr>
          <w:trHeight w:val="216"/>
        </w:trPr>
        <w:tc>
          <w:tcPr>
            <w:tcW w:w="8380" w:type="dxa"/>
            <w:vAlign w:val="bottom"/>
          </w:tcPr>
          <w:p>
            <w:pPr>
              <w:spacing w:after="0"/>
              <w:rPr>
                <w:rFonts w:ascii="Times New Roman" w:cs="Times New Roman" w:eastAsia="Times New Roman" w:hAnsi="Times New Roman"/>
                <w:sz w:val="18"/>
                <w:szCs w:val="18"/>
                <w:u w:val="single" w:color="auto"/>
                <w:color w:val="0000EE"/>
              </w:rPr>
            </w:pPr>
            <w:hyperlink w:anchor="page212">
              <w:r>
                <w:rPr>
                  <w:rFonts w:ascii="Times New Roman" w:cs="Times New Roman" w:eastAsia="Times New Roman" w:hAnsi="Times New Roman"/>
                  <w:sz w:val="18"/>
                  <w:szCs w:val="18"/>
                  <w:u w:val="single" w:color="auto"/>
                  <w:color w:val="0000EE"/>
                </w:rPr>
                <w:t>LEGAL OWNERSHIP OF SECURITIES</w:t>
              </w:r>
            </w:hyperlink>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12">
              <w:r>
                <w:rPr>
                  <w:rFonts w:ascii="Times New Roman" w:cs="Times New Roman" w:eastAsia="Times New Roman" w:hAnsi="Times New Roman"/>
                  <w:sz w:val="18"/>
                  <w:szCs w:val="18"/>
                  <w:u w:val="single" w:color="auto"/>
                  <w:color w:val="0000EE"/>
                </w:rPr>
                <w:t>24</w:t>
              </w:r>
            </w:hyperlink>
          </w:p>
        </w:tc>
        <w:tc>
          <w:tcPr>
            <w:tcW w:w="0" w:type="dxa"/>
            <w:vAlign w:val="bottom"/>
          </w:tcPr>
          <w:p>
            <w:pPr>
              <w:spacing w:after="0"/>
              <w:rPr>
                <w:sz w:val="1"/>
                <w:szCs w:val="1"/>
                <w:color w:val="auto"/>
              </w:rPr>
            </w:pPr>
          </w:p>
        </w:tc>
      </w:tr>
      <w:tr>
        <w:trPr>
          <w:trHeight w:val="216"/>
        </w:trPr>
        <w:tc>
          <w:tcPr>
            <w:tcW w:w="8380" w:type="dxa"/>
            <w:vAlign w:val="bottom"/>
          </w:tcPr>
          <w:p>
            <w:pPr>
              <w:spacing w:after="0"/>
              <w:rPr>
                <w:rFonts w:ascii="Times New Roman" w:cs="Times New Roman" w:eastAsia="Times New Roman" w:hAnsi="Times New Roman"/>
                <w:sz w:val="18"/>
                <w:szCs w:val="18"/>
                <w:u w:val="single" w:color="auto"/>
                <w:color w:val="0000EE"/>
              </w:rPr>
            </w:pPr>
            <w:hyperlink w:anchor="page216">
              <w:r>
                <w:rPr>
                  <w:rFonts w:ascii="Times New Roman" w:cs="Times New Roman" w:eastAsia="Times New Roman" w:hAnsi="Times New Roman"/>
                  <w:sz w:val="18"/>
                  <w:szCs w:val="18"/>
                  <w:u w:val="single" w:color="auto"/>
                  <w:color w:val="0000EE"/>
                </w:rPr>
                <w:t>PLAN OF DISTRIBUTION</w:t>
              </w:r>
            </w:hyperlink>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16">
              <w:r>
                <w:rPr>
                  <w:rFonts w:ascii="Times New Roman" w:cs="Times New Roman" w:eastAsia="Times New Roman" w:hAnsi="Times New Roman"/>
                  <w:sz w:val="18"/>
                  <w:szCs w:val="18"/>
                  <w:u w:val="single" w:color="auto"/>
                  <w:color w:val="0000EE"/>
                </w:rPr>
                <w:t>28</w:t>
              </w:r>
            </w:hyperlink>
          </w:p>
        </w:tc>
        <w:tc>
          <w:tcPr>
            <w:tcW w:w="0" w:type="dxa"/>
            <w:vAlign w:val="bottom"/>
          </w:tcPr>
          <w:p>
            <w:pPr>
              <w:spacing w:after="0"/>
              <w:rPr>
                <w:sz w:val="1"/>
                <w:szCs w:val="1"/>
                <w:color w:val="auto"/>
              </w:rPr>
            </w:pPr>
          </w:p>
        </w:tc>
      </w:tr>
      <w:tr>
        <w:trPr>
          <w:trHeight w:val="216"/>
        </w:trPr>
        <w:tc>
          <w:tcPr>
            <w:tcW w:w="8380" w:type="dxa"/>
            <w:vAlign w:val="bottom"/>
          </w:tcPr>
          <w:p>
            <w:pPr>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LEGAL MATTERS</w:t>
              </w:r>
            </w:hyperlink>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31</w:t>
              </w:r>
            </w:hyperlink>
          </w:p>
        </w:tc>
        <w:tc>
          <w:tcPr>
            <w:tcW w:w="0" w:type="dxa"/>
            <w:vAlign w:val="bottom"/>
          </w:tcPr>
          <w:p>
            <w:pPr>
              <w:spacing w:after="0"/>
              <w:rPr>
                <w:sz w:val="1"/>
                <w:szCs w:val="1"/>
                <w:color w:val="auto"/>
              </w:rPr>
            </w:pPr>
          </w:p>
        </w:tc>
      </w:tr>
      <w:tr>
        <w:trPr>
          <w:trHeight w:val="216"/>
        </w:trPr>
        <w:tc>
          <w:tcPr>
            <w:tcW w:w="8380" w:type="dxa"/>
            <w:vAlign w:val="bottom"/>
          </w:tcPr>
          <w:p>
            <w:pPr>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EXPERTS</w:t>
              </w:r>
            </w:hyperlink>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31</w:t>
              </w:r>
            </w:hyperlink>
          </w:p>
        </w:tc>
        <w:tc>
          <w:tcPr>
            <w:tcW w:w="0" w:type="dxa"/>
            <w:vAlign w:val="bottom"/>
          </w:tcPr>
          <w:p>
            <w:pPr>
              <w:spacing w:after="0"/>
              <w:rPr>
                <w:sz w:val="1"/>
                <w:szCs w:val="1"/>
                <w:color w:val="auto"/>
              </w:rPr>
            </w:pPr>
          </w:p>
        </w:tc>
      </w:tr>
      <w:tr>
        <w:trPr>
          <w:trHeight w:val="216"/>
        </w:trPr>
        <w:tc>
          <w:tcPr>
            <w:tcW w:w="8380" w:type="dxa"/>
            <w:vAlign w:val="bottom"/>
          </w:tcPr>
          <w:p>
            <w:pPr>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WHERE YOU CAN FIND MORE INFORMATION</w:t>
              </w:r>
            </w:hyperlink>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31</w:t>
              </w:r>
            </w:hyperlink>
          </w:p>
        </w:tc>
        <w:tc>
          <w:tcPr>
            <w:tcW w:w="0" w:type="dxa"/>
            <w:vAlign w:val="bottom"/>
          </w:tcPr>
          <w:p>
            <w:pPr>
              <w:spacing w:after="0"/>
              <w:rPr>
                <w:sz w:val="1"/>
                <w:szCs w:val="1"/>
                <w:color w:val="auto"/>
              </w:rPr>
            </w:pPr>
          </w:p>
        </w:tc>
      </w:tr>
      <w:tr>
        <w:trPr>
          <w:trHeight w:val="228"/>
        </w:trPr>
        <w:tc>
          <w:tcPr>
            <w:tcW w:w="8380" w:type="dxa"/>
            <w:vAlign w:val="bottom"/>
          </w:tcPr>
          <w:p>
            <w:pPr>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INCORPORATION BY REFERENCE</w:t>
              </w:r>
            </w:hyperlink>
          </w:p>
        </w:tc>
        <w:tc>
          <w:tcPr>
            <w:tcW w:w="44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32</w:t>
              </w:r>
            </w:hyperlink>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149860</wp:posOffset>
            </wp:positionV>
            <wp:extent cx="7136130"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7" w:lineRule="exact"/>
        <w:rPr>
          <w:sz w:val="20"/>
          <w:szCs w:val="20"/>
          <w:color w:val="auto"/>
        </w:rPr>
      </w:pPr>
    </w:p>
    <w:p>
      <w:pPr>
        <w:jc w:val="both"/>
        <w:ind w:right="340" w:firstLine="348"/>
        <w:spacing w:after="0" w:line="262"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offering price of up to $300,000,000.</w:t>
      </w:r>
    </w:p>
    <w:p>
      <w:pPr>
        <w:spacing w:after="0" w:line="186"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under this prospectus, we will provide one or more prospectus supplements that will contain specific information about the terms of the offering. The prospectus supplement and any related free writing prospectus that we may authorize to be provided to you may also add, update or change information contained in this prospectus. You should read this prospectus, any applicable prospectus supplement and any related free writing prospectus, together with the additional information described under the heading "Where You Can Find More Information" beginning on page 31 of this prospectus and "Incorporation by Reference" beginning on page 32 of this prospectus, before investing in any of the securities offered.</w:t>
      </w:r>
    </w:p>
    <w:p>
      <w:pPr>
        <w:spacing w:after="0" w:line="192" w:lineRule="exact"/>
        <w:rPr>
          <w:sz w:val="20"/>
          <w:szCs w:val="20"/>
          <w:color w:val="auto"/>
        </w:rPr>
      </w:pPr>
    </w:p>
    <w:p>
      <w:pPr>
        <w:ind w:right="40" w:firstLine="344"/>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the applicable prospectus supplement or in any related free writing prospectus filed by or on behalf of us with the SEC. We have not authorized anyone to provide you with different information. This prospectus, any applicable prospectus supplement or any related free writing prospectus do not constitute an offer to sell or the solicitation of an offer to buy any securities other than the registered securities to which they relate as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95"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90"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Except as otherwise indicated herein or as the context otherwise requires, references in this prospectus to "Y-mAbs," the "company," "we," "us" and "our" and similar words refer to Y-mAbs Therapeutics, Inc. and our wholly owned Danish subsidiary, Y-mAbs Therapeutics A/S.</w:t>
      </w:r>
    </w:p>
    <w:p>
      <w:pPr>
        <w:spacing w:after="0" w:line="174" w:lineRule="exact"/>
        <w:rPr>
          <w:sz w:val="20"/>
          <w:szCs w:val="20"/>
          <w:color w:val="auto"/>
        </w:rPr>
      </w:pPr>
    </w:p>
    <w:p>
      <w:pPr>
        <w:ind w:right="100" w:firstLine="351"/>
        <w:spacing w:after="0" w:line="296" w:lineRule="auto"/>
        <w:rPr>
          <w:sz w:val="20"/>
          <w:szCs w:val="20"/>
          <w:color w:val="auto"/>
        </w:rPr>
      </w:pPr>
      <w:r>
        <w:rPr>
          <w:rFonts w:ascii="Times New Roman" w:cs="Times New Roman" w:eastAsia="Times New Roman" w:hAnsi="Times New Roman"/>
          <w:sz w:val="16"/>
          <w:szCs w:val="16"/>
          <w:color w:val="auto"/>
        </w:rPr>
        <w:t>"Y-mAbs®" is our registered trademark. Any other trademarks or service marks of our company appearing in this prospectus are the property of Y-mAbs Therapeutics, Inc. All other trademarks, trade names and service marks appearing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our use or display of other entities' trade names, trademarks or service marks to imply a relationship with, or endorsement or sponsorship of us by, any other entity.</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189" w:name="page190"/>
    <w:bookmarkEnd w:id="1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351"/>
        <w:spacing w:after="0" w:line="28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Investing in our securities involves a high degree of risk. You should carefully consider the risks described below and in the documents incorporated by reference in this prospectus, any prospectus supplement and any related free writing prospectus, as well as other information we include or incorporate by reference into this prospectus, any applicable prospectus supplement and any related free writing prospectus,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in our most recent </w:t>
      </w:r>
      <w:hyperlink r:id="rId264">
        <w:r>
          <w:rPr>
            <w:rFonts w:ascii="Times New Roman" w:cs="Times New Roman" w:eastAsia="Times New Roman" w:hAnsi="Times New Roman"/>
            <w:sz w:val="16"/>
            <w:szCs w:val="16"/>
            <w:u w:val="single" w:color="auto"/>
            <w:color w:val="0000EE"/>
          </w:rPr>
          <w:t>Annual Report on 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and </w:t>
      </w:r>
      <w:hyperlink r:id="rId265">
        <w:r>
          <w:rPr>
            <w:rFonts w:ascii="Times New Roman" w:cs="Times New Roman" w:eastAsia="Times New Roman" w:hAnsi="Times New Roman"/>
            <w:sz w:val="16"/>
            <w:szCs w:val="16"/>
            <w:u w:val="single" w:color="auto"/>
            <w:color w:val="0000EE"/>
          </w:rPr>
          <w:t>Quarterly Report on Form 10-Q</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and in any subsequent Quarterly Reports on</w:t>
      </w:r>
    </w:p>
    <w:p>
      <w:pPr>
        <w:spacing w:after="0" w:line="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Form 10-Q or Current Reports on Form 8-K that we file with the SEC after the date of this prospectus, all of which are incorporated by reference into this prospectus. Please also read carefully the section below entitled "Cautionary Statement Regarding Forward-Looking Statements." The occurrence of any of these risks might cause you to lose all or part of your investment in the offered securities.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339" w:right="399" w:bottom="1440" w:gutter="0" w:footer="0" w:header="0"/>
        </w:sectPr>
      </w:pPr>
    </w:p>
    <w:bookmarkStart w:id="190" w:name="page191"/>
    <w:bookmarkEnd w:id="19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7" w:lineRule="exact"/>
        <w:rPr>
          <w:sz w:val="20"/>
          <w:szCs w:val="20"/>
          <w:color w:val="auto"/>
        </w:rPr>
      </w:pPr>
    </w:p>
    <w:p>
      <w:pPr>
        <w:ind w:firstLine="348"/>
        <w:spacing w:after="0" w:line="287" w:lineRule="auto"/>
        <w:rPr>
          <w:sz w:val="20"/>
          <w:szCs w:val="20"/>
          <w:color w:val="auto"/>
        </w:rPr>
      </w:pPr>
      <w:r>
        <w:rPr>
          <w:rFonts w:ascii="Times New Roman" w:cs="Times New Roman" w:eastAsia="Times New Roman" w:hAnsi="Times New Roman"/>
          <w:sz w:val="16"/>
          <w:szCs w:val="16"/>
          <w:color w:val="auto"/>
        </w:rPr>
        <w:t>This prospectus and any prospectus supplement, any related free writing prospectus, including the documents that we incorporate by reference in this prospectus, any prospectus supplement and any related free writing prospectus, contains forward-looking statements within the meaning of Section 27A of the Securities Act of 1933, as amended, or the Securities Act, and Section 21E of the Securities Exchange Act of 1934, as amended, or the Exchange Act, that involve substantial risks and uncertainties. All statements, other than statements of historical facts, contained in this prospectus and each prospectus supplement, including the documents that we incorporate by reference in this prospectus and each prospectus supplement,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forward-looking statements, although not all forward-looking statements contain these identifying words.</w:t>
      </w:r>
    </w:p>
    <w:p>
      <w:pPr>
        <w:spacing w:after="0" w:line="3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These forward-looking statements include, among other things, statements about:</w:t>
      </w:r>
    </w:p>
    <w:p>
      <w:pPr>
        <w:spacing w:after="0" w:line="239" w:lineRule="exact"/>
        <w:rPr>
          <w:sz w:val="20"/>
          <w:szCs w:val="20"/>
          <w:color w:val="auto"/>
        </w:rPr>
      </w:pPr>
    </w:p>
    <w:p>
      <w:pPr>
        <w:ind w:left="1080" w:right="500" w:hanging="532"/>
        <w:spacing w:after="0" w:line="275"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our plans to develop and commercialize our two lead product candidates and other product candidates, including the potential clinical efficacy and other benefits thereof;</w:t>
      </w:r>
    </w:p>
    <w:p>
      <w:pPr>
        <w:spacing w:after="0" w:line="200" w:lineRule="exact"/>
        <w:rPr>
          <w:rFonts w:ascii="Times New Roman" w:cs="Times New Roman" w:eastAsia="Times New Roman" w:hAnsi="Times New Roman"/>
          <w:sz w:val="18"/>
          <w:szCs w:val="18"/>
          <w:color w:val="auto"/>
        </w:rPr>
      </w:pPr>
    </w:p>
    <w:p>
      <w:pPr>
        <w:ind w:left="1080" w:right="140" w:hanging="532"/>
        <w:spacing w:after="0" w:line="258"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and future clinical trials for our two lead product candidates and other product candidates, whether conducted by us or by any of our collaborators, including the timing of initiation of these trials, the pace of enrollment, the completion of enrollment, the availability of data from these trials, the expected dates of BLA submission and approval by the FDA and equivalent foreign regulatory authorities and of the anticipated results;</w:t>
      </w:r>
    </w:p>
    <w:p>
      <w:pPr>
        <w:spacing w:after="0" w:line="203" w:lineRule="exact"/>
        <w:rPr>
          <w:rFonts w:ascii="Times New Roman" w:cs="Times New Roman" w:eastAsia="Times New Roman" w:hAnsi="Times New Roman"/>
          <w:sz w:val="18"/>
          <w:szCs w:val="18"/>
          <w:color w:val="auto"/>
        </w:rPr>
      </w:pPr>
    </w:p>
    <w:p>
      <w:pPr>
        <w:ind w:left="1080" w:right="340" w:hanging="532"/>
        <w:spacing w:after="0" w:line="26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studies and future clinical trials for our other product candidates and our research and development programs, whether conducted by us or by any of our collaborators, including the timing of initiation of these trials, the pace of enrollment, the expected date of completion and of the anticipated results;</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marketing and reimbursement approvals for our product candidates;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products for which we receive marketing approval;</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levels of our product candidates, if approved;</w:t>
      </w:r>
    </w:p>
    <w:p>
      <w:pPr>
        <w:spacing w:after="0" w:line="238"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employees and to identify, hire and retain additional qualified employees, including a direct sales force;</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remediation of material weaknesses in our internal control over financial reporting;</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238" w:lineRule="exact"/>
        <w:rPr>
          <w:rFonts w:ascii="Times New Roman" w:cs="Times New Roman" w:eastAsia="Times New Roman" w:hAnsi="Times New Roman"/>
          <w:sz w:val="18"/>
          <w:szCs w:val="18"/>
          <w:color w:val="auto"/>
        </w:rPr>
      </w:pPr>
    </w:p>
    <w:p>
      <w:pPr>
        <w:ind w:left="1080" w:right="400" w:hanging="532"/>
        <w:spacing w:after="0" w:line="275"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 and the scope of protection we are able to establish and maintain for the intellectual property rights covering our product candidates and technology;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1" w:name="page192"/>
    <w:bookmarkEnd w:id="191"/>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additional product candidates and technologies with significant commercial potential;</w:t>
      </w:r>
    </w:p>
    <w:p>
      <w:pPr>
        <w:spacing w:after="0" w:line="252"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enter into collaborations or strategic partnerships for the development and commercialization of our product candidates and future operations;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future collaboration or strategic partnerships;</w:t>
      </w:r>
    </w:p>
    <w:p>
      <w:pPr>
        <w:spacing w:after="0" w:line="238"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our cash and cash equivalents, how long that cash is expected to last, and the need for, timing and amount of any future financing transaction;</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our estimates regarding revenues, expenses, capital expenditure requirements;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252"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Jumpstart Our Business Startups Act of 2012;</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proceeds from our initial public offering and any follow-on public offering; and</w:t>
      </w:r>
    </w:p>
    <w:p>
      <w:pPr>
        <w:spacing w:after="0" w:line="238"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described or incorporated by reference under the caption "Risk Factors" in this prospectus, any prospectus supplement and any free writing prospectus that we may file.</w:t>
      </w:r>
    </w:p>
    <w:p>
      <w:pPr>
        <w:spacing w:after="0" w:line="174" w:lineRule="exact"/>
        <w:rPr>
          <w:sz w:val="20"/>
          <w:szCs w:val="20"/>
          <w:color w:val="auto"/>
        </w:rPr>
      </w:pPr>
    </w:p>
    <w:p>
      <w:pPr>
        <w:ind w:right="60" w:firstLine="351"/>
        <w:spacing w:after="0" w:line="253" w:lineRule="auto"/>
        <w:rPr>
          <w:sz w:val="20"/>
          <w:szCs w:val="20"/>
          <w:color w:val="auto"/>
        </w:rPr>
      </w:pPr>
      <w:r>
        <w:rPr>
          <w:rFonts w:ascii="Times New Roman" w:cs="Times New Roman" w:eastAsia="Times New Roman" w:hAnsi="Times New Roman"/>
          <w:sz w:val="18"/>
          <w:szCs w:val="18"/>
          <w:color w:val="auto"/>
        </w:rPr>
        <w:t>Forward-looking statements in this prospectus, any prospectus supplement and any related free writing prospectus, including the documents that we incorporate by reference in this prospectus, any prospectus supplement and any related free writing prospectus,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referenced in the section "Risk Factors" and elsewhere in this prospectus and the documents that we incorporate by reference.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8"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This prospectus, any prospectus supplement and any related free writing prospectus, including the documents that we incorporate by reference in this prospectus, any prospectus supplement and any related free writing prospectus,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are a late-stage clinical biopharmaceutical company focused on the development and commercialization of novel, antibody-based therapeutic products for the treatment of cancer. We have a broad and advanced product pipeline, including two pivotal-stage product candidates—naxitamab and omburtamab— which target tumors that express GD2 and B7-H3, respectively. We are developing naxitamab for the treatment of pediatric patients with relapsed or refractory, or R/R, high-risk neuroblastoma, or NB, and radiolabeled omburtamab for the treatment of pediatric patients with central nervous system, or CNS, leptomeningeal metastases,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195" w:lineRule="exact"/>
        <w:rPr>
          <w:sz w:val="20"/>
          <w:szCs w:val="20"/>
          <w:color w:val="auto"/>
        </w:rPr>
      </w:pPr>
    </w:p>
    <w:p>
      <w:pPr>
        <w:jc w:val="both"/>
        <w:ind w:right="340" w:firstLine="351"/>
        <w:spacing w:after="0" w:line="262" w:lineRule="auto"/>
        <w:rPr>
          <w:sz w:val="20"/>
          <w:szCs w:val="20"/>
          <w:color w:val="auto"/>
        </w:rPr>
      </w:pPr>
      <w:r>
        <w:rPr>
          <w:rFonts w:ascii="Times New Roman" w:cs="Times New Roman" w:eastAsia="Times New Roman" w:hAnsi="Times New Roman"/>
          <w:sz w:val="18"/>
          <w:szCs w:val="18"/>
          <w:color w:val="auto"/>
        </w:rPr>
        <w:t>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86"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April 30, 2015. On September 25, 2018, we completed the initial public offering, or IPO of our common stock.</w:t>
      </w:r>
    </w:p>
    <w:p>
      <w:pPr>
        <w:spacing w:after="0" w:line="174" w:lineRule="exact"/>
        <w:rPr>
          <w:sz w:val="20"/>
          <w:szCs w:val="20"/>
          <w:color w:val="auto"/>
        </w:rPr>
      </w:pPr>
    </w:p>
    <w:p>
      <w:pPr>
        <w:ind w:right="280" w:firstLine="351"/>
        <w:spacing w:after="0" w:line="258"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230 Park Avenue, Suite 3350, New York, New York 10169 and our telephone number is (646) 885-8505. Our corporate website address is </w:t>
      </w:r>
      <w:r>
        <w:rPr>
          <w:rFonts w:ascii="Times New Roman" w:cs="Times New Roman" w:eastAsia="Times New Roman" w:hAnsi="Times New Roman"/>
          <w:sz w:val="18"/>
          <w:szCs w:val="18"/>
          <w:i w:val="1"/>
          <w:iCs w:val="1"/>
          <w:color w:val="auto"/>
        </w:rPr>
        <w:t>www.ymabs.com</w:t>
      </w:r>
      <w:r>
        <w:rPr>
          <w:rFonts w:ascii="Times New Roman" w:cs="Times New Roman" w:eastAsia="Times New Roman" w:hAnsi="Times New Roman"/>
          <w:sz w:val="18"/>
          <w:szCs w:val="18"/>
          <w:color w:val="auto"/>
        </w:rPr>
        <w:t>. Our website and the information contained on, or that can be accessed through, the website will not be deemed to be incorporated by reference in, and are not considered part of, this prospectus. You should not rely on any such information in making your decision whether to purchase our securities.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193" w:name="page194"/>
    <w:bookmarkEnd w:id="19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We currently intend to use the net proceeds from the sale of any securities offered by us under this prospectus as indicated in the applicable prospectus supplement or any related free writing prospectus that we may authorize to be provided to you.</w:t>
      </w:r>
    </w:p>
    <w:p>
      <w:pPr>
        <w:spacing w:after="0" w:line="1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20"/>
          </w:cols>
          <w:pgMar w:left="320" w:top="339" w:right="659" w:bottom="1440" w:gutter="0" w:footer="0" w:header="0"/>
        </w:sectPr>
      </w:pPr>
    </w:p>
    <w:bookmarkStart w:id="194" w:name="page195"/>
    <w:bookmarkEnd w:id="19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WE MAY OFFER</w:t>
      </w:r>
    </w:p>
    <w:p>
      <w:pPr>
        <w:spacing w:after="0" w:line="227"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This prospectus contains summary descriptions of the securities we may offer from time to time. This prospectus provides you with a general description of the securities we may offer. These summary descriptions are not meant to be complete descriptions of each security. The particular terms of any security we may offer will be described in the applicable prospectus supplement.</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339" w:right="439" w:bottom="1440" w:gutter="0" w:footer="0" w:header="0"/>
        </w:sectPr>
      </w:pPr>
    </w:p>
    <w:bookmarkStart w:id="195" w:name="page196"/>
    <w:bookmarkEnd w:id="19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right="200" w:firstLine="348"/>
        <w:spacing w:after="0" w:line="256" w:lineRule="auto"/>
        <w:rPr>
          <w:sz w:val="20"/>
          <w:szCs w:val="20"/>
          <w:color w:val="auto"/>
        </w:rPr>
      </w:pPr>
      <w:r>
        <w:rPr>
          <w:rFonts w:ascii="Times New Roman" w:cs="Times New Roman" w:eastAsia="Times New Roman" w:hAnsi="Times New Roman"/>
          <w:sz w:val="18"/>
          <w:szCs w:val="18"/>
          <w:color w:val="auto"/>
        </w:rPr>
        <w:t>The following description of the rights of our common stock and preferred stock, together with the additional information we include in any applicable prospectus supplements and any free writing prospectus, summarizes the material terms and provisions of our capital stock. The following description of our capital stock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7"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$0.0001 per share, and 5,500,000 shares of preferred stock, par value $0.0001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shares</w:t>
      </w:r>
    </w:p>
    <w:p>
      <w:pPr>
        <w:spacing w:after="0" w:line="229" w:lineRule="exact"/>
        <w:rPr>
          <w:sz w:val="20"/>
          <w:szCs w:val="20"/>
          <w:color w:val="auto"/>
        </w:rPr>
      </w:pPr>
    </w:p>
    <w:p>
      <w:pPr>
        <w:ind w:right="860" w:firstLine="341"/>
        <w:spacing w:after="0" w:line="275" w:lineRule="auto"/>
        <w:rPr>
          <w:sz w:val="20"/>
          <w:szCs w:val="20"/>
          <w:color w:val="auto"/>
        </w:rPr>
      </w:pPr>
      <w:r>
        <w:rPr>
          <w:rFonts w:ascii="Times New Roman" w:cs="Times New Roman" w:eastAsia="Times New Roman" w:hAnsi="Times New Roman"/>
          <w:sz w:val="18"/>
          <w:szCs w:val="18"/>
          <w:color w:val="auto"/>
        </w:rPr>
        <w:t>As of September 26, 2019, there were 34,593,666 shares of our common stock outstanding and no shares of preferred stock outstanding. As of September 26, 2019, we had 42 record holders of our common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color w:val="auto"/>
        </w:rPr>
        <w:t>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common stock are entitled to receive dividends, if any, as may be declared from time to time by our board of directors out of legally available funds.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ind w:right="100" w:firstLine="351"/>
        <w:spacing w:after="0" w:line="26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9"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outstanding shares of common stock are fully paid and nonassessable.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7" w:lineRule="exact"/>
        <w:rPr>
          <w:sz w:val="20"/>
          <w:szCs w:val="20"/>
          <w:color w:val="auto"/>
        </w:rPr>
      </w:pPr>
    </w:p>
    <w:p>
      <w:pPr>
        <w:ind w:right="100" w:firstLine="348"/>
        <w:spacing w:after="0" w:line="255" w:lineRule="auto"/>
        <w:rPr>
          <w:sz w:val="20"/>
          <w:szCs w:val="20"/>
          <w:color w:val="auto"/>
        </w:rPr>
      </w:pPr>
      <w:r>
        <w:rPr>
          <w:rFonts w:ascii="Times New Roman" w:cs="Times New Roman" w:eastAsia="Times New Roman" w:hAnsi="Times New Roman"/>
          <w:sz w:val="18"/>
          <w:szCs w:val="18"/>
          <w:color w:val="auto"/>
        </w:rPr>
        <w:t>We are a party to certain registration rights agreements dated as of October 13, 2017 and November 17, 2017, collectively referred to herein as the Registration Rights Agreements, with certain holders of our common stock, including some of our directors and 5% stockholders and their affiliates and entities affiliated with our directors. The Registration Rights Agreements provide these holders of our common stock the right to require us to register these shares under the Securities Act under specified circumstances as described below. As of September 26, 2019, the shares subject to registration rights under the Registration Rights Agreements, or the registrable shares, represent approximately 60% of our outstanding common stock. After registration pursuant to these rights, these shares will become freely tradable without restriction under the Securities Act.</w:t>
      </w:r>
    </w:p>
    <w:p>
      <w:pPr>
        <w:spacing w:after="0" w:line="192"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Under the Registration Rights Agreements,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S-1 or S-3 registration during the period that is 60 days before our estimated date of filing of, and ending on a date that is 90 days (or 180 days in the case of our initial public offering) after the effective date of, a company-initiated registration statement.</w:t>
      </w:r>
    </w:p>
    <w:p>
      <w:pPr>
        <w:spacing w:after="0" w:line="192" w:lineRule="exact"/>
        <w:rPr>
          <w:sz w:val="20"/>
          <w:szCs w:val="20"/>
          <w:color w:val="auto"/>
        </w:rPr>
      </w:pPr>
    </w:p>
    <w:p>
      <w:pPr>
        <w:ind w:firstLine="348"/>
        <w:spacing w:after="0" w:line="310" w:lineRule="auto"/>
        <w:rPr>
          <w:sz w:val="20"/>
          <w:szCs w:val="20"/>
          <w:color w:val="auto"/>
        </w:rPr>
      </w:pPr>
      <w:r>
        <w:rPr>
          <w:rFonts w:ascii="Times New Roman" w:cs="Times New Roman" w:eastAsia="Times New Roman" w:hAnsi="Times New Roman"/>
          <w:sz w:val="16"/>
          <w:szCs w:val="16"/>
          <w:color w:val="auto"/>
        </w:rPr>
        <w:t>The registration rights of any holder will terminate upon the earliest to occur of: (i) the date on which such holder holds no registrable shares, (ii) such time as Rule 144 or another similar exemption under the Securities Act is available for the sale of all of such holder's registrable shares without the requirement for us to be in compliance with the current publication information required under Rule 144(c)(1), and (iii) the fifth anniversary of our initial public offering.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229"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Subject to specified limitations set forth in the Registration Rights Agreements, the holder or holders of not less than a majority of our registrable securities, as defined in the Registration Rights Agreements, acting together, may at any time demand in writing that we register the outstanding registrable securities under the Securities Act so long as the total amount of registrable shares requested to be registered has an anticipated aggregate offering price to the public of least $10 million. We are not obligated to file a registration statement pursuant to this demand provision on more than two occasions, subject to specified exceptions.</w:t>
      </w:r>
    </w:p>
    <w:p>
      <w:pPr>
        <w:spacing w:after="0" w:line="192" w:lineRule="exact"/>
        <w:rPr>
          <w:sz w:val="20"/>
          <w:szCs w:val="20"/>
          <w:color w:val="auto"/>
        </w:rPr>
      </w:pPr>
    </w:p>
    <w:p>
      <w:pPr>
        <w:jc w:val="both"/>
        <w:ind w:right="160" w:firstLine="351"/>
        <w:spacing w:after="0" w:line="310" w:lineRule="auto"/>
        <w:rPr>
          <w:sz w:val="20"/>
          <w:szCs w:val="20"/>
          <w:color w:val="auto"/>
        </w:rPr>
      </w:pPr>
      <w:r>
        <w:rPr>
          <w:rFonts w:ascii="Times New Roman" w:cs="Times New Roman" w:eastAsia="Times New Roman" w:hAnsi="Times New Roman"/>
          <w:sz w:val="16"/>
          <w:szCs w:val="16"/>
          <w:color w:val="auto"/>
        </w:rPr>
        <w:t>In addition, at any time after we become eligible to file a registration statement on Form S-3 under the Securities Act, subject to specified limitations, a holder or holders of a majority of the registrable securities may demand in writing that we register on Form S-3 all or part of the registrable securities held by them so long as the total amount of registrable shares requested to be registered has an anticipated aggregate offering price to the public of least $10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Incidental Registration Rights</w:t>
      </w:r>
    </w:p>
    <w:p>
      <w:pPr>
        <w:spacing w:after="0" w:line="229"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If we propose to file a registration statement to register any of our common stock under the Securities Act, either for our own account or for the account of any of our stockholders that are not holders of registrable securities, and on a form that would also permit the registration of registrable securities, the holders of our registrable securities are entitled to notice of registration and, subject to specified exceptions, we will be required to use our best efforts to register the registrable securities then held by them that they request that we register.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w:t>
      </w:r>
    </w:p>
    <w:p>
      <w:pPr>
        <w:spacing w:after="0" w:line="229"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Registration Rights Agreements, we are required to pay all registration expenses, including registration fees, printing expenses, fees and disbursements of our counsel and accountants and reasonable fees and disbursements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7" w:name="page198"/>
    <w:bookmarkEnd w:id="197"/>
    <w:p>
      <w:pPr>
        <w:ind w:right="120"/>
        <w:spacing w:after="0" w:line="275" w:lineRule="auto"/>
        <w:rPr>
          <w:sz w:val="20"/>
          <w:szCs w:val="20"/>
          <w:color w:val="auto"/>
        </w:rPr>
      </w:pPr>
      <w:r>
        <w:rPr>
          <w:rFonts w:ascii="Times New Roman" w:cs="Times New Roman" w:eastAsia="Times New Roman" w:hAnsi="Times New Roman"/>
          <w:sz w:val="18"/>
          <w:szCs w:val="18"/>
          <w:color w:val="auto"/>
        </w:rPr>
        <w:t>not to exceed $50,000 of one counsel representing the selling stockholders, other than any underwriting discounts and commissions, related to any demand or incidental registration.</w:t>
      </w:r>
    </w:p>
    <w:p>
      <w:pPr>
        <w:spacing w:after="0" w:line="174" w:lineRule="exact"/>
        <w:rPr>
          <w:sz w:val="20"/>
          <w:szCs w:val="20"/>
          <w:color w:val="auto"/>
        </w:rPr>
      </w:pPr>
    </w:p>
    <w:p>
      <w:pPr>
        <w:jc w:val="both"/>
        <w:ind w:right="320" w:firstLine="348"/>
        <w:spacing w:after="0" w:line="262" w:lineRule="auto"/>
        <w:rPr>
          <w:sz w:val="20"/>
          <w:szCs w:val="20"/>
          <w:color w:val="auto"/>
        </w:rPr>
      </w:pPr>
      <w:r>
        <w:rPr>
          <w:rFonts w:ascii="Times New Roman" w:cs="Times New Roman" w:eastAsia="Times New Roman" w:hAnsi="Times New Roman"/>
          <w:sz w:val="18"/>
          <w:szCs w:val="18"/>
          <w:color w:val="auto"/>
        </w:rPr>
        <w:t>The Registration Rights Agreements contain 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in the registration statement attributable to them.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the stockholders, to issue up to 5,500,000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As of September 26, 2019, no shares of preferred stock were outstanding.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7" w:lineRule="exact"/>
        <w:rPr>
          <w:sz w:val="20"/>
          <w:szCs w:val="20"/>
          <w:color w:val="auto"/>
        </w:rPr>
      </w:pPr>
    </w:p>
    <w:p>
      <w:pPr>
        <w:ind w:right="220" w:firstLine="351"/>
        <w:spacing w:after="0" w:line="26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 Removal of Directors</w:t>
      </w:r>
    </w:p>
    <w:p>
      <w:pPr>
        <w:spacing w:after="0" w:line="229" w:lineRule="exact"/>
        <w:rPr>
          <w:sz w:val="20"/>
          <w:szCs w:val="20"/>
          <w:color w:val="auto"/>
        </w:rPr>
      </w:pPr>
    </w:p>
    <w:p>
      <w:pPr>
        <w:ind w:right="220" w:firstLine="351"/>
        <w:spacing w:after="0" w:line="289" w:lineRule="auto"/>
        <w:rPr>
          <w:sz w:val="20"/>
          <w:szCs w:val="20"/>
          <w:color w:val="auto"/>
        </w:rPr>
      </w:pPr>
      <w:r>
        <w:rPr>
          <w:rFonts w:ascii="Times New Roman" w:cs="Times New Roman" w:eastAsia="Times New Roman" w:hAnsi="Times New Roman"/>
          <w:sz w:val="16"/>
          <w:szCs w:val="16"/>
          <w:color w:val="auto"/>
        </w:rPr>
        <w:t>Our amended and restated certificate of incorporation and amended and restated bylaws divide our board of directors into three classes with staggered three-year terms. In addition, our amended and restated certificate of incorporation and amended and restated bylaws provide that directors may be removed</w:t>
      </w:r>
    </w:p>
    <w:p>
      <w:pPr>
        <w:spacing w:after="0" w:line="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only for cause and only by the affirmative vote of the holders of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of our shares of capital stock present in person or by proxy and entitled to vote. Under our amended and restated certificate of incorporation and bylaws, any vacancy on our board of directors, including a vacancy resulting from an enlargement of our board of directors, may be filled only by vote of a majority of our directors then in office, although less than a quorum, or by a sole remaining director and shall not be filled by the stockholders. Furthermore, our amended and restated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 of Stockholders; Advance Notice Requirements for Stockholder Proposals and Director Nominations</w:t>
      </w:r>
    </w:p>
    <w:p>
      <w:pPr>
        <w:spacing w:after="0" w:line="229"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that any action required or permitted to be taken by our stockholders at an annual meeting or special meeting of stockholders may only be taken if it is properly brought before such meeting and may not be taken by written action in lieu of a meeting. Our amended and restated certificate of incorporation and amended and restated bylaws also provide that, except as otherwise required by law, special meetings of the stockholders can only be called by the chairman of our board of directors, our chief executive officer or our board of directors. In addition, our amended and restated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8" w:name="page199"/>
    <w:bookmarkEnd w:id="198"/>
    <w:p>
      <w:pPr>
        <w:ind w:right="40"/>
        <w:spacing w:after="0" w:line="255" w:lineRule="auto"/>
        <w:rPr>
          <w:sz w:val="20"/>
          <w:szCs w:val="20"/>
          <w:color w:val="auto"/>
        </w:rPr>
      </w:pPr>
      <w:r>
        <w:rPr>
          <w:rFonts w:ascii="Times New Roman" w:cs="Times New Roman" w:eastAsia="Times New Roman" w:hAnsi="Times New Roman"/>
          <w:sz w:val="18"/>
          <w:szCs w:val="18"/>
          <w:color w:val="auto"/>
        </w:rPr>
        <w:t>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Voting</w:t>
      </w:r>
    </w:p>
    <w:p>
      <w:pPr>
        <w:spacing w:after="0" w:line="229" w:lineRule="exact"/>
        <w:rPr>
          <w:sz w:val="20"/>
          <w:szCs w:val="20"/>
          <w:color w:val="auto"/>
        </w:rPr>
      </w:pPr>
    </w:p>
    <w:p>
      <w:pPr>
        <w:ind w:firstLine="348"/>
        <w:spacing w:after="0" w:line="244" w:lineRule="auto"/>
        <w:rPr>
          <w:sz w:val="20"/>
          <w:szCs w:val="20"/>
          <w:color w:val="auto"/>
        </w:rPr>
      </w:pPr>
      <w:r>
        <w:rPr>
          <w:rFonts w:ascii="Times New Roman" w:cs="Times New Roman" w:eastAsia="Times New Roman" w:hAnsi="Times New Roman"/>
          <w:sz w:val="17"/>
          <w:szCs w:val="17"/>
          <w:color w:val="auto"/>
        </w:rPr>
        <w:t>The General Corporation Law of the State of Delaware, or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of directors or the affirmative vote of the holders of at least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of the votes that all our stockholders would be entitled to cast in any annual election of directors. In addition,</w:t>
      </w:r>
    </w:p>
    <w:p>
      <w:pPr>
        <w:jc w:val="both"/>
        <w:ind w:right="280"/>
        <w:spacing w:after="0" w:line="216" w:lineRule="auto"/>
        <w:rPr>
          <w:sz w:val="20"/>
          <w:szCs w:val="20"/>
          <w:color w:val="auto"/>
        </w:rPr>
      </w:pPr>
      <w:r>
        <w:rPr>
          <w:rFonts w:ascii="Times New Roman" w:cs="Times New Roman" w:eastAsia="Times New Roman" w:hAnsi="Times New Roman"/>
          <w:sz w:val="17"/>
          <w:szCs w:val="17"/>
          <w:color w:val="auto"/>
        </w:rPr>
        <w:t>the affirmative vote of the holders of at least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of the votes that all our stockholders would be entitled to cast in any election of directors is required to amend or repeal or to adopt any provisions inconsistent with any of the provisions of our amended and restated certificate of incorporation described above.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9"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or the DGCL.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92"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stockholder is prohibited unless it satisfies one of the following conditions: before the stockholder became interested, our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which is not owned by the interested stockholder.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 Selection</w:t>
      </w:r>
    </w:p>
    <w:p>
      <w:pPr>
        <w:spacing w:after="0" w:line="227" w:lineRule="exact"/>
        <w:rPr>
          <w:sz w:val="20"/>
          <w:szCs w:val="20"/>
          <w:color w:val="auto"/>
        </w:rPr>
      </w:pPr>
    </w:p>
    <w:p>
      <w:pPr>
        <w:ind w:right="120" w:firstLine="351"/>
        <w:spacing w:after="0" w:line="287" w:lineRule="auto"/>
        <w:rPr>
          <w:sz w:val="20"/>
          <w:szCs w:val="20"/>
          <w:color w:val="auto"/>
        </w:rPr>
      </w:pPr>
      <w:r>
        <w:rPr>
          <w:rFonts w:ascii="Times New Roman" w:cs="Times New Roman" w:eastAsia="Times New Roman" w:hAnsi="Times New Roman"/>
          <w:sz w:val="16"/>
          <w:szCs w:val="16"/>
          <w:color w:val="auto"/>
        </w:rPr>
        <w:t>Our amended and restated certificate of incorporation provides that, unless we consent in writing to the selection of an alternative forum, the Court of Chancery of the State of Delaware shall be the sole and exclusive forum for (1) any derivative action or proceeding brought on behalf of our company, (2) any action asserting a claim of breach of a fiduciary duty owed by any of our directors, officers, employees or stockholders to our company or our stockholders,</w:t>
      </w:r>
    </w:p>
    <w:p>
      <w:pPr>
        <w:ind w:right="20" w:firstLine="8"/>
        <w:spacing w:after="0" w:line="253" w:lineRule="auto"/>
        <w:tabs>
          <w:tab w:leader="none" w:pos="24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as to which the DGCL confers jurisdiction on the Court of Chancery of the State of Delaware, or (4) any action asserting a claim arising pursuant to any provision of our amended and restated certificate of incorporation or amended and restated bylaws (in each case, as they may be amended from time to time) or governed by the internal affairs doctrine. This exclusive forum provision would not apply to suits brought to enforce any liability or duty created by the Securities Act or the Exchange Act or any other claim for which the federal courts have exclusive jurisdiction. To the extent that any such claims may be based upon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9" w:name="page200"/>
    <w:bookmarkEnd w:id="199"/>
    <w:p>
      <w:pPr>
        <w:spacing w:after="0" w:line="256" w:lineRule="auto"/>
        <w:rPr>
          <w:sz w:val="20"/>
          <w:szCs w:val="20"/>
          <w:color w:val="auto"/>
        </w:rPr>
      </w:pPr>
      <w:r>
        <w:rPr>
          <w:rFonts w:ascii="Times New Roman" w:cs="Times New Roman" w:eastAsia="Times New Roman" w:hAnsi="Times New Roman"/>
          <w:sz w:val="18"/>
          <w:szCs w:val="18"/>
          <w:color w:val="auto"/>
        </w:rPr>
        <w:t>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Although our amended and restated certificate of incorporation contains the choice of forum provision described above, it is possible that a court could rule that such a provision is inapplicable for a particular claim or action or that such provision is unenforceable.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7"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requirements of the Nasdaq Global Select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7" w:lineRule="exact"/>
        <w:rPr>
          <w:sz w:val="20"/>
          <w:szCs w:val="20"/>
          <w:color w:val="auto"/>
        </w:rPr>
      </w:pPr>
    </w:p>
    <w:p>
      <w:pPr>
        <w:ind w:right="200" w:firstLine="348"/>
        <w:spacing w:after="0" w:line="275" w:lineRule="auto"/>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 LLC. The transfer agent and registrar's address is 6201 15th Avenue, Brooklyn, NY 11219.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"YMAB."</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00" w:name="page201"/>
    <w:bookmarkEnd w:id="20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w:t>
      </w:r>
    </w:p>
    <w:p>
      <w:pPr>
        <w:spacing w:after="0" w:line="192"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86" w:lineRule="exact"/>
        <w:rPr>
          <w:sz w:val="20"/>
          <w:szCs w:val="20"/>
          <w:color w:val="auto"/>
        </w:rPr>
      </w:pPr>
    </w:p>
    <w:p>
      <w:pPr>
        <w:jc w:val="both"/>
        <w:ind w:right="160" w:firstLine="348"/>
        <w:spacing w:after="0" w:line="301" w:lineRule="auto"/>
        <w:rPr>
          <w:sz w:val="20"/>
          <w:szCs w:val="20"/>
          <w:color w:val="auto"/>
        </w:rPr>
      </w:pPr>
      <w:r>
        <w:rPr>
          <w:rFonts w:ascii="Times New Roman" w:cs="Times New Roman" w:eastAsia="Times New Roman" w:hAnsi="Times New Roman"/>
          <w:sz w:val="16"/>
          <w:szCs w:val="16"/>
          <w:color w:val="auto"/>
        </w:rPr>
        <w:t>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180" w:firstLine="348"/>
        <w:spacing w:after="0" w:line="262"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2.1) The particular terms of each series of debt securities will be described in a prospectus supplement relating to such series (including any pricing supplement or term sheet).</w:t>
      </w:r>
    </w:p>
    <w:p>
      <w:pPr>
        <w:spacing w:after="0" w:line="186" w:lineRule="exact"/>
        <w:rPr>
          <w:sz w:val="20"/>
          <w:szCs w:val="20"/>
          <w:color w:val="auto"/>
        </w:rPr>
      </w:pPr>
    </w:p>
    <w:p>
      <w:pPr>
        <w:jc w:val="both"/>
        <w:ind w:right="80" w:firstLine="348"/>
        <w:spacing w:after="0" w:line="262"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(Section 2.2) We will set forth in a prospectus supplement (including any pricing supplement or term sheet) relating to any series of debt securities being offered, the aggregate principal amount and the following terms of the debt securities, if applicable:</w:t>
      </w:r>
    </w:p>
    <w:p>
      <w:pPr>
        <w:spacing w:after="0" w:line="200" w:lineRule="exact"/>
        <w:rPr>
          <w:sz w:val="20"/>
          <w:szCs w:val="20"/>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on a particular series of debt securities is payable;</w:t>
      </w:r>
    </w:p>
    <w:p>
      <w:pPr>
        <w:spacing w:after="0" w:line="252" w:lineRule="exact"/>
        <w:rPr>
          <w:rFonts w:ascii="Times New Roman" w:cs="Times New Roman" w:eastAsia="Times New Roman" w:hAnsi="Times New Roman"/>
          <w:sz w:val="18"/>
          <w:szCs w:val="18"/>
          <w:color w:val="auto"/>
        </w:rPr>
      </w:pPr>
    </w:p>
    <w:p>
      <w:pPr>
        <w:ind w:left="1080" w:right="140" w:hanging="532"/>
        <w:spacing w:after="0" w:line="258"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203" w:lineRule="exact"/>
        <w:rPr>
          <w:rFonts w:ascii="Times New Roman" w:cs="Times New Roman" w:eastAsia="Times New Roman" w:hAnsi="Times New Roman"/>
          <w:sz w:val="18"/>
          <w:szCs w:val="18"/>
          <w:color w:val="auto"/>
        </w:rPr>
      </w:pPr>
    </w:p>
    <w:p>
      <w:pPr>
        <w:ind w:left="1080" w:right="60" w:hanging="532"/>
        <w:spacing w:after="0" w:line="26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debt securities of such series may be surrendered for registration of transfer or exchange, and where notices and demands to us in respect of the debt securities may be delivered;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201" w:name="page202"/>
    <w:bookmarkEnd w:id="201"/>
    <w:p>
      <w:pPr>
        <w:ind w:left="540" w:hanging="532"/>
        <w:spacing w:after="0"/>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252" w:lineRule="exact"/>
        <w:rPr>
          <w:rFonts w:ascii="Times New Roman" w:cs="Times New Roman" w:eastAsia="Times New Roman" w:hAnsi="Times New Roman"/>
          <w:sz w:val="18"/>
          <w:szCs w:val="18"/>
          <w:color w:val="auto"/>
        </w:rPr>
      </w:pPr>
    </w:p>
    <w:p>
      <w:pPr>
        <w:ind w:left="540" w:right="140" w:hanging="532"/>
        <w:spacing w:after="0" w:line="262"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the debt securities of a particular series shall be redeemed or purchased, in whole or in part, pursuant to such obligation;</w:t>
      </w:r>
    </w:p>
    <w:p>
      <w:pPr>
        <w:spacing w:after="0" w:line="199" w:lineRule="exact"/>
        <w:rPr>
          <w:rFonts w:ascii="Times New Roman" w:cs="Times New Roman" w:eastAsia="Times New Roman" w:hAnsi="Times New Roman"/>
          <w:sz w:val="18"/>
          <w:szCs w:val="18"/>
          <w:color w:val="auto"/>
        </w:rPr>
      </w:pPr>
    </w:p>
    <w:p>
      <w:pPr>
        <w:ind w:left="540" w:right="280" w:hanging="532"/>
        <w:spacing w:after="0" w:line="275"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238" w:lineRule="exact"/>
        <w:rPr>
          <w:rFonts w:ascii="Times New Roman" w:cs="Times New Roman" w:eastAsia="Times New Roman" w:hAnsi="Times New Roman"/>
          <w:sz w:val="18"/>
          <w:szCs w:val="18"/>
          <w:color w:val="auto"/>
        </w:rPr>
      </w:pPr>
    </w:p>
    <w:p>
      <w:pPr>
        <w:ind w:left="540" w:right="260" w:hanging="532"/>
        <w:spacing w:after="0" w:line="275"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187" w:lineRule="exact"/>
        <w:rPr>
          <w:rFonts w:ascii="Times New Roman" w:cs="Times New Roman" w:eastAsia="Times New Roman" w:hAnsi="Times New Roman"/>
          <w:sz w:val="18"/>
          <w:szCs w:val="18"/>
          <w:color w:val="auto"/>
        </w:rPr>
      </w:pPr>
    </w:p>
    <w:p>
      <w:pPr>
        <w:ind w:left="540" w:right="60" w:hanging="532"/>
        <w:spacing w:after="0" w:line="275"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200" w:lineRule="exact"/>
        <w:rPr>
          <w:rFonts w:ascii="Times New Roman" w:cs="Times New Roman" w:eastAsia="Times New Roman" w:hAnsi="Times New Roman"/>
          <w:sz w:val="18"/>
          <w:szCs w:val="18"/>
          <w:color w:val="auto"/>
        </w:rPr>
      </w:pPr>
    </w:p>
    <w:p>
      <w:pPr>
        <w:ind w:left="540" w:right="120" w:hanging="532"/>
        <w:spacing w:after="0" w:line="275"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and premium and interest on, the debt securities will be made;</w:t>
      </w:r>
    </w:p>
    <w:p>
      <w:pPr>
        <w:spacing w:after="0" w:line="187" w:lineRule="exact"/>
        <w:rPr>
          <w:rFonts w:ascii="Times New Roman" w:cs="Times New Roman" w:eastAsia="Times New Roman" w:hAnsi="Times New Roman"/>
          <w:sz w:val="18"/>
          <w:szCs w:val="18"/>
          <w:color w:val="auto"/>
        </w:rPr>
      </w:pPr>
    </w:p>
    <w:p>
      <w:pPr>
        <w:ind w:left="540" w:right="260" w:hanging="532"/>
        <w:spacing w:after="0" w:line="262"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99" w:lineRule="exact"/>
        <w:rPr>
          <w:rFonts w:ascii="Times New Roman" w:cs="Times New Roman" w:eastAsia="Times New Roman" w:hAnsi="Times New Roman"/>
          <w:sz w:val="18"/>
          <w:szCs w:val="18"/>
          <w:color w:val="auto"/>
        </w:rPr>
      </w:pPr>
    </w:p>
    <w:p>
      <w:pPr>
        <w:ind w:left="540" w:hanging="532"/>
        <w:spacing w:after="0" w:line="262"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and premium, if any, and interest on, the debt securities will be determined, if these amounts may be determined by reference to an index based on a currency or currencies or by reference to a commodity, commodity index, stock exchange index or financial index;</w:t>
      </w:r>
    </w:p>
    <w:p>
      <w:pPr>
        <w:spacing w:after="0" w:line="21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238" w:lineRule="exact"/>
        <w:rPr>
          <w:rFonts w:ascii="Times New Roman" w:cs="Times New Roman" w:eastAsia="Times New Roman" w:hAnsi="Times New Roman"/>
          <w:sz w:val="18"/>
          <w:szCs w:val="18"/>
          <w:color w:val="auto"/>
        </w:rPr>
      </w:pPr>
    </w:p>
    <w:p>
      <w:pPr>
        <w:ind w:left="540" w:right="80" w:hanging="532"/>
        <w:spacing w:after="0" w:line="275"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25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238" w:lineRule="exact"/>
        <w:rPr>
          <w:rFonts w:ascii="Times New Roman" w:cs="Times New Roman" w:eastAsia="Times New Roman" w:hAnsi="Times New Roman"/>
          <w:sz w:val="18"/>
          <w:szCs w:val="18"/>
          <w:color w:val="auto"/>
        </w:rPr>
      </w:pPr>
    </w:p>
    <w:p>
      <w:pPr>
        <w:ind w:left="540" w:right="520" w:hanging="532"/>
        <w:spacing w:after="0" w:line="262"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8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136130"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680"/>
          </w:cols>
          <w:pgMar w:left="860" w:top="139" w:right="359" w:bottom="1440" w:gutter="0" w:footer="0" w:header="0"/>
        </w:sectPr>
      </w:pPr>
    </w:p>
    <w:bookmarkStart w:id="202" w:name="page203"/>
    <w:bookmarkEnd w:id="202"/>
    <w:p>
      <w:pPr>
        <w:ind w:left="1080" w:right="220" w:hanging="532"/>
        <w:spacing w:after="0" w:line="26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213"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 (Section 2.2)</w:t>
      </w:r>
    </w:p>
    <w:p>
      <w:pPr>
        <w:spacing w:after="0" w:line="174"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6"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premium, if any,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227"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(DTC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92"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86" w:lineRule="exact"/>
        <w:rPr>
          <w:sz w:val="20"/>
          <w:szCs w:val="20"/>
          <w:color w:val="auto"/>
        </w:rPr>
      </w:pPr>
    </w:p>
    <w:p>
      <w:pPr>
        <w:jc w:val="both"/>
        <w:ind w:right="20" w:firstLine="344"/>
        <w:spacing w:after="0" w:line="262"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6"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Please see the section entitled "Global Securities" for more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(Article IV)</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227"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7" w:lineRule="exact"/>
        <w:rPr>
          <w:sz w:val="20"/>
          <w:szCs w:val="20"/>
          <w:color w:val="auto"/>
        </w:rPr>
      </w:pPr>
    </w:p>
    <w:p>
      <w:pPr>
        <w:ind w:right="560" w:firstLine="348"/>
        <w:spacing w:after="0" w:line="275"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187" w:lineRule="exact"/>
        <w:rPr>
          <w:sz w:val="20"/>
          <w:szCs w:val="20"/>
          <w:color w:val="auto"/>
        </w:rPr>
      </w:pPr>
    </w:p>
    <w:p>
      <w:pPr>
        <w:ind w:left="1080" w:right="220" w:hanging="532"/>
        <w:spacing w:after="0" w:line="275"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the company) is a corporation organized and validly existing under the laws of any U.S. domestic jurisdiction and expressly assumes our obligations on the debt securities and under the indenture;</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 (Section 5.1)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239" w:lineRule="exact"/>
        <w:rPr>
          <w:sz w:val="20"/>
          <w:szCs w:val="20"/>
          <w:color w:val="auto"/>
        </w:rPr>
      </w:pPr>
    </w:p>
    <w:p>
      <w:pPr>
        <w:ind w:left="1080" w:right="20" w:hanging="532"/>
        <w:spacing w:after="0" w:line="26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debt security of that series at its maturity;</w:t>
      </w:r>
    </w:p>
    <w:p>
      <w:pPr>
        <w:spacing w:after="0" w:line="238" w:lineRule="exact"/>
        <w:rPr>
          <w:rFonts w:ascii="Times New Roman" w:cs="Times New Roman" w:eastAsia="Times New Roman" w:hAnsi="Times New Roman"/>
          <w:sz w:val="18"/>
          <w:szCs w:val="18"/>
          <w:color w:val="auto"/>
        </w:rPr>
      </w:pPr>
    </w:p>
    <w:p>
      <w:pPr>
        <w:ind w:left="1080" w:right="120" w:hanging="532"/>
        <w:spacing w:after="0" w:line="301" w:lineRule="auto"/>
        <w:tabs>
          <w:tab w:leader="none" w:pos="108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performance or breach of any other covenant or warranty by us in the indenture or any debt security (other than a covenant or warranty that has been included in the indenture solely for the benefit of a series of debt securities other than that series), which default continues uncured for a period of 60 days after we receive written notice from the trustee or the company and the trustee receive written notice from the holders of not less than 25% in principal amount of the outstanding debt securities of that series as provided in the indenture;</w:t>
      </w:r>
    </w:p>
    <w:p>
      <w:pPr>
        <w:spacing w:after="0" w:line="170"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the company; or</w:t>
      </w:r>
    </w:p>
    <w:p>
      <w:pPr>
        <w:spacing w:after="0" w:line="252" w:lineRule="exact"/>
        <w:rPr>
          <w:rFonts w:ascii="Times New Roman" w:cs="Times New Roman" w:eastAsia="Times New Roman" w:hAnsi="Times New Roman"/>
          <w:sz w:val="18"/>
          <w:szCs w:val="18"/>
          <w:color w:val="auto"/>
        </w:rPr>
      </w:pPr>
    </w:p>
    <w:p>
      <w:pPr>
        <w:ind w:left="1080" w:right="440" w:hanging="532"/>
        <w:spacing w:after="0" w:line="275"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(Section 6.1)</w:t>
      </w:r>
    </w:p>
    <w:p>
      <w:pPr>
        <w:spacing w:after="0" w:line="174" w:lineRule="exact"/>
        <w:rPr>
          <w:sz w:val="20"/>
          <w:szCs w:val="20"/>
          <w:color w:val="auto"/>
        </w:rPr>
      </w:pPr>
    </w:p>
    <w:p>
      <w:pPr>
        <w:ind w:right="240" w:firstLine="351"/>
        <w:spacing w:after="0" w:line="310" w:lineRule="auto"/>
        <w:rPr>
          <w:sz w:val="20"/>
          <w:szCs w:val="20"/>
          <w:color w:val="auto"/>
        </w:rPr>
      </w:pPr>
      <w:r>
        <w:rPr>
          <w:rFonts w:ascii="Times New Roman" w:cs="Times New Roman" w:eastAsia="Times New Roman" w:hAnsi="Times New Roman"/>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51"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86"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04" w:name="page205"/>
    <w:bookmarkEnd w:id="204"/>
    <w:p>
      <w:pPr>
        <w:spacing w:after="0" w:line="253" w:lineRule="auto"/>
        <w:rPr>
          <w:sz w:val="20"/>
          <w:szCs w:val="20"/>
          <w:color w:val="auto"/>
        </w:rPr>
      </w:pPr>
      <w:r>
        <w:rPr>
          <w:rFonts w:ascii="Times New Roman" w:cs="Times New Roman" w:eastAsia="Times New Roman" w:hAnsi="Times New Roman"/>
          <w:sz w:val="18"/>
          <w:szCs w:val="18"/>
          <w:color w:val="auto"/>
        </w:rPr>
        <w:t>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8"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that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92"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87" w:lineRule="exact"/>
        <w:rPr>
          <w:sz w:val="20"/>
          <w:szCs w:val="20"/>
          <w:color w:val="auto"/>
        </w:rPr>
      </w:pPr>
    </w:p>
    <w:p>
      <w:pPr>
        <w:ind w:left="1080" w:hanging="532"/>
        <w:spacing w:after="0"/>
        <w:tabs>
          <w:tab w:leader="none" w:pos="10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holder has previously given to the trustee written notice of a continuing Event of Default with respect to debt securities of that series; and</w:t>
      </w:r>
    </w:p>
    <w:p>
      <w:pPr>
        <w:spacing w:after="0" w:line="275" w:lineRule="exact"/>
        <w:rPr>
          <w:rFonts w:ascii="Times New Roman" w:cs="Times New Roman" w:eastAsia="Times New Roman" w:hAnsi="Times New Roman"/>
          <w:sz w:val="16"/>
          <w:szCs w:val="16"/>
          <w:color w:val="auto"/>
        </w:rPr>
      </w:pPr>
    </w:p>
    <w:p>
      <w:pPr>
        <w:ind w:left="1080" w:right="140" w:hanging="532"/>
        <w:spacing w:after="0" w:line="258"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90"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 (Section 6.8)</w:t>
      </w:r>
    </w:p>
    <w:p>
      <w:pPr>
        <w:spacing w:after="0" w:line="186" w:lineRule="exact"/>
        <w:rPr>
          <w:sz w:val="20"/>
          <w:szCs w:val="20"/>
          <w:color w:val="auto"/>
        </w:rPr>
      </w:pPr>
    </w:p>
    <w:p>
      <w:pPr>
        <w:ind w:right="120" w:firstLine="348"/>
        <w:spacing w:after="0" w:line="293" w:lineRule="auto"/>
        <w:rPr>
          <w:sz w:val="20"/>
          <w:szCs w:val="20"/>
          <w:color w:val="auto"/>
        </w:rPr>
      </w:pPr>
      <w:r>
        <w:rPr>
          <w:rFonts w:ascii="Times New Roman" w:cs="Times New Roman" w:eastAsia="Times New Roman" w:hAnsi="Times New Roman"/>
          <w:sz w:val="16"/>
          <w:szCs w:val="16"/>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7" w:lineRule="exact"/>
        <w:rPr>
          <w:sz w:val="20"/>
          <w:szCs w:val="20"/>
          <w:color w:val="auto"/>
        </w:rPr>
      </w:pPr>
    </w:p>
    <w:p>
      <w:pPr>
        <w:ind w:right="460" w:firstLine="348"/>
        <w:spacing w:after="0" w:line="275"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187" w:lineRule="exact"/>
        <w:rPr>
          <w:sz w:val="20"/>
          <w:szCs w:val="20"/>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38" w:lineRule="exact"/>
        <w:rPr>
          <w:rFonts w:ascii="Times New Roman" w:cs="Times New Roman" w:eastAsia="Times New Roman" w:hAnsi="Times New Roman"/>
          <w:sz w:val="18"/>
          <w:szCs w:val="18"/>
          <w:color w:val="auto"/>
        </w:rPr>
      </w:pPr>
    </w:p>
    <w:p>
      <w:pPr>
        <w:ind w:left="5540" w:right="1540" w:hanging="4992"/>
        <w:spacing w:after="0" w:line="525" w:lineRule="auto"/>
        <w:tabs>
          <w:tab w:leader="none" w:pos="109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5" w:name="page206"/>
    <w:bookmarkEnd w:id="205"/>
    <w:p>
      <w:pPr>
        <w:ind w:left="1080" w:hanging="532"/>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252"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87" w:lineRule="exact"/>
        <w:rPr>
          <w:rFonts w:ascii="Times New Roman" w:cs="Times New Roman" w:eastAsia="Times New Roman" w:hAnsi="Times New Roman"/>
          <w:sz w:val="18"/>
          <w:szCs w:val="18"/>
          <w:color w:val="auto"/>
        </w:rPr>
      </w:pPr>
    </w:p>
    <w:p>
      <w:pPr>
        <w:ind w:left="1080" w:right="700" w:hanging="532"/>
        <w:spacing w:after="0" w:line="275"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(Section 9.1)</w:t>
      </w:r>
    </w:p>
    <w:p>
      <w:pPr>
        <w:spacing w:after="0" w:line="174"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200" w:lineRule="exact"/>
        <w:rPr>
          <w:sz w:val="20"/>
          <w:szCs w:val="20"/>
          <w:color w:val="auto"/>
        </w:rPr>
      </w:pPr>
    </w:p>
    <w:p>
      <w:pPr>
        <w:ind w:left="1080" w:hanging="532"/>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238"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252" w:lineRule="exact"/>
        <w:rPr>
          <w:rFonts w:ascii="Times New Roman" w:cs="Times New Roman" w:eastAsia="Times New Roman" w:hAnsi="Times New Roman"/>
          <w:sz w:val="18"/>
          <w:szCs w:val="18"/>
          <w:color w:val="auto"/>
        </w:rPr>
      </w:pPr>
    </w:p>
    <w:p>
      <w:pPr>
        <w:ind w:left="1080" w:right="160" w:hanging="532"/>
        <w:spacing w:after="0" w:line="26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252"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(Section 9.3)</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sectPr>
      </w:pPr>
    </w:p>
    <w:bookmarkStart w:id="206" w:name="page207"/>
    <w:bookmarkEnd w:id="206"/>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225"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Legal Defeasance. </w:t>
      </w: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194"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(Section 8.3)</w:t>
      </w:r>
    </w:p>
    <w:p>
      <w:pPr>
        <w:spacing w:after="0" w:line="190" w:lineRule="exact"/>
        <w:rPr>
          <w:sz w:val="20"/>
          <w:szCs w:val="20"/>
          <w:color w:val="auto"/>
        </w:rPr>
      </w:pPr>
    </w:p>
    <w:p>
      <w:pPr>
        <w:ind w:right="2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Defeasance of Certain Covenants. </w:t>
      </w:r>
      <w:r>
        <w:rPr>
          <w:rFonts w:ascii="Times New Roman" w:cs="Times New Roman" w:eastAsia="Times New Roman" w:hAnsi="Times New Roman"/>
          <w:sz w:val="18"/>
          <w:szCs w:val="18"/>
          <w:color w:val="auto"/>
        </w:rPr>
        <w:t>The indenture provides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186" w:lineRule="exact"/>
        <w:rPr>
          <w:sz w:val="20"/>
          <w:szCs w:val="20"/>
          <w:color w:val="auto"/>
        </w:rPr>
      </w:pPr>
    </w:p>
    <w:p>
      <w:pPr>
        <w:ind w:left="1080" w:right="100" w:hanging="532"/>
        <w:spacing w:after="0" w:line="275"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that may be set forth in the applicable prospectus supplement; and</w:t>
      </w:r>
    </w:p>
    <w:p>
      <w:pPr>
        <w:spacing w:after="0" w:line="200"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239" w:lineRule="exact"/>
        <w:rPr>
          <w:sz w:val="20"/>
          <w:szCs w:val="20"/>
          <w:color w:val="auto"/>
        </w:rPr>
      </w:pPr>
    </w:p>
    <w:p>
      <w:pPr>
        <w:ind w:left="1080" w:right="40" w:hanging="532"/>
        <w:spacing w:after="0" w:line="255"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205" w:lineRule="exact"/>
        <w:rPr>
          <w:rFonts w:ascii="Times New Roman" w:cs="Times New Roman" w:eastAsia="Times New Roman" w:hAnsi="Times New Roman"/>
          <w:sz w:val="18"/>
          <w:szCs w:val="18"/>
          <w:color w:val="auto"/>
        </w:rPr>
      </w:pPr>
    </w:p>
    <w:p>
      <w:pPr>
        <w:ind w:left="1080" w:right="40" w:hanging="532"/>
        <w:spacing w:after="0" w:line="26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7" w:name="page208"/>
    <w:bookmarkEnd w:id="207"/>
    <w:p>
      <w:pPr>
        <w:ind w:left="1080"/>
        <w:spacing w:after="0"/>
        <w:rPr>
          <w:sz w:val="20"/>
          <w:szCs w:val="20"/>
          <w:color w:val="auto"/>
        </w:rPr>
      </w:pPr>
      <w:r>
        <w:rPr>
          <w:rFonts w:ascii="Times New Roman" w:cs="Times New Roman" w:eastAsia="Times New Roman" w:hAnsi="Times New Roman"/>
          <w:sz w:val="18"/>
          <w:szCs w:val="18"/>
          <w:color w:val="auto"/>
        </w:rPr>
        <w:t>manner and at the same times as would have been the case if the deposit and related covenant defeasance had not occurred. (Section 8.4)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227" w:lineRule="exact"/>
        <w:rPr>
          <w:sz w:val="20"/>
          <w:szCs w:val="20"/>
          <w:color w:val="auto"/>
        </w:rPr>
      </w:pPr>
    </w:p>
    <w:p>
      <w:pPr>
        <w:jc w:val="both"/>
        <w:ind w:right="200" w:firstLine="351"/>
        <w:spacing w:after="0" w:line="301" w:lineRule="auto"/>
        <w:rPr>
          <w:sz w:val="20"/>
          <w:szCs w:val="20"/>
          <w:color w:val="auto"/>
        </w:rPr>
      </w:pPr>
      <w:r>
        <w:rPr>
          <w:rFonts w:ascii="Times New Roman" w:cs="Times New Roman" w:eastAsia="Times New Roman" w:hAnsi="Times New Roman"/>
          <w:sz w:val="16"/>
          <w:szCs w:val="16"/>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7"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174"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6"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08" w:name="page209"/>
    <w:bookmarkEnd w:id="20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7" w:lineRule="exact"/>
        <w:rPr>
          <w:sz w:val="20"/>
          <w:szCs w:val="20"/>
          <w:color w:val="auto"/>
        </w:rPr>
      </w:pPr>
    </w:p>
    <w:p>
      <w:pPr>
        <w:ind w:right="100" w:firstLine="348"/>
        <w:spacing w:after="0" w:line="254"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239" w:lineRule="exact"/>
        <w:rPr>
          <w:sz w:val="20"/>
          <w:szCs w:val="20"/>
          <w:color w:val="auto"/>
        </w:rPr>
      </w:pPr>
    </w:p>
    <w:p>
      <w:pPr>
        <w:ind w:left="1080" w:right="320" w:hanging="532"/>
        <w:spacing w:after="0" w:line="275"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200" w:lineRule="exact"/>
        <w:rPr>
          <w:rFonts w:ascii="Times New Roman" w:cs="Times New Roman" w:eastAsia="Times New Roman" w:hAnsi="Times New Roman"/>
          <w:sz w:val="18"/>
          <w:szCs w:val="18"/>
          <w:color w:val="auto"/>
        </w:rPr>
      </w:pPr>
    </w:p>
    <w:p>
      <w:pPr>
        <w:ind w:left="1080" w:right="540" w:hanging="532"/>
        <w:spacing w:after="0" w:line="275"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187"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if any, on and after which the warrants and the related debt securities, preferred stock or common stock will be separately transferable;</w:t>
      </w:r>
    </w:p>
    <w:p>
      <w:pPr>
        <w:spacing w:after="0" w:line="275"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consequences applicable to the warrants; and</w:t>
      </w:r>
    </w:p>
    <w:p>
      <w:pPr>
        <w:spacing w:after="0" w:line="252" w:lineRule="exact"/>
        <w:rPr>
          <w:rFonts w:ascii="Times New Roman" w:cs="Times New Roman" w:eastAsia="Times New Roman" w:hAnsi="Times New Roman"/>
          <w:sz w:val="18"/>
          <w:szCs w:val="18"/>
          <w:color w:val="auto"/>
        </w:rPr>
      </w:pPr>
    </w:p>
    <w:p>
      <w:pPr>
        <w:ind w:left="1080" w:right="540" w:hanging="532"/>
        <w:spacing w:after="0" w:line="275"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Holders of equity warrants will not be entitled to:</w:t>
      </w:r>
    </w:p>
    <w:p>
      <w:pPr>
        <w:spacing w:after="0" w:line="239" w:lineRule="exact"/>
        <w:rPr>
          <w:sz w:val="20"/>
          <w:szCs w:val="20"/>
          <w:color w:val="auto"/>
        </w:rPr>
      </w:pPr>
    </w:p>
    <w:p>
      <w:pPr>
        <w:ind w:left="1080" w:hanging="532"/>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consent or receive dividends;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 of the company.</w:t>
      </w:r>
    </w:p>
    <w:p>
      <w:pPr>
        <w:spacing w:after="0" w:line="225"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90" w:lineRule="exact"/>
        <w:rPr>
          <w:sz w:val="20"/>
          <w:szCs w:val="20"/>
          <w:color w:val="auto"/>
        </w:rPr>
      </w:pPr>
    </w:p>
    <w:p>
      <w:pPr>
        <w:ind w:right="220" w:firstLine="341"/>
        <w:spacing w:after="0" w:line="275"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9" w:name="page210"/>
    <w:bookmarkEnd w:id="209"/>
    <w:p>
      <w:pPr>
        <w:jc w:val="both"/>
        <w:spacing w:after="0" w:line="256" w:lineRule="auto"/>
        <w:rPr>
          <w:sz w:val="20"/>
          <w:szCs w:val="20"/>
          <w:color w:val="auto"/>
        </w:rPr>
      </w:pPr>
      <w:r>
        <w:rPr>
          <w:rFonts w:ascii="Times New Roman" w:cs="Times New Roman" w:eastAsia="Times New Roman" w:hAnsi="Times New Roman"/>
          <w:sz w:val="18"/>
          <w:szCs w:val="18"/>
          <w:color w:val="auto"/>
        </w:rPr>
        <w:t>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210" w:name="page211"/>
    <w:bookmarkEnd w:id="2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90" w:lineRule="exact"/>
        <w:rPr>
          <w:sz w:val="20"/>
          <w:szCs w:val="20"/>
          <w:color w:val="auto"/>
        </w:rPr>
      </w:pPr>
    </w:p>
    <w:p>
      <w:pPr>
        <w:ind w:firstLine="348"/>
        <w:spacing w:after="0" w:line="296" w:lineRule="auto"/>
        <w:rPr>
          <w:sz w:val="20"/>
          <w:szCs w:val="20"/>
          <w:color w:val="auto"/>
        </w:rPr>
      </w:pPr>
      <w:r>
        <w:rPr>
          <w:rFonts w:ascii="Times New Roman" w:cs="Times New Roman" w:eastAsia="Times New Roman" w:hAnsi="Times New Roman"/>
          <w:sz w:val="16"/>
          <w:szCs w:val="16"/>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61" w:lineRule="exact"/>
        <w:rPr>
          <w:sz w:val="20"/>
          <w:szCs w:val="20"/>
          <w:color w:val="auto"/>
        </w:rPr>
      </w:pPr>
    </w:p>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187" w:lineRule="exact"/>
        <w:rPr>
          <w:sz w:val="20"/>
          <w:szCs w:val="20"/>
          <w:color w:val="auto"/>
        </w:rPr>
      </w:pPr>
    </w:p>
    <w:p>
      <w:pPr>
        <w:ind w:left="1080" w:hanging="532"/>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units;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339" w:right="399" w:bottom="1440" w:gutter="0" w:footer="0" w:header="0"/>
        </w:sectPr>
      </w:pPr>
    </w:p>
    <w:bookmarkStart w:id="211" w:name="page212"/>
    <w:bookmarkEnd w:id="2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7"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227"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90" w:lineRule="exact"/>
        <w:rPr>
          <w:sz w:val="20"/>
          <w:szCs w:val="20"/>
          <w:color w:val="auto"/>
        </w:rPr>
      </w:pPr>
    </w:p>
    <w:p>
      <w:pPr>
        <w:ind w:right="160" w:firstLine="351"/>
        <w:spacing w:after="0" w:line="256"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92"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227" w:lineRule="exact"/>
        <w:rPr>
          <w:sz w:val="20"/>
          <w:szCs w:val="20"/>
          <w:color w:val="auto"/>
        </w:rPr>
      </w:pPr>
    </w:p>
    <w:p>
      <w:pPr>
        <w:ind w:right="80" w:firstLine="341"/>
        <w:spacing w:after="0" w:line="258" w:lineRule="auto"/>
        <w:rPr>
          <w:sz w:val="20"/>
          <w:szCs w:val="20"/>
          <w:color w:val="auto"/>
        </w:rPr>
      </w:pPr>
      <w:r>
        <w:rPr>
          <w:rFonts w:ascii="Times New Roman" w:cs="Times New Roman" w:eastAsia="Times New Roman" w:hAnsi="Times New Roman"/>
          <w:sz w:val="18"/>
          <w:szCs w:val="18"/>
          <w:color w:val="auto"/>
        </w:rPr>
        <w:t>A global security may be terminated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90"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227" w:lineRule="exact"/>
        <w:rPr>
          <w:sz w:val="20"/>
          <w:szCs w:val="20"/>
          <w:color w:val="auto"/>
        </w:rPr>
      </w:pPr>
    </w:p>
    <w:p>
      <w:pPr>
        <w:ind w:right="80" w:firstLine="351"/>
        <w:spacing w:after="0" w:line="310" w:lineRule="auto"/>
        <w:rPr>
          <w:sz w:val="20"/>
          <w:szCs w:val="20"/>
          <w:color w:val="auto"/>
        </w:rPr>
      </w:pPr>
      <w:r>
        <w:rPr>
          <w:rFonts w:ascii="Times New Roman" w:cs="Times New Roman" w:eastAsia="Times New Roman" w:hAnsi="Times New Roman"/>
          <w:sz w:val="16"/>
          <w:szCs w:val="16"/>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51"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legal holder, we have no further responsibility for the payment or notice even if that legal holder is required, under agreements with its participants or customers or by law, to</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12" w:name="page213"/>
    <w:bookmarkEnd w:id="212"/>
    <w:p>
      <w:pPr>
        <w:ind w:right="120"/>
        <w:spacing w:after="0" w:line="258" w:lineRule="auto"/>
        <w:rPr>
          <w:sz w:val="20"/>
          <w:szCs w:val="20"/>
          <w:color w:val="auto"/>
        </w:rPr>
      </w:pPr>
      <w:r>
        <w:rPr>
          <w:rFonts w:ascii="Times New Roman" w:cs="Times New Roman" w:eastAsia="Times New Roman" w:hAnsi="Times New Roman"/>
          <w:sz w:val="18"/>
          <w:szCs w:val="18"/>
          <w:color w:val="auto"/>
        </w:rPr>
        <w:t>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227"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187" w:lineRule="exact"/>
        <w:rPr>
          <w:sz w:val="20"/>
          <w:szCs w:val="20"/>
          <w:color w:val="auto"/>
        </w:rPr>
      </w:pPr>
    </w:p>
    <w:p>
      <w:pPr>
        <w:ind w:left="1080" w:hanging="532"/>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and how you can instruct it to send you securities registered in your own name so you can be a holder, if that is permitted in the future;</w:t>
      </w:r>
    </w:p>
    <w:p>
      <w:pPr>
        <w:spacing w:after="0" w:line="275" w:lineRule="exact"/>
        <w:rPr>
          <w:rFonts w:ascii="Times New Roman" w:cs="Times New Roman" w:eastAsia="Times New Roman" w:hAnsi="Times New Roman"/>
          <w:sz w:val="16"/>
          <w:szCs w:val="16"/>
          <w:color w:val="auto"/>
        </w:rPr>
      </w:pPr>
    </w:p>
    <w:p>
      <w:pPr>
        <w:ind w:left="1080" w:right="460" w:hanging="532"/>
        <w:spacing w:after="0" w:line="275"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7" w:lineRule="exact"/>
        <w:rPr>
          <w:sz w:val="20"/>
          <w:szCs w:val="20"/>
          <w:color w:val="auto"/>
        </w:rPr>
      </w:pPr>
    </w:p>
    <w:p>
      <w:pPr>
        <w:ind w:right="60" w:firstLine="341"/>
        <w:spacing w:after="0" w:line="275"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4" w:lineRule="exact"/>
        <w:rPr>
          <w:sz w:val="20"/>
          <w:szCs w:val="20"/>
          <w:color w:val="auto"/>
        </w:rPr>
      </w:pPr>
    </w:p>
    <w:p>
      <w:pPr>
        <w:ind w:right="380" w:firstLine="351"/>
        <w:spacing w:after="0" w:line="262"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86" w:lineRule="exact"/>
        <w:rPr>
          <w:sz w:val="20"/>
          <w:szCs w:val="20"/>
          <w:color w:val="auto"/>
        </w:rPr>
      </w:pPr>
    </w:p>
    <w:p>
      <w:pPr>
        <w:ind w:firstLine="341"/>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92"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227" w:lineRule="exact"/>
        <w:rPr>
          <w:sz w:val="20"/>
          <w:szCs w:val="20"/>
          <w:color w:val="auto"/>
        </w:rPr>
      </w:pPr>
    </w:p>
    <w:p>
      <w:pPr>
        <w:jc w:val="both"/>
        <w:ind w:right="20" w:firstLine="341"/>
        <w:spacing w:after="0" w:line="262"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239" w:lineRule="exact"/>
        <w:rPr>
          <w:sz w:val="20"/>
          <w:szCs w:val="20"/>
          <w:color w:val="auto"/>
        </w:rPr>
      </w:pPr>
    </w:p>
    <w:p>
      <w:pPr>
        <w:ind w:left="1080" w:right="100" w:hanging="532"/>
        <w:spacing w:after="0" w:line="275"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200"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187"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187"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200" w:lineRule="exact"/>
        <w:rPr>
          <w:rFonts w:ascii="Times New Roman" w:cs="Times New Roman" w:eastAsia="Times New Roman" w:hAnsi="Times New Roman"/>
          <w:sz w:val="18"/>
          <w:szCs w:val="18"/>
          <w:color w:val="auto"/>
        </w:rPr>
      </w:pPr>
    </w:p>
    <w:p>
      <w:pPr>
        <w:ind w:left="1080" w:right="420" w:hanging="532"/>
        <w:spacing w:after="0" w:line="275"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187" w:lineRule="exact"/>
        <w:rPr>
          <w:rFonts w:ascii="Times New Roman" w:cs="Times New Roman" w:eastAsia="Times New Roman" w:hAnsi="Times New Roman"/>
          <w:sz w:val="18"/>
          <w:szCs w:val="18"/>
          <w:color w:val="auto"/>
        </w:rPr>
      </w:pPr>
    </w:p>
    <w:p>
      <w:pPr>
        <w:ind w:left="1080" w:right="320" w:hanging="532"/>
        <w:spacing w:after="0" w:line="275"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187"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200" w:lineRule="exact"/>
        <w:rPr>
          <w:rFonts w:ascii="Times New Roman" w:cs="Times New Roman" w:eastAsia="Times New Roman" w:hAnsi="Times New Roman"/>
          <w:sz w:val="18"/>
          <w:szCs w:val="18"/>
          <w:color w:val="auto"/>
        </w:rPr>
      </w:pPr>
    </w:p>
    <w:p>
      <w:pPr>
        <w:ind w:left="1080" w:right="600" w:hanging="532"/>
        <w:spacing w:after="0" w:line="275"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74"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global security will terminate when the following special situations occur:</w:t>
      </w:r>
    </w:p>
    <w:p>
      <w:pPr>
        <w:spacing w:after="0" w:line="239" w:lineRule="exact"/>
        <w:rPr>
          <w:sz w:val="20"/>
          <w:szCs w:val="20"/>
          <w:color w:val="auto"/>
        </w:rPr>
      </w:pPr>
    </w:p>
    <w:p>
      <w:pPr>
        <w:ind w:left="1080" w:right="300" w:hanging="532"/>
        <w:spacing w:after="0" w:line="275"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14" w:name="page215"/>
    <w:bookmarkEnd w:id="214"/>
    <w:p>
      <w:pPr>
        <w:ind w:left="1080" w:hanging="532"/>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225"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neither we nor any applicable trustee, is responsible for deciding the names of the institutions that will be the initial direct 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Euroclear and Clearstream</w:t>
      </w:r>
    </w:p>
    <w:p>
      <w:pPr>
        <w:spacing w:after="0" w:line="227" w:lineRule="exact"/>
        <w:rPr>
          <w:sz w:val="20"/>
          <w:szCs w:val="20"/>
          <w:color w:val="auto"/>
        </w:rPr>
      </w:pPr>
    </w:p>
    <w:p>
      <w:pPr>
        <w:jc w:val="both"/>
        <w:ind w:firstLine="351"/>
        <w:spacing w:after="0" w:line="296" w:lineRule="auto"/>
        <w:rPr>
          <w:sz w:val="20"/>
          <w:szCs w:val="20"/>
          <w:color w:val="auto"/>
        </w:rPr>
      </w:pPr>
      <w:r>
        <w:rPr>
          <w:rFonts w:ascii="Times New Roman" w:cs="Times New Roman" w:eastAsia="Times New Roman" w:hAnsi="Times New Roman"/>
          <w:sz w:val="16"/>
          <w:szCs w:val="16"/>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61" w:lineRule="exact"/>
        <w:rPr>
          <w:sz w:val="20"/>
          <w:szCs w:val="20"/>
          <w:color w:val="auto"/>
        </w:rPr>
      </w:pPr>
    </w:p>
    <w:p>
      <w:pPr>
        <w:ind w:right="220" w:firstLine="351"/>
        <w:spacing w:after="0" w:line="262"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86" w:lineRule="exact"/>
        <w:rPr>
          <w:sz w:val="20"/>
          <w:szCs w:val="20"/>
          <w:color w:val="auto"/>
        </w:rPr>
      </w:pPr>
    </w:p>
    <w:p>
      <w:pPr>
        <w:ind w:right="260" w:firstLine="351"/>
        <w:spacing w:after="0" w:line="262"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86"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86" w:lineRule="exact"/>
        <w:rPr>
          <w:sz w:val="20"/>
          <w:szCs w:val="20"/>
          <w:color w:val="auto"/>
        </w:rPr>
      </w:pPr>
    </w:p>
    <w:p>
      <w:pPr>
        <w:ind w:right="80" w:firstLine="351"/>
        <w:spacing w:after="0" w:line="291" w:lineRule="auto"/>
        <w:rPr>
          <w:sz w:val="20"/>
          <w:szCs w:val="20"/>
          <w:color w:val="auto"/>
        </w:rPr>
      </w:pPr>
      <w:r>
        <w:rPr>
          <w:rFonts w:ascii="Times New Roman" w:cs="Times New Roman" w:eastAsia="Times New Roman" w:hAnsi="Times New Roman"/>
          <w:sz w:val="16"/>
          <w:szCs w:val="16"/>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66"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9" w:right="439" w:bottom="1440" w:gutter="0" w:footer="0" w:header="0"/>
        </w:sectPr>
      </w:pPr>
    </w:p>
    <w:bookmarkStart w:id="215" w:name="page216"/>
    <w:bookmarkEnd w:id="21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239" w:lineRule="exact"/>
        <w:rPr>
          <w:sz w:val="20"/>
          <w:szCs w:val="20"/>
          <w:color w:val="auto"/>
        </w:rPr>
      </w:pPr>
    </w:p>
    <w:p>
      <w:pPr>
        <w:ind w:left="1080" w:hanging="532"/>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 any other method permitted by law.</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239" w:lineRule="exact"/>
        <w:rPr>
          <w:sz w:val="20"/>
          <w:szCs w:val="20"/>
          <w:color w:val="auto"/>
        </w:rPr>
      </w:pPr>
    </w:p>
    <w:p>
      <w:pPr>
        <w:ind w:left="1080" w:hanging="532"/>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right="460" w:firstLine="348"/>
        <w:spacing w:after="0" w:line="275"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187" w:lineRule="exact"/>
        <w:rPr>
          <w:sz w:val="20"/>
          <w:szCs w:val="20"/>
          <w:color w:val="auto"/>
        </w:rPr>
      </w:pPr>
    </w:p>
    <w:p>
      <w:pPr>
        <w:ind w:left="1080" w:hanging="532"/>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339" w:right="479" w:bottom="1440" w:gutter="0" w:footer="0" w:header="0"/>
        </w:sectPr>
      </w:pPr>
    </w:p>
    <w:bookmarkStart w:id="216" w:name="page217"/>
    <w:bookmarkEnd w:id="216"/>
    <w:p>
      <w:pPr>
        <w:jc w:val="both"/>
        <w:ind w:right="500" w:firstLine="351"/>
        <w:spacing w:after="0" w:line="262" w:lineRule="auto"/>
        <w:rPr>
          <w:sz w:val="20"/>
          <w:szCs w:val="20"/>
          <w:color w:val="auto"/>
        </w:rPr>
      </w:pPr>
      <w:r>
        <w:rPr>
          <w:rFonts w:ascii="Times New Roman" w:cs="Times New Roman" w:eastAsia="Times New Roman" w:hAnsi="Times New Roman"/>
          <w:sz w:val="18"/>
          <w:szCs w:val="18"/>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86"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In connection with the offering of securities, we may grant to the underwriters an option to purchase additional securities with an additional underwriting commission, as may be set forth in the applicable prospectus supplement. If we grant any such option, the terms of such option will be set forth in the prospectus supplement for such securities.</w:t>
      </w:r>
    </w:p>
    <w:p>
      <w:pPr>
        <w:spacing w:after="0" w:line="186"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86"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86" w:lineRule="exact"/>
        <w:rPr>
          <w:sz w:val="20"/>
          <w:szCs w:val="20"/>
          <w:color w:val="auto"/>
        </w:rPr>
      </w:pPr>
    </w:p>
    <w:p>
      <w:pPr>
        <w:jc w:val="both"/>
        <w:ind w:right="380" w:firstLine="341"/>
        <w:spacing w:after="0" w:line="262"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86"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206" w:lineRule="exact"/>
        <w:rPr>
          <w:sz w:val="20"/>
          <w:szCs w:val="20"/>
          <w:color w:val="auto"/>
        </w:rPr>
      </w:pPr>
    </w:p>
    <w:p>
      <w:pPr>
        <w:ind w:left="1080" w:right="240" w:hanging="532"/>
        <w:spacing w:after="0" w:line="275"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200"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6"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90" w:lineRule="exact"/>
        <w:rPr>
          <w:sz w:val="20"/>
          <w:szCs w:val="20"/>
          <w:color w:val="auto"/>
        </w:rPr>
      </w:pPr>
    </w:p>
    <w:p>
      <w:pPr>
        <w:ind w:right="440" w:firstLine="351"/>
        <w:spacing w:after="0" w:line="262"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86" w:lineRule="exact"/>
        <w:rPr>
          <w:sz w:val="20"/>
          <w:szCs w:val="20"/>
          <w:color w:val="auto"/>
        </w:rPr>
      </w:pPr>
    </w:p>
    <w:p>
      <w:pPr>
        <w:ind w:right="60" w:firstLine="341"/>
        <w:spacing w:after="0" w:line="262" w:lineRule="auto"/>
        <w:rPr>
          <w:sz w:val="20"/>
          <w:szCs w:val="20"/>
          <w:color w:val="auto"/>
        </w:rPr>
      </w:pPr>
      <w:r>
        <w:rPr>
          <w:rFonts w:ascii="Times New Roman" w:cs="Times New Roman" w:eastAsia="Times New Roman" w:hAnsi="Times New Roman"/>
          <w:sz w:val="18"/>
          <w:szCs w:val="18"/>
          <w:color w:val="auto"/>
        </w:rPr>
        <w:t>Any common stock will be listed on the Nasdaq Global Select Market, but any other securities may or may not be listed on a national securities exchange. In order to facilitate the offering of the securities, any underwriters may engage in transactions that stabilize, maintain or otherwise affect the price of the securities or any other securities the prices of</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7" w:name="page218"/>
    <w:bookmarkEnd w:id="217"/>
    <w:p>
      <w:pPr>
        <w:ind w:right="120"/>
        <w:spacing w:after="0" w:line="254" w:lineRule="auto"/>
        <w:rPr>
          <w:sz w:val="20"/>
          <w:szCs w:val="20"/>
          <w:color w:val="auto"/>
        </w:rPr>
      </w:pPr>
      <w:r>
        <w:rPr>
          <w:rFonts w:ascii="Times New Roman" w:cs="Times New Roman" w:eastAsia="Times New Roman" w:hAnsi="Times New Roman"/>
          <w:sz w:val="18"/>
          <w:szCs w:val="18"/>
          <w:color w:val="auto"/>
        </w:rPr>
        <w:t>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95" w:lineRule="exact"/>
        <w:rPr>
          <w:sz w:val="20"/>
          <w:szCs w:val="20"/>
          <w:color w:val="auto"/>
        </w:rPr>
      </w:pPr>
    </w:p>
    <w:p>
      <w:pPr>
        <w:ind w:right="20" w:firstLine="348"/>
        <w:spacing w:after="0" w:line="288" w:lineRule="auto"/>
        <w:rPr>
          <w:sz w:val="20"/>
          <w:szCs w:val="20"/>
          <w:color w:val="auto"/>
        </w:rPr>
      </w:pPr>
      <w:r>
        <w:rPr>
          <w:rFonts w:ascii="Times New Roman" w:cs="Times New Roman" w:eastAsia="Times New Roman" w:hAnsi="Times New Roman"/>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73"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Under Rule 15c6-1 of the Securities Exchange Act of 1934, as amended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92"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74"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Inc.,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right="380" w:firstLine="348"/>
        <w:spacing w:after="0" w:line="275"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anticipated date of delivery of offered securities will be set forth in the applicable prospectus supplement relating to each offer.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8" w:name="page219"/>
    <w:bookmarkEnd w:id="2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Satterlee Stephens LLP, New York, New York. Any underwriters will also be advised about the validity of the securities and other legal matters by their own counsel, which will be named in the prospectus supplement.</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right="40" w:firstLine="348"/>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statements incorporated in this prospectus by reference to the </w:t>
      </w:r>
      <w:hyperlink r:id="rId264">
        <w:r>
          <w:rPr>
            <w:rFonts w:ascii="Times New Roman" w:cs="Times New Roman" w:eastAsia="Times New Roman" w:hAnsi="Times New Roman"/>
            <w:sz w:val="18"/>
            <w:szCs w:val="18"/>
            <w:u w:val="single" w:color="auto"/>
            <w:color w:val="0000EE"/>
          </w:rPr>
          <w:t>Annual Report on Form 10-K for the year ended December 31, 2018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have been so incorporated in reliance on the report of PricewaterhouseCoopers LLP, an independent registered public accounting firm, given on the authority of said firm as experts in auditing and accounting.</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7" w:lineRule="exact"/>
        <w:rPr>
          <w:sz w:val="20"/>
          <w:szCs w:val="20"/>
          <w:color w:val="auto"/>
        </w:rPr>
      </w:pPr>
    </w:p>
    <w:p>
      <w:pPr>
        <w:ind w:right="300" w:firstLine="348"/>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and, in accordance therewith, file annual, quarterly and special reports, proxy statements and other information with the SEC. You may read and copy any document we file, including the registration statement, at the SEC's Public Reference Room at 100 F Street, N.E., Washington, D.C. 20549. You may call the SEC at 1-800-SEC-0330 for further information on the operation of the Public Reference Room. These documents also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348"/>
        <w:spacing w:after="0" w:line="293" w:lineRule="auto"/>
        <w:rPr>
          <w:sz w:val="20"/>
          <w:szCs w:val="20"/>
          <w:color w:val="auto"/>
        </w:rPr>
      </w:pPr>
      <w:r>
        <w:rPr>
          <w:rFonts w:ascii="Times New Roman" w:cs="Times New Roman" w:eastAsia="Times New Roman" w:hAnsi="Times New Roman"/>
          <w:sz w:val="16"/>
          <w:szCs w:val="16"/>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stockholder upon written or oral request and without charge. Written requests for such copies should be directed to Y-mAbs Therapeutics, Inc., 230 Park Avenue, Suite 3350, New York, NY 10169, Attention: Secretary. Our website is located at </w:t>
      </w:r>
      <w:r>
        <w:rPr>
          <w:rFonts w:ascii="Times New Roman" w:cs="Times New Roman" w:eastAsia="Times New Roman" w:hAnsi="Times New Roman"/>
          <w:sz w:val="16"/>
          <w:szCs w:val="16"/>
          <w:i w:val="1"/>
          <w:iCs w:val="1"/>
          <w:color w:val="auto"/>
        </w:rPr>
        <w:t>www.ymabs.com</w:t>
      </w:r>
      <w:r>
        <w:rPr>
          <w:rFonts w:ascii="Times New Roman" w:cs="Times New Roman" w:eastAsia="Times New Roman" w:hAnsi="Times New Roman"/>
          <w:sz w:val="16"/>
          <w:szCs w:val="16"/>
          <w:color w:val="auto"/>
        </w:rPr>
        <w:t>. Information contained on our website is not incorporated by reference into this prospectus and, therefore, is not part of this prospectus or any prospectus supplement.</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219" w:name="page220"/>
    <w:bookmarkEnd w:id="21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7" w:lineRule="exact"/>
        <w:rPr>
          <w:sz w:val="20"/>
          <w:szCs w:val="20"/>
          <w:color w:val="auto"/>
        </w:rPr>
      </w:pPr>
    </w:p>
    <w:p>
      <w:pPr>
        <w:ind w:firstLine="348"/>
        <w:spacing w:after="0" w:line="290" w:lineRule="auto"/>
        <w:rPr>
          <w:sz w:val="20"/>
          <w:szCs w:val="20"/>
          <w:color w:val="auto"/>
        </w:rPr>
      </w:pPr>
      <w:r>
        <w:rPr>
          <w:rFonts w:ascii="Times New Roman" w:cs="Times New Roman" w:eastAsia="Times New Roman" w:hAnsi="Times New Roman"/>
          <w:sz w:val="16"/>
          <w:szCs w:val="16"/>
          <w:color w:val="auto"/>
        </w:rPr>
        <w:t>The SEC allows us to incorporate by reference the information and reports we file with it into this prospectus,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(other than those documents or the portions of those documents not deemed to be filed), and any future filings (other than current reports furnished under Item 2.02 or Item 7.01 of Form 8-K and exhibits filed in such forms that are related to such items unless such Form 8-K expressly provides to the contrary)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furnished and not deemed filed under such provisions, until we sell all of the securities:</w:t>
      </w:r>
    </w:p>
    <w:p>
      <w:pPr>
        <w:spacing w:after="0" w:line="179" w:lineRule="exact"/>
        <w:rPr>
          <w:sz w:val="20"/>
          <w:szCs w:val="20"/>
          <w:color w:val="auto"/>
        </w:rPr>
      </w:pPr>
    </w:p>
    <w:p>
      <w:pPr>
        <w:ind w:left="1080" w:hanging="532"/>
        <w:spacing w:after="0"/>
        <w:tabs>
          <w:tab w:leader="none" w:pos="1080" w:val="left"/>
        </w:tabs>
        <w:numPr>
          <w:ilvl w:val="0"/>
          <w:numId w:val="139"/>
        </w:numPr>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u w:val="single" w:color="auto"/>
            <w:color w:val="0000EE"/>
          </w:rPr>
          <w:t>our Annual Report on Form 10-K for the year ended December 31, 2018, filed with the SEC on March 22, 2019</w:t>
        </w:r>
      </w:hyperlink>
      <w:r>
        <w:rPr>
          <w:rFonts w:ascii="Times New Roman" w:cs="Times New Roman" w:eastAsia="Times New Roman" w:hAnsi="Times New Roman"/>
          <w:sz w:val="18"/>
          <w:szCs w:val="18"/>
          <w:color w:val="000000"/>
        </w:rPr>
        <w:t>;</w:t>
      </w:r>
    </w:p>
    <w:p>
      <w:pPr>
        <w:spacing w:after="0" w:line="252" w:lineRule="exact"/>
        <w:rPr>
          <w:rFonts w:ascii="Times New Roman" w:cs="Times New Roman" w:eastAsia="Times New Roman" w:hAnsi="Times New Roman"/>
          <w:sz w:val="18"/>
          <w:szCs w:val="18"/>
          <w:color w:val="0000EE"/>
        </w:rPr>
      </w:pPr>
    </w:p>
    <w:p>
      <w:pPr>
        <w:ind w:left="1080" w:right="220" w:hanging="532"/>
        <w:spacing w:after="0" w:line="275" w:lineRule="auto"/>
        <w:tabs>
          <w:tab w:leader="none" w:pos="1080" w:val="left"/>
        </w:tabs>
        <w:numPr>
          <w:ilvl w:val="0"/>
          <w:numId w:val="13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our </w:t>
      </w:r>
      <w:hyperlink r:id="rId264">
        <w:r>
          <w:rPr>
            <w:rFonts w:ascii="Times New Roman" w:cs="Times New Roman" w:eastAsia="Times New Roman" w:hAnsi="Times New Roman"/>
            <w:sz w:val="18"/>
            <w:szCs w:val="18"/>
            <w:u w:val="single" w:color="auto"/>
            <w:color w:val="0000EE"/>
          </w:rPr>
          <w:t>Annual Report on Form 10-K for the year ended December 31, 2018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from our </w:t>
      </w:r>
      <w:hyperlink r:id="rId296">
        <w:r>
          <w:rPr>
            <w:rFonts w:ascii="Times New Roman" w:cs="Times New Roman" w:eastAsia="Times New Roman" w:hAnsi="Times New Roman"/>
            <w:sz w:val="18"/>
            <w:szCs w:val="18"/>
            <w:u w:val="single" w:color="auto"/>
            <w:color w:val="0000EE"/>
          </w:rPr>
          <w:t>Definitive Proxy Statement on Schedule 14A, filed with the SEC on April 30, 2019</w:t>
        </w:r>
      </w:hyperlink>
      <w:r>
        <w:rPr>
          <w:rFonts w:ascii="Times New Roman" w:cs="Times New Roman" w:eastAsia="Times New Roman" w:hAnsi="Times New Roman"/>
          <w:sz w:val="18"/>
          <w:szCs w:val="18"/>
          <w:color w:val="000000"/>
        </w:rPr>
        <w:t>;</w:t>
      </w:r>
    </w:p>
    <w:p>
      <w:pPr>
        <w:spacing w:after="0" w:line="187" w:lineRule="exact"/>
        <w:rPr>
          <w:rFonts w:ascii="Times New Roman" w:cs="Times New Roman" w:eastAsia="Times New Roman" w:hAnsi="Times New Roman"/>
          <w:sz w:val="18"/>
          <w:szCs w:val="18"/>
          <w:color w:val="0000EE"/>
        </w:rPr>
      </w:pPr>
    </w:p>
    <w:p>
      <w:pPr>
        <w:ind w:left="1080" w:right="560" w:hanging="532"/>
        <w:spacing w:after="0" w:line="275" w:lineRule="auto"/>
        <w:tabs>
          <w:tab w:leader="none" w:pos="1080" w:val="left"/>
        </w:tabs>
        <w:numPr>
          <w:ilvl w:val="0"/>
          <w:numId w:val="13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2019 and June 30, 2019, filed with the SEC on </w:t>
      </w:r>
      <w:hyperlink r:id="rId297">
        <w:r>
          <w:rPr>
            <w:rFonts w:ascii="Times New Roman" w:cs="Times New Roman" w:eastAsia="Times New Roman" w:hAnsi="Times New Roman"/>
            <w:sz w:val="18"/>
            <w:szCs w:val="18"/>
            <w:u w:val="single" w:color="auto"/>
            <w:color w:val="0000EE"/>
          </w:rPr>
          <w:t>May 10, 2019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65">
        <w:r>
          <w:rPr>
            <w:rFonts w:ascii="Times New Roman" w:cs="Times New Roman" w:eastAsia="Times New Roman" w:hAnsi="Times New Roman"/>
            <w:sz w:val="18"/>
            <w:szCs w:val="18"/>
            <w:u w:val="single" w:color="auto"/>
            <w:color w:val="0000EE"/>
          </w:rPr>
          <w:t>August 14, 2019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187" w:lineRule="exact"/>
        <w:rPr>
          <w:rFonts w:ascii="Times New Roman" w:cs="Times New Roman" w:eastAsia="Times New Roman" w:hAnsi="Times New Roman"/>
          <w:sz w:val="18"/>
          <w:szCs w:val="18"/>
          <w:color w:val="0000EE"/>
        </w:rPr>
      </w:pPr>
    </w:p>
    <w:p>
      <w:pPr>
        <w:ind w:left="1080" w:right="660" w:hanging="532"/>
        <w:spacing w:after="0" w:line="275"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298">
        <w:r>
          <w:rPr>
            <w:rFonts w:ascii="Times New Roman" w:cs="Times New Roman" w:eastAsia="Times New Roman" w:hAnsi="Times New Roman"/>
            <w:sz w:val="18"/>
            <w:szCs w:val="18"/>
            <w:u w:val="single" w:color="auto"/>
            <w:color w:val="0000EE"/>
          </w:rPr>
          <w:t>April 30, 2019</w:t>
        </w:r>
      </w:hyperlink>
      <w:r>
        <w:rPr>
          <w:rFonts w:ascii="Times New Roman" w:cs="Times New Roman" w:eastAsia="Times New Roman" w:hAnsi="Times New Roman"/>
          <w:sz w:val="18"/>
          <w:szCs w:val="18"/>
          <w:color w:val="auto"/>
        </w:rPr>
        <w:t xml:space="preserve">, </w:t>
      </w:r>
      <w:hyperlink r:id="rId299">
        <w:r>
          <w:rPr>
            <w:rFonts w:ascii="Times New Roman" w:cs="Times New Roman" w:eastAsia="Times New Roman" w:hAnsi="Times New Roman"/>
            <w:sz w:val="18"/>
            <w:szCs w:val="18"/>
            <w:u w:val="single" w:color="auto"/>
            <w:color w:val="0000EE"/>
          </w:rPr>
          <w:t>June 6, 2019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00">
        <w:r>
          <w:rPr>
            <w:rFonts w:ascii="Times New Roman" w:cs="Times New Roman" w:eastAsia="Times New Roman" w:hAnsi="Times New Roman"/>
            <w:sz w:val="18"/>
            <w:szCs w:val="18"/>
            <w:u w:val="single" w:color="auto"/>
            <w:color w:val="0000EE"/>
          </w:rPr>
          <w:t>September 19, 2019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 each case, except for information contained therein which is furnished rather than filed);</w:t>
      </w:r>
    </w:p>
    <w:p>
      <w:pPr>
        <w:spacing w:after="0" w:line="200" w:lineRule="exact"/>
        <w:rPr>
          <w:rFonts w:ascii="Times New Roman" w:cs="Times New Roman" w:eastAsia="Times New Roman" w:hAnsi="Times New Roman"/>
          <w:sz w:val="18"/>
          <w:szCs w:val="18"/>
          <w:color w:val="auto"/>
        </w:rPr>
      </w:pPr>
    </w:p>
    <w:p>
      <w:pPr>
        <w:ind w:left="1080" w:right="160" w:hanging="532"/>
        <w:spacing w:after="0" w:line="262" w:lineRule="auto"/>
        <w:tabs>
          <w:tab w:leader="none" w:pos="1080" w:val="left"/>
        </w:tabs>
        <w:numPr>
          <w:ilvl w:val="0"/>
          <w:numId w:val="139"/>
        </w:numPr>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u w:val="single" w:color="auto"/>
            <w:color w:val="0000EE"/>
          </w:rPr>
          <w:t>the description of our common stock contained in our registration statement on Form 8-A (Registration No. 001-38650) filed with the SEC on</w:t>
        </w:r>
      </w:hyperlink>
      <w:r>
        <w:rPr>
          <w:rFonts w:ascii="Times New Roman" w:cs="Times New Roman" w:eastAsia="Times New Roman" w:hAnsi="Times New Roman"/>
          <w:sz w:val="18"/>
          <w:szCs w:val="18"/>
          <w:u w:val="single" w:color="auto"/>
          <w:color w:val="0000EE"/>
        </w:rPr>
        <w:t xml:space="preserve"> </w:t>
      </w:r>
      <w:hyperlink r:id="rId255">
        <w:r>
          <w:rPr>
            <w:rFonts w:ascii="Times New Roman" w:cs="Times New Roman" w:eastAsia="Times New Roman" w:hAnsi="Times New Roman"/>
            <w:sz w:val="18"/>
            <w:szCs w:val="18"/>
            <w:u w:val="single" w:color="auto"/>
            <w:color w:val="0000EE"/>
          </w:rPr>
          <w:t>September 11, 2018 under Section 12(b) of the Exchange Act, including any amendments or reports filed for the purpose of updating such</w:t>
        </w:r>
      </w:hyperlink>
      <w:r>
        <w:rPr>
          <w:rFonts w:ascii="Times New Roman" w:cs="Times New Roman" w:eastAsia="Times New Roman" w:hAnsi="Times New Roman"/>
          <w:sz w:val="18"/>
          <w:szCs w:val="18"/>
          <w:u w:val="single" w:color="auto"/>
          <w:color w:val="0000EE"/>
        </w:rPr>
        <w:t xml:space="preserve"> </w:t>
      </w:r>
      <w:hyperlink r:id="rId255">
        <w:r>
          <w:rPr>
            <w:rFonts w:ascii="Times New Roman" w:cs="Times New Roman" w:eastAsia="Times New Roman" w:hAnsi="Times New Roman"/>
            <w:sz w:val="18"/>
            <w:szCs w:val="18"/>
            <w:u w:val="single" w:color="auto"/>
            <w:color w:val="0000EE"/>
          </w:rPr>
          <w:t>description</w:t>
        </w:r>
        <w:r>
          <w:rPr>
            <w:rFonts w:ascii="Times New Roman" w:cs="Times New Roman" w:eastAsia="Times New Roman" w:hAnsi="Times New Roman"/>
            <w:sz w:val="18"/>
            <w:szCs w:val="18"/>
            <w:color w:val="000000"/>
          </w:rPr>
          <w:t>; and</w:t>
        </w:r>
      </w:hyperlink>
    </w:p>
    <w:p>
      <w:pPr>
        <w:spacing w:after="0" w:line="199" w:lineRule="exact"/>
        <w:rPr>
          <w:rFonts w:ascii="Times New Roman" w:cs="Times New Roman" w:eastAsia="Times New Roman" w:hAnsi="Times New Roman"/>
          <w:sz w:val="18"/>
          <w:szCs w:val="18"/>
          <w:color w:val="0000EE"/>
        </w:rPr>
      </w:pPr>
    </w:p>
    <w:p>
      <w:pPr>
        <w:ind w:left="1080" w:right="100" w:hanging="532"/>
        <w:spacing w:after="0" w:line="26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86" w:lineRule="exact"/>
        <w:rPr>
          <w:rFonts w:ascii="Times New Roman" w:cs="Times New Roman" w:eastAsia="Times New Roman" w:hAnsi="Times New Roman"/>
          <w:sz w:val="18"/>
          <w:szCs w:val="18"/>
          <w:u w:val="single" w:color="auto"/>
          <w:color w:val="0000EE"/>
        </w:rPr>
      </w:pPr>
    </w:p>
    <w:p>
      <w:pPr>
        <w:ind w:left="36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001-38650.</w:t>
      </w:r>
    </w:p>
    <w:p>
      <w:pPr>
        <w:spacing w:after="0" w:line="225" w:lineRule="exact"/>
        <w:rPr>
          <w:rFonts w:ascii="Times New Roman" w:cs="Times New Roman" w:eastAsia="Times New Roman" w:hAnsi="Times New Roman"/>
          <w:sz w:val="18"/>
          <w:szCs w:val="18"/>
          <w:u w:val="single" w:color="auto"/>
          <w:color w:val="0000EE"/>
        </w:rPr>
      </w:pPr>
    </w:p>
    <w:p>
      <w:pPr>
        <w:ind w:right="160" w:firstLine="341"/>
        <w:spacing w:after="0" w:line="258"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90" w:lineRule="exact"/>
        <w:rPr>
          <w:rFonts w:ascii="Times New Roman" w:cs="Times New Roman" w:eastAsia="Times New Roman" w:hAnsi="Times New Roman"/>
          <w:sz w:val="18"/>
          <w:szCs w:val="18"/>
          <w:u w:val="single" w:color="auto"/>
          <w:color w:val="0000EE"/>
        </w:rPr>
      </w:pPr>
    </w:p>
    <w:p>
      <w:pPr>
        <w:ind w:right="140" w:firstLine="351"/>
        <w:spacing w:after="0" w:line="301" w:lineRule="auto"/>
        <w:rPr>
          <w:sz w:val="20"/>
          <w:szCs w:val="20"/>
          <w:color w:val="auto"/>
        </w:rPr>
      </w:pPr>
      <w:r>
        <w:rPr>
          <w:rFonts w:ascii="Times New Roman" w:cs="Times New Roman" w:eastAsia="Times New Roman" w:hAnsi="Times New Roman"/>
          <w:sz w:val="16"/>
          <w:szCs w:val="16"/>
          <w:color w:val="auto"/>
        </w:rPr>
        <w:t>Upon request,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or telephoning us at the following address: Y-mAbs Therapeutics, Inc., 230 Park Avenue, Suite 3350, New York, NY 10169, Attention: Secretary or by telephone request to (646) 885-8505.</w:t>
      </w:r>
    </w:p>
    <w:p>
      <w:pPr>
        <w:spacing w:after="0" w:line="157" w:lineRule="exact"/>
        <w:rPr>
          <w:rFonts w:ascii="Times New Roman" w:cs="Times New Roman" w:eastAsia="Times New Roman" w:hAnsi="Times New Roman"/>
          <w:sz w:val="18"/>
          <w:szCs w:val="18"/>
          <w:u w:val="single" w:color="auto"/>
          <w:color w:val="0000EE"/>
        </w:rPr>
      </w:pPr>
    </w:p>
    <w:p>
      <w:pPr>
        <w:ind w:right="180" w:firstLine="348"/>
        <w:spacing w:after="0" w:line="275"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74" w:lineRule="exact"/>
        <w:rPr>
          <w:rFonts w:ascii="Times New Roman" w:cs="Times New Roman" w:eastAsia="Times New Roman" w:hAnsi="Times New Roman"/>
          <w:sz w:val="18"/>
          <w:szCs w:val="18"/>
          <w:u w:val="single" w:color="auto"/>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220" w:name="page221"/>
    <w:bookmarkEnd w:id="220"/>
    <w:p>
      <w:pPr>
        <w:jc w:val="both"/>
        <w:ind w:firstLine="344"/>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431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40"/>
        <w:spacing w:after="0"/>
        <w:rPr>
          <w:sz w:val="20"/>
          <w:szCs w:val="20"/>
          <w:color w:val="auto"/>
        </w:rPr>
      </w:pPr>
      <w:r>
        <w:rPr>
          <w:rFonts w:ascii="Arial" w:cs="Arial" w:eastAsia="Arial" w:hAnsi="Arial"/>
          <w:sz w:val="32"/>
          <w:szCs w:val="32"/>
          <w:b w:val="1"/>
          <w:bCs w:val="1"/>
          <w:i w:val="1"/>
          <w:i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166370</wp:posOffset>
            </wp:positionV>
            <wp:extent cx="2400300" cy="643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4">
                      <a:extLst>
                        <a:ext uri="{28A0092B-C50C-407E-A947-70E740481C1C}"/>
                      </a:extLst>
                    </a:blip>
                    <a:srcRect/>
                    <a:stretch>
                      <a:fillRect/>
                    </a:stretch>
                  </pic:blipFill>
                  <pic:spPr bwMode="auto">
                    <a:xfrm>
                      <a:off x="0" y="0"/>
                      <a:ext cx="240030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Arial" w:cs="Arial" w:eastAsia="Arial" w:hAnsi="Arial"/>
          <w:sz w:val="32"/>
          <w:szCs w:val="32"/>
          <w:b w:val="1"/>
          <w:bCs w:val="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166370</wp:posOffset>
            </wp:positionV>
            <wp:extent cx="186880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5">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180"/>
        <w:spacing w:after="0"/>
        <w:rPr>
          <w:sz w:val="20"/>
          <w:szCs w:val="20"/>
          <w:color w:val="auto"/>
        </w:rPr>
      </w:pPr>
      <w:r>
        <w:rPr>
          <w:rFonts w:ascii="Arial" w:cs="Arial" w:eastAsia="Arial" w:hAnsi="Arial"/>
          <w:sz w:val="43"/>
          <w:szCs w:val="43"/>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177800</wp:posOffset>
            </wp:positionV>
            <wp:extent cx="18688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tabs>
          <w:tab w:leader="none" w:pos="5620" w:val="left"/>
          <w:tab w:leader="none" w:pos="1780" w:val="left"/>
        </w:tabs>
        <w:rPr>
          <w:sz w:val="20"/>
          <w:szCs w:val="20"/>
          <w:color w:val="auto"/>
        </w:rPr>
      </w:pPr>
      <w:r>
        <w:rPr>
          <w:rFonts w:ascii="Arial" w:cs="Arial" w:eastAsia="Arial" w:hAnsi="Arial"/>
          <w:sz w:val="24"/>
          <w:szCs w:val="24"/>
          <w:b w:val="1"/>
          <w:bCs w:val="1"/>
          <w:color w:val="auto"/>
        </w:rPr>
        <w:t>J.P. Morgan</w:t>
      </w:r>
      <w:r>
        <w:rPr>
          <w:sz w:val="20"/>
          <w:szCs w:val="20"/>
          <w:color w:val="auto"/>
        </w:rPr>
        <w:tab/>
      </w: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4"/>
          <w:szCs w:val="24"/>
          <w:b w:val="1"/>
          <w:bCs w:val="1"/>
          <w:color w:val="auto"/>
        </w:rPr>
        <w:t>BofA Securities</w:t>
      </w:r>
    </w:p>
    <w:p>
      <w:pPr>
        <w:spacing w:after="0" w:line="24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332740</wp:posOffset>
            </wp:positionV>
            <wp:extent cx="7136130"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40"/>
          </w:cols>
          <w:pgMar w:left="320" w:top="121" w:right="1439" w:bottom="1440" w:gutter="0" w:footer="0" w:header="0"/>
        </w:sectPr>
      </w:pPr>
    </w:p>
    <w:bookmarkStart w:id="222" w:name="page223"/>
    <w:bookmarkEnd w:id="2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decimal"/>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1)"/>
      <w:numFmt w:val="decimal"/>
      <w:start w:val="646"/>
    </w:lvl>
  </w:abstractNum>
  <w:abstractNum w:abstractNumId="7">
    <w:nsid w:val="661E3F1E"/>
    <w:multiLevelType w:val="hybridMultilevel"/>
    <w:lvl w:ilvl="0">
      <w:lvlJc w:val="left"/>
      <w:lvlText w:val="(%1)"/>
      <w:numFmt w:val="lowerRoman"/>
      <w:start w:val="1"/>
    </w:lvl>
  </w:abstractNum>
  <w:abstractNum w:abstractNumId="8">
    <w:nsid w:val="5DC79EA8"/>
    <w:multiLevelType w:val="hybridMultilevel"/>
    <w:lvl w:ilvl="0">
      <w:lvlJc w:val="left"/>
      <w:lvlText w:val="(%1)"/>
      <w:numFmt w:val="lowerRoman"/>
      <w:start w:val="4"/>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1)"/>
      <w:numFmt w:val="lowerRoman"/>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1)"/>
      <w:numFmt w:val="decimal"/>
      <w:start w:val="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1)"/>
      <w:numFmt w:val="lowerRoman"/>
      <w:start w:val="4"/>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1)"/>
      <w:numFmt w:val="lowerLetter"/>
      <w:start w:val="1"/>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
      <w:numFmt w:val="bullet"/>
      <w:start w:val="1"/>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
      <w:numFmt w:val="bullet"/>
      <w:start w:val="1"/>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1."/>
      <w:numFmt w:val="decimal"/>
      <w:start w:val="1"/>
    </w:lvl>
  </w:abstractNum>
  <w:abstractNum w:abstractNumId="74">
    <w:nsid w:val="1D545C4D"/>
    <w:multiLevelType w:val="hybridMultilevel"/>
    <w:lvl w:ilvl="0">
      <w:lvlJc w:val="left"/>
      <w:lvlText w:val="•"/>
      <w:numFmt w:val="bullet"/>
      <w:start w:val="1"/>
    </w:lvl>
  </w:abstractNum>
  <w:abstractNum w:abstractNumId="75">
    <w:nsid w:val="59ADEA3D"/>
    <w:multiLevelType w:val="hybridMultilevel"/>
    <w:lvl w:ilvl="0">
      <w:lvlJc w:val="left"/>
      <w:lvlText w:val="•"/>
      <w:numFmt w:val="bullet"/>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1)"/>
      <w:numFmt w:val="decimal"/>
      <w:start w:val="1"/>
    </w:lvl>
  </w:abstractNum>
  <w:abstractNum w:abstractNumId="79">
    <w:nsid w:val="97E1B4E"/>
    <w:multiLevelType w:val="hybridMultilevel"/>
    <w:lvl w:ilvl="0">
      <w:lvlJc w:val="left"/>
      <w:lvlText w:val="•"/>
      <w:numFmt w:val="bullet"/>
      <w:start w:val="1"/>
    </w:lvl>
  </w:abstractNum>
  <w:abstractNum w:abstractNumId="80">
    <w:nsid w:val="51088277"/>
    <w:multiLevelType w:val="hybridMultilevel"/>
    <w:lvl w:ilvl="0">
      <w:lvlJc w:val="left"/>
      <w:lvlText w:val="•"/>
      <w:numFmt w:val="bullet"/>
      <w:start w:val="1"/>
    </w:lvl>
  </w:abstractNum>
  <w:abstractNum w:abstractNumId="81">
    <w:nsid w:val="1CA0C5FA"/>
    <w:multiLevelType w:val="hybridMultilevel"/>
    <w:lvl w:ilvl="0">
      <w:lvlJc w:val="left"/>
      <w:lvlText w:val="•"/>
      <w:numFmt w:val="bullet"/>
      <w:start w:val="1"/>
    </w:lvl>
  </w:abstractNum>
  <w:abstractNum w:abstractNumId="82">
    <w:nsid w:val="53584BCB"/>
    <w:multiLevelType w:val="hybridMultilevel"/>
    <w:lvl w:ilvl="0">
      <w:lvlJc w:val="left"/>
      <w:lvlText w:val="•"/>
      <w:numFmt w:val="bullet"/>
      <w:start w:val="1"/>
    </w:lvl>
  </w:abstractNum>
  <w:abstractNum w:abstractNumId="83">
    <w:nsid w:val="415E286C"/>
    <w:multiLevelType w:val="hybridMultilevel"/>
    <w:lvl w:ilvl="0">
      <w:lvlJc w:val="left"/>
      <w:lvlText w:val="•"/>
      <w:numFmt w:val="bullet"/>
      <w:start w:val="1"/>
    </w:lvl>
  </w:abstractNum>
  <w:abstractNum w:abstractNumId="84">
    <w:nsid w:val="7C58FD05"/>
    <w:multiLevelType w:val="hybridMultilevel"/>
    <w:lvl w:ilvl="0">
      <w:lvlJc w:val="left"/>
      <w:lvlText w:val="•"/>
      <w:numFmt w:val="bullet"/>
      <w:start w:val="1"/>
    </w:lvl>
  </w:abstractNum>
  <w:abstractNum w:abstractNumId="85">
    <w:nsid w:val="23D86AAC"/>
    <w:multiLevelType w:val="hybridMultilevel"/>
    <w:lvl w:ilvl="0">
      <w:lvlJc w:val="left"/>
      <w:lvlText w:val="•"/>
      <w:numFmt w:val="bullet"/>
      <w:start w:val="1"/>
    </w:lvl>
  </w:abstractNum>
  <w:abstractNum w:abstractNumId="86">
    <w:nsid w:val="45E6D486"/>
    <w:multiLevelType w:val="hybridMultilevel"/>
    <w:lvl w:ilvl="0">
      <w:lvlJc w:val="left"/>
      <w:lvlText w:val="•"/>
      <w:numFmt w:val="bullet"/>
      <w:start w:val="1"/>
    </w:lvl>
  </w:abstractNum>
  <w:abstractNum w:abstractNumId="87">
    <w:nsid w:val="5C10FE21"/>
    <w:multiLevelType w:val="hybridMultilevel"/>
    <w:lvl w:ilvl="0">
      <w:lvlJc w:val="left"/>
      <w:lvlText w:val="•"/>
      <w:numFmt w:val="bullet"/>
      <w:start w:val="1"/>
    </w:lvl>
  </w:abstractNum>
  <w:abstractNum w:abstractNumId="88">
    <w:nsid w:val="E7FFA2B"/>
    <w:multiLevelType w:val="hybridMultilevel"/>
    <w:lvl w:ilvl="0">
      <w:lvlJc w:val="left"/>
      <w:lvlText w:val="•"/>
      <w:numFmt w:val="bullet"/>
      <w:start w:val="1"/>
    </w:lvl>
  </w:abstractNum>
  <w:abstractNum w:abstractNumId="89">
    <w:nsid w:val="3C5991AA"/>
    <w:multiLevelType w:val="hybridMultilevel"/>
    <w:lvl w:ilvl="0">
      <w:lvlJc w:val="left"/>
      <w:lvlText w:val="•"/>
      <w:numFmt w:val="bullet"/>
      <w:start w:val="1"/>
    </w:lvl>
  </w:abstractNum>
  <w:abstractNum w:abstractNumId="90">
    <w:nsid w:val="4BD8591A"/>
    <w:multiLevelType w:val="hybridMultilevel"/>
    <w:lvl w:ilvl="0">
      <w:lvlJc w:val="left"/>
      <w:lvlText w:val="•"/>
      <w:numFmt w:val="bullet"/>
      <w:start w:val="1"/>
    </w:lvl>
  </w:abstractNum>
  <w:abstractNum w:abstractNumId="91">
    <w:nsid w:val="78DF6A55"/>
    <w:multiLevelType w:val="hybridMultilevel"/>
    <w:lvl w:ilvl="0">
      <w:lvlJc w:val="left"/>
      <w:lvlText w:val="•"/>
      <w:numFmt w:val="bullet"/>
      <w:start w:val="1"/>
    </w:lvl>
  </w:abstractNum>
  <w:abstractNum w:abstractNumId="92">
    <w:nsid w:val="39B7AAA2"/>
    <w:multiLevelType w:val="hybridMultilevel"/>
    <w:lvl w:ilvl="0">
      <w:lvlJc w:val="left"/>
      <w:lvlText w:val="•"/>
      <w:numFmt w:val="bullet"/>
      <w:start w:val="1"/>
    </w:lvl>
  </w:abstractNum>
  <w:abstractNum w:abstractNumId="93">
    <w:nsid w:val="2B0D8DBE"/>
    <w:multiLevelType w:val="hybridMultilevel"/>
    <w:lvl w:ilvl="0">
      <w:lvlJc w:val="left"/>
      <w:lvlText w:val="(%1)"/>
      <w:numFmt w:val="lowerRoman"/>
      <w:start w:val="1"/>
    </w:lvl>
  </w:abstractNum>
  <w:abstractNum w:abstractNumId="94">
    <w:nsid w:val="6C80EC70"/>
    <w:multiLevelType w:val="hybridMultilevel"/>
    <w:lvl w:ilvl="0">
      <w:lvlJc w:val="left"/>
      <w:lvlText w:val="•"/>
      <w:numFmt w:val="bullet"/>
      <w:start w:val="1"/>
    </w:lvl>
  </w:abstractNum>
  <w:abstractNum w:abstractNumId="95">
    <w:nsid w:val="379E21B5"/>
    <w:multiLevelType w:val="hybridMultilevel"/>
    <w:lvl w:ilvl="0">
      <w:lvlJc w:val="left"/>
      <w:lvlText w:val="•"/>
      <w:numFmt w:val="bullet"/>
      <w:start w:val="1"/>
    </w:lvl>
  </w:abstractNum>
  <w:abstractNum w:abstractNumId="96">
    <w:nsid w:val="69E373"/>
    <w:multiLevelType w:val="hybridMultilevel"/>
    <w:lvl w:ilvl="0">
      <w:lvlJc w:val="left"/>
      <w:lvlText w:val="•"/>
      <w:numFmt w:val="bullet"/>
      <w:start w:val="1"/>
    </w:lvl>
  </w:abstractNum>
  <w:abstractNum w:abstractNumId="97">
    <w:nsid w:val="2C27173B"/>
    <w:multiLevelType w:val="hybridMultilevel"/>
    <w:lvl w:ilvl="0">
      <w:lvlJc w:val="left"/>
      <w:lvlText w:val="•"/>
      <w:numFmt w:val="bullet"/>
      <w:start w:val="1"/>
    </w:lvl>
  </w:abstractNum>
  <w:abstractNum w:abstractNumId="98">
    <w:nsid w:val="4C9B0904"/>
    <w:multiLevelType w:val="hybridMultilevel"/>
    <w:lvl w:ilvl="0">
      <w:lvlJc w:val="left"/>
      <w:lvlText w:val="•"/>
      <w:numFmt w:val="bullet"/>
      <w:start w:val="1"/>
    </w:lvl>
  </w:abstractNum>
  <w:abstractNum w:abstractNumId="99">
    <w:nsid w:val="6AA7B75C"/>
    <w:multiLevelType w:val="hybridMultilevel"/>
    <w:lvl w:ilvl="0">
      <w:lvlJc w:val="left"/>
      <w:lvlText w:val="•"/>
      <w:numFmt w:val="bullet"/>
      <w:start w:val="1"/>
    </w:lvl>
  </w:abstractNum>
  <w:abstractNum w:abstractNumId="100">
    <w:nsid w:val="1DF029D3"/>
    <w:multiLevelType w:val="hybridMultilevel"/>
    <w:lvl w:ilvl="0">
      <w:lvlJc w:val="left"/>
      <w:lvlText w:val="•"/>
      <w:numFmt w:val="bullet"/>
      <w:start w:val="1"/>
    </w:lvl>
  </w:abstractNum>
  <w:abstractNum w:abstractNumId="101">
    <w:nsid w:val="5675FF36"/>
    <w:multiLevelType w:val="hybridMultilevel"/>
    <w:lvl w:ilvl="0">
      <w:lvlJc w:val="left"/>
      <w:lvlText w:val="•"/>
      <w:numFmt w:val="bullet"/>
      <w:start w:val="1"/>
    </w:lvl>
  </w:abstractNum>
  <w:abstractNum w:abstractNumId="102">
    <w:nsid w:val="3DD15094"/>
    <w:multiLevelType w:val="hybridMultilevel"/>
    <w:lvl w:ilvl="0">
      <w:lvlJc w:val="left"/>
      <w:lvlText w:val="•"/>
      <w:numFmt w:val="bullet"/>
      <w:start w:val="1"/>
    </w:lvl>
  </w:abstractNum>
  <w:abstractNum w:abstractNumId="103">
    <w:nsid w:val="3DB012B3"/>
    <w:multiLevelType w:val="hybridMultilevel"/>
    <w:lvl w:ilvl="0">
      <w:lvlJc w:val="left"/>
      <w:lvlText w:val="•"/>
      <w:numFmt w:val="bullet"/>
      <w:start w:val="1"/>
    </w:lvl>
  </w:abstractNum>
  <w:abstractNum w:abstractNumId="104">
    <w:nsid w:val="2708C9AF"/>
    <w:multiLevelType w:val="hybridMultilevel"/>
    <w:lvl w:ilvl="0">
      <w:lvlJc w:val="left"/>
      <w:lvlText w:val="•"/>
      <w:numFmt w:val="bullet"/>
      <w:start w:val="1"/>
    </w:lvl>
  </w:abstractNum>
  <w:abstractNum w:abstractNumId="105">
    <w:nsid w:val="5B25ACE2"/>
    <w:multiLevelType w:val="hybridMultilevel"/>
    <w:lvl w:ilvl="0">
      <w:lvlJc w:val="left"/>
      <w:lvlText w:val="•"/>
      <w:numFmt w:val="bullet"/>
      <w:start w:val="1"/>
    </w:lvl>
  </w:abstractNum>
  <w:abstractNum w:abstractNumId="106">
    <w:nsid w:val="175DFCF0"/>
    <w:multiLevelType w:val="hybridMultilevel"/>
    <w:lvl w:ilvl="0">
      <w:lvlJc w:val="left"/>
      <w:lvlText w:val="•"/>
      <w:numFmt w:val="bullet"/>
      <w:start w:val="1"/>
    </w:lvl>
  </w:abstractNum>
  <w:abstractNum w:abstractNumId="107">
    <w:nsid w:val="4F97E3E4"/>
    <w:multiLevelType w:val="hybridMultilevel"/>
    <w:lvl w:ilvl="0">
      <w:lvlJc w:val="left"/>
      <w:lvlText w:val="•"/>
      <w:numFmt w:val="bullet"/>
      <w:start w:val="1"/>
    </w:lvl>
  </w:abstractNum>
  <w:abstractNum w:abstractNumId="108">
    <w:nsid w:val="53B0A9E"/>
    <w:multiLevelType w:val="hybridMultilevel"/>
    <w:lvl w:ilvl="0">
      <w:lvlJc w:val="left"/>
      <w:lvlText w:val="(%1)"/>
      <w:numFmt w:val="lowerLetter"/>
      <w:start w:val="1"/>
    </w:lvl>
  </w:abstractNum>
  <w:abstractNum w:abstractNumId="109">
    <w:nsid w:val="34FD6B4F"/>
    <w:multiLevelType w:val="hybridMultilevel"/>
    <w:lvl w:ilvl="0">
      <w:lvlJc w:val="left"/>
      <w:lvlText w:val="(%1)"/>
      <w:numFmt w:val="lowerLetter"/>
      <w:start w:val="1"/>
    </w:lvl>
  </w:abstractNum>
  <w:abstractNum w:abstractNumId="110">
    <w:nsid w:val="5915FF32"/>
    <w:multiLevelType w:val="hybridMultilevel"/>
    <w:lvl w:ilvl="0">
      <w:lvlJc w:val="left"/>
      <w:lvlText w:val="(%1)"/>
      <w:numFmt w:val="lowerLetter"/>
      <w:start w:val="1"/>
    </w:lvl>
  </w:abstractNum>
  <w:abstractNum w:abstractNumId="111">
    <w:nsid w:val="56438D15"/>
    <w:multiLevelType w:val="hybridMultilevel"/>
    <w:lvl w:ilvl="0">
      <w:lvlJc w:val="left"/>
      <w:lvlText w:val="(%1)"/>
      <w:numFmt w:val="lowerLetter"/>
      <w:start w:val="1"/>
    </w:lvl>
  </w:abstractNum>
  <w:abstractNum w:abstractNumId="112">
    <w:nsid w:val="519E3149"/>
    <w:multiLevelType w:val="hybridMultilevel"/>
    <w:lvl w:ilvl="0">
      <w:lvlJc w:val="left"/>
      <w:lvlText w:val="•"/>
      <w:numFmt w:val="bullet"/>
      <w:start w:val="1"/>
    </w:lvl>
  </w:abstractNum>
  <w:abstractNum w:abstractNumId="113">
    <w:nsid w:val="2C6E4AFD"/>
    <w:multiLevelType w:val="hybridMultilevel"/>
    <w:lvl w:ilvl="0">
      <w:lvlJc w:val="left"/>
      <w:lvlText w:val="•"/>
      <w:numFmt w:val="bullet"/>
      <w:start w:val="1"/>
    </w:lvl>
  </w:abstractNum>
  <w:abstractNum w:abstractNumId="114">
    <w:nsid w:val="17A1B582"/>
    <w:multiLevelType w:val="hybridMultilevel"/>
    <w:lvl w:ilvl="0">
      <w:lvlJc w:val="left"/>
      <w:lvlText w:val="•"/>
      <w:numFmt w:val="bullet"/>
      <w:start w:val="1"/>
    </w:lvl>
  </w:abstractNum>
  <w:abstractNum w:abstractNumId="115">
    <w:nsid w:val="4DF72E4E"/>
    <w:multiLevelType w:val="hybridMultilevel"/>
    <w:lvl w:ilvl="0">
      <w:lvlJc w:val="left"/>
      <w:lvlText w:val="(%1)"/>
      <w:numFmt w:val="decimal"/>
      <w:start w:val="3"/>
    </w:lvl>
  </w:abstractNum>
  <w:abstractNum w:abstractNumId="116">
    <w:nsid w:val="5046B5A9"/>
    <w:multiLevelType w:val="hybridMultilevel"/>
    <w:lvl w:ilvl="0">
      <w:lvlJc w:val="left"/>
      <w:lvlText w:val="•"/>
      <w:numFmt w:val="bullet"/>
      <w:start w:val="1"/>
    </w:lvl>
  </w:abstractNum>
  <w:abstractNum w:abstractNumId="117">
    <w:nsid w:val="5D888A08"/>
    <w:multiLevelType w:val="hybridMultilevel"/>
    <w:lvl w:ilvl="0">
      <w:lvlJc w:val="left"/>
      <w:lvlText w:val="•"/>
      <w:numFmt w:val="bullet"/>
      <w:start w:val="1"/>
    </w:lvl>
  </w:abstractNum>
  <w:abstractNum w:abstractNumId="118">
    <w:nsid w:val="2A082C70"/>
    <w:multiLevelType w:val="hybridMultilevel"/>
    <w:lvl w:ilvl="0">
      <w:lvlJc w:val="left"/>
      <w:lvlText w:val="•"/>
      <w:numFmt w:val="bullet"/>
      <w:start w:val="1"/>
    </w:lvl>
  </w:abstractNum>
  <w:abstractNum w:abstractNumId="119">
    <w:nsid w:val="5EC6AFD4"/>
    <w:multiLevelType w:val="hybridMultilevel"/>
    <w:lvl w:ilvl="0">
      <w:lvlJc w:val="left"/>
      <w:lvlText w:val="•"/>
      <w:numFmt w:val="bullet"/>
      <w:start w:val="1"/>
    </w:lvl>
  </w:abstractNum>
  <w:abstractNum w:abstractNumId="120">
    <w:nsid w:val="19E21BB2"/>
    <w:multiLevelType w:val="hybridMultilevel"/>
    <w:lvl w:ilvl="0">
      <w:lvlJc w:val="left"/>
      <w:lvlText w:val="•"/>
      <w:numFmt w:val="bullet"/>
      <w:start w:val="1"/>
    </w:lvl>
  </w:abstractNum>
  <w:abstractNum w:abstractNumId="121">
    <w:nsid w:val="75E0858A"/>
    <w:multiLevelType w:val="hybridMultilevel"/>
    <w:lvl w:ilvl="0">
      <w:lvlJc w:val="left"/>
      <w:lvlText w:val="•"/>
      <w:numFmt w:val="bullet"/>
      <w:start w:val="1"/>
    </w:lvl>
  </w:abstractNum>
  <w:abstractNum w:abstractNumId="122">
    <w:nsid w:val="57A61A29"/>
    <w:multiLevelType w:val="hybridMultilevel"/>
    <w:lvl w:ilvl="0">
      <w:lvlJc w:val="left"/>
      <w:lvlText w:val="•"/>
      <w:numFmt w:val="bullet"/>
      <w:start w:val="1"/>
    </w:lvl>
  </w:abstractNum>
  <w:abstractNum w:abstractNumId="123">
    <w:nsid w:val="5399C654"/>
    <w:multiLevelType w:val="hybridMultilevel"/>
    <w:lvl w:ilvl="0">
      <w:lvlJc w:val="left"/>
      <w:lvlText w:val="•"/>
      <w:numFmt w:val="bullet"/>
      <w:start w:val="1"/>
    </w:lvl>
  </w:abstractNum>
  <w:abstractNum w:abstractNumId="124">
    <w:nsid w:val="20EE1348"/>
    <w:multiLevelType w:val="hybridMultilevel"/>
    <w:lvl w:ilvl="0">
      <w:lvlJc w:val="left"/>
      <w:lvlText w:val="•"/>
      <w:numFmt w:val="bullet"/>
      <w:start w:val="1"/>
    </w:lvl>
  </w:abstractNum>
  <w:abstractNum w:abstractNumId="125">
    <w:nsid w:val="4427069A"/>
    <w:multiLevelType w:val="hybridMultilevel"/>
    <w:lvl w:ilvl="0">
      <w:lvlJc w:val="left"/>
      <w:lvlText w:val="•"/>
      <w:numFmt w:val="bullet"/>
      <w:start w:val="1"/>
    </w:lvl>
  </w:abstractNum>
  <w:abstractNum w:abstractNumId="126">
    <w:nsid w:val="B37E80A"/>
    <w:multiLevelType w:val="hybridMultilevel"/>
    <w:lvl w:ilvl="0">
      <w:lvlJc w:val="left"/>
      <w:lvlText w:val="•"/>
      <w:numFmt w:val="bullet"/>
      <w:start w:val="1"/>
    </w:lvl>
  </w:abstractNum>
  <w:abstractNum w:abstractNumId="127">
    <w:nsid w:val="2157F6BC"/>
    <w:multiLevelType w:val="hybridMultilevel"/>
    <w:lvl w:ilvl="0">
      <w:lvlJc w:val="left"/>
      <w:lvlText w:val="•"/>
      <w:numFmt w:val="bullet"/>
      <w:start w:val="1"/>
    </w:lvl>
  </w:abstractNum>
  <w:abstractNum w:abstractNumId="128">
    <w:nsid w:val="704E1DD5"/>
    <w:multiLevelType w:val="hybridMultilevel"/>
    <w:lvl w:ilvl="0">
      <w:lvlJc w:val="left"/>
      <w:lvlText w:val="•"/>
      <w:numFmt w:val="bullet"/>
      <w:start w:val="1"/>
    </w:lvl>
  </w:abstractNum>
  <w:abstractNum w:abstractNumId="129">
    <w:nsid w:val="57D2F10E"/>
    <w:multiLevelType w:val="hybridMultilevel"/>
    <w:lvl w:ilvl="0">
      <w:lvlJc w:val="left"/>
      <w:lvlText w:val="•"/>
      <w:numFmt w:val="bullet"/>
      <w:start w:val="1"/>
    </w:lvl>
  </w:abstractNum>
  <w:abstractNum w:abstractNumId="130">
    <w:nsid w:val="BFFAE18"/>
    <w:multiLevelType w:val="hybridMultilevel"/>
    <w:lvl w:ilvl="0">
      <w:lvlJc w:val="left"/>
      <w:lvlText w:val="•"/>
      <w:numFmt w:val="bullet"/>
      <w:start w:val="1"/>
    </w:lvl>
  </w:abstractNum>
  <w:abstractNum w:abstractNumId="131">
    <w:nsid w:val="E3E47A8"/>
    <w:multiLevelType w:val="hybridMultilevel"/>
    <w:lvl w:ilvl="0">
      <w:lvlJc w:val="left"/>
      <w:lvlText w:val="•"/>
      <w:numFmt w:val="bullet"/>
      <w:start w:val="1"/>
    </w:lvl>
  </w:abstractNum>
  <w:abstractNum w:abstractNumId="132">
    <w:nsid w:val="2E48F044"/>
    <w:multiLevelType w:val="hybridMultilevel"/>
    <w:lvl w:ilvl="0">
      <w:lvlJc w:val="left"/>
      <w:lvlText w:val="•"/>
      <w:numFmt w:val="bullet"/>
      <w:start w:val="1"/>
    </w:lvl>
  </w:abstractNum>
  <w:abstractNum w:abstractNumId="133">
    <w:nsid w:val="49D0FEAC"/>
    <w:multiLevelType w:val="hybridMultilevel"/>
    <w:lvl w:ilvl="0">
      <w:lvlJc w:val="left"/>
      <w:lvlText w:val="•"/>
      <w:numFmt w:val="bullet"/>
      <w:start w:val="1"/>
    </w:lvl>
  </w:abstractNum>
  <w:abstractNum w:abstractNumId="134">
    <w:nsid w:val="4BEE5A5B"/>
    <w:multiLevelType w:val="hybridMultilevel"/>
    <w:lvl w:ilvl="0">
      <w:lvlJc w:val="left"/>
      <w:lvlText w:val="•"/>
      <w:numFmt w:val="bullet"/>
      <w:start w:val="1"/>
    </w:lvl>
  </w:abstractNum>
  <w:abstractNum w:abstractNumId="135">
    <w:nsid w:val="5551B9F3"/>
    <w:multiLevelType w:val="hybridMultilevel"/>
    <w:lvl w:ilvl="0">
      <w:lvlJc w:val="left"/>
      <w:lvlText w:val="•"/>
      <w:numFmt w:val="bullet"/>
      <w:start w:val="1"/>
    </w:lvl>
  </w:abstractNum>
  <w:abstractNum w:abstractNumId="136">
    <w:nsid w:val="24F6AB8E"/>
    <w:multiLevelType w:val="hybridMultilevel"/>
    <w:lvl w:ilvl="0">
      <w:lvlJc w:val="left"/>
      <w:lvlText w:val="•"/>
      <w:numFmt w:val="bullet"/>
      <w:start w:val="1"/>
    </w:lvl>
  </w:abstractNum>
  <w:abstractNum w:abstractNumId="137">
    <w:nsid w:val="634C574C"/>
    <w:multiLevelType w:val="hybridMultilevel"/>
    <w:lvl w:ilvl="0">
      <w:lvlJc w:val="left"/>
      <w:lvlText w:val="•"/>
      <w:numFmt w:val="bullet"/>
      <w:start w:val="1"/>
    </w:lvl>
  </w:abstractNum>
  <w:abstractNum w:abstractNumId="138">
    <w:nsid w:val="24E99DD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jpe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jpe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jpe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jpeg"/><Relationship Id="rId157" Type="http://schemas.openxmlformats.org/officeDocument/2006/relationships/image" Target="media/image145.jpe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jpeg"/><Relationship Id="rId162" Type="http://schemas.openxmlformats.org/officeDocument/2006/relationships/image" Target="media/image150.png"/><Relationship Id="rId163" Type="http://schemas.openxmlformats.org/officeDocument/2006/relationships/image" Target="media/image151.jpe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jpeg"/><Relationship Id="rId174" Type="http://schemas.openxmlformats.org/officeDocument/2006/relationships/image" Target="media/image162.png"/><Relationship Id="rId175" Type="http://schemas.openxmlformats.org/officeDocument/2006/relationships/image" Target="media/image163.jpe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56" Type="http://schemas.openxmlformats.org/officeDocument/2006/relationships/image" Target="media/image216.png"/><Relationship Id="rId257" Type="http://schemas.openxmlformats.org/officeDocument/2006/relationships/image" Target="media/image217.png"/><Relationship Id="rId258" Type="http://schemas.openxmlformats.org/officeDocument/2006/relationships/image" Target="media/image218.jpeg"/><Relationship Id="rId259" Type="http://schemas.openxmlformats.org/officeDocument/2006/relationships/image" Target="media/image219.png"/><Relationship Id="rId260" Type="http://schemas.openxmlformats.org/officeDocument/2006/relationships/image" Target="media/image220.png"/><Relationship Id="rId261" Type="http://schemas.openxmlformats.org/officeDocument/2006/relationships/image" Target="media/image221.png"/><Relationship Id="rId262" Type="http://schemas.openxmlformats.org/officeDocument/2006/relationships/image" Target="media/image222.png"/><Relationship Id="rId263" Type="http://schemas.openxmlformats.org/officeDocument/2006/relationships/image" Target="media/image223.png"/><Relationship Id="rId266" Type="http://schemas.openxmlformats.org/officeDocument/2006/relationships/image" Target="media/image224.png"/><Relationship Id="rId267" Type="http://schemas.openxmlformats.org/officeDocument/2006/relationships/image" Target="media/image225.png"/><Relationship Id="rId268" Type="http://schemas.openxmlformats.org/officeDocument/2006/relationships/image" Target="media/image226.png"/><Relationship Id="rId269" Type="http://schemas.openxmlformats.org/officeDocument/2006/relationships/image" Target="media/image227.png"/><Relationship Id="rId270" Type="http://schemas.openxmlformats.org/officeDocument/2006/relationships/image" Target="media/image228.png"/><Relationship Id="rId271" Type="http://schemas.openxmlformats.org/officeDocument/2006/relationships/image" Target="media/image229.png"/><Relationship Id="rId272" Type="http://schemas.openxmlformats.org/officeDocument/2006/relationships/image" Target="media/image230.png"/><Relationship Id="rId273" Type="http://schemas.openxmlformats.org/officeDocument/2006/relationships/image" Target="media/image231.png"/><Relationship Id="rId274" Type="http://schemas.openxmlformats.org/officeDocument/2006/relationships/image" Target="media/image232.png"/><Relationship Id="rId275" Type="http://schemas.openxmlformats.org/officeDocument/2006/relationships/image" Target="media/image233.png"/><Relationship Id="rId276" Type="http://schemas.openxmlformats.org/officeDocument/2006/relationships/image" Target="media/image234.png"/><Relationship Id="rId277" Type="http://schemas.openxmlformats.org/officeDocument/2006/relationships/image" Target="media/image235.png"/><Relationship Id="rId278" Type="http://schemas.openxmlformats.org/officeDocument/2006/relationships/image" Target="media/image236.png"/><Relationship Id="rId279" Type="http://schemas.openxmlformats.org/officeDocument/2006/relationships/image" Target="media/image237.png"/><Relationship Id="rId280" Type="http://schemas.openxmlformats.org/officeDocument/2006/relationships/image" Target="media/image238.png"/><Relationship Id="rId281" Type="http://schemas.openxmlformats.org/officeDocument/2006/relationships/image" Target="media/image239.png"/><Relationship Id="rId282" Type="http://schemas.openxmlformats.org/officeDocument/2006/relationships/image" Target="media/image240.png"/><Relationship Id="rId283" Type="http://schemas.openxmlformats.org/officeDocument/2006/relationships/image" Target="media/image241.png"/><Relationship Id="rId284" Type="http://schemas.openxmlformats.org/officeDocument/2006/relationships/image" Target="media/image242.png"/><Relationship Id="rId285" Type="http://schemas.openxmlformats.org/officeDocument/2006/relationships/image" Target="media/image243.png"/><Relationship Id="rId286" Type="http://schemas.openxmlformats.org/officeDocument/2006/relationships/image" Target="media/image244.png"/><Relationship Id="rId287" Type="http://schemas.openxmlformats.org/officeDocument/2006/relationships/image" Target="media/image245.png"/><Relationship Id="rId288" Type="http://schemas.openxmlformats.org/officeDocument/2006/relationships/image" Target="media/image246.png"/><Relationship Id="rId289" Type="http://schemas.openxmlformats.org/officeDocument/2006/relationships/image" Target="media/image247.png"/><Relationship Id="rId290" Type="http://schemas.openxmlformats.org/officeDocument/2006/relationships/image" Target="media/image248.png"/><Relationship Id="rId291" Type="http://schemas.openxmlformats.org/officeDocument/2006/relationships/image" Target="media/image249.png"/><Relationship Id="rId292" Type="http://schemas.openxmlformats.org/officeDocument/2006/relationships/image" Target="media/image250.png"/><Relationship Id="rId293" Type="http://schemas.openxmlformats.org/officeDocument/2006/relationships/image" Target="media/image251.png"/><Relationship Id="rId294" Type="http://schemas.openxmlformats.org/officeDocument/2006/relationships/image" Target="media/image252.png"/><Relationship Id="rId295" Type="http://schemas.openxmlformats.org/officeDocument/2006/relationships/image" Target="media/image253.png"/><Relationship Id="rId301" Type="http://schemas.openxmlformats.org/officeDocument/2006/relationships/image" Target="media/image254.png"/><Relationship Id="rId302" Type="http://schemas.openxmlformats.org/officeDocument/2006/relationships/image" Target="media/image255.png"/><Relationship Id="rId303" Type="http://schemas.openxmlformats.org/officeDocument/2006/relationships/image" Target="media/image256.png"/><Relationship Id="rId304" Type="http://schemas.openxmlformats.org/officeDocument/2006/relationships/image" Target="media/image257.jpeg"/><Relationship Id="rId305" Type="http://schemas.openxmlformats.org/officeDocument/2006/relationships/image" Target="media/image258.png"/><Relationship Id="rId306" Type="http://schemas.openxmlformats.org/officeDocument/2006/relationships/image" Target="media/image259.png"/><Relationship Id="rId307" Type="http://schemas.openxmlformats.org/officeDocument/2006/relationships/image" Target="media/image260.png"/><Relationship Id="rId308" Type="http://schemas.openxmlformats.org/officeDocument/2006/relationships/image" Target="media/image261.png"/><Relationship Id="rId309" Type="http://schemas.openxmlformats.org/officeDocument/2006/relationships/image" Target="media/image262.png"/><Relationship Id="rId17" Type="http://schemas.openxmlformats.org/officeDocument/2006/relationships/hyperlink" Target="http://www.sec.gov/Archives/edgar/data/1722964/000155837020002551/ymab-20191231x10k.htm" TargetMode="External"/><Relationship Id="rId18" Type="http://schemas.openxmlformats.org/officeDocument/2006/relationships/hyperlink" Target="http://www.sec.gov/Archives/edgar/data/1722964/000155837020005750/ymab-20200331x10q.htm" TargetMode="External"/><Relationship Id="rId19" Type="http://schemas.openxmlformats.org/officeDocument/2006/relationships/hyperlink" Target="http://www.sec.gov/ix?doc=/Archives/edgar/data/1722964/000155837020009646/ymab-20200630x10q.htm" TargetMode="External"/><Relationship Id="rId20" Type="http://schemas.openxmlformats.org/officeDocument/2006/relationships/hyperlink" Target="http://www.sec.gov/ix?doc=/Archives/edgar/data/1722964/000155837020012905/ymab-20200930x10q.htm" TargetMode="External"/><Relationship Id="rId43" Type="http://schemas.openxmlformats.org/officeDocument/2006/relationships/hyperlink" Target="http://www.sec.gov/Archives/edgar/data/1722964/000155837020012905/ymab-20200930x10q.htm" TargetMode="External"/><Relationship Id="rId228" Type="http://schemas.openxmlformats.org/officeDocument/2006/relationships/hyperlink" Target="http://www.sec.gov/Archives/edgar/data/1722964/000104746920002613/a2241485zdef14a.htm" TargetMode="External"/><Relationship Id="rId229" Type="http://schemas.openxmlformats.org/officeDocument/2006/relationships/hyperlink" Target="http://www.sec.gov/Archives/edgar/data/1722964/000110465920025381/tm2011053d1_8k.htm" TargetMode="External"/><Relationship Id="rId230" Type="http://schemas.openxmlformats.org/officeDocument/2006/relationships/hyperlink" Target="http://www.sec.gov/Archives/edgar/data/1722964/000110465920041575/tm2014356-1_8k.htm" TargetMode="External"/><Relationship Id="rId231" Type="http://schemas.openxmlformats.org/officeDocument/2006/relationships/hyperlink" Target="http://www.sec.gov/Archives/edgar/data/1722964/000110465920046706/tm2015855-2_8k.htm" TargetMode="External"/><Relationship Id="rId232" Type="http://schemas.openxmlformats.org/officeDocument/2006/relationships/hyperlink" Target="http://www.sec.gov/Archives/edgar/data/1722964/000110465920049239/tm2016479d1_8k.htm" TargetMode="External"/><Relationship Id="rId233" Type="http://schemas.openxmlformats.org/officeDocument/2006/relationships/hyperlink" Target="http://www.sec.gov/Archives/edgar/data/1722964/000110465920050704/tm2016827-1_8k.htm" TargetMode="External"/><Relationship Id="rId234" Type="http://schemas.openxmlformats.org/officeDocument/2006/relationships/hyperlink" Target="http://www.sec.gov/Archives/edgar/data/1722964/000110465920068699/tm2021587d1_8k.htm" TargetMode="External"/><Relationship Id="rId235" Type="http://schemas.openxmlformats.org/officeDocument/2006/relationships/hyperlink" Target="http://www.sec.gov/Archives/edgar/data/1722964/000110465920072912/tm2022515d1_8k.htm" TargetMode="External"/><Relationship Id="rId236" Type="http://schemas.openxmlformats.org/officeDocument/2006/relationships/hyperlink" Target="http://www.sec.gov/Archives/edgar/data/1722964/000110465920079017/tm2023801d1_8k.htm" TargetMode="External"/><Relationship Id="rId237" Type="http://schemas.openxmlformats.org/officeDocument/2006/relationships/hyperlink" Target="http://www.sec.gov/Archives/edgar/data/1722964/000110465920083270/tm2024796d1_8k.htm" TargetMode="External"/><Relationship Id="rId238" Type="http://schemas.openxmlformats.org/officeDocument/2006/relationships/hyperlink" Target="http://www.sec.gov/Archives/edgar/data/1722964/000110465920091260/tm2026819d1_8k.htm" TargetMode="External"/><Relationship Id="rId239" Type="http://schemas.openxmlformats.org/officeDocument/2006/relationships/hyperlink" Target="http://www.sec.gov/Archives/edgar/data/1722964/000110465920091417/tm2026819-2_8k.htm" TargetMode="External"/><Relationship Id="rId240" Type="http://schemas.openxmlformats.org/officeDocument/2006/relationships/hyperlink" Target="http://www.sec.gov/ix?doc=/Archives/edgar/data/1722964/000110465920112902/tm2032563d2_8k.htm" TargetMode="External"/><Relationship Id="rId241" Type="http://schemas.openxmlformats.org/officeDocument/2006/relationships/hyperlink" Target="http://www.sec.gov/ix?doc=/Archives/edgar/data/1722964/000110465920113442/tm2032563d3_8k.htm" TargetMode="External"/><Relationship Id="rId242" Type="http://schemas.openxmlformats.org/officeDocument/2006/relationships/hyperlink" Target="http://www.sec.gov/ix?doc=/Archives/edgar/data/1722964/000110465920114730/tm2032563d4_8k.htm" TargetMode="External"/><Relationship Id="rId243" Type="http://schemas.openxmlformats.org/officeDocument/2006/relationships/hyperlink" Target="http://www.sec.gov/ix?doc=/Archives/edgar/data/1722964/000110465920115521/tm2032563-5_8k.htm" TargetMode="External"/><Relationship Id="rId244" Type="http://schemas.openxmlformats.org/officeDocument/2006/relationships/hyperlink" Target="http://www.sec.gov/ix?doc=/Archives/edgar/data/1722964/000110465920118017/tm2032563d6_8k.htm" TargetMode="External"/><Relationship Id="rId245" Type="http://schemas.openxmlformats.org/officeDocument/2006/relationships/hyperlink" Target="http://www.sec.gov/ix?doc=/Archives/edgar/data/1722964/000110465920127184/tm2036436d1_8k.htm" TargetMode="External"/><Relationship Id="rId246" Type="http://schemas.openxmlformats.org/officeDocument/2006/relationships/hyperlink" Target="http://www.sec.gov/ix?doc=/Archives/edgar/data/1722964/000110465920129664/tm2036436d3_8k.htm" TargetMode="External"/><Relationship Id="rId247" Type="http://schemas.openxmlformats.org/officeDocument/2006/relationships/hyperlink" Target="http://www.sec.gov/ix?doc=/Archives/edgar/data/1722964/000110465920132245/tm2037712d2_8k.htm" TargetMode="External"/><Relationship Id="rId248" Type="http://schemas.openxmlformats.org/officeDocument/2006/relationships/hyperlink" Target="http://www.sec.gov/ix?doc=/Archives/edgar/data/1722964/000110465920133648/tm2038094d1_8k.htm" TargetMode="External"/><Relationship Id="rId249" Type="http://schemas.openxmlformats.org/officeDocument/2006/relationships/hyperlink" Target="http://www.sec.gov/ix?doc=/Archives/edgar/data/1722964/000110465920136067/tm2038656d1_8k.htm" TargetMode="External"/><Relationship Id="rId250" Type="http://schemas.openxmlformats.org/officeDocument/2006/relationships/hyperlink" Target="http://www.sec.gov/ix?doc=/Archives/edgar/data/1722964/000110465920137194/tm2038899d1_8k.htm" TargetMode="External"/><Relationship Id="rId251" Type="http://schemas.openxmlformats.org/officeDocument/2006/relationships/hyperlink" Target="http://www.sec.gov/ix?doc=/Archives/edgar/data/1722964/000110465920137196/tm2038899d2_8k.htm" TargetMode="External"/><Relationship Id="rId252" Type="http://schemas.openxmlformats.org/officeDocument/2006/relationships/hyperlink" Target="http://www.sec.gov/ix?doc=/Archives/edgar/data/1722964/000110465920138646/tm2039168d1_8k.htm" TargetMode="External"/><Relationship Id="rId253" Type="http://schemas.openxmlformats.org/officeDocument/2006/relationships/hyperlink" Target="http://www.sec.gov/ix?doc=/Archives/edgar/data/1722964/000110465920139650/tm2039394d1_8k.htm" TargetMode="External"/><Relationship Id="rId254" Type="http://schemas.openxmlformats.org/officeDocument/2006/relationships/hyperlink" Target="http://www.sec.gov/ix?doc=/Archives/edgar/data/1722964/000110465921006432/tm213777d1_8k.htm" TargetMode="External"/><Relationship Id="rId255" Type="http://schemas.openxmlformats.org/officeDocument/2006/relationships/hyperlink" Target="http://www.sec.gov/Archives/edgar/data/1722964/000110465918056144/a18-5676_108a12b.htm" TargetMode="External"/><Relationship Id="rId264" Type="http://schemas.openxmlformats.org/officeDocument/2006/relationships/hyperlink" Target="http://www.sec.gov/Archives/edgar/data/1722964/000155837019002375/ymab-20181231x10k.htm" TargetMode="External"/><Relationship Id="rId265" Type="http://schemas.openxmlformats.org/officeDocument/2006/relationships/hyperlink" Target="http://www.sec.gov/Archives/edgar/data/1722964/000155837019008167/ymab-20190630x10q.htm" TargetMode="External"/><Relationship Id="rId296" Type="http://schemas.openxmlformats.org/officeDocument/2006/relationships/hyperlink" Target="http://www.sec.gov/Archives/edgar/data/1722964/000104746919002749/a2238580zdef14a.htm" TargetMode="External"/><Relationship Id="rId297" Type="http://schemas.openxmlformats.org/officeDocument/2006/relationships/hyperlink" Target="http://www.sec.gov/Archives/edgar/data/1722964/000154478419000003/ymab-20190331x10q.htm" TargetMode="External"/><Relationship Id="rId298" Type="http://schemas.openxmlformats.org/officeDocument/2006/relationships/hyperlink" Target="http://www.sec.gov/Archives/edgar/data/1722964/000110465919025078/a19-9154_18k.htm" TargetMode="External"/><Relationship Id="rId299" Type="http://schemas.openxmlformats.org/officeDocument/2006/relationships/hyperlink" Target="http://www.sec.gov/Archives/edgar/data/1722964/000110465919034296/a19-11208_18k.htm" TargetMode="External"/><Relationship Id="rId300" Type="http://schemas.openxmlformats.org/officeDocument/2006/relationships/hyperlink" Target="http://www.sec.gov/Archives/edgar/data/1722964/000110465919050729/a19-18811_1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2021-02-17T05:22:40Z</dcterms:created>
  <dcterms:modified xsi:type="dcterms:W3CDTF">2021-02-17T05:22:40Z</dcterms:modified>
</cp:coreProperties>
</file>