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April 1, 2022</w:t>
      </w:r>
    </w:p>
    <w:p>
      <w:pPr>
        <w:spacing w:after="0" w:line="20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27940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1"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001-38650</w:t>
            </w:r>
          </w:p>
        </w:tc>
        <w:tc>
          <w:tcPr>
            <w:tcW w:w="190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rPr>
              <w:t>47-4619612</w:t>
            </w:r>
          </w:p>
        </w:tc>
      </w:tr>
      <w:tr>
        <w:trPr>
          <w:trHeight w:val="216"/>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(State or other jurisdiction of</w:t>
            </w:r>
          </w:p>
        </w:tc>
        <w:tc>
          <w:tcPr>
            <w:tcW w:w="466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8"/>
              </w:rPr>
              <w:t>(Commission</w:t>
            </w:r>
          </w:p>
        </w:tc>
        <w:tc>
          <w:tcPr>
            <w:tcW w:w="1900" w:type="dxa"/>
            <w:vAlign w:val="bottom"/>
          </w:tcPr>
          <w:p>
            <w:pPr>
              <w:jc w:val="center"/>
              <w:ind w:left="390"/>
              <w:spacing w:after="0"/>
              <w:rPr>
                <w:sz w:val="20"/>
                <w:szCs w:val="20"/>
                <w:color w:val="auto"/>
              </w:rPr>
            </w:pPr>
            <w:r>
              <w:rPr>
                <w:rFonts w:ascii="Times New Roman" w:cs="Times New Roman" w:eastAsia="Times New Roman" w:hAnsi="Times New Roman"/>
                <w:sz w:val="18"/>
                <w:szCs w:val="18"/>
                <w:b w:val="1"/>
                <w:bCs w:val="1"/>
                <w:color w:val="auto"/>
                <w:w w:val="99"/>
              </w:rPr>
              <w:t>(I.R.S. Employer</w:t>
            </w:r>
          </w:p>
        </w:tc>
      </w:tr>
      <w:tr>
        <w:trPr>
          <w:trHeight w:val="238"/>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incorporation or organization)</w:t>
            </w:r>
          </w:p>
        </w:tc>
        <w:tc>
          <w:tcPr>
            <w:tcW w:w="466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rPr>
              <w:t>File Number)</w:t>
            </w:r>
          </w:p>
        </w:tc>
        <w:tc>
          <w:tcPr>
            <w:tcW w:w="190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w w:val="99"/>
              </w:rPr>
              <w:t>Identification No.)</w:t>
            </w:r>
          </w:p>
        </w:tc>
      </w:tr>
      <w:tr>
        <w:trPr>
          <w:trHeight w:val="410"/>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8"/>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8"/>
              </w:rPr>
              <w:t>New York, New York 10169</w:t>
            </w:r>
          </w:p>
        </w:tc>
        <w:tc>
          <w:tcPr>
            <w:tcW w:w="1900" w:type="dxa"/>
            <w:vAlign w:val="bottom"/>
          </w:tcPr>
          <w:p>
            <w:pPr>
              <w:spacing w:after="0"/>
              <w:rPr>
                <w:sz w:val="18"/>
                <w:szCs w:val="18"/>
                <w:color w:val="auto"/>
              </w:rPr>
            </w:pPr>
          </w:p>
        </w:tc>
      </w:tr>
      <w:tr>
        <w:trPr>
          <w:trHeight w:val="238"/>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(Address of principal executive offices) (Zip Code)</w:t>
            </w:r>
          </w:p>
        </w:tc>
        <w:tc>
          <w:tcPr>
            <w:tcW w:w="1900" w:type="dxa"/>
            <w:vAlign w:val="bottom"/>
          </w:tcPr>
          <w:p>
            <w:pPr>
              <w:spacing w:after="0"/>
              <w:rPr>
                <w:sz w:val="20"/>
                <w:szCs w:val="20"/>
                <w:color w:val="auto"/>
              </w:rPr>
            </w:pPr>
          </w:p>
        </w:tc>
      </w:tr>
      <w:tr>
        <w:trPr>
          <w:trHeight w:val="410"/>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(646) 885-8505</w:t>
            </w:r>
          </w:p>
        </w:tc>
        <w:tc>
          <w:tcPr>
            <w:tcW w:w="1900" w:type="dxa"/>
            <w:vAlign w:val="bottom"/>
          </w:tcPr>
          <w:p>
            <w:pPr>
              <w:spacing w:after="0"/>
              <w:rPr>
                <w:sz w:val="24"/>
                <w:szCs w:val="24"/>
                <w:color w:val="auto"/>
              </w:rPr>
            </w:pPr>
          </w:p>
        </w:tc>
      </w:tr>
      <w:tr>
        <w:trPr>
          <w:trHeight w:val="238"/>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(Registrant’s telephone number, include area code)</w:t>
            </w:r>
          </w:p>
        </w:tc>
        <w:tc>
          <w:tcPr>
            <w:tcW w:w="1900" w:type="dxa"/>
            <w:vAlign w:val="bottom"/>
          </w:tcPr>
          <w:p>
            <w:pPr>
              <w:spacing w:after="0"/>
              <w:rPr>
                <w:sz w:val="20"/>
                <w:szCs w:val="20"/>
                <w:color w:val="auto"/>
              </w:rPr>
            </w:pP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07"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40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5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NASDAQ Global Select Market</w:t>
            </w:r>
          </w:p>
        </w:tc>
      </w:tr>
    </w:tbl>
    <w:p>
      <w:pPr>
        <w:spacing w:after="0" w:line="179" w:lineRule="exact"/>
        <w:rPr>
          <w:sz w:val="24"/>
          <w:szCs w:val="24"/>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54"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29" w:lineRule="exact"/>
        <w:rPr>
          <w:sz w:val="20"/>
          <w:szCs w:val="20"/>
          <w:color w:val="auto"/>
        </w:rPr>
      </w:pPr>
    </w:p>
    <w:p>
      <w:pPr>
        <w:jc w:val="both"/>
        <w:ind w:firstLine="324"/>
        <w:spacing w:after="0" w:line="226" w:lineRule="auto"/>
        <w:rPr>
          <w:sz w:val="20"/>
          <w:szCs w:val="20"/>
          <w:color w:val="auto"/>
        </w:rPr>
      </w:pPr>
      <w:r>
        <w:rPr>
          <w:rFonts w:ascii="Times New Roman" w:cs="Times New Roman" w:eastAsia="Times New Roman" w:hAnsi="Times New Roman"/>
          <w:sz w:val="18"/>
          <w:szCs w:val="18"/>
          <w:color w:val="auto"/>
        </w:rPr>
        <w:t xml:space="preserve">On April 1, 2022, Y-mAbs Therapeutics, Inc., (the “Company”) issued a press release announcing that on March 31, 2022, the Company completed the resubmission of its Biologics License Application (“BLA”) for </w:t>
      </w:r>
      <w:r>
        <w:rPr>
          <w:rFonts w:ascii="Times New Roman" w:cs="Times New Roman" w:eastAsia="Times New Roman" w:hAnsi="Times New Roman"/>
          <w:sz w:val="29"/>
          <w:szCs w:val="29"/>
          <w:color w:val="auto"/>
          <w:vertAlign w:val="superscript"/>
        </w:rPr>
        <w:t>131</w:t>
      </w:r>
      <w:r>
        <w:rPr>
          <w:rFonts w:ascii="Times New Roman" w:cs="Times New Roman" w:eastAsia="Times New Roman" w:hAnsi="Times New Roman"/>
          <w:sz w:val="18"/>
          <w:szCs w:val="18"/>
          <w:color w:val="auto"/>
        </w:rPr>
        <w:t>I-omburtamab to the U.S. Food and Drug Administration (“FDA”). A copy of the press release is attached hereto as Exhibit 99.1.</w:t>
      </w:r>
    </w:p>
    <w:p>
      <w:pPr>
        <w:spacing w:after="0" w:line="201"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12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(d) Exhibits</w:t>
            </w:r>
          </w:p>
        </w:tc>
      </w:tr>
      <w:tr>
        <w:trPr>
          <w:trHeight w:val="439"/>
        </w:trPr>
        <w:tc>
          <w:tcPr>
            <w:tcW w:w="11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340" w:type="dxa"/>
            <w:vAlign w:val="bottom"/>
          </w:tcPr>
          <w:p>
            <w:pPr>
              <w:spacing w:after="0"/>
              <w:rPr>
                <w:sz w:val="24"/>
                <w:szCs w:val="24"/>
                <w:color w:val="auto"/>
              </w:rPr>
            </w:pPr>
          </w:p>
        </w:tc>
        <w:tc>
          <w:tcPr>
            <w:tcW w:w="97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392"/>
        </w:trPr>
        <w:tc>
          <w:tcPr>
            <w:tcW w:w="1120" w:type="dxa"/>
            <w:vAlign w:val="bottom"/>
            <w:gridSpan w:val="2"/>
          </w:tcPr>
          <w:p>
            <w:pPr>
              <w:spacing w:after="0"/>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99.</w:t>
              </w:r>
              <w:r>
                <w:rPr>
                  <w:rFonts w:ascii="Times New Roman" w:cs="Times New Roman" w:eastAsia="Times New Roman" w:hAnsi="Times New Roman"/>
                  <w:sz w:val="18"/>
                  <w:szCs w:val="18"/>
                  <w:u w:val="single" w:color="auto"/>
                  <w:color w:val="0000EE"/>
                </w:rPr>
                <w:t>1</w:t>
              </w:r>
            </w:hyperlink>
          </w:p>
        </w:tc>
        <w:tc>
          <w:tcPr>
            <w:tcW w:w="340" w:type="dxa"/>
            <w:vAlign w:val="bottom"/>
          </w:tcPr>
          <w:p>
            <w:pPr>
              <w:spacing w:after="0"/>
              <w:rPr>
                <w:sz w:val="24"/>
                <w:szCs w:val="24"/>
                <w:color w:val="auto"/>
              </w:rPr>
            </w:pPr>
          </w:p>
        </w:tc>
        <w:tc>
          <w:tcPr>
            <w:tcW w:w="9780" w:type="dxa"/>
            <w:vAlign w:val="bottom"/>
            <w:gridSpan w:val="2"/>
          </w:tcPr>
          <w:p>
            <w:pPr>
              <w:spacing w:after="0"/>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Press Release, dated April 1, 2022, issued by Y-mAbs Therapeutics, Inc.</w:t>
              </w:r>
            </w:hyperlink>
          </w:p>
        </w:tc>
      </w:tr>
      <w:tr>
        <w:trPr>
          <w:trHeight w:val="453"/>
        </w:trPr>
        <w:tc>
          <w:tcPr>
            <w:tcW w:w="32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104</w:t>
            </w: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20" w:type="dxa"/>
            <w:vAlign w:val="bottom"/>
            <w:tcBorders>
              <w:top w:val="single" w:sz="8" w:color="0000EE"/>
            </w:tcBorders>
          </w:tcPr>
          <w:p>
            <w:pPr>
              <w:spacing w:after="0"/>
              <w:rPr>
                <w:sz w:val="20"/>
                <w:szCs w:val="20"/>
                <w:color w:val="auto"/>
              </w:rPr>
            </w:pPr>
            <w:r>
              <w:rPr>
                <w:rFonts w:ascii="Times New Roman" w:cs="Times New Roman" w:eastAsia="Times New Roman" w:hAnsi="Times New Roman"/>
                <w:sz w:val="18"/>
                <w:szCs w:val="18"/>
                <w:color w:val="auto"/>
              </w:rPr>
              <w:t>Interactive Data File (embedded within the Inline XBRL document).</w:t>
            </w:r>
          </w:p>
        </w:tc>
        <w:tc>
          <w:tcPr>
            <w:tcW w:w="4560" w:type="dxa"/>
            <w:vAlign w:val="bottom"/>
          </w:tcPr>
          <w:p>
            <w:pPr>
              <w:spacing w:after="0"/>
              <w:rPr>
                <w:sz w:val="24"/>
                <w:szCs w:val="24"/>
                <w:color w:val="auto"/>
              </w:rPr>
            </w:pPr>
          </w:p>
        </w:tc>
      </w:tr>
      <w:tr>
        <w:trPr>
          <w:trHeight w:val="432"/>
        </w:trPr>
        <w:tc>
          <w:tcPr>
            <w:tcW w:w="3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220" w:type="dxa"/>
            <w:vAlign w:val="bottom"/>
            <w:tcBorders>
              <w:bottom w:val="single" w:sz="8" w:color="auto"/>
            </w:tcBorders>
          </w:tcPr>
          <w:p>
            <w:pPr>
              <w:spacing w:after="0"/>
              <w:rPr>
                <w:sz w:val="24"/>
                <w:szCs w:val="24"/>
                <w:color w:val="auto"/>
              </w:rPr>
            </w:pPr>
          </w:p>
        </w:tc>
        <w:tc>
          <w:tcPr>
            <w:tcW w:w="45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20" w:type="dxa"/>
            <w:vAlign w:val="bottom"/>
          </w:tcPr>
          <w:p>
            <w:pPr>
              <w:spacing w:after="0"/>
              <w:rPr>
                <w:sz w:val="20"/>
                <w:szCs w:val="20"/>
                <w:color w:val="auto"/>
              </w:rPr>
            </w:pPr>
          </w:p>
        </w:tc>
        <w:tc>
          <w:tcPr>
            <w:tcW w:w="7720" w:type="dxa"/>
            <w:vAlign w:val="bottom"/>
            <w:gridSpan w:val="2"/>
          </w:tcPr>
          <w:p>
            <w:pPr>
              <w:ind w:left="2120"/>
              <w:spacing w:after="0"/>
              <w:rPr>
                <w:sz w:val="20"/>
                <w:szCs w:val="20"/>
                <w:color w:val="auto"/>
              </w:rPr>
            </w:pPr>
            <w:r>
              <w:rPr>
                <w:rFonts w:ascii="Times New Roman" w:cs="Times New Roman" w:eastAsia="Times New Roman" w:hAnsi="Times New Roman"/>
                <w:sz w:val="18"/>
                <w:szCs w:val="18"/>
                <w:color w:val="auto"/>
              </w:rPr>
              <w:t>Y-MABS THERAPEUTICS, INC.</w:t>
            </w:r>
          </w:p>
        </w:tc>
      </w:tr>
      <w:tr>
        <w:trPr>
          <w:trHeight w:val="432"/>
        </w:trPr>
        <w:tc>
          <w:tcPr>
            <w:tcW w:w="3520" w:type="dxa"/>
            <w:vAlign w:val="bottom"/>
          </w:tcPr>
          <w:p>
            <w:pPr>
              <w:spacing w:after="0"/>
              <w:rPr>
                <w:sz w:val="20"/>
                <w:szCs w:val="20"/>
                <w:color w:val="auto"/>
              </w:rPr>
            </w:pPr>
            <w:r>
              <w:rPr>
                <w:rFonts w:ascii="Times New Roman" w:cs="Times New Roman" w:eastAsia="Times New Roman" w:hAnsi="Times New Roman"/>
                <w:sz w:val="18"/>
                <w:szCs w:val="18"/>
                <w:color w:val="auto"/>
              </w:rPr>
              <w:t>Date: April 1, 2022</w:t>
            </w:r>
          </w:p>
        </w:tc>
        <w:tc>
          <w:tcPr>
            <w:tcW w:w="7720" w:type="dxa"/>
            <w:vAlign w:val="bottom"/>
            <w:gridSpan w:val="2"/>
          </w:tcPr>
          <w:p>
            <w:pPr>
              <w:ind w:left="2120"/>
              <w:spacing w:after="0"/>
              <w:rPr>
                <w:sz w:val="20"/>
                <w:szCs w:val="20"/>
                <w:color w:val="auto"/>
              </w:rPr>
            </w:pPr>
            <w:r>
              <w:rPr>
                <w:rFonts w:ascii="Times New Roman" w:cs="Times New Roman" w:eastAsia="Times New Roman" w:hAnsi="Times New Roman"/>
                <w:sz w:val="18"/>
                <w:szCs w:val="18"/>
                <w:color w:val="auto"/>
              </w:rPr>
              <w:t>By:  /s/ Thomas Gad</w:t>
            </w:r>
          </w:p>
        </w:tc>
      </w:tr>
      <w:tr>
        <w:trPr>
          <w:trHeight w:val="191"/>
        </w:trPr>
        <w:tc>
          <w:tcPr>
            <w:tcW w:w="35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516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Thomas Gad</w:t>
            </w:r>
          </w:p>
        </w:tc>
      </w:tr>
      <w:tr>
        <w:trPr>
          <w:trHeight w:val="216"/>
        </w:trPr>
        <w:tc>
          <w:tcPr>
            <w:tcW w:w="352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Founder, Chairman, President and Head of Business Development &amp;</w:t>
            </w:r>
          </w:p>
        </w:tc>
      </w:tr>
      <w:tr>
        <w:trPr>
          <w:trHeight w:val="234"/>
        </w:trPr>
        <w:tc>
          <w:tcPr>
            <w:tcW w:w="35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Times New Roman" w:cs="Times New Roman" w:eastAsia="Times New Roman" w:hAnsi="Times New Roman"/>
                <w:sz w:val="18"/>
                <w:szCs w:val="18"/>
                <w:color w:val="auto"/>
              </w:rPr>
              <w:t>Strategy</w:t>
            </w:r>
          </w:p>
        </w:tc>
      </w:tr>
      <w:tr>
        <w:trPr>
          <w:trHeight w:val="432"/>
        </w:trPr>
        <w:tc>
          <w:tcPr>
            <w:tcW w:w="352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tcPr>
          <w:p>
            <w:pPr>
              <w:spacing w:after="0"/>
              <w:rPr>
                <w:sz w:val="24"/>
                <w:szCs w:val="24"/>
                <w:color w:val="auto"/>
              </w:rPr>
            </w:pPr>
          </w:p>
        </w:tc>
        <w:tc>
          <w:tcPr>
            <w:tcW w:w="51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3708400</wp:posOffset>
            </wp:positionH>
            <wp:positionV relativeFrom="paragraph">
              <wp:posOffset>156845</wp:posOffset>
            </wp:positionV>
            <wp:extent cx="3429000" cy="514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00" cy="514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333333"/>
        </w:rPr>
        <w:t>Y-mAbs Announces Submission of Omburtamab Biologics License Application to FDA</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New York, NY, April 1, 2022 (GLOBE NEWSWIRE) – Y-mAbs Therapeutics, Inc. (the “Company” or “Y-mAbs”) (Nasdaq: YMAB) a commercial-stage biopharmaceutical company focused on the development and commercialization of novel, antibody-based therapeutic products for the treatment of cancer,</w:t>
      </w:r>
    </w:p>
    <w:p>
      <w:pPr>
        <w:jc w:val="both"/>
        <w:spacing w:after="0" w:line="209" w:lineRule="auto"/>
        <w:rPr>
          <w:sz w:val="20"/>
          <w:szCs w:val="20"/>
          <w:color w:val="auto"/>
        </w:rPr>
      </w:pPr>
      <w:r>
        <w:rPr>
          <w:rFonts w:ascii="Times New Roman" w:cs="Times New Roman" w:eastAsia="Times New Roman" w:hAnsi="Times New Roman"/>
          <w:sz w:val="18"/>
          <w:szCs w:val="18"/>
          <w:color w:val="auto"/>
        </w:rPr>
        <w:t xml:space="preserve">today announced that on March 31, 2022, the Company completed the resubmission of its Biologics License Application (“BLA”) for </w:t>
      </w:r>
      <w:r>
        <w:rPr>
          <w:rFonts w:ascii="Times New Roman" w:cs="Times New Roman" w:eastAsia="Times New Roman" w:hAnsi="Times New Roman"/>
          <w:sz w:val="29"/>
          <w:szCs w:val="29"/>
          <w:color w:val="auto"/>
          <w:vertAlign w:val="superscript"/>
        </w:rPr>
        <w:t>131</w:t>
      </w:r>
      <w:r>
        <w:rPr>
          <w:rFonts w:ascii="Times New Roman" w:cs="Times New Roman" w:eastAsia="Times New Roman" w:hAnsi="Times New Roman"/>
          <w:sz w:val="18"/>
          <w:szCs w:val="18"/>
          <w:color w:val="auto"/>
        </w:rPr>
        <w:t>I-omburtamab (“omburtamab”) to the FDA.</w:t>
      </w:r>
    </w:p>
    <w:p>
      <w:pPr>
        <w:spacing w:after="0" w:line="20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Omburtamab is an investigational, monoclonal antibody that targets B7-H3, an immune checkpoint molecule that is widely expressed in tumor cells of several cancer types. The omburtamab BLA is for the treatment of pediatric patients with CNS/leptomeningeal metastasis from neuroblastoma. The submission is based on the safety and efficacy results of the pivotal Phase 2 studies 101 and 03-133, which the Company expects to publish later this year.</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 am excited to see the completion of Y-mAbs’ second BLA submission in neuroblastoma. As children treated for high-risk systemic neuroblastoma potentially experience longer systemic remissions, we expect more patients eventually relapsing with brain metastasis and there is currently no effective therapy beyond surgery and radiotherapy available for these patients.” stated Thomas Gad, Founder, Chairman and President. “As the father of a long-term high-risk neuroblastoma survivor, treated with a predecessor to DANYELZA® for systemic high-risk neuroblastoma, and when relapsing with CNS/leptomeningeal metastasis, treated with omburtamab, I know how important this potentially is for families faced with brain metastasis from high-risk neuroblastoma. Y-mAbs was initially founded with the goal of potentially getting both these drugs approved in order to make a major impact on families all over the world.”</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Dr. Claus Moller, Chief Executive Officer, continued, “We believe omburtamab can potentially address a significant unmet medical need for children with CNS/leptomeningeal metastasis from neuroblastoma, and we look forward to working with the FDA to bring omburtamab to the appropriate patients. This is a key milestone for families and patients facing CNS/leptomeningeal metastasis from neuroblastoma and for Y-mAbs.”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Researchers at Memorial Sloan Kettering Cancer Center (“MSK”) developed omburtamab, which is exclusively licensed by MSK to Y-mAbs. As a result of this licensing arrangement, MSK has institutional financial interests related to the compound.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Y-mAbs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Y-mAbs is a commercial-stage biopharmaceutical company focused on the development and commercialization of novel, antibody-based therapeutic cancer products. In addition to conventional antibodies, the Company’s technologies include bispecific antibodies generated using the Y-BiClone platform and the SADA platform. The Company’s broad and advanced product pipeline includes one FDA-approved product, DANYELZA (naxitamab-gqgk), which targets tumors that express GD2, and one product candidate at the registration-stage, omburtamab, which targets tumors that express B7-H3.</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DANYELZA® (naxitamab-gqgk)</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DANYELZA® (naxitamab-gqgk)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This indication was approved under accelerated approval based on overall response rate and duration of response. Continued approval for this indication may be contingent upon verification and description of clinical benefits in a confirmatory trial. DANYELZA® includes a Boxed Warning for serious infusion-related reactions, such as cardiac arrest and anaphylaxis, and neurotoxicity, such as severe neuropathic pain and transverse myelitis. See full Prescribing Information for complete Boxed Warning and other important safety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268605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3885565</wp:posOffset>
            </wp:positionH>
            <wp:positionV relativeFrom="page">
              <wp:posOffset>586105</wp:posOffset>
            </wp:positionV>
            <wp:extent cx="3429000" cy="514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3429000" cy="514350"/>
                    </a:xfrm>
                    <a:prstGeom prst="rect">
                      <a:avLst/>
                    </a:prstGeom>
                    <a:noFill/>
                  </pic:spPr>
                </pic:pic>
              </a:graphicData>
            </a:graphic>
          </wp:anchor>
        </w:drawing>
      </w:r>
    </w:p>
    <w:p>
      <w:pPr>
        <w:spacing w:after="0" w:line="3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pandemic caused by the coronavirus known as COVID-19 and its variants such as Delta and Omicron, risks accociated with Russia’s recent invasion of Ukraine and other risks and uncertainties affecting the Company including those described in the "Risk Factors" section included in our Annual Report on Form 10-K for the year ended December 31, 2021 filed with the SEC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DANYELZA and “Y-mAbs” are registered trademarks of Y-mAbs Therapeutics,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Y-mAbs Therapeutics,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291465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2022-04-01T08:12:06Z</dcterms:created>
  <dcterms:modified xsi:type="dcterms:W3CDTF">2022-04-01T08:12:06Z</dcterms:modified>
</cp:coreProperties>
</file>